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60" w:right="939" w:hanging="4374"/>
        <w:spacing w:after="0" w:line="351" w:lineRule="auto"/>
        <w:rPr>
          <w:sz w:val="20"/>
          <w:szCs w:val="20"/>
          <w:color w:val="auto"/>
        </w:rPr>
      </w:pPr>
      <w:r>
        <w:rPr>
          <w:rFonts w:ascii="Times New Roman" w:cs="Times New Roman" w:eastAsia="Times New Roman" w:hAnsi="Times New Roman"/>
          <w:sz w:val="15"/>
          <w:szCs w:val="15"/>
          <w:b w:val="1"/>
          <w:bCs w:val="1"/>
          <w:color w:val="auto"/>
        </w:rPr>
        <w:t>As filed with the U.S. Securities and Exchange Commission on January 15, 2021 Registration No. 333-249785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583565</wp:posOffset>
            </wp:positionH>
            <wp:positionV relativeFrom="paragraph">
              <wp:posOffset>-4445</wp:posOffset>
            </wp:positionV>
            <wp:extent cx="455295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33020</wp:posOffset>
            </wp:positionV>
            <wp:extent cx="455295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52950" cy="22860"/>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_____________________________</w:t>
      </w:r>
    </w:p>
    <w:p>
      <w:pPr>
        <w:spacing w:after="0" w:line="6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Amendment No. 5 to</w:t>
      </w:r>
    </w:p>
    <w:p>
      <w:pPr>
        <w:spacing w:after="0" w:line="2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FORM S-4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REGISTRATION STATEMENT 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SECURITIES ACT OF 1933</w:t>
      </w:r>
    </w:p>
    <w:p>
      <w:pPr>
        <w:spacing w:after="0" w:line="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_____________________________</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FS Development Corp.</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_____________________________</w:t>
      </w:r>
    </w:p>
    <w:p>
      <w:pPr>
        <w:spacing w:after="0" w:line="184" w:lineRule="exact"/>
        <w:rPr>
          <w:sz w:val="24"/>
          <w:szCs w:val="24"/>
          <w:color w:val="auto"/>
        </w:rPr>
      </w:pPr>
    </w:p>
    <w:tbl>
      <w:tblPr>
        <w:tblLayout w:type="fixed"/>
        <w:tblInd w:w="920" w:type="dxa"/>
        <w:tblCellMar>
          <w:top w:w="0" w:type="dxa"/>
          <w:left w:w="0" w:type="dxa"/>
          <w:bottom w:w="0" w:type="dxa"/>
          <w:right w:w="0" w:type="dxa"/>
        </w:tblCellMar>
      </w:tblPr>
      <w:tr>
        <w:trPr>
          <w:trHeight w:val="188"/>
        </w:trPr>
        <w:tc>
          <w:tcPr>
            <w:tcW w:w="23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6770</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85-1612845</w:t>
            </w:r>
          </w:p>
        </w:tc>
        <w:tc>
          <w:tcPr>
            <w:tcW w:w="0" w:type="dxa"/>
            <w:vAlign w:val="bottom"/>
          </w:tcPr>
          <w:p>
            <w:pPr>
              <w:spacing w:after="0"/>
              <w:rPr>
                <w:sz w:val="1"/>
                <w:szCs w:val="1"/>
                <w:color w:val="auto"/>
              </w:rPr>
            </w:pPr>
          </w:p>
        </w:tc>
      </w:tr>
      <w:tr>
        <w:trPr>
          <w:trHeight w:val="42"/>
        </w:trPr>
        <w:tc>
          <w:tcPr>
            <w:tcW w:w="23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180"/>
              <w:spacing w:after="0" w:line="167"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80" w:type="dxa"/>
            <w:vAlign w:val="bottom"/>
            <w:vMerge w:val="continue"/>
          </w:tcPr>
          <w:p>
            <w:pPr>
              <w:spacing w:after="0"/>
              <w:rPr>
                <w:sz w:val="14"/>
                <w:szCs w:val="14"/>
                <w:color w:val="auto"/>
              </w:rPr>
            </w:pPr>
          </w:p>
        </w:tc>
        <w:tc>
          <w:tcPr>
            <w:tcW w:w="23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(Primary Standard Industrial</w:t>
            </w:r>
          </w:p>
        </w:tc>
        <w:tc>
          <w:tcPr>
            <w:tcW w:w="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tcPr>
          <w:p>
            <w:pPr>
              <w:jc w:val="center"/>
              <w:ind w:right="263"/>
              <w:spacing w:after="0" w:line="167"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7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w w:val="99"/>
              </w:rPr>
              <w:t>Classification Code Number)</w:t>
            </w:r>
          </w:p>
        </w:tc>
        <w:tc>
          <w:tcPr>
            <w:tcW w:w="2080" w:type="dxa"/>
            <w:vAlign w:val="bottom"/>
          </w:tcPr>
          <w:p>
            <w:pPr>
              <w:jc w:val="center"/>
              <w:ind w:right="22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76"/>
        </w:trPr>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600 Montgomery Street, Suite 4500</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San Francisco, California 94111</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(415) 877-4887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offices)</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Jim Tananbaum</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600 Montgomery Street, Suite 4500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(415) 877-4887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Copies to:</w:t>
      </w:r>
    </w:p>
    <w:p>
      <w:pPr>
        <w:spacing w:after="0" w:line="163" w:lineRule="exact"/>
        <w:rPr>
          <w:sz w:val="24"/>
          <w:szCs w:val="24"/>
          <w:color w:val="auto"/>
        </w:rPr>
      </w:pPr>
    </w:p>
    <w:tbl>
      <w:tblPr>
        <w:tblLayout w:type="fixed"/>
        <w:tblInd w:w="1700" w:type="dxa"/>
        <w:tblCellMar>
          <w:top w:w="0" w:type="dxa"/>
          <w:left w:w="0" w:type="dxa"/>
          <w:bottom w:w="0" w:type="dxa"/>
          <w:right w:w="0" w:type="dxa"/>
        </w:tblCellMar>
      </w:tblPr>
      <w:tr>
        <w:trPr>
          <w:trHeight w:val="191"/>
        </w:trPr>
        <w:tc>
          <w:tcPr>
            <w:tcW w:w="27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Joel L. Rubinstein</w:t>
            </w:r>
          </w:p>
        </w:tc>
        <w:tc>
          <w:tcPr>
            <w:tcW w:w="2800" w:type="dxa"/>
            <w:vAlign w:val="bottom"/>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9"/>
              </w:rPr>
              <w:t>Mitchell S. Bloom</w:t>
            </w:r>
          </w:p>
        </w:tc>
      </w:tr>
      <w:tr>
        <w:trPr>
          <w:trHeight w:val="191"/>
        </w:trPr>
        <w:tc>
          <w:tcPr>
            <w:tcW w:w="27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Bryan Luchs</w:t>
            </w:r>
          </w:p>
        </w:tc>
        <w:tc>
          <w:tcPr>
            <w:tcW w:w="2800" w:type="dxa"/>
            <w:vAlign w:val="bottom"/>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7"/>
              </w:rPr>
              <w:t>Jocelyn Arel</w:t>
            </w:r>
          </w:p>
        </w:tc>
      </w:tr>
      <w:tr>
        <w:trPr>
          <w:trHeight w:val="191"/>
        </w:trPr>
        <w:tc>
          <w:tcPr>
            <w:tcW w:w="278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9"/>
              </w:rPr>
              <w:t>White &amp; Case LLP</w:t>
            </w:r>
          </w:p>
        </w:tc>
        <w:tc>
          <w:tcPr>
            <w:tcW w:w="2800" w:type="dxa"/>
            <w:vAlign w:val="bottom"/>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9"/>
              </w:rPr>
              <w:t>Laurie A. Burlingame</w:t>
            </w:r>
          </w:p>
        </w:tc>
      </w:tr>
      <w:tr>
        <w:trPr>
          <w:trHeight w:val="191"/>
        </w:trPr>
        <w:tc>
          <w:tcPr>
            <w:tcW w:w="27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8"/>
              </w:rPr>
              <w:t>1221 Avenue of the Americas</w:t>
            </w:r>
          </w:p>
        </w:tc>
        <w:tc>
          <w:tcPr>
            <w:tcW w:w="2800" w:type="dxa"/>
            <w:vAlign w:val="bottom"/>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9"/>
              </w:rPr>
              <w:t>Goodwin Procter LLP</w:t>
            </w:r>
          </w:p>
        </w:tc>
      </w:tr>
      <w:tr>
        <w:trPr>
          <w:trHeight w:val="191"/>
        </w:trPr>
        <w:tc>
          <w:tcPr>
            <w:tcW w:w="27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8"/>
              </w:rPr>
              <w:t>New York, New York 10020</w:t>
            </w:r>
          </w:p>
        </w:tc>
        <w:tc>
          <w:tcPr>
            <w:tcW w:w="2800" w:type="dxa"/>
            <w:vAlign w:val="bottom"/>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8"/>
              </w:rPr>
              <w:t>100 Northern Avenue</w:t>
            </w:r>
          </w:p>
        </w:tc>
      </w:tr>
      <w:tr>
        <w:trPr>
          <w:trHeight w:val="191"/>
        </w:trPr>
        <w:tc>
          <w:tcPr>
            <w:tcW w:w="278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(212) 819-8200</w:t>
            </w:r>
          </w:p>
        </w:tc>
        <w:tc>
          <w:tcPr>
            <w:tcW w:w="2800" w:type="dxa"/>
            <w:vAlign w:val="bottom"/>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9"/>
              </w:rPr>
              <w:t>Boston, Massachusetts 02210</w:t>
            </w:r>
          </w:p>
        </w:tc>
      </w:tr>
      <w:tr>
        <w:trPr>
          <w:trHeight w:val="210"/>
        </w:trPr>
        <w:tc>
          <w:tcPr>
            <w:tcW w:w="2780" w:type="dxa"/>
            <w:vAlign w:val="bottom"/>
          </w:tcPr>
          <w:p>
            <w:pPr>
              <w:spacing w:after="0"/>
              <w:rPr>
                <w:sz w:val="18"/>
                <w:szCs w:val="18"/>
                <w:color w:val="auto"/>
              </w:rPr>
            </w:pPr>
          </w:p>
        </w:tc>
        <w:tc>
          <w:tcPr>
            <w:tcW w:w="2800" w:type="dxa"/>
            <w:vAlign w:val="bottom"/>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9"/>
              </w:rPr>
              <w:t>(617) 570-1000</w:t>
            </w:r>
          </w:p>
        </w:tc>
      </w:tr>
    </w:tbl>
    <w:p>
      <w:pPr>
        <w:spacing w:after="0" w:line="18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p>
      <w:pPr>
        <w:spacing w:after="0" w:line="57" w:lineRule="exact"/>
        <w:rPr>
          <w:sz w:val="24"/>
          <w:szCs w:val="24"/>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12" w:lineRule="exact"/>
        <w:rPr>
          <w:sz w:val="24"/>
          <w:szCs w:val="24"/>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6"/>
          <w:szCs w:val="16"/>
          <w:color w:val="auto"/>
        </w:rPr>
        <w:t>£</w:t>
      </w: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this Form is filed to register additional securities for an offering pursuant to Rule 462(b)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xml:space="preserve">”),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1" w:lineRule="exact"/>
        <w:rPr>
          <w:sz w:val="24"/>
          <w:szCs w:val="24"/>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1" w:lineRule="exact"/>
        <w:rPr>
          <w:sz w:val="24"/>
          <w:szCs w:val="24"/>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and emerging growth company. See the definitions of “large accelerated filer”, “accelerated filer”, “smaller reporting company” and “emerging growth company” in Rule 12b-2 of the Securities Exchange Act of 1934, as amended (the “Exchange Act”).</w:t>
      </w:r>
    </w:p>
    <w:p>
      <w:pPr>
        <w:spacing w:after="0" w:line="122"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w:cs="Arial" w:eastAsia="Arial" w:hAnsi="Arial"/>
                <w:sz w:val="16"/>
                <w:szCs w:val="16"/>
                <w:color w:val="auto"/>
              </w:rPr>
              <w:t>£</w:t>
            </w:r>
          </w:p>
        </w:tc>
        <w:tc>
          <w:tcPr>
            <w:tcW w:w="2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w:t>
            </w:r>
          </w:p>
        </w:tc>
        <w:tc>
          <w:tcPr>
            <w:tcW w:w="1220" w:type="dxa"/>
            <w:vAlign w:val="bottom"/>
          </w:tcPr>
          <w:p>
            <w:pPr>
              <w:ind w:left="240"/>
              <w:spacing w:after="0"/>
              <w:rPr>
                <w:sz w:val="20"/>
                <w:szCs w:val="20"/>
                <w:color w:val="auto"/>
              </w:rPr>
            </w:pPr>
            <w:r>
              <w:rPr>
                <w:rFonts w:ascii="Arial" w:cs="Arial" w:eastAsia="Arial" w:hAnsi="Arial"/>
                <w:sz w:val="16"/>
                <w:szCs w:val="16"/>
                <w:color w:val="auto"/>
              </w:rPr>
              <w:t>S</w:t>
            </w:r>
          </w:p>
        </w:tc>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w:cs="Arial" w:eastAsia="Arial" w:hAnsi="Arial"/>
                <w:sz w:val="16"/>
                <w:szCs w:val="16"/>
                <w:color w:val="auto"/>
              </w:rPr>
              <w:t>S</w:t>
            </w:r>
          </w:p>
        </w:tc>
      </w:tr>
      <w:tr>
        <w:trPr>
          <w:trHeight w:val="251"/>
        </w:trPr>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w:cs="Arial" w:eastAsia="Arial" w:hAnsi="Arial"/>
                <w:sz w:val="16"/>
                <w:szCs w:val="16"/>
                <w:color w:val="auto"/>
              </w:rPr>
              <w:t>S</w:t>
            </w:r>
          </w:p>
        </w:tc>
      </w:tr>
    </w:tbl>
    <w:p>
      <w:pPr>
        <w:spacing w:after="0" w:line="196" w:lineRule="exact"/>
        <w:rPr>
          <w:sz w:val="24"/>
          <w:szCs w:val="24"/>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auto"/>
        </w:rPr>
        <w:t>£</w:t>
      </w:r>
    </w:p>
    <w:p>
      <w:pPr>
        <w:spacing w:after="0" w:line="11" w:lineRule="exact"/>
        <w:rPr>
          <w:sz w:val="24"/>
          <w:szCs w:val="24"/>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116" w:lineRule="exact"/>
        <w:rPr>
          <w:sz w:val="24"/>
          <w:szCs w:val="24"/>
          <w:color w:val="auto"/>
        </w:rPr>
      </w:pPr>
    </w:p>
    <w:p>
      <w:pPr>
        <w:ind w:left="920"/>
        <w:spacing w:after="0"/>
        <w:tabs>
          <w:tab w:leader="none" w:pos="5440" w:val="left"/>
        </w:tabs>
        <w:rPr>
          <w:sz w:val="20"/>
          <w:szCs w:val="20"/>
          <w:color w:val="auto"/>
        </w:rPr>
      </w:pPr>
      <w:r>
        <w:rPr>
          <w:rFonts w:ascii="Times New Roman" w:cs="Times New Roman" w:eastAsia="Times New Roman" w:hAnsi="Times New Roman"/>
          <w:sz w:val="16"/>
          <w:szCs w:val="16"/>
          <w:color w:val="auto"/>
        </w:rPr>
        <w:t>Exchange Act Rule 13e-4(i) (Cross-Border Issuer Tender Offer)</w:t>
      </w:r>
      <w:r>
        <w:rPr>
          <w:sz w:val="20"/>
          <w:szCs w:val="20"/>
          <w:color w:val="auto"/>
        </w:rPr>
        <w:tab/>
      </w:r>
      <w:r>
        <w:rPr>
          <w:rFonts w:ascii="Arial" w:cs="Arial" w:eastAsia="Arial" w:hAnsi="Arial"/>
          <w:sz w:val="14"/>
          <w:szCs w:val="14"/>
          <w:color w:val="auto"/>
        </w:rPr>
        <w:t>£</w:t>
      </w:r>
    </w:p>
    <w:p>
      <w:pPr>
        <w:spacing w:after="0" w:line="43"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Exchange Act Rule 14d-1(d) (Cross-Border Third-Party Tender Offer) </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583565</wp:posOffset>
            </wp:positionH>
            <wp:positionV relativeFrom="paragraph">
              <wp:posOffset>260350</wp:posOffset>
            </wp:positionV>
            <wp:extent cx="45529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1" w:name="page2"/>
    <w:bookmarkEnd w:id="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r>
              <w:rPr>
                <w:rFonts w:ascii="Times New Roman" w:cs="Times New Roman" w:eastAsia="Times New Roman" w:hAnsi="Times New Roman"/>
                <w:sz w:val="16"/>
                <w:szCs w:val="16"/>
                <w:b w:val="1"/>
                <w:bCs w:val="1"/>
                <w:color w:val="auto"/>
                <w:w w:val="97"/>
                <w:vertAlign w:val="superscript"/>
              </w:rPr>
              <w:t>(2)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Security</w:t>
            </w:r>
            <w:r>
              <w:rPr>
                <w:rFonts w:ascii="Times New Roman" w:cs="Times New Roman" w:eastAsia="Times New Roman" w:hAnsi="Times New Roman"/>
                <w:sz w:val="16"/>
                <w:szCs w:val="16"/>
                <w:b w:val="1"/>
                <w:bCs w:val="1"/>
                <w:color w:val="auto"/>
                <w:w w:val="99"/>
                <w:vertAlign w:val="superscript"/>
              </w:rPr>
              <w:t>(3)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r>
              <w:rPr>
                <w:rFonts w:ascii="Times New Roman" w:cs="Times New Roman" w:eastAsia="Times New Roman" w:hAnsi="Times New Roman"/>
                <w:sz w:val="16"/>
                <w:szCs w:val="16"/>
                <w:b w:val="1"/>
                <w:bCs w:val="1"/>
                <w:color w:val="auto"/>
                <w:w w:val="96"/>
                <w:vertAlign w:val="superscript"/>
              </w:rPr>
              <w:t>(1)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3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2"/>
              </w:rPr>
              <w:t>21,500,000</w:t>
            </w:r>
            <w:r>
              <w:rPr>
                <w:rFonts w:ascii="Times New Roman" w:cs="Times New Roman" w:eastAsia="Times New Roman" w:hAnsi="Times New Roman"/>
                <w:sz w:val="18"/>
                <w:szCs w:val="18"/>
                <w:color w:val="auto"/>
                <w:w w:val="92"/>
                <w:vertAlign w:val="superscript"/>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10.10</w:t>
            </w:r>
          </w:p>
        </w:tc>
        <w:tc>
          <w:tcPr>
            <w:tcW w:w="10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$ 217,150,000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88"/>
              </w:rPr>
              <w:t>23,692</w:t>
            </w:r>
            <w:r>
              <w:rPr>
                <w:rFonts w:ascii="Times New Roman" w:cs="Times New Roman" w:eastAsia="Times New Roman" w:hAnsi="Times New Roman"/>
                <w:sz w:val="18"/>
                <w:szCs w:val="18"/>
                <w:color w:val="auto"/>
                <w:w w:val="88"/>
                <w:vertAlign w:val="superscript"/>
              </w:rPr>
              <w:t>(4)(5)</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gridSpan w:val="2"/>
            <w:vMerge w:val="continue"/>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21,500,000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10.10</w:t>
            </w: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$ 217,150,000</w:t>
            </w:r>
          </w:p>
        </w:tc>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w w:val="95"/>
              </w:rPr>
              <w:t>23,692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jc w:val="both"/>
        <w:ind w:left="1300" w:right="939" w:hanging="381"/>
        <w:spacing w:after="0" w:line="278" w:lineRule="auto"/>
        <w:tabs>
          <w:tab w:leader="none" w:pos="134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maximum number of shares of Class A Common Stock, $0.0001 par value per share, of the registrant issuable upon a business combination (the “</w:t>
      </w:r>
      <w:r>
        <w:rPr>
          <w:rFonts w:ascii="Times New Roman" w:cs="Times New Roman" w:eastAsia="Times New Roman" w:hAnsi="Times New Roman"/>
          <w:sz w:val="14"/>
          <w:szCs w:val="14"/>
          <w:b w:val="1"/>
          <w:bCs w:val="1"/>
          <w:color w:val="auto"/>
        </w:rPr>
        <w:t>Business Combination</w:t>
      </w:r>
      <w:r>
        <w:rPr>
          <w:rFonts w:ascii="Times New Roman" w:cs="Times New Roman" w:eastAsia="Times New Roman" w:hAnsi="Times New Roman"/>
          <w:sz w:val="14"/>
          <w:szCs w:val="14"/>
          <w:color w:val="auto"/>
        </w:rPr>
        <w:t>”) involving FS Development Corp. (“</w:t>
      </w:r>
      <w:r>
        <w:rPr>
          <w:rFonts w:ascii="Times New Roman" w:cs="Times New Roman" w:eastAsia="Times New Roman" w:hAnsi="Times New Roman"/>
          <w:sz w:val="14"/>
          <w:szCs w:val="14"/>
          <w:b w:val="1"/>
          <w:bCs w:val="1"/>
          <w:color w:val="auto"/>
        </w:rPr>
        <w:t>FS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14"/>
          <w:szCs w:val="14"/>
          <w:color w:val="auto"/>
        </w:rPr>
        <w:t>”) and Gemini Therapeutics, Inc. (“</w:t>
      </w:r>
      <w:r>
        <w:rPr>
          <w:rFonts w:ascii="Times New Roman" w:cs="Times New Roman" w:eastAsia="Times New Roman" w:hAnsi="Times New Roman"/>
          <w:sz w:val="14"/>
          <w:szCs w:val="14"/>
          <w:b w:val="1"/>
          <w:bCs w:val="1"/>
          <w:color w:val="auto"/>
        </w:rPr>
        <w:t>Gemini</w:t>
      </w:r>
      <w:r>
        <w:rPr>
          <w:rFonts w:ascii="Times New Roman" w:cs="Times New Roman" w:eastAsia="Times New Roman" w:hAnsi="Times New Roman"/>
          <w:sz w:val="14"/>
          <w:szCs w:val="14"/>
          <w:color w:val="auto"/>
        </w:rPr>
        <w:t>”). This number is based on 21,500,000, the maximum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number of shares of common stock of FS Development that are expected to be issued pursuant to the Business Combination.</w:t>
      </w:r>
    </w:p>
    <w:p>
      <w:pPr>
        <w:spacing w:after="0" w:line="156" w:lineRule="exact"/>
        <w:rPr>
          <w:rFonts w:ascii="Times New Roman" w:cs="Times New Roman" w:eastAsia="Times New Roman" w:hAnsi="Times New Roman"/>
          <w:sz w:val="14"/>
          <w:szCs w:val="14"/>
          <w:color w:val="auto"/>
        </w:rPr>
      </w:pPr>
    </w:p>
    <w:p>
      <w:pPr>
        <w:jc w:val="both"/>
        <w:ind w:left="1300" w:right="939" w:hanging="381"/>
        <w:spacing w:after="0" w:line="267" w:lineRule="auto"/>
        <w:tabs>
          <w:tab w:leader="none" w:pos="13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there are also being registered an indeterminable number of additional securities as may be issued to prevent dilution resulting from stock splits, stock dividends or similar transaction.</w:t>
      </w:r>
    </w:p>
    <w:p>
      <w:pPr>
        <w:jc w:val="both"/>
        <w:ind w:left="1300" w:right="939" w:hanging="381"/>
        <w:spacing w:after="0" w:line="267" w:lineRule="auto"/>
        <w:tabs>
          <w:tab w:leader="none" w:pos="130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based on the average of the high and low prices of the shares of common stock of FS Development on the Nasdaq Capital Market on October 26, 2020 ($10.10 per share). This calculation is in accordance with Rule 457(f)(1) of the Securities Act.</w:t>
      </w:r>
    </w:p>
    <w:p>
      <w:pPr>
        <w:ind w:left="1300" w:right="939" w:hanging="381"/>
        <w:spacing w:after="0" w:line="267" w:lineRule="auto"/>
        <w:tabs>
          <w:tab w:leader="none" w:pos="134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pursuant to Rule 457 under the Securities Act by multiplying the proposed maximum aggregate offering price of securities by 0.0001091.</w:t>
      </w:r>
    </w:p>
    <w:p>
      <w:pPr>
        <w:ind w:left="1300" w:hanging="381"/>
        <w:spacing w:after="0"/>
        <w:tabs>
          <w:tab w:leader="none" w:pos="13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fee has been previously paid.</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p>
      <w:pPr>
        <w:spacing w:after="0" w:line="114"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38735</wp:posOffset>
            </wp:positionV>
            <wp:extent cx="455295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76835</wp:posOffset>
            </wp:positionV>
            <wp:extent cx="455295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319405</wp:posOffset>
            </wp:positionV>
            <wp:extent cx="45529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 w:name="page3"/>
    <w:bookmarkEnd w:id="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D2232A"/>
        </w:rPr>
        <w:t>The information in this preliminary proxy statement/prospectus is not complete and may be changed. These securities may not be issued until the registration statement filed with the Securities and Exchange Commission is effective. This preliminary proxy statement/prospectus is not an offer to sell these securities and it is not soliciting an offer to buy these securities in any jurisdiction where the offer or sale is not permitted.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D2232A"/>
        </w:rPr>
        <w:t>PRELIMINARY PROXY STATEMENT/PROSPECTUS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D2232A"/>
        </w:rPr>
        <w:t>SUBJECT TO COMPLETION, DATED JANUARY 15, 2021</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600 Montgomery Street, Suite 4500</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p>
      <w:pPr>
        <w:spacing w:after="0" w:line="1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 the Stockholders of FS Development Corp.:</w:t>
      </w:r>
    </w:p>
    <w:p>
      <w:pPr>
        <w:spacing w:after="0" w:line="13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behalf of the board of directors of FS Development Corp. (“</w:t>
      </w:r>
      <w:r>
        <w:rPr>
          <w:rFonts w:ascii="Times New Roman" w:cs="Times New Roman" w:eastAsia="Times New Roman" w:hAnsi="Times New Roman"/>
          <w:sz w:val="16"/>
          <w:szCs w:val="16"/>
          <w:b w:val="1"/>
          <w:bCs w:val="1"/>
          <w:color w:val="auto"/>
        </w:rPr>
        <w:t>FS Development</w:t>
      </w:r>
      <w:r>
        <w:rPr>
          <w:rFonts w:ascii="Times New Roman" w:cs="Times New Roman" w:eastAsia="Times New Roman" w:hAnsi="Times New Roman"/>
          <w:sz w:val="16"/>
          <w:szCs w:val="16"/>
          <w:color w:val="auto"/>
        </w:rPr>
        <w:t>”), we are pleased to enclose the proxy statement/prospectus relating to the proposed merger of FSG Merger Sub, Inc., a Delaware corporation and a wholly-owned subsidiary of FS Development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with and into Gemini Therapeutics, Inc., a Delaware corporation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with Gemini surviving the merger as a wholly-owned subsidiary of FS Development (the “</w:t>
      </w:r>
      <w:r>
        <w:rPr>
          <w:rFonts w:ascii="Times New Roman" w:cs="Times New Roman" w:eastAsia="Times New Roman" w:hAnsi="Times New Roman"/>
          <w:sz w:val="16"/>
          <w:szCs w:val="16"/>
          <w:b w:val="1"/>
          <w:bCs w:val="1"/>
          <w:color w:val="auto"/>
        </w:rPr>
        <w:t>Combined Entity</w:t>
      </w:r>
      <w:r>
        <w:rPr>
          <w:rFonts w:ascii="Times New Roman" w:cs="Times New Roman" w:eastAsia="Times New Roman" w:hAnsi="Times New Roman"/>
          <w:sz w:val="16"/>
          <w:szCs w:val="16"/>
          <w:color w:val="auto"/>
        </w:rPr>
        <w:t>”), pursuant to the terms of a merger agreement, dated October 15, 2020, among FS Development, Merger Sub, Gemini and Shareholder Representative Services LLC (as it may be amended from time to time,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and such merger and the other transactions contemplated by the Merger Agreement,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xml:space="preserve">”). In connection with the Business Combination, FS Development will be renamed “Gemini Therapeutics, Inc.” A copy of the Merger Agreement is attached to the accompanying proxy statement/prospectus as </w:t>
      </w:r>
      <w:r>
        <w:rPr>
          <w:rFonts w:ascii="Times New Roman" w:cs="Times New Roman" w:eastAsia="Times New Roman" w:hAnsi="Times New Roman"/>
          <w:sz w:val="16"/>
          <w:szCs w:val="16"/>
          <w:i w:val="1"/>
          <w:iCs w:val="1"/>
          <w:u w:val="single" w:color="auto"/>
          <w:color w:val="auto"/>
        </w:rPr>
        <w:t>Annex A</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6"/>
          <w:szCs w:val="16"/>
          <w:b w:val="1"/>
          <w:bCs w:val="1"/>
          <w:color w:val="auto"/>
        </w:rPr>
        <w:t>Special Meeting</w:t>
      </w:r>
      <w:r>
        <w:rPr>
          <w:rFonts w:ascii="Times New Roman" w:cs="Times New Roman" w:eastAsia="Times New Roman" w:hAnsi="Times New Roman"/>
          <w:sz w:val="16"/>
          <w:szCs w:val="16"/>
          <w:color w:val="auto"/>
        </w:rPr>
        <w:t>”) of FS Development. The Special Meeting will be held on February 3, 2021, at 10:00 a.m. Eastern time, via a virtual meeting. In light of the novel coronavirus (referred to as “</w:t>
      </w:r>
      <w:r>
        <w:rPr>
          <w:rFonts w:ascii="Times New Roman" w:cs="Times New Roman" w:eastAsia="Times New Roman" w:hAnsi="Times New Roman"/>
          <w:sz w:val="16"/>
          <w:szCs w:val="16"/>
          <w:b w:val="1"/>
          <w:bCs w:val="1"/>
          <w:color w:val="auto"/>
        </w:rPr>
        <w:t>COVID-19</w:t>
      </w:r>
      <w:r>
        <w:rPr>
          <w:rFonts w:ascii="Times New Roman" w:cs="Times New Roman" w:eastAsia="Times New Roman" w:hAnsi="Times New Roman"/>
          <w:sz w:val="16"/>
          <w:szCs w:val="16"/>
          <w:color w:val="auto"/>
        </w:rPr>
        <w:t xml:space="preserve">”) pandemic and to support the well-being of FS Development’s stockholders, directors and management, the Special Meeting will be completely virtual. You may attend the Special Meeting and vote your shares electronically during the Special Meeting via live webcast by visiting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 You will need the 12-digit meeting control number that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1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At the Special Meeting, FS Development stockholders will be asked to consider and vote upon the following proposals (the “</w:t>
      </w:r>
      <w:r>
        <w:rPr>
          <w:rFonts w:ascii="Times New Roman" w:cs="Times New Roman" w:eastAsia="Times New Roman" w:hAnsi="Times New Roman"/>
          <w:sz w:val="16"/>
          <w:szCs w:val="16"/>
          <w:b w:val="1"/>
          <w:bCs w:val="1"/>
          <w:color w:val="auto"/>
        </w:rPr>
        <w:t>Proposals</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ind w:left="1680" w:right="939" w:hanging="379"/>
        <w:spacing w:after="0" w:line="280" w:lineRule="auto"/>
        <w:tabs>
          <w:tab w:leader="none" w:pos="17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adopt and approve the Merger Agreement and (b) approve the Business Combination (the “</w:t>
      </w:r>
      <w:r>
        <w:rPr>
          <w:rFonts w:ascii="Times New Roman" w:cs="Times New Roman" w:eastAsia="Times New Roman" w:hAnsi="Times New Roman"/>
          <w:sz w:val="16"/>
          <w:szCs w:val="16"/>
          <w:b w:val="1"/>
          <w:bCs w:val="1"/>
          <w:color w:val="auto"/>
        </w:rPr>
        <w:t>Business Combination Proposal</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52" w:lineRule="auto"/>
        <w:tabs>
          <w:tab w:leader="none" w:pos="167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6"/>
          <w:szCs w:val="16"/>
          <w:b w:val="1"/>
          <w:bCs w:val="1"/>
          <w:color w:val="auto"/>
        </w:rPr>
        <w:t>Nasdaq Listing Rule</w:t>
      </w:r>
      <w:r>
        <w:rPr>
          <w:rFonts w:ascii="Times New Roman" w:cs="Times New Roman" w:eastAsia="Times New Roman" w:hAnsi="Times New Roman"/>
          <w:sz w:val="16"/>
          <w:szCs w:val="16"/>
          <w:color w:val="auto"/>
        </w:rPr>
        <w:t>”), (a) the issuance of up to 21,500,000 newly issued shares of FS Development Class A Common Stock, par value $0.0001 per share, in the Business Combination, which amount will be determined as described in more detail under the heading titled “</w:t>
      </w:r>
      <w:r>
        <w:rPr>
          <w:rFonts w:ascii="Times New Roman" w:cs="Times New Roman" w:eastAsia="Times New Roman" w:hAnsi="Times New Roman"/>
          <w:sz w:val="16"/>
          <w:szCs w:val="16"/>
          <w:i w:val="1"/>
          <w:iCs w:val="1"/>
          <w:color w:val="auto"/>
        </w:rPr>
        <w:t>The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Combination Proposal — Acquisition of Gemini; Merger Consideration</w:t>
      </w:r>
      <w:r>
        <w:rPr>
          <w:rFonts w:ascii="Times New Roman" w:cs="Times New Roman" w:eastAsia="Times New Roman" w:hAnsi="Times New Roman"/>
          <w:sz w:val="16"/>
          <w:szCs w:val="16"/>
          <w:color w:val="auto"/>
        </w:rPr>
        <w:t>” and (b) the issuance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 of 9,506,000 newly issued shares of FS Development Class A Common Stock in a private placement concurrent with the Business Combination (the “</w:t>
      </w:r>
      <w:r>
        <w:rPr>
          <w:rFonts w:ascii="Times New Roman" w:cs="Times New Roman" w:eastAsia="Times New Roman" w:hAnsi="Times New Roman"/>
          <w:sz w:val="16"/>
          <w:szCs w:val="16"/>
          <w:b w:val="1"/>
          <w:bCs w:val="1"/>
          <w:color w:val="auto"/>
        </w:rPr>
        <w:t>PIPE Investment</w:t>
      </w:r>
      <w:r>
        <w:rPr>
          <w:rFonts w:ascii="Times New Roman" w:cs="Times New Roman" w:eastAsia="Times New Roman" w:hAnsi="Times New Roman"/>
          <w:sz w:val="16"/>
          <w:szCs w:val="16"/>
          <w:color w:val="auto"/>
        </w:rPr>
        <w:t>”), to the extent such issuances would require a stockholder vote under the applicable Nasdaq Listing Rule (the “</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Stock Issuance Proposal</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4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6"/>
          <w:szCs w:val="16"/>
          <w:b w:val="1"/>
          <w:bCs w:val="1"/>
          <w:color w:val="auto"/>
        </w:rPr>
        <w:t>Proposed Charter</w:t>
      </w:r>
      <w:r>
        <w:rPr>
          <w:rFonts w:ascii="Times New Roman" w:cs="Times New Roman" w:eastAsia="Times New Roman" w:hAnsi="Times New Roman"/>
          <w:sz w:val="16"/>
          <w:szCs w:val="16"/>
          <w:color w:val="auto"/>
        </w:rPr>
        <w:t>”), which will amend and restate the Current Charter, dated August 11, 2020 (the “</w:t>
      </w:r>
      <w:r>
        <w:rPr>
          <w:rFonts w:ascii="Times New Roman" w:cs="Times New Roman" w:eastAsia="Times New Roman" w:hAnsi="Times New Roman"/>
          <w:sz w:val="16"/>
          <w:szCs w:val="16"/>
          <w:b w:val="1"/>
          <w:bCs w:val="1"/>
          <w:color w:val="auto"/>
        </w:rPr>
        <w:t>Current Charter</w:t>
      </w:r>
      <w:r>
        <w:rPr>
          <w:rFonts w:ascii="Times New Roman" w:cs="Times New Roman" w:eastAsia="Times New Roman" w:hAnsi="Times New Roman"/>
          <w:sz w:val="16"/>
          <w:szCs w:val="16"/>
          <w:color w:val="auto"/>
        </w:rPr>
        <w:t>”), and which Proposed Charter will be in effect upon the closing of the Business Combination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Charter Amendment Proposal</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9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6"/>
          <w:szCs w:val="16"/>
          <w:b w:val="1"/>
          <w:bCs w:val="1"/>
          <w:color w:val="auto"/>
        </w:rPr>
        <w:t>Advisory Charter Proposals</w:t>
      </w:r>
      <w:r>
        <w:rPr>
          <w:rFonts w:ascii="Times New Roman" w:cs="Times New Roman" w:eastAsia="Times New Roman" w:hAnsi="Times New Roman"/>
          <w:sz w:val="16"/>
          <w:szCs w:val="16"/>
          <w:color w:val="auto"/>
        </w:rPr>
        <w:t>”):</w:t>
      </w:r>
    </w:p>
    <w:p>
      <w:pPr>
        <w:spacing w:after="0" w:line="88" w:lineRule="exact"/>
        <w:rPr>
          <w:rFonts w:ascii="Times New Roman" w:cs="Times New Roman" w:eastAsia="Times New Roman" w:hAnsi="Times New Roman"/>
          <w:sz w:val="16"/>
          <w:szCs w:val="16"/>
          <w:color w:val="auto"/>
        </w:rPr>
      </w:pPr>
    </w:p>
    <w:p>
      <w:pPr>
        <w:ind w:left="2060" w:right="939" w:hanging="376"/>
        <w:spacing w:after="0" w:line="283" w:lineRule="auto"/>
        <w:tabs>
          <w:tab w:leader="none" w:pos="2065"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A </w:t>
      </w:r>
      <w:r>
        <w:rPr>
          <w:rFonts w:ascii="Times New Roman" w:cs="Times New Roman" w:eastAsia="Times New Roman" w:hAnsi="Times New Roman"/>
          <w:sz w:val="16"/>
          <w:szCs w:val="16"/>
          <w:color w:val="auto"/>
        </w:rPr>
        <w:t>— to increase the authorized shares of FS Development Class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Common Stock to 250,000,000 shares;</w:t>
      </w:r>
    </w:p>
    <w:p>
      <w:pPr>
        <w:spacing w:after="0" w:line="79" w:lineRule="exact"/>
        <w:rPr>
          <w:rFonts w:ascii="Times New Roman" w:cs="Times New Roman" w:eastAsia="Times New Roman" w:hAnsi="Times New Roman"/>
          <w:sz w:val="16"/>
          <w:szCs w:val="16"/>
          <w:color w:val="auto"/>
        </w:rPr>
      </w:pPr>
    </w:p>
    <w:p>
      <w:pPr>
        <w:jc w:val="both"/>
        <w:ind w:left="2060" w:right="939" w:hanging="376"/>
        <w:spacing w:after="0" w:line="266" w:lineRule="auto"/>
        <w:tabs>
          <w:tab w:leader="none" w:pos="2022"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B </w:t>
      </w:r>
      <w:r>
        <w:rPr>
          <w:rFonts w:ascii="Times New Roman" w:cs="Times New Roman" w:eastAsia="Times New Roman" w:hAnsi="Times New Roman"/>
          <w:sz w:val="16"/>
          <w:szCs w:val="16"/>
          <w:color w:val="auto"/>
        </w:rPr>
        <w:t>— to increase the authorized shares of “blank check” preferred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that the Combined Entity’s board of directors could issue to discourage a takeover attempt to 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207645</wp:posOffset>
            </wp:positionV>
            <wp:extent cx="45529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 w:name="page4"/>
    <w:bookmarkEnd w:id="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2060" w:right="939" w:hanging="376"/>
        <w:spacing w:after="0" w:line="259" w:lineRule="auto"/>
        <w:tabs>
          <w:tab w:leader="none" w:pos="2125"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C </w:t>
      </w:r>
      <w:r>
        <w:rPr>
          <w:rFonts w:ascii="Times New Roman" w:cs="Times New Roman" w:eastAsia="Times New Roman" w:hAnsi="Times New Roman"/>
          <w:sz w:val="16"/>
          <w:szCs w:val="16"/>
          <w:color w:val="auto"/>
        </w:rPr>
        <w:t>— to provide that certain amendments to provisions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Proposed Charter will require the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6"/>
          <w:szCs w:val="16"/>
          <w:color w:val="auto"/>
        </w:rPr>
        <w:t>% of the Combined Entity’s then-outstanding shares of capital stock entitled to vote on such amendment;</w:t>
      </w:r>
    </w:p>
    <w:p>
      <w:pPr>
        <w:spacing w:after="0" w:line="96" w:lineRule="exact"/>
        <w:rPr>
          <w:rFonts w:ascii="Times New Roman" w:cs="Times New Roman" w:eastAsia="Times New Roman" w:hAnsi="Times New Roman"/>
          <w:sz w:val="16"/>
          <w:szCs w:val="16"/>
          <w:color w:val="auto"/>
        </w:rPr>
      </w:pPr>
    </w:p>
    <w:p>
      <w:pPr>
        <w:jc w:val="both"/>
        <w:ind w:left="2060" w:right="939" w:hanging="376"/>
        <w:spacing w:after="0" w:line="257" w:lineRule="auto"/>
        <w:tabs>
          <w:tab w:leader="none" w:pos="216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D — </w:t>
      </w:r>
      <w:r>
        <w:rPr>
          <w:rFonts w:ascii="Times New Roman" w:cs="Times New Roman" w:eastAsia="Times New Roman" w:hAnsi="Times New Roman"/>
          <w:sz w:val="16"/>
          <w:szCs w:val="16"/>
          <w:color w:val="auto"/>
        </w:rPr>
        <w:t>to make the Combined Entity’s corporate existence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6"/>
          <w:szCs w:val="16"/>
          <w:color w:val="auto"/>
        </w:rPr>
      </w:pPr>
    </w:p>
    <w:p>
      <w:pPr>
        <w:jc w:val="both"/>
        <w:ind w:left="2060" w:right="939" w:hanging="376"/>
        <w:spacing w:after="0" w:line="252" w:lineRule="auto"/>
        <w:tabs>
          <w:tab w:leader="none" w:pos="2101"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E </w:t>
      </w:r>
      <w:r>
        <w:rPr>
          <w:rFonts w:ascii="Times New Roman" w:cs="Times New Roman" w:eastAsia="Times New Roman" w:hAnsi="Times New Roman"/>
          <w:sz w:val="16"/>
          <w:szCs w:val="16"/>
          <w:color w:val="auto"/>
        </w:rPr>
        <w:t>— to provide that any amendment to the Amended By-laws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require the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6"/>
          <w:szCs w:val="16"/>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97"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7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assuming the Business Combination Proposal is approved and adopted, the 2021 Stock Option and Incentive Plan (the “</w:t>
      </w:r>
      <w:r>
        <w:rPr>
          <w:rFonts w:ascii="Times New Roman" w:cs="Times New Roman" w:eastAsia="Times New Roman" w:hAnsi="Times New Roman"/>
          <w:sz w:val="16"/>
          <w:szCs w:val="16"/>
          <w:b w:val="1"/>
          <w:bCs w:val="1"/>
          <w:color w:val="auto"/>
        </w:rPr>
        <w:t>Equity Incentive Plan</w:t>
      </w:r>
      <w:r>
        <w:rPr>
          <w:rFonts w:ascii="Times New Roman" w:cs="Times New Roman" w:eastAsia="Times New Roman" w:hAnsi="Times New Roman"/>
          <w:sz w:val="16"/>
          <w:szCs w:val="16"/>
          <w:color w:val="auto"/>
        </w:rPr>
        <w:t xml:space="preserve">”), a copy of which is appended to the accompanying proxy statement/prospectus as </w:t>
      </w:r>
      <w:r>
        <w:rPr>
          <w:rFonts w:ascii="Times New Roman" w:cs="Times New Roman" w:eastAsia="Times New Roman" w:hAnsi="Times New Roman"/>
          <w:sz w:val="16"/>
          <w:szCs w:val="16"/>
          <w:i w:val="1"/>
          <w:iCs w:val="1"/>
          <w:u w:val="single" w:color="auto"/>
          <w:color w:val="auto"/>
        </w:rPr>
        <w:t>Annex D</w:t>
      </w:r>
      <w:r>
        <w:rPr>
          <w:rFonts w:ascii="Times New Roman" w:cs="Times New Roman" w:eastAsia="Times New Roman" w:hAnsi="Times New Roman"/>
          <w:sz w:val="16"/>
          <w:szCs w:val="16"/>
          <w:color w:val="auto"/>
        </w:rPr>
        <w:t>, which will become effective the day prior to the Closing (the “</w:t>
      </w:r>
      <w:r>
        <w:rPr>
          <w:rFonts w:ascii="Times New Roman" w:cs="Times New Roman" w:eastAsia="Times New Roman" w:hAnsi="Times New Roman"/>
          <w:sz w:val="16"/>
          <w:szCs w:val="16"/>
          <w:b w:val="1"/>
          <w:bCs w:val="1"/>
          <w:color w:val="auto"/>
        </w:rPr>
        <w:t>Incentive Plan Proposal</w:t>
      </w:r>
      <w:r>
        <w:rPr>
          <w:rFonts w:ascii="Times New Roman" w:cs="Times New Roman" w:eastAsia="Times New Roman" w:hAnsi="Times New Roman"/>
          <w:sz w:val="16"/>
          <w:szCs w:val="16"/>
          <w:color w:val="auto"/>
        </w:rPr>
        <w:t>”); and</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66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6"/>
          <w:szCs w:val="16"/>
          <w:b w:val="1"/>
          <w:bCs w:val="1"/>
          <w:color w:val="auto"/>
        </w:rPr>
        <w:t>Adjournment Proposal</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Merger Agreement provides for the merger of Merger Sub with and into Gemini, with Gemini continuing as the surviving entity. Subject to the terms and conditions set forth in the Merger Agreement, at the effective time of the Business Combination (the “</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jc w:val="both"/>
        <w:ind w:left="1680" w:right="939" w:hanging="379"/>
        <w:spacing w:after="0" w:line="257" w:lineRule="auto"/>
        <w:tabs>
          <w:tab w:leader="none" w:pos="177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Gemini’s Series B Preferred Stock, Series A Preferred Stock and Common Stock (collectively, “</w:t>
      </w:r>
      <w:r>
        <w:rPr>
          <w:rFonts w:ascii="Times New Roman" w:cs="Times New Roman" w:eastAsia="Times New Roman" w:hAnsi="Times New Roman"/>
          <w:sz w:val="16"/>
          <w:szCs w:val="16"/>
          <w:b w:val="1"/>
          <w:bCs w:val="1"/>
          <w:color w:val="auto"/>
        </w:rPr>
        <w:t>Gemini Stock</w:t>
      </w:r>
      <w:r>
        <w:rPr>
          <w:rFonts w:ascii="Times New Roman" w:cs="Times New Roman" w:eastAsia="Times New Roman" w:hAnsi="Times New Roman"/>
          <w:sz w:val="16"/>
          <w:szCs w:val="16"/>
          <w:color w:val="auto"/>
        </w:rPr>
        <w:t>”) issued and outstanding immediately prior to the Effective Time, whether vested or unvested, will be converted into the right to receive the Merger Consideration (as defined below), with each stockholder of Gemini Stock being entitled to receive its Pro Rata Portion (as defined below) of the Merger Consideration; and</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Following completion of the Business Combination and assuming no holders of FS Development Class A Common Stock issued in FS Development’s initial public offering (the “</w:t>
      </w:r>
      <w:r>
        <w:rPr>
          <w:rFonts w:ascii="Times New Roman" w:cs="Times New Roman" w:eastAsia="Times New Roman" w:hAnsi="Times New Roman"/>
          <w:sz w:val="16"/>
          <w:szCs w:val="16"/>
          <w:b w:val="1"/>
          <w:bCs w:val="1"/>
          <w:color w:val="auto"/>
        </w:rPr>
        <w:t>FS Development IPO</w:t>
      </w:r>
      <w:r>
        <w:rPr>
          <w:rFonts w:ascii="Times New Roman" w:cs="Times New Roman" w:eastAsia="Times New Roman" w:hAnsi="Times New Roman"/>
          <w:sz w:val="16"/>
          <w:szCs w:val="16"/>
          <w:color w:val="auto"/>
        </w:rPr>
        <w:t>”, and such stock, the “</w:t>
      </w:r>
      <w:r>
        <w:rPr>
          <w:rFonts w:ascii="Times New Roman" w:cs="Times New Roman" w:eastAsia="Times New Roman" w:hAnsi="Times New Roman"/>
          <w:sz w:val="16"/>
          <w:szCs w:val="16"/>
          <w:b w:val="1"/>
          <w:bCs w:val="1"/>
          <w:color w:val="auto"/>
        </w:rPr>
        <w:t>Public Shares</w:t>
      </w:r>
      <w:r>
        <w:rPr>
          <w:rFonts w:ascii="Times New Roman" w:cs="Times New Roman" w:eastAsia="Times New Roman" w:hAnsi="Times New Roman"/>
          <w:sz w:val="16"/>
          <w:szCs w:val="16"/>
          <w:color w:val="auto"/>
        </w:rPr>
        <w:t>”) elect to redeem their shares, FS Development Holdings, LLC (the “</w:t>
      </w:r>
      <w:r>
        <w:rPr>
          <w:rFonts w:ascii="Times New Roman" w:cs="Times New Roman" w:eastAsia="Times New Roman" w:hAnsi="Times New Roman"/>
          <w:sz w:val="16"/>
          <w:szCs w:val="16"/>
          <w:b w:val="1"/>
          <w:bCs w:val="1"/>
          <w:color w:val="auto"/>
        </w:rPr>
        <w:t>Sponsor</w:t>
      </w:r>
      <w:r>
        <w:rPr>
          <w:rFonts w:ascii="Times New Roman" w:cs="Times New Roman" w:eastAsia="Times New Roman" w:hAnsi="Times New Roman"/>
          <w:sz w:val="16"/>
          <w:szCs w:val="16"/>
          <w:color w:val="auto"/>
        </w:rPr>
        <w:t>”), the public stockholders, the PIPE Investment investors and holders of Gemini Stock (the “</w:t>
      </w:r>
      <w:r>
        <w:rPr>
          <w:rFonts w:ascii="Times New Roman" w:cs="Times New Roman" w:eastAsia="Times New Roman" w:hAnsi="Times New Roman"/>
          <w:sz w:val="16"/>
          <w:szCs w:val="16"/>
          <w:b w:val="1"/>
          <w:bCs w:val="1"/>
          <w:color w:val="auto"/>
        </w:rPr>
        <w:t>Gemini Equityholders</w:t>
      </w:r>
      <w:r>
        <w:rPr>
          <w:rFonts w:ascii="Times New Roman" w:cs="Times New Roman" w:eastAsia="Times New Roman" w:hAnsi="Times New Roman"/>
          <w:sz w:val="16"/>
          <w:szCs w:val="16"/>
          <w:color w:val="auto"/>
        </w:rPr>
        <w:t>”) will own approximately 7%, 26%, 21% and 46% of the outstanding common stock of the Combined Entity, respectively. These percentages are calculated based on a number of assumptions (described in the accompanying proxy statement/prospectus) and are subject to adjustment in accordance with the terms of the Merger Agreement.</w:t>
      </w:r>
    </w:p>
    <w:p>
      <w:pPr>
        <w:spacing w:after="0" w:line="9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Approval of the Charter Amendment Proposal requires the affirmative vote of a majority of the issued and outstanding shares of FS Development Class A Common Stock and Class B Common stock (collectively, “</w:t>
      </w:r>
      <w:r>
        <w:rPr>
          <w:rFonts w:ascii="Times New Roman" w:cs="Times New Roman" w:eastAsia="Times New Roman" w:hAnsi="Times New Roman"/>
          <w:sz w:val="16"/>
          <w:szCs w:val="16"/>
          <w:b w:val="1"/>
          <w:bCs w:val="1"/>
          <w:color w:val="auto"/>
        </w:rPr>
        <w:t>FS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Development Common Stock</w:t>
      </w:r>
      <w:r>
        <w:rPr>
          <w:rFonts w:ascii="Times New Roman" w:cs="Times New Roman" w:eastAsia="Times New Roman" w:hAnsi="Times New Roman"/>
          <w:sz w:val="16"/>
          <w:szCs w:val="16"/>
          <w:color w:val="auto"/>
        </w:rPr>
        <w:t>”) as of the record date (the “</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for the Special Meeting, 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224155</wp:posOffset>
            </wp:positionV>
            <wp:extent cx="45529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 w:name="page5"/>
    <w:bookmarkEnd w:id="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02"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Pursuant to the Current Charter, FS Development is providing its public stockholders with the opportunity to redeem, upon the Closing, the Public Shares then held by them for cash equal to their pro rata share of the aggregate amount on deposit (as of two business days prior to the closing of the Business Combination) in the trust account (the “</w:t>
      </w:r>
      <w:r>
        <w:rPr>
          <w:rFonts w:ascii="Times New Roman" w:cs="Times New Roman" w:eastAsia="Times New Roman" w:hAnsi="Times New Roman"/>
          <w:sz w:val="16"/>
          <w:szCs w:val="16"/>
          <w:b w:val="1"/>
          <w:bCs w:val="1"/>
          <w:color w:val="auto"/>
        </w:rPr>
        <w:t>Trust Account</w:t>
      </w:r>
      <w:r>
        <w:rPr>
          <w:rFonts w:ascii="Times New Roman" w:cs="Times New Roman" w:eastAsia="Times New Roman" w:hAnsi="Times New Roman"/>
          <w:sz w:val="16"/>
          <w:szCs w:val="16"/>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6"/>
          <w:szCs w:val="16"/>
          <w:b w:val="1"/>
          <w:bCs w:val="1"/>
          <w:color w:val="auto"/>
        </w:rPr>
        <w:t>Public stockholders may elect to redeem their shares even if they vote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Business Combination Proposal</w:t>
      </w:r>
      <w:r>
        <w:rPr>
          <w:rFonts w:ascii="Times New Roman" w:cs="Times New Roman" w:eastAsia="Times New Roman" w:hAnsi="Times New Roman"/>
          <w:sz w:val="16"/>
          <w:szCs w:val="16"/>
          <w:color w:val="auto"/>
        </w:rPr>
        <w:t>. A public stockholder, together with any of his, her or its affiliates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person with whom it is acting in concert or as a “group” (as defined under Section 13 of the Securities Exchange Act of 1934, as amended),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 owned by them in favor of the Business Combination Proposal, which represent approximately 22.3% of the voting power of FS Development.</w:t>
      </w:r>
    </w:p>
    <w:p>
      <w:pPr>
        <w:spacing w:after="0" w:line="107"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 xml:space="preserve">FS Development is providing the accompanying proxy statement/prospectus and accompanying proxy card to FS Development stockholders in connection with the solicitation of proxies to be voted at the Special Meeting and at any adjournments or postponements of the Special Meeting. </w:t>
      </w:r>
      <w:r>
        <w:rPr>
          <w:rFonts w:ascii="Times New Roman" w:cs="Times New Roman" w:eastAsia="Times New Roman" w:hAnsi="Times New Roman"/>
          <w:sz w:val="16"/>
          <w:szCs w:val="16"/>
          <w:b w:val="1"/>
          <w:bCs w:val="1"/>
          <w:color w:val="auto"/>
        </w:rPr>
        <w:t>Whether or not you plan to attend the</w:t>
      </w:r>
    </w:p>
    <w:p>
      <w:pPr>
        <w:spacing w:after="0" w:line="2"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b w:val="1"/>
          <w:bCs w:val="1"/>
          <w:color w:val="auto"/>
        </w:rPr>
        <w:t>Special Meeting, FS Development urges you to read the accompanying proxy statement/prospectus (and any documents incorporated into the accompanying proxy statement/prospectus by reference) carefully. Please pay particular attention to the section titled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w:t>
      </w:r>
    </w:p>
    <w:p>
      <w:pPr>
        <w:spacing w:after="0" w:line="9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b w:val="1"/>
          <w:bCs w:val="1"/>
          <w:color w:val="auto"/>
        </w:rPr>
        <w:t>After careful consideration, the board of directors of FS Development has unanimously approved and adopted the Merger Agreement and the transactions contemplated therein and has determined that each of the Nasdaq Stock Issuance Proposal, Charter Amendment Proposal, Advisory Charter Proposals, Incentive Plan Proposal, and Adjournment Proposal are in the best interests of FS Development and its stockholders and unanimously recommends that you vote or give instruction to vote “FOR” each of those Proposals. When you consider the board of directors’ recommendation of these Proposals, you should keep in mind that the directors and officers of FS Development have interests in the Business Combination that may conflict with your interests as a stockholder. See the section titled “</w:t>
      </w:r>
      <w:r>
        <w:rPr>
          <w:rFonts w:ascii="Times New Roman" w:cs="Times New Roman" w:eastAsia="Times New Roman" w:hAnsi="Times New Roman"/>
          <w:sz w:val="16"/>
          <w:szCs w:val="16"/>
          <w:b w:val="1"/>
          <w:bCs w:val="1"/>
          <w:i w:val="1"/>
          <w:iCs w:val="1"/>
          <w:color w:val="auto"/>
        </w:rPr>
        <w:t>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Combination Proposal — Interests of FS Development’s Directors and Officers and Others in the Business Combination</w:t>
      </w:r>
      <w:r>
        <w:rPr>
          <w:rFonts w:ascii="Times New Roman" w:cs="Times New Roman" w:eastAsia="Times New Roman" w:hAnsi="Times New Roman"/>
          <w:sz w:val="16"/>
          <w:szCs w:val="16"/>
          <w:b w:val="1"/>
          <w:bCs w:val="1"/>
          <w:color w:val="auto"/>
        </w:rPr>
        <w:t>.”</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Each redemption of Public Shares by FS Development public stockholders will decrease the amount in the Trust Account, which held total assets of approximately $120,751,489 as of September 30, 2020. FS Development will not redeem Public Shares in an amount that would cause it to have net tangible assets of less than $5,000,001.</w:t>
      </w:r>
    </w:p>
    <w:p>
      <w:pPr>
        <w:spacing w:after="0" w:line="100"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b w:val="1"/>
          <w:bCs w:val="1"/>
          <w:color w:val="auto"/>
        </w:rPr>
        <w:t>Your vote is very important. If you are a registered stockholder, please vote your shares as soon as possible to ensure that your vote is counted, regardless of whether you expect to attend the Special Meeting virtually,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Stock Issuance Proposal, the Charter Amendment Proposal, and the Incentive Plan Proposal are approved at the Special Meeting. Approval of the Nasdaq Stock Issuance Proposal, the Charter Amendment Proposal, and the Incentive Plan Proposal are conditioned on the approval of the Business Combination Proposal and satisfaction of other closing conditions. The Adjournment Proposal is not conditioned on the approval of any other Proposal set forth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215265</wp:posOffset>
            </wp:positionV>
            <wp:extent cx="45529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 w:name="page6"/>
    <w:bookmarkEnd w:id="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If you sign, date and return your proxy card without indicating how you wish to vote, your proxy will be voted “FOR” each of the Proposals.</w:t>
      </w:r>
    </w:p>
    <w:p>
      <w:pPr>
        <w:spacing w:after="0" w:line="8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TO EXERCISE YOUR REDEMPTION RIGHTS, YOU MUST DEMAND THAT FS DEVELOPMENT REDEEM YOUR SHARES FOR A PRO RATA PORTION OF THE FUNDS HELD IN THE TRUST ACCOUNT AND TENDER YOUR SHARES TO FS DEVELOPMENT’S TRANSFER AGENT AT LEAST TWO BUSINESS DAYS PRIOR TO THE VOTE AT THE SPECIAL MEETING. YOU MAY TENDER YOUR SHARES BY EITHER DELIVERING YOUR SHARE CERTIFICATE TO THE TRANSFER AGENT OR BY DELIVERING YOUR SHARES ELECTRONICALLY TO THE TRANSFER AGENT USING DEPOSITORY TRUST COMPANY’S DEPOSIT WITHDRAWAL AT CUSTODIAN (“</w:t>
      </w:r>
      <w:r>
        <w:rPr>
          <w:rFonts w:ascii="Times New Roman" w:cs="Times New Roman" w:eastAsia="Times New Roman" w:hAnsi="Times New Roman"/>
          <w:sz w:val="16"/>
          <w:szCs w:val="16"/>
          <w:b w:val="1"/>
          <w:bCs w:val="1"/>
          <w:color w:val="auto"/>
        </w:rPr>
        <w:t>DWAC</w:t>
      </w:r>
      <w:r>
        <w:rPr>
          <w:rFonts w:ascii="Times New Roman" w:cs="Times New Roman" w:eastAsia="Times New Roman" w:hAnsi="Times New Roman"/>
          <w:sz w:val="16"/>
          <w:szCs w:val="16"/>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1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behalf of FS Development’s board of directors, I would like to thank you for your support and look forward to the successful completion of the Business Combination.</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265430</wp:posOffset>
            </wp:positionV>
            <wp:extent cx="20110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11045"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Jim Tananbaum</w:t>
      </w:r>
    </w:p>
    <w:p>
      <w:pPr>
        <w:spacing w:after="0" w:line="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Chief Executive Officer, President and Director</w:t>
      </w:r>
    </w:p>
    <w:p>
      <w:pPr>
        <w:spacing w:after="0" w:line="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196" w:lineRule="exact"/>
        <w:rPr>
          <w:sz w:val="20"/>
          <w:szCs w:val="20"/>
          <w:color w:val="auto"/>
        </w:rPr>
      </w:pPr>
    </w:p>
    <w:p>
      <w:pPr>
        <w:jc w:val="both"/>
        <w:ind w:left="920" w:right="939"/>
        <w:spacing w:after="0" w:line="260"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accompanying proxy statement/prospectus is dated</w:t>
            </w:r>
          </w:p>
        </w:tc>
        <w:tc>
          <w:tcPr>
            <w:tcW w:w="3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 2021 and is first being mailed to the</w:t>
            </w:r>
          </w:p>
        </w:tc>
      </w:tr>
      <w:tr>
        <w:trPr>
          <w:trHeight w:val="208"/>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of FS Development on or about</w:t>
            </w:r>
          </w:p>
        </w:tc>
        <w:tc>
          <w:tcPr>
            <w:tcW w:w="110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 2021.</w:t>
            </w:r>
          </w:p>
        </w:tc>
        <w:tc>
          <w:tcPr>
            <w:tcW w:w="3020" w:type="dxa"/>
            <w:vAlign w:val="bottom"/>
          </w:tcPr>
          <w:p>
            <w:pPr>
              <w:spacing w:after="0"/>
              <w:rPr>
                <w:sz w:val="18"/>
                <w:szCs w:val="18"/>
                <w:color w:val="auto"/>
              </w:rPr>
            </w:pPr>
          </w:p>
        </w:tc>
      </w:tr>
      <w:tr>
        <w:trPr>
          <w:trHeight w:val="346"/>
        </w:trPr>
        <w:tc>
          <w:tcPr>
            <w:tcW w:w="3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4" w:right="1440" w:bottom="1440" w:gutter="0" w:footer="0" w:header="0"/>
        </w:sectPr>
      </w:pPr>
    </w:p>
    <w:bookmarkStart w:id="6" w:name="page7"/>
    <w:bookmarkEnd w:id="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600 Montgomery Street, Suite 4500</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SPECIAL MEETING OF STOCKHOLDERS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FS DEVELOPMENT CORP.</w:t>
      </w:r>
    </w:p>
    <w:p>
      <w:pPr>
        <w:spacing w:after="0" w:line="12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To Be Held On February 3, 2021</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 the Stockholders of FS Development Corp.:</w:t>
      </w:r>
    </w:p>
    <w:p>
      <w:pPr>
        <w:spacing w:after="0" w:line="13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NOTICE IS HEREBY GIVEN that a special meeting of stockholders (the “</w:t>
      </w:r>
      <w:r>
        <w:rPr>
          <w:rFonts w:ascii="Times New Roman" w:cs="Times New Roman" w:eastAsia="Times New Roman" w:hAnsi="Times New Roman"/>
          <w:sz w:val="16"/>
          <w:szCs w:val="16"/>
          <w:b w:val="1"/>
          <w:bCs w:val="1"/>
          <w:color w:val="auto"/>
        </w:rPr>
        <w:t>Special Meeting</w:t>
      </w:r>
      <w:r>
        <w:rPr>
          <w:rFonts w:ascii="Times New Roman" w:cs="Times New Roman" w:eastAsia="Times New Roman" w:hAnsi="Times New Roman"/>
          <w:sz w:val="16"/>
          <w:szCs w:val="16"/>
          <w:color w:val="auto"/>
        </w:rPr>
        <w:t>”) of FS Development Corp., a Delaware corporation (“</w:t>
      </w:r>
      <w:r>
        <w:rPr>
          <w:rFonts w:ascii="Times New Roman" w:cs="Times New Roman" w:eastAsia="Times New Roman" w:hAnsi="Times New Roman"/>
          <w:sz w:val="16"/>
          <w:szCs w:val="16"/>
          <w:b w:val="1"/>
          <w:bCs w:val="1"/>
          <w:color w:val="auto"/>
        </w:rPr>
        <w:t>FS Development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xml:space="preserve">”), will be held on February 3, 2021, at 10:00 a.m., Eastern time, via live webcast at the following address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 You will need the 12-digit meeting control number that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 You are cordially invited to attend the Special Meeting for the following purposes (the “</w:t>
      </w:r>
      <w:r>
        <w:rPr>
          <w:rFonts w:ascii="Times New Roman" w:cs="Times New Roman" w:eastAsia="Times New Roman" w:hAnsi="Times New Roman"/>
          <w:sz w:val="16"/>
          <w:szCs w:val="16"/>
          <w:b w:val="1"/>
          <w:bCs w:val="1"/>
          <w:color w:val="auto"/>
        </w:rPr>
        <w:t>Proposals</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jc w:val="both"/>
        <w:ind w:left="1680" w:right="939" w:hanging="379"/>
        <w:spacing w:after="0" w:line="253" w:lineRule="auto"/>
        <w:tabs>
          <w:tab w:leader="none" w:pos="181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adopt and approve the Merger Agreement, dated as of October 15, 2020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among FS Development, FSG Merger Sub, Inc., a Delaware corporation and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wholly-owned subsidiary of FS Development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Gemini Therapeutics, Inc., a Delaware corporation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and Shareholder Representative Services LLC pursuant to which Merger Sub will merge with and into Gemini, with Gemini surviving the merger as a wholly-owned subsidiary of FS Development (the “</w:t>
      </w:r>
      <w:r>
        <w:rPr>
          <w:rFonts w:ascii="Times New Roman" w:cs="Times New Roman" w:eastAsia="Times New Roman" w:hAnsi="Times New Roman"/>
          <w:sz w:val="16"/>
          <w:szCs w:val="16"/>
          <w:b w:val="1"/>
          <w:bCs w:val="1"/>
          <w:color w:val="auto"/>
        </w:rPr>
        <w:t>Combined Entity</w:t>
      </w:r>
      <w:r>
        <w:rPr>
          <w:rFonts w:ascii="Times New Roman" w:cs="Times New Roman" w:eastAsia="Times New Roman" w:hAnsi="Times New Roman"/>
          <w:sz w:val="16"/>
          <w:szCs w:val="16"/>
          <w:color w:val="auto"/>
        </w:rPr>
        <w:t>”) and (b) approve such merger and the other transactions contemplated by the Merger Agreement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In connection with the Business Combination, FS Development will be renamed “Gemini Therapeutics, Inc.” Subject to the terms and conditions set forth in the Merger Agreement, at the effective time of the Business Combination (the “</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w:t>
      </w:r>
    </w:p>
    <w:p>
      <w:pPr>
        <w:spacing w:after="0" w:line="93" w:lineRule="exact"/>
        <w:rPr>
          <w:rFonts w:ascii="Times New Roman" w:cs="Times New Roman" w:eastAsia="Times New Roman" w:hAnsi="Times New Roman"/>
          <w:sz w:val="16"/>
          <w:szCs w:val="16"/>
          <w:color w:val="auto"/>
        </w:rPr>
      </w:pPr>
    </w:p>
    <w:p>
      <w:pPr>
        <w:jc w:val="both"/>
        <w:ind w:left="2060" w:right="939" w:hanging="376"/>
        <w:spacing w:after="0" w:line="257" w:lineRule="auto"/>
        <w:tabs>
          <w:tab w:leader="none" w:pos="2049"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Gemini’s Series B Preferred Stock, Series A Preferred Stock and Common Stock (collectively, “</w:t>
      </w:r>
      <w:r>
        <w:rPr>
          <w:rFonts w:ascii="Times New Roman" w:cs="Times New Roman" w:eastAsia="Times New Roman" w:hAnsi="Times New Roman"/>
          <w:sz w:val="16"/>
          <w:szCs w:val="16"/>
          <w:b w:val="1"/>
          <w:bCs w:val="1"/>
          <w:color w:val="auto"/>
        </w:rPr>
        <w:t>Gemini Stock</w:t>
      </w:r>
      <w:r>
        <w:rPr>
          <w:rFonts w:ascii="Times New Roman" w:cs="Times New Roman" w:eastAsia="Times New Roman" w:hAnsi="Times New Roman"/>
          <w:sz w:val="16"/>
          <w:szCs w:val="16"/>
          <w:color w:val="auto"/>
        </w:rPr>
        <w:t>”)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02" w:lineRule="exact"/>
        <w:rPr>
          <w:rFonts w:ascii="Times New Roman" w:cs="Times New Roman" w:eastAsia="Times New Roman" w:hAnsi="Times New Roman"/>
          <w:sz w:val="16"/>
          <w:szCs w:val="16"/>
          <w:color w:val="auto"/>
        </w:rPr>
      </w:pPr>
    </w:p>
    <w:p>
      <w:pPr>
        <w:jc w:val="both"/>
        <w:ind w:left="2060" w:right="939" w:hanging="376"/>
        <w:spacing w:after="0" w:line="259" w:lineRule="auto"/>
        <w:tabs>
          <w:tab w:leader="none" w:pos="2184"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0" w:lineRule="exact"/>
        <w:rPr>
          <w:sz w:val="20"/>
          <w:szCs w:val="20"/>
          <w:color w:val="auto"/>
        </w:rPr>
      </w:pPr>
    </w:p>
    <w:p>
      <w:pPr>
        <w:ind w:left="1680" w:right="939"/>
        <w:spacing w:after="0" w:line="283" w:lineRule="auto"/>
        <w:rPr>
          <w:sz w:val="20"/>
          <w:szCs w:val="20"/>
          <w:color w:val="auto"/>
        </w:rPr>
      </w:pPr>
      <w:r>
        <w:rPr>
          <w:rFonts w:ascii="Times New Roman" w:cs="Times New Roman" w:eastAsia="Times New Roman" w:hAnsi="Times New Roman"/>
          <w:sz w:val="16"/>
          <w:szCs w:val="16"/>
          <w:color w:val="auto"/>
        </w:rPr>
        <w:t>We refer to this proposal as the “</w:t>
      </w:r>
      <w:r>
        <w:rPr>
          <w:rFonts w:ascii="Times New Roman" w:cs="Times New Roman" w:eastAsia="Times New Roman" w:hAnsi="Times New Roman"/>
          <w:sz w:val="16"/>
          <w:szCs w:val="16"/>
          <w:b w:val="1"/>
          <w:bCs w:val="1"/>
          <w:color w:val="auto"/>
        </w:rPr>
        <w:t>Business Combination Proposal</w:t>
      </w:r>
      <w:r>
        <w:rPr>
          <w:rFonts w:ascii="Times New Roman" w:cs="Times New Roman" w:eastAsia="Times New Roman" w:hAnsi="Times New Roman"/>
          <w:sz w:val="16"/>
          <w:szCs w:val="16"/>
          <w:color w:val="auto"/>
        </w:rPr>
        <w:t xml:space="preserve">.” A copy of the Merger Agreement is attached to the accompanying proxy statement/prospectus as </w:t>
      </w:r>
      <w:r>
        <w:rPr>
          <w:rFonts w:ascii="Times New Roman" w:cs="Times New Roman" w:eastAsia="Times New Roman" w:hAnsi="Times New Roman"/>
          <w:sz w:val="16"/>
          <w:szCs w:val="16"/>
          <w:i w:val="1"/>
          <w:iCs w:val="1"/>
          <w:u w:val="single" w:color="auto"/>
          <w:color w:val="auto"/>
        </w:rPr>
        <w:t>Annex A</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jc w:val="both"/>
        <w:ind w:left="1680" w:right="939" w:hanging="379"/>
        <w:spacing w:after="0" w:line="252" w:lineRule="auto"/>
        <w:tabs>
          <w:tab w:leader="none" w:pos="16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6"/>
          <w:szCs w:val="16"/>
          <w:b w:val="1"/>
          <w:bCs w:val="1"/>
          <w:color w:val="auto"/>
        </w:rPr>
        <w:t>Nasdaq Listing Rule</w:t>
      </w:r>
      <w:r>
        <w:rPr>
          <w:rFonts w:ascii="Times New Roman" w:cs="Times New Roman" w:eastAsia="Times New Roman" w:hAnsi="Times New Roman"/>
          <w:sz w:val="16"/>
          <w:szCs w:val="16"/>
          <w:color w:val="auto"/>
        </w:rPr>
        <w:t>”), (a) the issuance of up to 21,500,000 newly issued shares of FS Development Class A Common Stock, par value $0.0001 per share, in the Business Combination, which amount will be determined as described in more detail in the accompanying proxy statement/prospectus under the heading titled “</w:t>
      </w:r>
      <w:r>
        <w:rPr>
          <w:rFonts w:ascii="Times New Roman" w:cs="Times New Roman" w:eastAsia="Times New Roman" w:hAnsi="Times New Roman"/>
          <w:sz w:val="16"/>
          <w:szCs w:val="16"/>
          <w:i w:val="1"/>
          <w:iCs w:val="1"/>
          <w:color w:val="auto"/>
        </w:rPr>
        <w:t>The Business Combination Proposal — Acquisition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Gemini; Merger Consideration</w:t>
      </w:r>
      <w:r>
        <w:rPr>
          <w:rFonts w:ascii="Times New Roman" w:cs="Times New Roman" w:eastAsia="Times New Roman" w:hAnsi="Times New Roman"/>
          <w:sz w:val="16"/>
          <w:szCs w:val="16"/>
          <w:color w:val="auto"/>
        </w:rPr>
        <w:t>” and (b) the issuance and sale of 9,506,000 newly issued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FS Development Class A Common Stock in a private placement concurrent with the Business Combination (the “</w:t>
      </w:r>
      <w:r>
        <w:rPr>
          <w:rFonts w:ascii="Times New Roman" w:cs="Times New Roman" w:eastAsia="Times New Roman" w:hAnsi="Times New Roman"/>
          <w:sz w:val="16"/>
          <w:szCs w:val="16"/>
          <w:b w:val="1"/>
          <w:bCs w:val="1"/>
          <w:color w:val="auto"/>
        </w:rPr>
        <w:t>PIPE Investment</w:t>
      </w:r>
      <w:r>
        <w:rPr>
          <w:rFonts w:ascii="Times New Roman" w:cs="Times New Roman" w:eastAsia="Times New Roman" w:hAnsi="Times New Roman"/>
          <w:sz w:val="16"/>
          <w:szCs w:val="16"/>
          <w:color w:val="auto"/>
        </w:rPr>
        <w:t>”), to the extent such issuances would require a stockholder vote under the applicable Nasdaq Listing Rule (the “</w:t>
      </w:r>
      <w:r>
        <w:rPr>
          <w:rFonts w:ascii="Times New Roman" w:cs="Times New Roman" w:eastAsia="Times New Roman" w:hAnsi="Times New Roman"/>
          <w:sz w:val="16"/>
          <w:szCs w:val="16"/>
          <w:b w:val="1"/>
          <w:bCs w:val="1"/>
          <w:color w:val="auto"/>
        </w:rPr>
        <w:t>Nasdaq Stock Issuance Proposal</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6"/>
          <w:szCs w:val="16"/>
          <w:b w:val="1"/>
          <w:bCs w:val="1"/>
          <w:color w:val="auto"/>
        </w:rPr>
        <w:t>Proposed Charter</w:t>
      </w:r>
      <w:r>
        <w:rPr>
          <w:rFonts w:ascii="Times New Roman" w:cs="Times New Roman" w:eastAsia="Times New Roman" w:hAnsi="Times New Roman"/>
          <w:sz w:val="16"/>
          <w:szCs w:val="16"/>
          <w:color w:val="auto"/>
        </w:rPr>
        <w:t>”), which will amend and restate the Current Charter, dated August 11, 2020 (the “</w:t>
      </w:r>
      <w:r>
        <w:rPr>
          <w:rFonts w:ascii="Times New Roman" w:cs="Times New Roman" w:eastAsia="Times New Roman" w:hAnsi="Times New Roman"/>
          <w:sz w:val="16"/>
          <w:szCs w:val="16"/>
          <w:b w:val="1"/>
          <w:bCs w:val="1"/>
          <w:color w:val="auto"/>
        </w:rPr>
        <w:t>Current Charter</w:t>
      </w:r>
      <w:r>
        <w:rPr>
          <w:rFonts w:ascii="Times New Roman" w:cs="Times New Roman" w:eastAsia="Times New Roman" w:hAnsi="Times New Roman"/>
          <w:sz w:val="16"/>
          <w:szCs w:val="16"/>
          <w:color w:val="auto"/>
        </w:rPr>
        <w:t>”), and which Proposed Charter will be in effect upon the closing of the Business Combination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Charter Amendment Proposal</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212090</wp:posOffset>
            </wp:positionV>
            <wp:extent cx="45529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 w:name="page8"/>
    <w:bookmarkEnd w:id="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9" w:lineRule="auto"/>
        <w:tabs>
          <w:tab w:leader="none" w:pos="185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6"/>
          <w:szCs w:val="16"/>
          <w:b w:val="1"/>
          <w:bCs w:val="1"/>
          <w:color w:val="auto"/>
        </w:rPr>
        <w:t>Advisory Charter Proposals</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ind w:left="2060" w:right="939" w:hanging="376"/>
        <w:spacing w:after="0" w:line="280" w:lineRule="auto"/>
        <w:tabs>
          <w:tab w:leader="none" w:pos="2054"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A — to increase the authorized shares of FS Development Class A Common Stock to 250,000,000 shares;</w:t>
      </w:r>
    </w:p>
    <w:p>
      <w:pPr>
        <w:spacing w:after="0" w:line="84" w:lineRule="exact"/>
        <w:rPr>
          <w:rFonts w:ascii="Times New Roman" w:cs="Times New Roman" w:eastAsia="Times New Roman" w:hAnsi="Times New Roman"/>
          <w:sz w:val="16"/>
          <w:szCs w:val="16"/>
          <w:color w:val="auto"/>
        </w:rPr>
      </w:pPr>
    </w:p>
    <w:p>
      <w:pPr>
        <w:jc w:val="both"/>
        <w:ind w:left="2060" w:right="939" w:hanging="376"/>
        <w:spacing w:after="0" w:line="265" w:lineRule="auto"/>
        <w:tabs>
          <w:tab w:leader="none" w:pos="205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B — to increase the authorized shares of “blank check” preferred stock that the Combined Entity’s board of directors could issue to discourage a takeover attempt to 10,000,000 shares;</w:t>
      </w:r>
    </w:p>
    <w:p>
      <w:pPr>
        <w:spacing w:after="0" w:line="83" w:lineRule="exact"/>
        <w:rPr>
          <w:rFonts w:ascii="Times New Roman" w:cs="Times New Roman" w:eastAsia="Times New Roman" w:hAnsi="Times New Roman"/>
          <w:sz w:val="16"/>
          <w:szCs w:val="16"/>
          <w:color w:val="auto"/>
        </w:rPr>
      </w:pPr>
    </w:p>
    <w:p>
      <w:pPr>
        <w:jc w:val="both"/>
        <w:ind w:left="2060" w:right="939" w:hanging="376"/>
        <w:spacing w:after="0" w:line="265" w:lineRule="auto"/>
        <w:tabs>
          <w:tab w:leader="none" w:pos="2161"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C — to provide that certain amendments to provisions of the Proposed Charter will require the approval of at least 662/3% of the Combined Entity’s then-outstanding shares of capital stock entitled to vote on such amendment;</w:t>
      </w:r>
    </w:p>
    <w:p>
      <w:pPr>
        <w:spacing w:after="0" w:line="95" w:lineRule="exact"/>
        <w:rPr>
          <w:rFonts w:ascii="Times New Roman" w:cs="Times New Roman" w:eastAsia="Times New Roman" w:hAnsi="Times New Roman"/>
          <w:sz w:val="16"/>
          <w:szCs w:val="16"/>
          <w:color w:val="auto"/>
        </w:rPr>
      </w:pPr>
    </w:p>
    <w:p>
      <w:pPr>
        <w:jc w:val="both"/>
        <w:ind w:left="2060" w:right="939" w:hanging="376"/>
        <w:spacing w:after="0" w:line="257" w:lineRule="auto"/>
        <w:tabs>
          <w:tab w:leader="none" w:pos="2032"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6"/>
          <w:szCs w:val="16"/>
          <w:color w:val="auto"/>
        </w:rPr>
      </w:pPr>
    </w:p>
    <w:p>
      <w:pPr>
        <w:jc w:val="both"/>
        <w:ind w:left="2060" w:right="939" w:hanging="376"/>
        <w:spacing w:after="0" w:line="252" w:lineRule="auto"/>
        <w:tabs>
          <w:tab w:leader="none" w:pos="205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E — to provide that any amendment to the Amended By-laws will require the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6"/>
          <w:szCs w:val="16"/>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9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assuming the Business Combination Proposal is approved and adopted, the 2021 Stock Option and Incentive Plan (the “</w:t>
      </w:r>
      <w:r>
        <w:rPr>
          <w:rFonts w:ascii="Times New Roman" w:cs="Times New Roman" w:eastAsia="Times New Roman" w:hAnsi="Times New Roman"/>
          <w:sz w:val="16"/>
          <w:szCs w:val="16"/>
          <w:b w:val="1"/>
          <w:bCs w:val="1"/>
          <w:color w:val="auto"/>
        </w:rPr>
        <w:t>Equity Incentive Plan</w:t>
      </w:r>
      <w:r>
        <w:rPr>
          <w:rFonts w:ascii="Times New Roman" w:cs="Times New Roman" w:eastAsia="Times New Roman" w:hAnsi="Times New Roman"/>
          <w:sz w:val="16"/>
          <w:szCs w:val="16"/>
          <w:color w:val="auto"/>
        </w:rPr>
        <w:t xml:space="preserve">”), a copy of which is appended to the accompanying proxy statement/prospectus as </w:t>
      </w:r>
      <w:r>
        <w:rPr>
          <w:rFonts w:ascii="Times New Roman" w:cs="Times New Roman" w:eastAsia="Times New Roman" w:hAnsi="Times New Roman"/>
          <w:sz w:val="16"/>
          <w:szCs w:val="16"/>
          <w:i w:val="1"/>
          <w:iCs w:val="1"/>
          <w:u w:val="single" w:color="auto"/>
          <w:color w:val="auto"/>
        </w:rPr>
        <w:t>Annex D</w:t>
      </w:r>
      <w:r>
        <w:rPr>
          <w:rFonts w:ascii="Times New Roman" w:cs="Times New Roman" w:eastAsia="Times New Roman" w:hAnsi="Times New Roman"/>
          <w:sz w:val="16"/>
          <w:szCs w:val="16"/>
          <w:color w:val="auto"/>
        </w:rPr>
        <w:t>, which will become effective the day prior to the Closing (the “</w:t>
      </w:r>
      <w:r>
        <w:rPr>
          <w:rFonts w:ascii="Times New Roman" w:cs="Times New Roman" w:eastAsia="Times New Roman" w:hAnsi="Times New Roman"/>
          <w:sz w:val="16"/>
          <w:szCs w:val="16"/>
          <w:b w:val="1"/>
          <w:bCs w:val="1"/>
          <w:color w:val="auto"/>
        </w:rPr>
        <w:t>Incentive Plan Proposal</w:t>
      </w:r>
      <w:r>
        <w:rPr>
          <w:rFonts w:ascii="Times New Roman" w:cs="Times New Roman" w:eastAsia="Times New Roman" w:hAnsi="Times New Roman"/>
          <w:sz w:val="16"/>
          <w:szCs w:val="16"/>
          <w:color w:val="auto"/>
        </w:rPr>
        <w:t>”); and</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68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6"/>
          <w:szCs w:val="16"/>
          <w:b w:val="1"/>
          <w:bCs w:val="1"/>
          <w:color w:val="auto"/>
        </w:rPr>
        <w:t>Adjournment Proposal</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Only holders of record of FS Development Common Stock at the close of business on January 15, 2021 (the “</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are entitled to notice of the Special Meeting and to vote at the Special Meeting and any adjournments or postponements of the Special Meeting. A complete list of FS Development stockholders of record entitled to vote at the Special Meeting will be available for ten days before the Special Meeting at the principal executive offices of FS Development for inspection by stockholders during ordinary business hours for any purpose germane to the Special Meeting.</w:t>
      </w:r>
    </w:p>
    <w:p>
      <w:pPr>
        <w:spacing w:after="0" w:line="94"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Pursuant to the Current Charter, FS Development is providing its public stockholders with the opportunity to redeem, upon the Closing, the shares of FS Development Class A Common Stock issued in FS Development’s initial public offering (the “</w:t>
      </w:r>
      <w:r>
        <w:rPr>
          <w:rFonts w:ascii="Times New Roman" w:cs="Times New Roman" w:eastAsia="Times New Roman" w:hAnsi="Times New Roman"/>
          <w:sz w:val="16"/>
          <w:szCs w:val="16"/>
          <w:b w:val="1"/>
          <w:bCs w:val="1"/>
          <w:color w:val="auto"/>
        </w:rPr>
        <w:t>FS Development IPO</w:t>
      </w:r>
      <w:r>
        <w:rPr>
          <w:rFonts w:ascii="Times New Roman" w:cs="Times New Roman" w:eastAsia="Times New Roman" w:hAnsi="Times New Roman"/>
          <w:sz w:val="16"/>
          <w:szCs w:val="16"/>
          <w:color w:val="auto"/>
        </w:rPr>
        <w:t>” and such shares, the “</w:t>
      </w:r>
      <w:r>
        <w:rPr>
          <w:rFonts w:ascii="Times New Roman" w:cs="Times New Roman" w:eastAsia="Times New Roman" w:hAnsi="Times New Roman"/>
          <w:sz w:val="16"/>
          <w:szCs w:val="16"/>
          <w:b w:val="1"/>
          <w:bCs w:val="1"/>
          <w:color w:val="auto"/>
        </w:rPr>
        <w:t>Public Shares</w:t>
      </w:r>
      <w:r>
        <w:rPr>
          <w:rFonts w:ascii="Times New Roman" w:cs="Times New Roman" w:eastAsia="Times New Roman" w:hAnsi="Times New Roman"/>
          <w:sz w:val="16"/>
          <w:szCs w:val="16"/>
          <w:color w:val="auto"/>
        </w:rPr>
        <w:t>”) then held by them for cash equal to their pro rata share of the aggregate amount on deposit (as of two business days prior to the Closing) in the trust account (the “</w:t>
      </w:r>
      <w:r>
        <w:rPr>
          <w:rFonts w:ascii="Times New Roman" w:cs="Times New Roman" w:eastAsia="Times New Roman" w:hAnsi="Times New Roman"/>
          <w:sz w:val="16"/>
          <w:szCs w:val="16"/>
          <w:b w:val="1"/>
          <w:bCs w:val="1"/>
          <w:color w:val="auto"/>
        </w:rPr>
        <w:t>Trust Account</w:t>
      </w:r>
      <w:r>
        <w:rPr>
          <w:rFonts w:ascii="Times New Roman" w:cs="Times New Roman" w:eastAsia="Times New Roman" w:hAnsi="Times New Roman"/>
          <w:sz w:val="16"/>
          <w:szCs w:val="16"/>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6"/>
          <w:szCs w:val="16"/>
          <w:b w:val="1"/>
          <w:bCs w:val="1"/>
          <w:color w:val="auto"/>
        </w:rPr>
        <w:t>Public stockholders may elect to redeem their shares even if they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vote for the Business Combination Proposal</w:t>
      </w:r>
      <w:r>
        <w:rPr>
          <w:rFonts w:ascii="Times New Roman" w:cs="Times New Roman" w:eastAsia="Times New Roman" w:hAnsi="Times New Roman"/>
          <w:sz w:val="16"/>
          <w:szCs w:val="16"/>
          <w:color w:val="auto"/>
        </w:rPr>
        <w:t>. A public stockholder, together with any of his, her 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 or any other person with whom it is acting in concert or as a “group” (as defined under Section 13 of the Exchange Act), will be restricted from redeeming in the aggregate his, her or its shares or, if part of such a group, the group’s shares, with respect to 20% or more of the shares of FS Development Class A Common Stock issued in the FS Development IPO. The Sponsor and FS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221615</wp:posOffset>
            </wp:positionV>
            <wp:extent cx="45529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 w:name="page9"/>
    <w:bookmarkEnd w:id="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 owned by them in favor of the Business Combination Proposal, which represent approximately 22.3% of the voting power of FS Development.</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approval of the Charter Amendment Proposal requires the affirmative vote of a majority of the issued and outstanding shares of FS Development Common Stock as of the Record Date for the Special Meeting, voting 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1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As of September 30, 2020, there was approximately $120,751,489 in the Trust Account. Each redemption of Public Shares by its public stockholders will decrease the amount in the Trust Account. FS Development will not redeem Public Shares in an amount that would cause it to have net tangible assets of less than $5,000,001.</w:t>
      </w:r>
    </w:p>
    <w:p>
      <w:pPr>
        <w:spacing w:after="0" w:line="84"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(415) 877-4887.</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January 15, 2021</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-113030</wp:posOffset>
            </wp:positionV>
            <wp:extent cx="19196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19605" cy="7620"/>
                    </a:xfrm>
                    <a:prstGeom prst="rect">
                      <a:avLst/>
                    </a:prstGeom>
                    <a:noFill/>
                  </pic:spPr>
                </pic:pic>
              </a:graphicData>
            </a:graphic>
          </wp:anchor>
        </w:drawing>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254635</wp:posOffset>
            </wp:positionV>
            <wp:extent cx="45529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 w:name="page10"/>
    <w:bookmarkEnd w:id="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42"/>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Borders>
              <w:top w:val="single" w:sz="8" w:color="CCEEFF"/>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11">
              <w:r>
                <w:rPr>
                  <w:rFonts w:ascii="Times New Roman" w:cs="Times New Roman" w:eastAsia="Times New Roman" w:hAnsi="Times New Roman"/>
                  <w:sz w:val="16"/>
                  <w:szCs w:val="16"/>
                  <w:u w:val="single" w:color="auto"/>
                  <w:color w:val="0000EE"/>
                </w:rPr>
                <w:t>ABOUT THIS PROXY STATEMENT/PROSPECTUS</w:t>
              </w:r>
            </w:hyperlink>
          </w:p>
        </w:tc>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13">
              <w:r>
                <w:rPr>
                  <w:rFonts w:ascii="Times New Roman" w:cs="Times New Roman" w:eastAsia="Times New Roman" w:hAnsi="Times New Roman"/>
                  <w:sz w:val="16"/>
                  <w:szCs w:val="16"/>
                  <w:u w:val="single" w:color="auto"/>
                  <w:color w:val="0000EE"/>
                </w:rPr>
                <w:t>FREQUENTLY USED TERMS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16">
              <w:r>
                <w:rPr>
                  <w:rFonts w:ascii="Times New Roman" w:cs="Times New Roman" w:eastAsia="Times New Roman" w:hAnsi="Times New Roman"/>
                  <w:sz w:val="16"/>
                  <w:szCs w:val="16"/>
                  <w:u w:val="single" w:color="auto"/>
                  <w:color w:val="0000EE"/>
                </w:rPr>
                <w:t>QUESTIONS AND ANSWERS ABOUT THE PROPOSALS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28">
              <w:r>
                <w:rPr>
                  <w:rFonts w:ascii="Times New Roman" w:cs="Times New Roman" w:eastAsia="Times New Roman" w:hAnsi="Times New Roman"/>
                  <w:sz w:val="16"/>
                  <w:szCs w:val="16"/>
                  <w:u w:val="single" w:color="auto"/>
                  <w:color w:val="0000EE"/>
                </w:rPr>
                <w:t>SUMMARY OF THE PROXY STATEMENT/PROSPECTUS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38">
              <w:r>
                <w:rPr>
                  <w:rFonts w:ascii="Times New Roman" w:cs="Times New Roman" w:eastAsia="Times New Roman" w:hAnsi="Times New Roman"/>
                  <w:sz w:val="16"/>
                  <w:szCs w:val="16"/>
                  <w:u w:val="single" w:color="auto"/>
                  <w:color w:val="0000EE"/>
                </w:rPr>
                <w:t>SUMMARY FINANCIAL AND OTHER DATA OF GEMINI</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SUMMARY FINANCIAL AND OTHER DATA OF FS DEVELOPMENT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5520" w:type="dxa"/>
            <w:vAlign w:val="bottom"/>
            <w:tcBorders>
              <w:bottom w:val="single" w:sz="8" w:color="0000EE"/>
            </w:tcBorders>
            <w:gridSpan w:val="5"/>
            <w:shd w:val="clear" w:color="auto" w:fill="CCEEFF"/>
          </w:tcPr>
          <w:p>
            <w:pPr>
              <w:spacing w:after="0" w:line="155" w:lineRule="exact"/>
              <w:rPr>
                <w:rFonts w:ascii="Times New Roman" w:cs="Times New Roman" w:eastAsia="Times New Roman" w:hAnsi="Times New Roman"/>
                <w:sz w:val="16"/>
                <w:szCs w:val="16"/>
                <w:color w:val="0000EE"/>
                <w:w w:val="98"/>
              </w:rPr>
            </w:pPr>
            <w:hyperlink w:anchor="page40">
              <w:r>
                <w:rPr>
                  <w:rFonts w:ascii="Times New Roman" w:cs="Times New Roman" w:eastAsia="Times New Roman" w:hAnsi="Times New Roman"/>
                  <w:sz w:val="16"/>
                  <w:szCs w:val="16"/>
                  <w:color w:val="0000EE"/>
                  <w:w w:val="98"/>
                </w:rPr>
                <w:t>SUMMARY UNAUDITED PRO FORMA CONDENSED COMBINED FINANCIAL</w:t>
              </w:r>
            </w:hyperlink>
          </w:p>
        </w:tc>
        <w:tc>
          <w:tcPr>
            <w:tcW w:w="900" w:type="dxa"/>
            <w:vAlign w:val="bottom"/>
            <w:tcBorders>
              <w:bottom w:val="single" w:sz="8" w:color="CCEEFF"/>
            </w:tcBorders>
            <w:gridSpan w:val="3"/>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0000EE"/>
            </w:tcBorders>
            <w:gridSpan w:val="2"/>
            <w:shd w:val="clear" w:color="auto" w:fill="CCEEFF"/>
          </w:tcPr>
          <w:p>
            <w:pPr>
              <w:spacing w:after="0" w:line="171" w:lineRule="exact"/>
              <w:rPr>
                <w:rFonts w:ascii="Times New Roman" w:cs="Times New Roman" w:eastAsia="Times New Roman" w:hAnsi="Times New Roman"/>
                <w:sz w:val="16"/>
                <w:szCs w:val="16"/>
                <w:color w:val="0000EE"/>
                <w:w w:val="96"/>
              </w:rPr>
            </w:pPr>
            <w:hyperlink w:anchor="page40">
              <w:r>
                <w:rPr>
                  <w:rFonts w:ascii="Times New Roman" w:cs="Times New Roman" w:eastAsia="Times New Roman" w:hAnsi="Times New Roman"/>
                  <w:sz w:val="16"/>
                  <w:szCs w:val="16"/>
                  <w:color w:val="0000EE"/>
                  <w:w w:val="96"/>
                </w:rPr>
                <w:t>INFORMATION</w:t>
              </w:r>
            </w:hyperlink>
          </w:p>
        </w:tc>
        <w:tc>
          <w:tcPr>
            <w:tcW w:w="5180" w:type="dxa"/>
            <w:vAlign w:val="bottom"/>
            <w:tcBorders>
              <w:bottom w:val="single" w:sz="8" w:color="CCEEFF"/>
            </w:tcBorders>
            <w:gridSpan w:val="5"/>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42">
              <w:r>
                <w:rPr>
                  <w:rFonts w:ascii="Times New Roman" w:cs="Times New Roman" w:eastAsia="Times New Roman" w:hAnsi="Times New Roman"/>
                  <w:sz w:val="16"/>
                  <w:szCs w:val="16"/>
                  <w:u w:val="single" w:color="auto"/>
                  <w:color w:val="0000EE"/>
                </w:rPr>
                <w:t>COMPARATIVE SHARE INFORMATION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43">
              <w:r>
                <w:rPr>
                  <w:rFonts w:ascii="Times New Roman" w:cs="Times New Roman" w:eastAsia="Times New Roman" w:hAnsi="Times New Roman"/>
                  <w:sz w:val="16"/>
                  <w:szCs w:val="16"/>
                  <w:u w:val="single" w:color="auto"/>
                  <w:color w:val="0000EE"/>
                </w:rPr>
                <w:t>RISK FACTORS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91">
              <w:r>
                <w:rPr>
                  <w:rFonts w:ascii="Times New Roman" w:cs="Times New Roman" w:eastAsia="Times New Roman" w:hAnsi="Times New Roman"/>
                  <w:sz w:val="16"/>
                  <w:szCs w:val="16"/>
                  <w:u w:val="single" w:color="auto"/>
                  <w:color w:val="0000EE"/>
                </w:rPr>
                <w:t>CAUTIONARY NOTE REGARDING FORWARD-LOOKING STATEMENTS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93">
              <w:r>
                <w:rPr>
                  <w:rFonts w:ascii="Times New Roman" w:cs="Times New Roman" w:eastAsia="Times New Roman" w:hAnsi="Times New Roman"/>
                  <w:sz w:val="16"/>
                  <w:szCs w:val="16"/>
                  <w:u w:val="single" w:color="auto"/>
                  <w:color w:val="0000EE"/>
                </w:rPr>
                <w:t>SPECIAL MEETING OF FS DEVELOPMENT STOCKHOLDERS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108">
              <w:r>
                <w:rPr>
                  <w:rFonts w:ascii="Times New Roman" w:cs="Times New Roman" w:eastAsia="Times New Roman" w:hAnsi="Times New Roman"/>
                  <w:sz w:val="16"/>
                  <w:szCs w:val="16"/>
                  <w:u w:val="single" w:color="auto"/>
                  <w:color w:val="0000EE"/>
                </w:rPr>
                <w:t>THE BUSINESS COMBINATION PROPOSAL</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134">
              <w:r>
                <w:rPr>
                  <w:rFonts w:ascii="Times New Roman" w:cs="Times New Roman" w:eastAsia="Times New Roman" w:hAnsi="Times New Roman"/>
                  <w:sz w:val="16"/>
                  <w:szCs w:val="16"/>
                  <w:u w:val="single" w:color="auto"/>
                  <w:color w:val="0000EE"/>
                </w:rPr>
                <w:t>THE NASDAQ STOCK ISSUANCE PROPOSAL</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124</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147">
              <w:r>
                <w:rPr>
                  <w:rFonts w:ascii="Times New Roman" w:cs="Times New Roman" w:eastAsia="Times New Roman" w:hAnsi="Times New Roman"/>
                  <w:sz w:val="16"/>
                  <w:szCs w:val="16"/>
                  <w:u w:val="single" w:color="auto"/>
                  <w:color w:val="0000EE"/>
                </w:rPr>
                <w:t>INFORMATION ABOUT FS DEVELOPMENT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137</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150">
              <w:r>
                <w:rPr>
                  <w:rFonts w:ascii="Times New Roman" w:cs="Times New Roman" w:eastAsia="Times New Roman" w:hAnsi="Times New Roman"/>
                  <w:sz w:val="16"/>
                  <w:szCs w:val="16"/>
                  <w:u w:val="single" w:color="auto"/>
                  <w:color w:val="0000EE"/>
                </w:rPr>
                <w:t>EXECUTIVE OFFICERS AND DIRECTORS OF FS DEVELOPMENT</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140</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156">
              <w:r>
                <w:rPr>
                  <w:rFonts w:ascii="Times New Roman" w:cs="Times New Roman" w:eastAsia="Times New Roman" w:hAnsi="Times New Roman"/>
                  <w:sz w:val="16"/>
                  <w:szCs w:val="16"/>
                  <w:u w:val="single" w:color="auto"/>
                  <w:color w:val="0000EE"/>
                </w:rPr>
                <w:t>SELECTED FINANCIAL AND OTHER DATA OF FS DEVELOPMENT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146</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6420" w:type="dxa"/>
            <w:vAlign w:val="bottom"/>
            <w:gridSpan w:val="8"/>
            <w:shd w:val="clear" w:color="auto" w:fill="CCEEFF"/>
          </w:tcPr>
          <w:p>
            <w:pPr>
              <w:spacing w:after="0" w:line="155" w:lineRule="exact"/>
              <w:rPr>
                <w:rFonts w:ascii="Times New Roman" w:cs="Times New Roman" w:eastAsia="Times New Roman" w:hAnsi="Times New Roman"/>
                <w:sz w:val="16"/>
                <w:szCs w:val="16"/>
                <w:color w:val="0000EE"/>
              </w:rPr>
            </w:pPr>
            <w:hyperlink w:anchor="page157">
              <w:r>
                <w:rPr>
                  <w:rFonts w:ascii="Times New Roman" w:cs="Times New Roman" w:eastAsia="Times New Roman" w:hAnsi="Times New Roman"/>
                  <w:sz w:val="16"/>
                  <w:szCs w:val="16"/>
                  <w:color w:val="0000EE"/>
                </w:rPr>
                <w:t>MANAGEMENT’S DISCUSSION AND ANALYSIS OF RESULTS OF FINANCIAL</w:t>
              </w:r>
            </w:hyperlink>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0000EE"/>
              <w:bottom w:val="single" w:sz="8" w:color="CCEEFF"/>
            </w:tcBorders>
            <w:shd w:val="clear" w:color="auto" w:fill="CCEEFF"/>
          </w:tcPr>
          <w:p>
            <w:pPr>
              <w:spacing w:after="0"/>
              <w:rPr>
                <w:sz w:val="19"/>
                <w:szCs w:val="19"/>
                <w:color w:val="auto"/>
              </w:rPr>
            </w:pPr>
          </w:p>
        </w:tc>
        <w:tc>
          <w:tcPr>
            <w:tcW w:w="5400" w:type="dxa"/>
            <w:vAlign w:val="bottom"/>
            <w:tcBorders>
              <w:top w:val="single" w:sz="8" w:color="0000EE"/>
              <w:bottom w:val="single" w:sz="8" w:color="CCEEFF"/>
            </w:tcBorders>
            <w:gridSpan w:val="5"/>
            <w:shd w:val="clear" w:color="auto" w:fill="CCEEFF"/>
          </w:tcPr>
          <w:p>
            <w:pPr>
              <w:spacing w:after="0"/>
              <w:rPr>
                <w:rFonts w:ascii="Times New Roman" w:cs="Times New Roman" w:eastAsia="Times New Roman" w:hAnsi="Times New Roman"/>
                <w:sz w:val="16"/>
                <w:szCs w:val="16"/>
                <w:u w:val="single" w:color="auto"/>
                <w:color w:val="0000EE"/>
              </w:rPr>
            </w:pPr>
            <w:hyperlink w:anchor="page157">
              <w:r>
                <w:rPr>
                  <w:rFonts w:ascii="Times New Roman" w:cs="Times New Roman" w:eastAsia="Times New Roman" w:hAnsi="Times New Roman"/>
                  <w:sz w:val="16"/>
                  <w:szCs w:val="16"/>
                  <w:u w:val="single" w:color="auto"/>
                  <w:color w:val="0000EE"/>
                </w:rPr>
                <w:t>CONDITION AND RESULTS OF OPERATIONS OF FS DEVELOPMENT</w:t>
              </w:r>
            </w:hyperlink>
          </w:p>
        </w:tc>
        <w:tc>
          <w:tcPr>
            <w:tcW w:w="8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147</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161">
              <w:r>
                <w:rPr>
                  <w:rFonts w:ascii="Times New Roman" w:cs="Times New Roman" w:eastAsia="Times New Roman" w:hAnsi="Times New Roman"/>
                  <w:sz w:val="16"/>
                  <w:szCs w:val="16"/>
                  <w:u w:val="single" w:color="auto"/>
                  <w:color w:val="0000EE"/>
                </w:rPr>
                <w:t>INFORMATION ABOUT GEMINI</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178">
              <w:r>
                <w:rPr>
                  <w:rFonts w:ascii="Times New Roman" w:cs="Times New Roman" w:eastAsia="Times New Roman" w:hAnsi="Times New Roman"/>
                  <w:sz w:val="16"/>
                  <w:szCs w:val="16"/>
                  <w:u w:val="single" w:color="auto"/>
                  <w:color w:val="0000EE"/>
                </w:rPr>
                <w:t>EXECUTIVE OFFICERS AND DIRECTORS OF GEMINI</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168</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181">
              <w:r>
                <w:rPr>
                  <w:rFonts w:ascii="Times New Roman" w:cs="Times New Roman" w:eastAsia="Times New Roman" w:hAnsi="Times New Roman"/>
                  <w:sz w:val="16"/>
                  <w:szCs w:val="16"/>
                  <w:u w:val="single" w:color="auto"/>
                  <w:color w:val="0000EE"/>
                </w:rPr>
                <w:t>EXECUTIVE COMPENSATION OF GEMINI</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171</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188">
              <w:r>
                <w:rPr>
                  <w:rFonts w:ascii="Times New Roman" w:cs="Times New Roman" w:eastAsia="Times New Roman" w:hAnsi="Times New Roman"/>
                  <w:sz w:val="16"/>
                  <w:szCs w:val="16"/>
                  <w:u w:val="single" w:color="auto"/>
                  <w:color w:val="0000EE"/>
                </w:rPr>
                <w:t>MANAGEMENT AFTER THE BUSINESS COMBINATION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178</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191">
              <w:r>
                <w:rPr>
                  <w:rFonts w:ascii="Times New Roman" w:cs="Times New Roman" w:eastAsia="Times New Roman" w:hAnsi="Times New Roman"/>
                  <w:sz w:val="16"/>
                  <w:szCs w:val="16"/>
                  <w:u w:val="single" w:color="auto"/>
                  <w:color w:val="0000EE"/>
                </w:rPr>
                <w:t>SELECTED CONSOLIDATED FINANCIAL AND OTHER DATA OF GEMINI</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181</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5900" w:type="dxa"/>
            <w:vAlign w:val="bottom"/>
            <w:tcBorders>
              <w:bottom w:val="single" w:sz="8" w:color="0000EE"/>
            </w:tcBorders>
            <w:gridSpan w:val="7"/>
            <w:shd w:val="clear" w:color="auto" w:fill="CCEEFF"/>
          </w:tcPr>
          <w:p>
            <w:pPr>
              <w:spacing w:after="0" w:line="155" w:lineRule="exact"/>
              <w:rPr>
                <w:rFonts w:ascii="Times New Roman" w:cs="Times New Roman" w:eastAsia="Times New Roman" w:hAnsi="Times New Roman"/>
                <w:sz w:val="16"/>
                <w:szCs w:val="16"/>
                <w:color w:val="0000EE"/>
                <w:w w:val="98"/>
              </w:rPr>
            </w:pPr>
            <w:hyperlink w:anchor="page192">
              <w:r>
                <w:rPr>
                  <w:rFonts w:ascii="Times New Roman" w:cs="Times New Roman" w:eastAsia="Times New Roman" w:hAnsi="Times New Roman"/>
                  <w:sz w:val="16"/>
                  <w:szCs w:val="16"/>
                  <w:color w:val="0000EE"/>
                  <w:w w:val="98"/>
                </w:rPr>
                <w:t>MANAGEMENT’S DISCUSSION AND ANALYSIS OF FINANCIAL CONDITION AND</w:t>
              </w:r>
            </w:hyperlink>
          </w:p>
        </w:tc>
        <w:tc>
          <w:tcPr>
            <w:tcW w:w="5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80" w:type="dxa"/>
            <w:vAlign w:val="bottom"/>
            <w:gridSpan w:val="7"/>
            <w:shd w:val="clear" w:color="auto" w:fill="CCEEFF"/>
          </w:tcPr>
          <w:p>
            <w:pPr>
              <w:spacing w:after="0" w:line="171" w:lineRule="exact"/>
              <w:rPr>
                <w:rFonts w:ascii="Times New Roman" w:cs="Times New Roman" w:eastAsia="Times New Roman" w:hAnsi="Times New Roman"/>
                <w:sz w:val="16"/>
                <w:szCs w:val="16"/>
                <w:color w:val="0000EE"/>
              </w:rPr>
            </w:pPr>
            <w:hyperlink w:anchor="page192">
              <w:r>
                <w:rPr>
                  <w:rFonts w:ascii="Times New Roman" w:cs="Times New Roman" w:eastAsia="Times New Roman" w:hAnsi="Times New Roman"/>
                  <w:sz w:val="16"/>
                  <w:szCs w:val="16"/>
                  <w:color w:val="0000EE"/>
                </w:rPr>
                <w:t>RESULTS OF OPERATIONS OF GEMINI</w:t>
              </w:r>
            </w:hyperlink>
          </w:p>
        </w:tc>
        <w:tc>
          <w:tcPr>
            <w:tcW w:w="7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182</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8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208">
              <w:r>
                <w:rPr>
                  <w:rFonts w:ascii="Times New Roman" w:cs="Times New Roman" w:eastAsia="Times New Roman" w:hAnsi="Times New Roman"/>
                  <w:sz w:val="16"/>
                  <w:szCs w:val="16"/>
                  <w:u w:val="single" w:color="auto"/>
                  <w:color w:val="0000EE"/>
                </w:rPr>
                <w:t>DESCRIPTION OF SECURITIES AFTER THE BUSINESS COMBINATION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198</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211">
              <w:r>
                <w:rPr>
                  <w:rFonts w:ascii="Times New Roman" w:cs="Times New Roman" w:eastAsia="Times New Roman" w:hAnsi="Times New Roman"/>
                  <w:sz w:val="16"/>
                  <w:szCs w:val="16"/>
                  <w:u w:val="single" w:color="auto"/>
                  <w:color w:val="0000EE"/>
                </w:rPr>
                <w:t>SHARES ELIGIBLE FOR FUTURE SALE</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213">
              <w:r>
                <w:rPr>
                  <w:rFonts w:ascii="Times New Roman" w:cs="Times New Roman" w:eastAsia="Times New Roman" w:hAnsi="Times New Roman"/>
                  <w:sz w:val="16"/>
                  <w:szCs w:val="16"/>
                  <w:u w:val="single" w:color="auto"/>
                  <w:color w:val="0000EE"/>
                </w:rPr>
                <w:t>COMPARISON OF STOCKHOLDER RIGHTS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222">
              <w:r>
                <w:rPr>
                  <w:rFonts w:ascii="Times New Roman" w:cs="Times New Roman" w:eastAsia="Times New Roman" w:hAnsi="Times New Roman"/>
                  <w:sz w:val="16"/>
                  <w:szCs w:val="16"/>
                  <w:u w:val="single" w:color="auto"/>
                  <w:color w:val="0000EE"/>
                </w:rPr>
                <w:t>TICKER SYMBOL, MARKET PRICE AND DIVIDEND POLICY</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212</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223">
              <w:r>
                <w:rPr>
                  <w:rFonts w:ascii="Times New Roman" w:cs="Times New Roman" w:eastAsia="Times New Roman" w:hAnsi="Times New Roman"/>
                  <w:sz w:val="16"/>
                  <w:szCs w:val="16"/>
                  <w:u w:val="single" w:color="auto"/>
                  <w:color w:val="0000EE"/>
                </w:rPr>
                <w:t>SECURITY OWNERSHIP OF CERTAIN BENEFICIAL OWNERS AND MANAGEMENT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213</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226">
              <w:r>
                <w:rPr>
                  <w:rFonts w:ascii="Times New Roman" w:cs="Times New Roman" w:eastAsia="Times New Roman" w:hAnsi="Times New Roman"/>
                  <w:sz w:val="16"/>
                  <w:szCs w:val="16"/>
                  <w:u w:val="single" w:color="auto"/>
                  <w:color w:val="0000EE"/>
                </w:rPr>
                <w:t>CERTAIN RELATIONSHIPS AND RELATED PERSON TRANSACTIONS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216</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231">
              <w:r>
                <w:rPr>
                  <w:rFonts w:ascii="Times New Roman" w:cs="Times New Roman" w:eastAsia="Times New Roman" w:hAnsi="Times New Roman"/>
                  <w:sz w:val="16"/>
                  <w:szCs w:val="16"/>
                  <w:u w:val="single" w:color="auto"/>
                  <w:color w:val="0000EE"/>
                </w:rPr>
                <w:t>ADDITIONAL INFORMATION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221</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u w:val="single" w:color="auto"/>
                <w:color w:val="0000EE"/>
              </w:rPr>
            </w:pPr>
            <w:hyperlink w:anchor="page233">
              <w:r>
                <w:rPr>
                  <w:rFonts w:ascii="Times New Roman" w:cs="Times New Roman" w:eastAsia="Times New Roman" w:hAnsi="Times New Roman"/>
                  <w:sz w:val="16"/>
                  <w:szCs w:val="16"/>
                  <w:u w:val="single" w:color="auto"/>
                  <w:color w:val="0000EE"/>
                </w:rPr>
                <w:t>WHERE YOU CAN FIND MORE INFORMATION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223</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u w:val="single" w:color="auto"/>
                <w:color w:val="0000EE"/>
              </w:rPr>
            </w:pPr>
            <w:hyperlink w:anchor="page234">
              <w:r>
                <w:rPr>
                  <w:rFonts w:ascii="Times New Roman" w:cs="Times New Roman" w:eastAsia="Times New Roman" w:hAnsi="Times New Roman"/>
                  <w:sz w:val="16"/>
                  <w:szCs w:val="16"/>
                  <w:u w:val="single" w:color="auto"/>
                  <w:color w:val="0000EE"/>
                </w:rPr>
                <w:t>INDEX TO FINANCIAL STATEMENTS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r>
        <w:trPr>
          <w:trHeight w:val="191"/>
        </w:trPr>
        <w:tc>
          <w:tcPr>
            <w:tcW w:w="16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ANNEX A</w:t>
            </w:r>
          </w:p>
        </w:tc>
        <w:tc>
          <w:tcPr>
            <w:tcW w:w="5620" w:type="dxa"/>
            <w:vAlign w:val="bottom"/>
            <w:tcBorders>
              <w:bottom w:val="single" w:sz="8" w:color="CCEEFF"/>
            </w:tcBorders>
            <w:gridSpan w:val="6"/>
            <w:shd w:val="clear" w:color="auto" w:fill="CCEEFF"/>
          </w:tcPr>
          <w:p>
            <w:pPr>
              <w:ind w:left="120"/>
              <w:spacing w:after="0"/>
              <w:rPr>
                <w:rFonts w:ascii="Times New Roman" w:cs="Times New Roman" w:eastAsia="Times New Roman" w:hAnsi="Times New Roman"/>
                <w:sz w:val="16"/>
                <w:szCs w:val="16"/>
                <w:u w:val="single" w:color="auto"/>
                <w:color w:val="0000EE"/>
              </w:rPr>
            </w:pPr>
            <w:hyperlink w:anchor="page297">
              <w:r>
                <w:rPr>
                  <w:rFonts w:ascii="Times New Roman" w:cs="Times New Roman" w:eastAsia="Times New Roman" w:hAnsi="Times New Roman"/>
                  <w:sz w:val="16"/>
                  <w:szCs w:val="16"/>
                  <w:u w:val="single" w:color="auto"/>
                  <w:color w:val="0000EE"/>
                </w:rPr>
                <w:t>Merger Agreement</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A-1</w:t>
            </w:r>
          </w:p>
        </w:tc>
        <w:tc>
          <w:tcPr>
            <w:tcW w:w="0" w:type="dxa"/>
            <w:vAlign w:val="bottom"/>
          </w:tcPr>
          <w:p>
            <w:pPr>
              <w:spacing w:after="0"/>
              <w:rPr>
                <w:sz w:val="1"/>
                <w:szCs w:val="1"/>
                <w:color w:val="auto"/>
              </w:rPr>
            </w:pPr>
          </w:p>
        </w:tc>
      </w:tr>
      <w:tr>
        <w:trPr>
          <w:trHeight w:val="215"/>
        </w:trPr>
        <w:tc>
          <w:tcPr>
            <w:tcW w:w="6440" w:type="dxa"/>
            <w:vAlign w:val="bottom"/>
            <w:gridSpan w:val="9"/>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ANNEX B   </w:t>
            </w:r>
            <w:hyperlink w:anchor="page486">
              <w:r>
                <w:rPr>
                  <w:rFonts w:ascii="Times New Roman" w:cs="Times New Roman" w:eastAsia="Times New Roman" w:hAnsi="Times New Roman"/>
                  <w:sz w:val="16"/>
                  <w:szCs w:val="16"/>
                  <w:u w:val="single" w:color="auto"/>
                  <w:color w:val="0000EE"/>
                </w:rPr>
                <w:t>Form of Amended and Restated Certificate of Incorporation of Gemini</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B-1</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tcBorders>
              <w:bottom w:val="single" w:sz="8" w:color="CCEEFF"/>
            </w:tcBorders>
            <w:gridSpan w:val="8"/>
            <w:shd w:val="clear" w:color="auto" w:fill="CCEEFF"/>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ANNEX C   </w:t>
            </w:r>
            <w:hyperlink w:anchor="page491">
              <w:r>
                <w:rPr>
                  <w:rFonts w:ascii="Times New Roman" w:cs="Times New Roman" w:eastAsia="Times New Roman" w:hAnsi="Times New Roman"/>
                  <w:sz w:val="16"/>
                  <w:szCs w:val="16"/>
                  <w:u w:val="single" w:color="auto"/>
                  <w:color w:val="0000EE"/>
                </w:rPr>
                <w:t>Form of Amended and Restated Bylaws of Gemini</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C-1</w:t>
            </w:r>
          </w:p>
        </w:tc>
        <w:tc>
          <w:tcPr>
            <w:tcW w:w="0" w:type="dxa"/>
            <w:vAlign w:val="bottom"/>
          </w:tcPr>
          <w:p>
            <w:pPr>
              <w:spacing w:after="0"/>
              <w:rPr>
                <w:sz w:val="1"/>
                <w:szCs w:val="1"/>
                <w:color w:val="auto"/>
              </w:rPr>
            </w:pPr>
          </w:p>
        </w:tc>
      </w:tr>
      <w:tr>
        <w:trPr>
          <w:trHeight w:val="215"/>
        </w:trPr>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ANNEX D</w:t>
            </w:r>
          </w:p>
        </w:tc>
        <w:tc>
          <w:tcPr>
            <w:tcW w:w="5620" w:type="dxa"/>
            <w:vAlign w:val="bottom"/>
            <w:gridSpan w:val="6"/>
          </w:tcPr>
          <w:p>
            <w:pPr>
              <w:ind w:left="120"/>
              <w:spacing w:after="0"/>
              <w:rPr>
                <w:rFonts w:ascii="Times New Roman" w:cs="Times New Roman" w:eastAsia="Times New Roman" w:hAnsi="Times New Roman"/>
                <w:sz w:val="16"/>
                <w:szCs w:val="16"/>
                <w:u w:val="single" w:color="auto"/>
                <w:color w:val="0000EE"/>
              </w:rPr>
            </w:pPr>
            <w:hyperlink w:anchor="page507">
              <w:r>
                <w:rPr>
                  <w:rFonts w:ascii="Times New Roman" w:cs="Times New Roman" w:eastAsia="Times New Roman" w:hAnsi="Times New Roman"/>
                  <w:sz w:val="16"/>
                  <w:szCs w:val="16"/>
                  <w:u w:val="single" w:color="auto"/>
                  <w:color w:val="0000EE"/>
                </w:rPr>
                <w:t>Gemini 2021 Stock Option and Incentive Plan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D-1</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ANNEX E</w:t>
            </w:r>
          </w:p>
        </w:tc>
        <w:tc>
          <w:tcPr>
            <w:tcW w:w="5620" w:type="dxa"/>
            <w:vAlign w:val="bottom"/>
            <w:gridSpan w:val="6"/>
            <w:shd w:val="clear" w:color="auto" w:fill="CCEEFF"/>
          </w:tcPr>
          <w:p>
            <w:pPr>
              <w:ind w:left="120"/>
              <w:spacing w:after="0"/>
              <w:rPr>
                <w:rFonts w:ascii="Times New Roman" w:cs="Times New Roman" w:eastAsia="Times New Roman" w:hAnsi="Times New Roman"/>
                <w:sz w:val="16"/>
                <w:szCs w:val="16"/>
                <w:u w:val="single" w:color="auto"/>
                <w:color w:val="0000EE"/>
              </w:rPr>
            </w:pPr>
            <w:hyperlink w:anchor="page519">
              <w:r>
                <w:rPr>
                  <w:rFonts w:ascii="Times New Roman" w:cs="Times New Roman" w:eastAsia="Times New Roman" w:hAnsi="Times New Roman"/>
                  <w:sz w:val="16"/>
                  <w:szCs w:val="16"/>
                  <w:u w:val="single" w:color="auto"/>
                  <w:color w:val="0000EE"/>
                </w:rPr>
                <w:t>Subscription Agreement</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E-1</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 w:name="page11"/>
    <w:bookmarkEnd w:id="1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PROXY STATEMENT/PROSPECTUS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This document, which forms part of a registration statement on Form S-4 filed with the SEC by FS Development (File No. 333-249785)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constitutes a prospectus of FS Development under Section 5 of the Securities Act, with respect to the shares of FS Development Class A Common Stock to be issued to Gemini Equityholders if the Business Combination described below is consummated. This document also constitutes a notice of meeting and a proxy statement under Section 14(a) of the Exchange Act with respect to the Special Meeting, at which FS Development stockholders will be asked to consider and vote upon a proposal to approve the Business Combination by the approval and adoption of the Merger Agreement, among other matters.</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FS Development Stockholders nor the issuance by FS Development of its FS Development Class A Common Stock in connection with the Business Combination will create any implication to the contrary.</w:t>
      </w:r>
    </w:p>
    <w:p>
      <w:pPr>
        <w:spacing w:after="0" w:line="11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Information contained in this proxy statement/prospectus regarding FS Development has been provided by FS Development and information contained in this proxy statement/prospectus regarding Gemini has been provided by Gemini.</w:t>
      </w:r>
    </w:p>
    <w:p>
      <w:pPr>
        <w:spacing w:after="0" w:line="8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 xml:space="preserve">FS Development files reports, proxy statements/prospectuses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you would like additional copies of this proxy statement/prospectus or if you have questions about the Business Combination or the proposals to be presented at the Special Meeting, you should contact us by telephone or in writing:</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600 Montgomery Street, Suite 4500</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Attn: Chief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 (415) 877-4887</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You may also obtain these documents by requesting them in writing or by telephone from our proxy solicitor at: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Morrow Sodali LLC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470 West Avenue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Stamford CT 06902</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Individuals call toll-free (800) 662-5200</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Banks and brokers call (203) 658-9400</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Email: FSDC.info@investor.morrowsodali.com</w:t>
      </w:r>
    </w:p>
    <w:p>
      <w:pPr>
        <w:spacing w:after="0" w:line="12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you are a stockholder of FS Development and would like to request documents, please do so by January 27, 2021 to receive them before the Special Meeting. If you request any documents from us, we will mail them to you by first class mail, or another equally prompt means.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 w:name="page12"/>
    <w:bookmarkEnd w:id="1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AND INDUSTRY DATA</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Certain information contained in this document relates to or is based on studies, publications, surveys and other data obtained from third-party sources and FS Development’s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 w:name="page13"/>
    <w:bookmarkEnd w:id="1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FREQUENTLY USED TERMS</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Unless otherwise stated or unless the context otherwise requires, the terms “we,” “us,” “our,” and “FS Development” refer to FS Development Corp.</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 this document:</w:t>
      </w:r>
    </w:p>
    <w:p>
      <w:pPr>
        <w:spacing w:after="0" w:line="113"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Amended Bylaws</w:t>
      </w:r>
      <w:r>
        <w:rPr>
          <w:rFonts w:ascii="Times New Roman" w:cs="Times New Roman" w:eastAsia="Times New Roman" w:hAnsi="Times New Roman"/>
          <w:sz w:val="16"/>
          <w:szCs w:val="16"/>
          <w:color w:val="auto"/>
        </w:rPr>
        <w:t xml:space="preserve">” means the Amended and Restated Bylaws of Gemini, a Form of which is attached hereto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means the board of directors of FS Development.</w:t>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means the business combination pursuant to the Merger Agreement.</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means the closing of the Business Combination.</w:t>
      </w:r>
    </w:p>
    <w:p>
      <w:pPr>
        <w:spacing w:after="0" w:line="115"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Payment Shares</w:t>
      </w:r>
      <w:r>
        <w:rPr>
          <w:rFonts w:ascii="Times New Roman" w:cs="Times New Roman" w:eastAsia="Times New Roman" w:hAnsi="Times New Roman"/>
          <w:sz w:val="16"/>
          <w:szCs w:val="16"/>
          <w:color w:val="auto"/>
        </w:rPr>
        <w:t>” means an aggregate number of shares of FS Development Class A Common Stock equal to the difference between (a) 21,500,000 shares of FS Development Class A Common Stock; minus (b) a number of shares of FS Development Class A Common Stock equal to one half (1/2) of the initial unallocated shares of FS Development Class A Common Stock reserved for issuance under the Equity Incentive Plan (which shall not exceed two and one-half percent (2.5%) of the issued and outstanding shares of FS Development Class A Common Stock as of immediately following the Effective Time as set forth in the capitalization schedule delivered prior to the Closing pursuant to the Merger Agreement (and approved by FS Development, such approval not to be unreasonably withheld, conditioned or delayed)).</w:t>
      </w:r>
    </w:p>
    <w:p>
      <w:pPr>
        <w:spacing w:after="0" w:line="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Internal Revenue Code of 1986, as amended.</w:t>
      </w:r>
    </w:p>
    <w:p>
      <w:pPr>
        <w:spacing w:after="0" w:line="115"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Combined Entity</w:t>
      </w:r>
      <w:r>
        <w:rPr>
          <w:rFonts w:ascii="Times New Roman" w:cs="Times New Roman" w:eastAsia="Times New Roman" w:hAnsi="Times New Roman"/>
          <w:sz w:val="16"/>
          <w:szCs w:val="16"/>
          <w:color w:val="auto"/>
        </w:rPr>
        <w:t>” means FS Development after the event in which Gemini becomes a wholly-owned subsidiary of FS Development.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the Common Stock of the Combined Entity following the Closing.</w:t>
      </w:r>
    </w:p>
    <w:p>
      <w:pPr>
        <w:spacing w:after="0" w:line="127"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Warrant</w:t>
      </w:r>
      <w:r>
        <w:rPr>
          <w:rFonts w:ascii="Times New Roman" w:cs="Times New Roman" w:eastAsia="Times New Roman" w:hAnsi="Times New Roman"/>
          <w:sz w:val="16"/>
          <w:szCs w:val="16"/>
          <w:color w:val="auto"/>
        </w:rPr>
        <w:t>” means the Warrant to Purchase Stock dated February 8, 2019, issued to Silicon Valley Bank, pursuant to which Silicon Valley Bank is entitled to purchase shares of Series A Preferred Stock of Gemini.</w:t>
      </w:r>
    </w:p>
    <w:p>
      <w:pPr>
        <w:spacing w:after="0" w:line="69" w:lineRule="exact"/>
        <w:rPr>
          <w:sz w:val="20"/>
          <w:szCs w:val="20"/>
          <w:color w:val="auto"/>
        </w:rPr>
      </w:pPr>
    </w:p>
    <w:p>
      <w:pPr>
        <w:jc w:val="both"/>
        <w:ind w:left="920" w:right="939"/>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Convertible Notes</w:t>
      </w:r>
      <w:r>
        <w:rPr>
          <w:rFonts w:ascii="Times New Roman" w:cs="Times New Roman" w:eastAsia="Times New Roman" w:hAnsi="Times New Roman"/>
          <w:sz w:val="15"/>
          <w:szCs w:val="15"/>
          <w:color w:val="auto"/>
        </w:rPr>
        <w:t>” means those certain Convertible Promissory Notes of Gemini in the aggregate principal amount of $14,000,000, issued on August 21, 2020 to certain Gemini Equityholders pursuant to the Convertible Promissory Note Purchase Agreement dated August 21, 2020 among Gemini and such Gemini Equityholders.</w:t>
      </w:r>
    </w:p>
    <w:p>
      <w:pPr>
        <w:spacing w:after="0" w:line="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Current By-laws</w:t>
      </w:r>
      <w:r>
        <w:rPr>
          <w:rFonts w:ascii="Times New Roman" w:cs="Times New Roman" w:eastAsia="Times New Roman" w:hAnsi="Times New Roman"/>
          <w:sz w:val="16"/>
          <w:szCs w:val="16"/>
          <w:color w:val="auto"/>
        </w:rPr>
        <w:t>” means FS Development’s by-laws as currently in effect.</w:t>
      </w:r>
    </w:p>
    <w:p>
      <w:pPr>
        <w:spacing w:after="0" w:line="127"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Current Charter</w:t>
      </w:r>
      <w:r>
        <w:rPr>
          <w:rFonts w:ascii="Times New Roman" w:cs="Times New Roman" w:eastAsia="Times New Roman" w:hAnsi="Times New Roman"/>
          <w:sz w:val="16"/>
          <w:szCs w:val="16"/>
          <w:color w:val="auto"/>
        </w:rPr>
        <w:t>” means FS Development’s current amended and restated certificate of incorporation as filed with the Secretary of State of the State of Delaware on August 11, 2020.</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DGCL</w:t>
      </w:r>
      <w:r>
        <w:rPr>
          <w:rFonts w:ascii="Times New Roman" w:cs="Times New Roman" w:eastAsia="Times New Roman" w:hAnsi="Times New Roman"/>
          <w:sz w:val="16"/>
          <w:szCs w:val="16"/>
          <w:color w:val="auto"/>
        </w:rPr>
        <w:t>” means the Delaware General Corporation Law.</w:t>
      </w:r>
    </w:p>
    <w:p>
      <w:pPr>
        <w:spacing w:after="0" w:line="115"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 means the time at which the Business Combination became effective pursuant to the terms of the Merger Agreement.</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Incentive Plan</w:t>
      </w:r>
      <w:r>
        <w:rPr>
          <w:rFonts w:ascii="Times New Roman" w:cs="Times New Roman" w:eastAsia="Times New Roman" w:hAnsi="Times New Roman"/>
          <w:sz w:val="16"/>
          <w:szCs w:val="16"/>
          <w:color w:val="auto"/>
        </w:rPr>
        <w:t>” means the 2021 Stock Option and Incentive Plan.</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Act of 1934, as amended from time to time.</w:t>
      </w:r>
    </w:p>
    <w:p>
      <w:pPr>
        <w:spacing w:after="0" w:line="115"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Founders Shares</w:t>
      </w:r>
      <w:r>
        <w:rPr>
          <w:rFonts w:ascii="Times New Roman" w:cs="Times New Roman" w:eastAsia="Times New Roman" w:hAnsi="Times New Roman"/>
          <w:sz w:val="16"/>
          <w:szCs w:val="16"/>
          <w:color w:val="auto"/>
        </w:rPr>
        <w:t>” means the outstanding shares of our Class B Common Stock held by the Sponsor, our directors and affiliates of our management team since June 30, 2020.</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FS Development</w:t>
      </w:r>
      <w:r>
        <w:rPr>
          <w:rFonts w:ascii="Times New Roman" w:cs="Times New Roman" w:eastAsia="Times New Roman" w:hAnsi="Times New Roman"/>
          <w:sz w:val="16"/>
          <w:szCs w:val="16"/>
          <w:color w:val="auto"/>
        </w:rPr>
        <w:t>” means FS Development Corp.</w:t>
      </w:r>
    </w:p>
    <w:p>
      <w:pPr>
        <w:spacing w:after="0" w:line="115"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FS Development Class A Common Stock</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Class A Common Stock</w:t>
      </w:r>
      <w:r>
        <w:rPr>
          <w:rFonts w:ascii="Times New Roman" w:cs="Times New Roman" w:eastAsia="Times New Roman" w:hAnsi="Times New Roman"/>
          <w:sz w:val="16"/>
          <w:szCs w:val="16"/>
          <w:color w:val="auto"/>
        </w:rPr>
        <w:t>” means the shares of Class A Common Stock, par value $0.0001 per share, of FS Development.</w:t>
      </w:r>
    </w:p>
    <w:p>
      <w:pPr>
        <w:spacing w:after="0" w:line="56"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FS Development Class B Common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“Class B Common Stock”</w:t>
      </w:r>
      <w:r>
        <w:rPr>
          <w:rFonts w:ascii="Times New Roman" w:cs="Times New Roman" w:eastAsia="Times New Roman" w:hAnsi="Times New Roman"/>
          <w:sz w:val="16"/>
          <w:szCs w:val="16"/>
          <w:color w:val="auto"/>
        </w:rPr>
        <w:t xml:space="preserve"> means the shares of Class B Common Stock, par value $0.0001 per share, of FS Development.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 w:name="page14"/>
    <w:bookmarkEnd w:id="1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FS Development Common Stock</w:t>
      </w:r>
      <w:r>
        <w:rPr>
          <w:rFonts w:ascii="Times New Roman" w:cs="Times New Roman" w:eastAsia="Times New Roman" w:hAnsi="Times New Roman"/>
          <w:sz w:val="16"/>
          <w:szCs w:val="16"/>
          <w:color w:val="auto"/>
        </w:rPr>
        <w:t>” means, collectively, the FS Development Class A Common Stock and FS Development Class B Common Stock.</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FS Development IPO</w:t>
      </w:r>
      <w:r>
        <w:rPr>
          <w:rFonts w:ascii="Times New Roman" w:cs="Times New Roman" w:eastAsia="Times New Roman" w:hAnsi="Times New Roman"/>
          <w:sz w:val="16"/>
          <w:szCs w:val="16"/>
          <w:color w:val="auto"/>
        </w:rPr>
        <w:t>” means FS Development’s initial public offering.</w:t>
      </w:r>
    </w:p>
    <w:p>
      <w:pPr>
        <w:spacing w:after="0" w:line="139"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FS Development Support Agreement</w:t>
      </w:r>
      <w:r>
        <w:rPr>
          <w:rFonts w:ascii="Times New Roman" w:cs="Times New Roman" w:eastAsia="Times New Roman" w:hAnsi="Times New Roman"/>
          <w:sz w:val="16"/>
          <w:szCs w:val="16"/>
          <w:color w:val="auto"/>
        </w:rPr>
        <w:t>” means the FS Development Support Agreement, dated as of October 15, 2020, by and among FS Development, Gemini, the Sponsor and certain supporting stockholders of FS Development.</w:t>
      </w:r>
    </w:p>
    <w:p>
      <w:pPr>
        <w:spacing w:after="0" w:line="81" w:lineRule="exact"/>
        <w:rPr>
          <w:sz w:val="20"/>
          <w:szCs w:val="20"/>
          <w:color w:val="auto"/>
        </w:rPr>
      </w:pPr>
    </w:p>
    <w:p>
      <w:pPr>
        <w:jc w:val="both"/>
        <w:ind w:left="920" w:right="939"/>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Fully Diluted Company Shares</w:t>
      </w:r>
      <w:r>
        <w:rPr>
          <w:rFonts w:ascii="Times New Roman" w:cs="Times New Roman" w:eastAsia="Times New Roman" w:hAnsi="Times New Roman"/>
          <w:sz w:val="15"/>
          <w:szCs w:val="15"/>
          <w:color w:val="auto"/>
        </w:rPr>
        <w:t>” means the sum, without duplication, of (a) shares of common stock of Gemini (including restricted stock) that are issued and outstanding immediately prior to the Effective Time; plus</w:t>
      </w:r>
    </w:p>
    <w:p>
      <w:pPr>
        <w:jc w:val="both"/>
        <w:ind w:left="920" w:right="939" w:hanging="1"/>
        <w:spacing w:after="0" w:line="249" w:lineRule="auto"/>
        <w:tabs>
          <w:tab w:leader="none" w:pos="1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preferred stock of Gemini (on an as converted to common stock basis) that are issued and outstanding immediately prior to the Effective Time; plus (c) the aggregate number of shares of common stock of Gemini issuable upon exercise of the Company Warrant as of immediately prior to the Effective Time; plus</w:t>
      </w:r>
    </w:p>
    <w:p>
      <w:pPr>
        <w:jc w:val="both"/>
        <w:ind w:left="920" w:right="939" w:hanging="1"/>
        <w:spacing w:after="0" w:line="251" w:lineRule="auto"/>
        <w:tabs>
          <w:tab w:leader="none" w:pos="115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of common stock of Gemini issuable upon exercise of options to purchase common stock of Gemini that are vested as of immediately prior to the Effective Time; plus (e) the aggregate number of shares of common stock of Gemini issuable upon exercise of options to purchase common stock of Gemini that are unvested as of immediately prior to the Effective Time; plus (f) the aggregate number of shares of Gemini Series B Preferred Stock (on an as converted to common stock basis) issuable upon the conversion of the Convertible Notes as of immediately prior to the Effective Time.</w:t>
      </w:r>
    </w:p>
    <w:p>
      <w:pPr>
        <w:spacing w:after="0" w:line="105"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means Gemini Therapeutics, Inc., a Delaware corporation, which shall refer to the Combined Entity following the Business Combination, as the context requires.</w:t>
      </w:r>
    </w:p>
    <w:p>
      <w:pPr>
        <w:spacing w:after="0" w:line="80"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Gemini Equityholders</w:t>
      </w:r>
      <w:r>
        <w:rPr>
          <w:rFonts w:ascii="Times New Roman" w:cs="Times New Roman" w:eastAsia="Times New Roman" w:hAnsi="Times New Roman"/>
          <w:sz w:val="16"/>
          <w:szCs w:val="16"/>
          <w:color w:val="auto"/>
        </w:rPr>
        <w:t>” means the holders of equity interests in Gemini as of the time immediately before the Business Combination.</w:t>
      </w:r>
    </w:p>
    <w:p>
      <w:pPr>
        <w:spacing w:after="0" w:line="68"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Gemini Stock</w:t>
      </w:r>
      <w:r>
        <w:rPr>
          <w:rFonts w:ascii="Times New Roman" w:cs="Times New Roman" w:eastAsia="Times New Roman" w:hAnsi="Times New Roman"/>
          <w:sz w:val="16"/>
          <w:szCs w:val="16"/>
          <w:color w:val="auto"/>
        </w:rPr>
        <w:t>” means, collectively, all shares of Gemini’s Series B Preferred Stock, Series A Preferred Stock and Common Stock.</w:t>
      </w:r>
    </w:p>
    <w:p>
      <w:pPr>
        <w:spacing w:after="0" w:line="80"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means the Merger Agreement, dated as of October 15, 2020, by and among FS Development, Merger Sub, Gemini and the Shareholders Representative.</w:t>
      </w:r>
    </w:p>
    <w:p>
      <w:pPr>
        <w:spacing w:after="0" w:line="80"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Consideration</w:t>
      </w:r>
      <w:r>
        <w:rPr>
          <w:rFonts w:ascii="Times New Roman" w:cs="Times New Roman" w:eastAsia="Times New Roman" w:hAnsi="Times New Roman"/>
          <w:sz w:val="16"/>
          <w:szCs w:val="16"/>
          <w:color w:val="auto"/>
        </w:rPr>
        <w:t>” means the Closing Payment Shares to be issued as the consideration for the Business Combination.</w:t>
      </w:r>
    </w:p>
    <w:p>
      <w:pPr>
        <w:spacing w:after="0" w:line="68"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means FSG Merger Sub, Inc., a Delaware corporation and a wholly-owned subsidiary of FS Development.</w:t>
      </w:r>
    </w:p>
    <w:p>
      <w:pPr>
        <w:spacing w:after="0" w:line="80"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PIPE Investment</w:t>
      </w:r>
      <w:r>
        <w:rPr>
          <w:rFonts w:ascii="Times New Roman" w:cs="Times New Roman" w:eastAsia="Times New Roman" w:hAnsi="Times New Roman"/>
          <w:sz w:val="16"/>
          <w:szCs w:val="16"/>
          <w:color w:val="auto"/>
        </w:rPr>
        <w:t>” refers to the sale of 9,506,000 newly issued shares of FS Development Class A Common Stock in a private placement concurrent with the Business Combination.</w:t>
      </w:r>
    </w:p>
    <w:p>
      <w:pPr>
        <w:spacing w:after="0" w:line="80"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 Rata Portion of the Merger Consideration</w:t>
      </w:r>
      <w:r>
        <w:rPr>
          <w:rFonts w:ascii="Times New Roman" w:cs="Times New Roman" w:eastAsia="Times New Roman" w:hAnsi="Times New Roman"/>
          <w:sz w:val="16"/>
          <w:szCs w:val="16"/>
          <w:color w:val="auto"/>
        </w:rPr>
        <w:t>” means, for each share of Gemini Stock owned by a Gemini Equityholder, the quotient of the Closing Payment Shares divided by the Fully Diluted Company Shares.</w:t>
      </w:r>
    </w:p>
    <w:p>
      <w:pPr>
        <w:spacing w:after="0" w:line="68"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Proposal</w:t>
      </w:r>
      <w:r>
        <w:rPr>
          <w:rFonts w:ascii="Times New Roman" w:cs="Times New Roman" w:eastAsia="Times New Roman" w:hAnsi="Times New Roman"/>
          <w:sz w:val="16"/>
          <w:szCs w:val="16"/>
          <w:color w:val="auto"/>
        </w:rPr>
        <w:t>” means any of the proposals being presented to the FS Development stockholders at the Special Meeting.</w:t>
      </w:r>
    </w:p>
    <w:p>
      <w:pPr>
        <w:spacing w:after="0" w:line="80"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Proposed Charter</w:t>
      </w:r>
      <w:r>
        <w:rPr>
          <w:rFonts w:ascii="Times New Roman" w:cs="Times New Roman" w:eastAsia="Times New Roman" w:hAnsi="Times New Roman"/>
          <w:sz w:val="16"/>
          <w:szCs w:val="16"/>
          <w:color w:val="auto"/>
        </w:rPr>
        <w:t xml:space="preserve">” means the Amended and Restated Certificate of Incorporation of Gemini, a Form of which is attached hereto as </w:t>
      </w:r>
      <w:r>
        <w:rPr>
          <w:rFonts w:ascii="Times New Roman" w:cs="Times New Roman" w:eastAsia="Times New Roman" w:hAnsi="Times New Roman"/>
          <w:sz w:val="16"/>
          <w:szCs w:val="16"/>
          <w:u w:val="single" w:color="auto"/>
          <w:color w:val="auto"/>
        </w:rPr>
        <w:t>Annex B</w:t>
      </w:r>
      <w:r>
        <w:rPr>
          <w:rFonts w:ascii="Times New Roman" w:cs="Times New Roman" w:eastAsia="Times New Roman" w:hAnsi="Times New Roman"/>
          <w:sz w:val="16"/>
          <w:szCs w:val="16"/>
          <w:color w:val="auto"/>
        </w:rPr>
        <w:t>.</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Public Shares</w:t>
      </w:r>
      <w:r>
        <w:rPr>
          <w:rFonts w:ascii="Times New Roman" w:cs="Times New Roman" w:eastAsia="Times New Roman" w:hAnsi="Times New Roman"/>
          <w:sz w:val="16"/>
          <w:szCs w:val="16"/>
          <w:color w:val="auto"/>
        </w:rPr>
        <w:t>” means FS Development Class A Common Stock issued in the FS Development IPO.</w:t>
      </w:r>
    </w:p>
    <w:p>
      <w:pPr>
        <w:spacing w:after="0" w:line="127"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w:t>
      </w:r>
      <w:r>
        <w:rPr>
          <w:rFonts w:ascii="Times New Roman" w:cs="Times New Roman" w:eastAsia="Times New Roman" w:hAnsi="Times New Roman"/>
          <w:sz w:val="16"/>
          <w:szCs w:val="16"/>
          <w:color w:val="auto"/>
        </w:rPr>
        <w:t>” means the right of the holders of FS Development Class A Common Stock to have their shares redeemed in accordance with the procedures set forth in this proxy statement/prospectus.</w:t>
      </w:r>
    </w:p>
    <w:p>
      <w:pPr>
        <w:spacing w:after="0" w:line="80" w:lineRule="exact"/>
        <w:rPr>
          <w:sz w:val="20"/>
          <w:szCs w:val="20"/>
          <w:color w:val="auto"/>
        </w:rPr>
      </w:pPr>
    </w:p>
    <w:p>
      <w:pPr>
        <w:ind w:left="920" w:right="939"/>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means the Registration Rights Agreement to be entered into in connection with the Closing with certain Gemini Equityholders.</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Securities Exchange Commission or any successor organization.</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from time to time.</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Shareholders Representative</w:t>
      </w:r>
      <w:r>
        <w:rPr>
          <w:rFonts w:ascii="Times New Roman" w:cs="Times New Roman" w:eastAsia="Times New Roman" w:hAnsi="Times New Roman"/>
          <w:sz w:val="16"/>
          <w:szCs w:val="16"/>
          <w:color w:val="auto"/>
        </w:rPr>
        <w:t>” means Shareholder Representative Services LLC.</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 w:name="page15"/>
    <w:bookmarkEnd w:id="1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Special Meeting</w:t>
      </w:r>
      <w:r>
        <w:rPr>
          <w:rFonts w:ascii="Times New Roman" w:cs="Times New Roman" w:eastAsia="Times New Roman" w:hAnsi="Times New Roman"/>
          <w:sz w:val="16"/>
          <w:szCs w:val="16"/>
          <w:color w:val="auto"/>
        </w:rPr>
        <w:t xml:space="preserve">” means the special meeting of the stockholders of FS Development, to be held on February 3, 2021, at 10:00 a.m., Eastern time, via live webcast at the following address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Sponsor</w:t>
      </w:r>
      <w:r>
        <w:rPr>
          <w:rFonts w:ascii="Times New Roman" w:cs="Times New Roman" w:eastAsia="Times New Roman" w:hAnsi="Times New Roman"/>
          <w:sz w:val="16"/>
          <w:szCs w:val="16"/>
          <w:color w:val="auto"/>
        </w:rPr>
        <w:t>” means FS Development Holdings, LLC, a Delaware limited liability company.</w:t>
      </w:r>
    </w:p>
    <w:p>
      <w:pPr>
        <w:spacing w:after="0" w:line="139"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Account</w:t>
      </w:r>
      <w:r>
        <w:rPr>
          <w:rFonts w:ascii="Times New Roman" w:cs="Times New Roman" w:eastAsia="Times New Roman" w:hAnsi="Times New Roman"/>
          <w:sz w:val="16"/>
          <w:szCs w:val="16"/>
          <w:color w:val="auto"/>
        </w:rPr>
        <w:t>” means the Trust Account of FS Development, which holds the net proceeds of the FS Development IPO, together with interest earned thereon, less amounts released to pay franchise and income tax obligations.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 w:name="page16"/>
    <w:bookmarkEnd w:id="1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QUESTIONS AND ANSWERS ABOUT THE PROPOSALS</w:t>
      </w:r>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i w:val="1"/>
          <w:iCs w:val="1"/>
          <w:color w:val="auto"/>
        </w:rPr>
        <w:t>The following questions and answers briefly address some commonly asked questions about the Business Combination and the Special Meeting of FS Development stockholders. The following questions and answers do not include all the information that is important to stockholders of FS Development. We urge the stockholders of FS Development to read carefully this entire proxy statement/prospectus, including the annexes and other documents referred to herein.</w:t>
      </w:r>
    </w:p>
    <w:p>
      <w:pPr>
        <w:spacing w:after="0" w:line="90" w:lineRule="exact"/>
        <w:rPr>
          <w:sz w:val="20"/>
          <w:szCs w:val="20"/>
          <w:color w:val="auto"/>
        </w:rPr>
      </w:pPr>
    </w:p>
    <w:p>
      <w:pPr>
        <w:ind w:left="1280" w:hanging="361"/>
        <w:spacing w:after="0"/>
        <w:tabs>
          <w:tab w:leader="none" w:pos="128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Why am I receiving this proxy statement/prospectus</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b w:val="1"/>
          <w:bCs w:val="1"/>
          <w:color w:val="auto"/>
        </w:rPr>
      </w:pPr>
    </w:p>
    <w:p>
      <w:pPr>
        <w:jc w:val="both"/>
        <w:ind w:left="1300" w:right="939" w:hanging="381"/>
        <w:spacing w:after="0" w:line="254" w:lineRule="auto"/>
        <w:tabs>
          <w:tab w:leader="none" w:pos="129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stockholders are being asked to consider and vote upon a proposal to approve and adopt the Merger Agreement, among other proposals. FS Development has entered into the Merger Agreement as a result of which Merger Sub, a wholly-owned subsidiary of FS Development, shall merge with and into Gemini with Gemini surviving such merger, and as a result of which Gemini will become a wholly-owned subsidiary of FS Development. We refer to this merger as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xml:space="preserve">.” FS Development urges its stockholders to read the Merger Agreement in its entirety, which is attached to this proxy statement/prospectus as </w:t>
      </w:r>
      <w:r>
        <w:rPr>
          <w:rFonts w:ascii="Times New Roman" w:cs="Times New Roman" w:eastAsia="Times New Roman" w:hAnsi="Times New Roman"/>
          <w:sz w:val="16"/>
          <w:szCs w:val="16"/>
          <w:i w:val="1"/>
          <w:iCs w:val="1"/>
          <w:u w:val="single" w:color="auto"/>
          <w:color w:val="auto"/>
        </w:rPr>
        <w:t>Annex A</w:t>
      </w:r>
      <w:r>
        <w:rPr>
          <w:rFonts w:ascii="Times New Roman" w:cs="Times New Roman" w:eastAsia="Times New Roman" w:hAnsi="Times New Roman"/>
          <w:sz w:val="16"/>
          <w:szCs w:val="16"/>
          <w:color w:val="auto"/>
        </w:rPr>
        <w:t>.</w:t>
      </w:r>
    </w:p>
    <w:p>
      <w:pPr>
        <w:spacing w:after="0" w:line="80" w:lineRule="exact"/>
        <w:rPr>
          <w:rFonts w:ascii="Times New Roman" w:cs="Times New Roman" w:eastAsia="Times New Roman" w:hAnsi="Times New Roman"/>
          <w:sz w:val="16"/>
          <w:szCs w:val="16"/>
          <w:color w:val="auto"/>
        </w:rPr>
      </w:pPr>
    </w:p>
    <w:p>
      <w:pPr>
        <w:jc w:val="both"/>
        <w:ind w:left="1300" w:right="939"/>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YOUR VOTE IS IMPORTANT. YOU ARE ENCOURAGED TO SUBMIT YOUR PROXY AS SOON AS POSSIBLE AFTER CAREFULLY REVIEWING THIS PROXY STATEMENT/PROSPECTUS AND ITS ANNEXES AND CAREFULLY CONSIDERING EACH OF THE PROPOSALS BEING PRESENTED AT THE MEETING.</w:t>
      </w:r>
    </w:p>
    <w:p>
      <w:pPr>
        <w:spacing w:after="0" w:line="87" w:lineRule="exact"/>
        <w:rPr>
          <w:sz w:val="20"/>
          <w:szCs w:val="20"/>
          <w:color w:val="auto"/>
        </w:rPr>
      </w:pPr>
    </w:p>
    <w:p>
      <w:pPr>
        <w:ind w:left="1300" w:hanging="381"/>
        <w:spacing w:after="0"/>
        <w:tabs>
          <w:tab w:leader="none" w:pos="130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Why is FS Development proposing the Business Combination?</w:t>
      </w:r>
    </w:p>
    <w:p>
      <w:pPr>
        <w:spacing w:after="0" w:line="117" w:lineRule="exact"/>
        <w:rPr>
          <w:sz w:val="20"/>
          <w:szCs w:val="20"/>
          <w:color w:val="auto"/>
        </w:rPr>
      </w:pPr>
    </w:p>
    <w:p>
      <w:pPr>
        <w:jc w:val="both"/>
        <w:ind w:left="1300" w:right="939" w:hanging="381"/>
        <w:spacing w:after="0" w:line="265" w:lineRule="auto"/>
        <w:tabs>
          <w:tab w:leader="none" w:pos="14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was formed for the purpose of effecting a merger, capital stock exchange, asset acquisition, stock purchase, reorganization or other similar business combination with one or more operating businesses.</w:t>
      </w:r>
    </w:p>
    <w:p>
      <w:pPr>
        <w:spacing w:after="0" w:line="72" w:lineRule="exact"/>
        <w:rPr>
          <w:sz w:val="20"/>
          <w:szCs w:val="20"/>
          <w:color w:val="auto"/>
        </w:rPr>
      </w:pPr>
    </w:p>
    <w:p>
      <w:pPr>
        <w:jc w:val="both"/>
        <w:ind w:left="1300" w:right="939"/>
        <w:spacing w:after="0" w:line="259" w:lineRule="auto"/>
        <w:rPr>
          <w:sz w:val="20"/>
          <w:szCs w:val="20"/>
          <w:color w:val="auto"/>
        </w:rPr>
      </w:pPr>
      <w:r>
        <w:rPr>
          <w:rFonts w:ascii="Times New Roman" w:cs="Times New Roman" w:eastAsia="Times New Roman" w:hAnsi="Times New Roman"/>
          <w:sz w:val="16"/>
          <w:szCs w:val="16"/>
          <w:color w:val="auto"/>
        </w:rPr>
        <w:t>Based on its due diligence investigations of Gemini and the industries in which it operates, including the financial and other information provided by Gemini in the course of FS Development’s due diligence investigations, the Board believes that the Business Combination with Gemini is in the best interests of FS Development and its stockholders.</w:t>
      </w:r>
    </w:p>
    <w:p>
      <w:pPr>
        <w:spacing w:after="0" w:line="88" w:lineRule="exact"/>
        <w:rPr>
          <w:sz w:val="20"/>
          <w:szCs w:val="20"/>
          <w:color w:val="auto"/>
        </w:rPr>
      </w:pPr>
    </w:p>
    <w:p>
      <w:pPr>
        <w:jc w:val="both"/>
        <w:ind w:left="1300" w:right="939"/>
        <w:spacing w:after="0" w:line="283" w:lineRule="auto"/>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The Business Combination Proposal — Board’s Reasons for Approval of the Business Combination</w:t>
      </w:r>
      <w:r>
        <w:rPr>
          <w:rFonts w:ascii="Times New Roman" w:cs="Times New Roman" w:eastAsia="Times New Roman" w:hAnsi="Times New Roman"/>
          <w:sz w:val="16"/>
          <w:szCs w:val="16"/>
          <w:color w:val="auto"/>
        </w:rPr>
        <w:t>” for a discussion of the factors considered by the Board in making its decision.</w:t>
      </w:r>
    </w:p>
    <w:p>
      <w:pPr>
        <w:spacing w:after="0" w:line="56" w:lineRule="exact"/>
        <w:rPr>
          <w:sz w:val="20"/>
          <w:szCs w:val="20"/>
          <w:color w:val="auto"/>
        </w:rPr>
      </w:pPr>
    </w:p>
    <w:p>
      <w:pPr>
        <w:ind w:left="1300" w:hanging="381"/>
        <w:spacing w:after="0"/>
        <w:tabs>
          <w:tab w:leader="none" w:pos="130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matters will be considered at the Special Meeting?</w:t>
      </w:r>
    </w:p>
    <w:p>
      <w:pPr>
        <w:spacing w:after="0" w:line="117" w:lineRule="exact"/>
        <w:rPr>
          <w:sz w:val="20"/>
          <w:szCs w:val="20"/>
          <w:color w:val="auto"/>
        </w:rPr>
      </w:pPr>
    </w:p>
    <w:p>
      <w:pPr>
        <w:ind w:left="1300" w:right="939" w:hanging="381"/>
        <w:spacing w:after="0" w:line="280" w:lineRule="auto"/>
        <w:tabs>
          <w:tab w:leader="none" w:pos="129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is a list of proposals upon which FS Development stockholders will be asked to vote at the Special Meeting:</w:t>
      </w:r>
    </w:p>
    <w:p>
      <w:pPr>
        <w:spacing w:after="0" w:line="70" w:lineRule="exact"/>
        <w:rPr>
          <w:rFonts w:ascii="Times New Roman" w:cs="Times New Roman" w:eastAsia="Times New Roman" w:hAnsi="Times New Roman"/>
          <w:sz w:val="16"/>
          <w:szCs w:val="16"/>
          <w:color w:val="auto"/>
        </w:rPr>
      </w:pPr>
    </w:p>
    <w:p>
      <w:pPr>
        <w:ind w:left="1680" w:right="939" w:hanging="379"/>
        <w:spacing w:after="0" w:line="283" w:lineRule="auto"/>
        <w:tabs>
          <w:tab w:leader="none" w:pos="1704"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Business Combination Proposa</w:t>
      </w:r>
      <w:r>
        <w:rPr>
          <w:rFonts w:ascii="Times New Roman" w:cs="Times New Roman" w:eastAsia="Times New Roman" w:hAnsi="Times New Roman"/>
          <w:sz w:val="16"/>
          <w:szCs w:val="16"/>
          <w:color w:val="auto"/>
        </w:rPr>
        <w:t>l — To adopt and approve the Merger Agreement and approve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Business Combination.</w:t>
      </w:r>
    </w:p>
    <w:p>
      <w:pPr>
        <w:spacing w:after="0" w:line="56"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69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Nasdaq Stock Issuance Proposal </w:t>
      </w:r>
      <w:r>
        <w:rPr>
          <w:rFonts w:ascii="Times New Roman" w:cs="Times New Roman" w:eastAsia="Times New Roman" w:hAnsi="Times New Roman"/>
          <w:sz w:val="16"/>
          <w:szCs w:val="16"/>
          <w:color w:val="auto"/>
        </w:rPr>
        <w:t>— To approve, assuming the Business Combination Proposal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approved and adopted, for purposes of complying with the applicable provisions of Nasdaq Stock Exchange Listing Rule 5635 (each, a “</w:t>
      </w:r>
      <w:r>
        <w:rPr>
          <w:rFonts w:ascii="Times New Roman" w:cs="Times New Roman" w:eastAsia="Times New Roman" w:hAnsi="Times New Roman"/>
          <w:sz w:val="16"/>
          <w:szCs w:val="16"/>
          <w:b w:val="1"/>
          <w:bCs w:val="1"/>
          <w:color w:val="auto"/>
        </w:rPr>
        <w:t>Nasdaq Listing Rule</w:t>
      </w:r>
      <w:r>
        <w:rPr>
          <w:rFonts w:ascii="Times New Roman" w:cs="Times New Roman" w:eastAsia="Times New Roman" w:hAnsi="Times New Roman"/>
          <w:sz w:val="16"/>
          <w:szCs w:val="16"/>
          <w:color w:val="auto"/>
        </w:rPr>
        <w:t>”), (a) the issuance of up to 21,500,000 newly issued shares of Class A Common Stock in the Business Combination,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Proposal — Acquisition of Gemini; Merger Consideration</w:t>
      </w:r>
      <w:r>
        <w:rPr>
          <w:rFonts w:ascii="Times New Roman" w:cs="Times New Roman" w:eastAsia="Times New Roman" w:hAnsi="Times New Roman"/>
          <w:sz w:val="16"/>
          <w:szCs w:val="16"/>
          <w:color w:val="auto"/>
        </w:rPr>
        <w:t>” and (b) the issuance and sale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9,506,000 newly issued shares of Class A Common Stock in the PIPE Investment, to the extent such issuances would require a stockholder vote under the applicable Nasdaq Listing Rule.</w:t>
      </w:r>
    </w:p>
    <w:p>
      <w:pPr>
        <w:spacing w:after="0" w:line="79" w:lineRule="exact"/>
        <w:rPr>
          <w:rFonts w:ascii="Times New Roman" w:cs="Times New Roman" w:eastAsia="Times New Roman" w:hAnsi="Times New Roman"/>
          <w:sz w:val="16"/>
          <w:szCs w:val="16"/>
          <w:color w:val="auto"/>
        </w:rPr>
      </w:pPr>
    </w:p>
    <w:p>
      <w:pPr>
        <w:jc w:val="both"/>
        <w:ind w:left="1680" w:right="939" w:hanging="379"/>
        <w:spacing w:after="0" w:line="260" w:lineRule="auto"/>
        <w:tabs>
          <w:tab w:leader="none" w:pos="169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Charter Amendment Proposal </w:t>
      </w:r>
      <w:r>
        <w:rPr>
          <w:rFonts w:ascii="Times New Roman" w:cs="Times New Roman" w:eastAsia="Times New Roman" w:hAnsi="Times New Roman"/>
          <w:sz w:val="16"/>
          <w:szCs w:val="16"/>
          <w:color w:val="auto"/>
        </w:rPr>
        <w:t>— To approve, assuming the Business Combination Proposal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approved and adopted, a proposed second amended and restated certificate of incorporation (the “</w:t>
      </w:r>
      <w:r>
        <w:rPr>
          <w:rFonts w:ascii="Times New Roman" w:cs="Times New Roman" w:eastAsia="Times New Roman" w:hAnsi="Times New Roman"/>
          <w:sz w:val="16"/>
          <w:szCs w:val="16"/>
          <w:b w:val="1"/>
          <w:bCs w:val="1"/>
          <w:color w:val="auto"/>
        </w:rPr>
        <w:t>Proposed Charter</w:t>
      </w:r>
      <w:r>
        <w:rPr>
          <w:rFonts w:ascii="Times New Roman" w:cs="Times New Roman" w:eastAsia="Times New Roman" w:hAnsi="Times New Roman"/>
          <w:sz w:val="16"/>
          <w:szCs w:val="16"/>
          <w:color w:val="auto"/>
        </w:rPr>
        <w:t>”), which will amend and restate the Current Charter, and which Proposed Charter will be in effect upon the Closing.</w:t>
      </w:r>
    </w:p>
    <w:p>
      <w:pPr>
        <w:spacing w:after="0" w:line="87" w:lineRule="exact"/>
        <w:rPr>
          <w:rFonts w:ascii="Times New Roman" w:cs="Times New Roman" w:eastAsia="Times New Roman" w:hAnsi="Times New Roman"/>
          <w:sz w:val="16"/>
          <w:szCs w:val="16"/>
          <w:color w:val="auto"/>
        </w:rPr>
      </w:pPr>
    </w:p>
    <w:p>
      <w:pPr>
        <w:jc w:val="both"/>
        <w:ind w:left="1680" w:right="939" w:hanging="379"/>
        <w:spacing w:after="0" w:line="266" w:lineRule="auto"/>
        <w:tabs>
          <w:tab w:leader="none" w:pos="176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Advisory Charter Proposals </w:t>
      </w:r>
      <w:r>
        <w:rPr>
          <w:rFonts w:ascii="Times New Roman" w:cs="Times New Roman" w:eastAsia="Times New Roman" w:hAnsi="Times New Roman"/>
          <w:sz w:val="16"/>
          <w:szCs w:val="16"/>
          <w:color w:val="auto"/>
        </w:rPr>
        <w:t>— To approve, on a non-binding advisory basis, the following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differences between the Proposed Charter and the Current Charter, which are being presented in accordance with the requirements of the SEC as five separate sub-proposals:</w:t>
      </w:r>
    </w:p>
    <w:p>
      <w:pPr>
        <w:spacing w:after="0" w:line="71" w:lineRule="exact"/>
        <w:rPr>
          <w:rFonts w:ascii="Times New Roman" w:cs="Times New Roman" w:eastAsia="Times New Roman" w:hAnsi="Times New Roman"/>
          <w:sz w:val="16"/>
          <w:szCs w:val="16"/>
          <w:color w:val="auto"/>
        </w:rPr>
      </w:pPr>
    </w:p>
    <w:p>
      <w:pPr>
        <w:ind w:left="2060" w:right="939" w:hanging="376"/>
        <w:spacing w:after="0" w:line="280" w:lineRule="auto"/>
        <w:tabs>
          <w:tab w:leader="none" w:pos="2076"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A — to increase the authorized shares of Class A Common Stock to 250,000,000 shares;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 w:name="page17"/>
    <w:bookmarkEnd w:id="1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2060" w:right="939" w:hanging="376"/>
        <w:spacing w:after="0" w:line="265" w:lineRule="auto"/>
        <w:tabs>
          <w:tab w:leader="none" w:pos="2050"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B — to increase the authorized shares of “blank check” preferred stock that the Combined Entity’s board of directors could issue to discourage a takeover attempt to 10,000,000 shares;</w:t>
      </w:r>
    </w:p>
    <w:p>
      <w:pPr>
        <w:spacing w:after="0" w:line="95" w:lineRule="exact"/>
        <w:rPr>
          <w:rFonts w:ascii="Times New Roman" w:cs="Times New Roman" w:eastAsia="Times New Roman" w:hAnsi="Times New Roman"/>
          <w:sz w:val="16"/>
          <w:szCs w:val="16"/>
          <w:color w:val="auto"/>
        </w:rPr>
      </w:pPr>
    </w:p>
    <w:p>
      <w:pPr>
        <w:jc w:val="both"/>
        <w:ind w:left="2060" w:right="939" w:hanging="376"/>
        <w:spacing w:after="0" w:line="257" w:lineRule="auto"/>
        <w:tabs>
          <w:tab w:leader="none" w:pos="2161"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C — to provide that certain amendments to provisions of the Proposed Charter will require the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6"/>
          <w:szCs w:val="16"/>
          <w:color w:val="auto"/>
        </w:rPr>
        <w:t>% of the Combined Entity’s then-outstanding shares of capital stock entitled to vote on such amendment;</w:t>
      </w:r>
    </w:p>
    <w:p>
      <w:pPr>
        <w:spacing w:after="0" w:line="101" w:lineRule="exact"/>
        <w:rPr>
          <w:rFonts w:ascii="Times New Roman" w:cs="Times New Roman" w:eastAsia="Times New Roman" w:hAnsi="Times New Roman"/>
          <w:sz w:val="16"/>
          <w:szCs w:val="16"/>
          <w:color w:val="auto"/>
        </w:rPr>
      </w:pPr>
    </w:p>
    <w:p>
      <w:pPr>
        <w:jc w:val="both"/>
        <w:ind w:left="2060" w:right="939" w:hanging="376"/>
        <w:spacing w:after="0" w:line="257" w:lineRule="auto"/>
        <w:tabs>
          <w:tab w:leader="none" w:pos="2032"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0" w:lineRule="exact"/>
        <w:rPr>
          <w:rFonts w:ascii="Times New Roman" w:cs="Times New Roman" w:eastAsia="Times New Roman" w:hAnsi="Times New Roman"/>
          <w:sz w:val="16"/>
          <w:szCs w:val="16"/>
          <w:color w:val="auto"/>
        </w:rPr>
      </w:pPr>
    </w:p>
    <w:p>
      <w:pPr>
        <w:jc w:val="both"/>
        <w:ind w:left="2060" w:right="939" w:hanging="376"/>
        <w:spacing w:after="0" w:line="252" w:lineRule="auto"/>
        <w:tabs>
          <w:tab w:leader="none" w:pos="2058"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Charter Proposal E — to provide that any amendment to the Amended By-laws will require the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6"/>
          <w:szCs w:val="16"/>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7"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3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Plan Proposal — to approve, assuming the Business Combination Proposal is approved and adopted, the 2021 Stock Option and Incentive Plan (the “</w:t>
      </w:r>
      <w:r>
        <w:rPr>
          <w:rFonts w:ascii="Times New Roman" w:cs="Times New Roman" w:eastAsia="Times New Roman" w:hAnsi="Times New Roman"/>
          <w:sz w:val="16"/>
          <w:szCs w:val="16"/>
          <w:b w:val="1"/>
          <w:bCs w:val="1"/>
          <w:color w:val="auto"/>
        </w:rPr>
        <w:t>Equity Incentive Plan</w:t>
      </w:r>
      <w:r>
        <w:rPr>
          <w:rFonts w:ascii="Times New Roman" w:cs="Times New Roman" w:eastAsia="Times New Roman" w:hAnsi="Times New Roman"/>
          <w:sz w:val="16"/>
          <w:szCs w:val="16"/>
          <w:color w:val="auto"/>
        </w:rPr>
        <w:t xml:space="preserve">”), a copy of which is appended to this proxy statement/prospectus as </w:t>
      </w:r>
      <w:r>
        <w:rPr>
          <w:rFonts w:ascii="Times New Roman" w:cs="Times New Roman" w:eastAsia="Times New Roman" w:hAnsi="Times New Roman"/>
          <w:sz w:val="16"/>
          <w:szCs w:val="16"/>
          <w:i w:val="1"/>
          <w:iCs w:val="1"/>
          <w:u w:val="single" w:color="auto"/>
          <w:color w:val="auto"/>
        </w:rPr>
        <w:t>Annex D</w:t>
      </w:r>
      <w:r>
        <w:rPr>
          <w:rFonts w:ascii="Times New Roman" w:cs="Times New Roman" w:eastAsia="Times New Roman" w:hAnsi="Times New Roman"/>
          <w:sz w:val="16"/>
          <w:szCs w:val="16"/>
          <w:color w:val="auto"/>
        </w:rPr>
        <w:t>, which will become effective as of the date immediately preceding the date of the Closing.</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729"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Adjournment Proposal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or the Incentive Plan Proposal, or we determine that one or more of the closing conditions under the Business Combination is not satisfied or waived.</w:t>
      </w:r>
    </w:p>
    <w:p>
      <w:pPr>
        <w:spacing w:after="0" w:line="91" w:lineRule="exact"/>
        <w:rPr>
          <w:rFonts w:ascii="Times New Roman" w:cs="Times New Roman" w:eastAsia="Times New Roman" w:hAnsi="Times New Roman"/>
          <w:sz w:val="16"/>
          <w:szCs w:val="16"/>
          <w:color w:val="auto"/>
        </w:rPr>
      </w:pPr>
    </w:p>
    <w:p>
      <w:pPr>
        <w:ind w:left="1300" w:hanging="381"/>
        <w:spacing w:after="0"/>
        <w:tabs>
          <w:tab w:leader="none" w:pos="130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When and where will the Special Meeting take place?</w:t>
      </w:r>
    </w:p>
    <w:p>
      <w:pPr>
        <w:spacing w:after="0" w:line="141" w:lineRule="exact"/>
        <w:rPr>
          <w:sz w:val="20"/>
          <w:szCs w:val="20"/>
          <w:color w:val="auto"/>
        </w:rPr>
      </w:pPr>
    </w:p>
    <w:p>
      <w:pPr>
        <w:jc w:val="both"/>
        <w:ind w:left="1300" w:right="939" w:hanging="381"/>
        <w:spacing w:after="0" w:line="259" w:lineRule="auto"/>
        <w:tabs>
          <w:tab w:leader="none" w:pos="1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FS Development Special Meeting will be held on February 3, 2021, at 10:00 a.m. Eastern time, via live webcast at the following address: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 or such other date, time and place to which such meeting may be adjourned or postponed, to consider and vote upon the proposals.</w:t>
      </w:r>
    </w:p>
    <w:p>
      <w:pPr>
        <w:spacing w:after="0" w:line="100" w:lineRule="exact"/>
        <w:rPr>
          <w:sz w:val="20"/>
          <w:szCs w:val="20"/>
          <w:color w:val="auto"/>
        </w:rPr>
      </w:pPr>
    </w:p>
    <w:p>
      <w:pPr>
        <w:ind w:left="1300" w:hanging="381"/>
        <w:spacing w:after="0"/>
        <w:tabs>
          <w:tab w:leader="none" w:pos="130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Is my vote important</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jc w:val="both"/>
        <w:ind w:left="1300" w:right="939" w:hanging="381"/>
        <w:spacing w:after="0" w:line="252" w:lineRule="auto"/>
        <w:tabs>
          <w:tab w:leader="none" w:pos="136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Business Combination cannot be completed unless the Merger Agreement is adopted by the FS Development stockholders holding a majority of the votes cast on such proposal and the other condition precedent proposals achieve the necessary vote outlined below. Only FS Development stockholders as of the close of business on January 15, 2021, the record date for the Special Meeting (the “</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are entitled to vote at the Special Meeting. The Board unanimously recommends that such FS Development stockholders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of the Business Combination Proposal,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of the Nasdaq Stock Issuance Proposal,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of the Charter Amendment Proposal,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on an advisory basis, of each of the Advisory Charter Proposals,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of the Incentive Plan Proposal and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of the Adjournment Proposal, if presented.</w:t>
      </w:r>
    </w:p>
    <w:p>
      <w:pPr>
        <w:spacing w:after="0" w:line="110" w:lineRule="exact"/>
        <w:rPr>
          <w:sz w:val="20"/>
          <w:szCs w:val="20"/>
          <w:color w:val="auto"/>
        </w:rPr>
      </w:pPr>
    </w:p>
    <w:p>
      <w:pPr>
        <w:ind w:left="1300" w:right="939" w:hanging="381"/>
        <w:spacing w:after="0" w:line="283" w:lineRule="auto"/>
        <w:tabs>
          <w:tab w:leader="none" w:pos="1379"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If my shares are held in “street name,” will my broker, bank or nominee automatically vote my shares for me?</w:t>
      </w:r>
    </w:p>
    <w:p>
      <w:pPr>
        <w:spacing w:after="0" w:line="58" w:lineRule="exact"/>
        <w:rPr>
          <w:sz w:val="20"/>
          <w:szCs w:val="20"/>
          <w:color w:val="auto"/>
        </w:rPr>
      </w:pPr>
    </w:p>
    <w:p>
      <w:pPr>
        <w:jc w:val="both"/>
        <w:ind w:left="1300" w:right="939" w:hanging="381"/>
        <w:spacing w:after="0" w:line="253" w:lineRule="auto"/>
        <w:tabs>
          <w:tab w:leader="none" w:pos="131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FS Development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bank, broker or other nominee to vote your shares in accordance with directions you provide.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 w:name="page18"/>
    <w:bookmarkEnd w:id="1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13" w:lineRule="exact"/>
        <w:rPr>
          <w:sz w:val="20"/>
          <w:szCs w:val="20"/>
          <w:color w:val="auto"/>
        </w:rPr>
      </w:pPr>
    </w:p>
    <w:p>
      <w:pPr>
        <w:ind w:left="1300" w:hanging="381"/>
        <w:spacing w:after="0"/>
        <w:tabs>
          <w:tab w:leader="none" w:pos="130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vote is required to approve the Proposals presented at the Special Meeting?</w:t>
      </w:r>
    </w:p>
    <w:p>
      <w:pPr>
        <w:spacing w:after="0" w:line="117" w:lineRule="exact"/>
        <w:rPr>
          <w:sz w:val="20"/>
          <w:szCs w:val="20"/>
          <w:color w:val="auto"/>
        </w:rPr>
      </w:pPr>
    </w:p>
    <w:p>
      <w:pPr>
        <w:jc w:val="both"/>
        <w:ind w:left="1300" w:right="939" w:hanging="381"/>
        <w:spacing w:after="0" w:line="257" w:lineRule="auto"/>
        <w:tabs>
          <w:tab w:leader="none" w:pos="12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Charter Amendment Proposal requires the affirmative vote of a majority of the issued and outstanding shares of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90" w:lineRule="exact"/>
        <w:rPr>
          <w:rFonts w:ascii="Times New Roman" w:cs="Times New Roman" w:eastAsia="Times New Roman" w:hAnsi="Times New Roman"/>
          <w:sz w:val="16"/>
          <w:szCs w:val="16"/>
          <w:color w:val="auto"/>
        </w:rPr>
      </w:pPr>
    </w:p>
    <w:p>
      <w:pPr>
        <w:jc w:val="both"/>
        <w:ind w:left="1300" w:right="939"/>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or the Adjournment Proposal.</w:t>
      </w:r>
    </w:p>
    <w:p>
      <w:pPr>
        <w:spacing w:after="0" w:line="86" w:lineRule="exact"/>
        <w:rPr>
          <w:sz w:val="20"/>
          <w:szCs w:val="20"/>
          <w:color w:val="auto"/>
        </w:rPr>
      </w:pPr>
    </w:p>
    <w:p>
      <w:pPr>
        <w:ind w:left="1300" w:hanging="381"/>
        <w:spacing w:after="0"/>
        <w:tabs>
          <w:tab w:leader="none" w:pos="130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Are the Proposals conditioned on one another</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jc w:val="both"/>
        <w:ind w:left="1300" w:right="939" w:hanging="381"/>
        <w:spacing w:after="0" w:line="252" w:lineRule="auto"/>
        <w:tabs>
          <w:tab w:leader="none" w:pos="130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Business Combination Proposal is approved, the Nasdaq Stock Issuance Proposal, the Charter Amendment Proposal, the Advisory Charter Proposals, and the Incentive Plan Proposal will not be presented to the stockholders of FS Development at the Special Meeting. The approval of the Business Combination Proposal, the Nasdaq Stock Issuance Proposal, the Charter Amendment Proposal, and the Incentive Plan Proposal are preconditions to the Closing. The Adjournment Proposal is not conditioned on the approval of any other proposal set forth in this proxy statement/prospectus. It is important for you to note that in the event that the Business Combination Proposal does not receive the requisite vote for approval, then we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its public stockholders.</w:t>
      </w:r>
    </w:p>
    <w:p>
      <w:pPr>
        <w:spacing w:after="0" w:line="96" w:lineRule="exact"/>
        <w:rPr>
          <w:sz w:val="20"/>
          <w:szCs w:val="20"/>
          <w:color w:val="auto"/>
        </w:rPr>
      </w:pPr>
    </w:p>
    <w:p>
      <w:pPr>
        <w:ind w:left="1300" w:hanging="381"/>
        <w:spacing w:after="0"/>
        <w:tabs>
          <w:tab w:leader="none" w:pos="130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conditions must be satisfied to complete the Business Combination</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jc w:val="both"/>
        <w:ind w:left="1300" w:right="939" w:hanging="381"/>
        <w:spacing w:after="0" w:line="253" w:lineRule="auto"/>
        <w:tabs>
          <w:tab w:leader="none" w:pos="142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 number of closing conditions in the Merger Agreement, including the approval by the stockholders of FS Development of the Business Combination Proposal, the Nasdaq Stock Issuance Proposal, the Charter Amendment Proposal, and the Incentive Plan Proposal. The Nasdaq Stock Issuance Proposal, the Charter Amendment Proposal, and the Incentive Plan Proposal are subject to and conditioned on the approval of the Business Combination Proposal. The Business Combination Proposal is subject to and conditioned on the approval of the Nasdaq Stock Issuance Proposal, the Charter Amendment Proposal, and the Incentive Plan Proposal. For a summary of the conditions that must be satisfied or waived prior to the Closing of the Business Combination, see the section titled “</w:t>
      </w:r>
      <w:r>
        <w:rPr>
          <w:rFonts w:ascii="Times New Roman" w:cs="Times New Roman" w:eastAsia="Times New Roman" w:hAnsi="Times New Roman"/>
          <w:sz w:val="16"/>
          <w:szCs w:val="16"/>
          <w:i w:val="1"/>
          <w:iCs w:val="1"/>
          <w:color w:val="auto"/>
        </w:rPr>
        <w:t>The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Combination Proposal — The Merger Agreement</w:t>
      </w:r>
      <w:r>
        <w:rPr>
          <w:rFonts w:ascii="Times New Roman" w:cs="Times New Roman" w:eastAsia="Times New Roman" w:hAnsi="Times New Roman"/>
          <w:sz w:val="16"/>
          <w:szCs w:val="16"/>
          <w:color w:val="auto"/>
        </w:rPr>
        <w:t>.”</w:t>
      </w:r>
    </w:p>
    <w:p>
      <w:pPr>
        <w:spacing w:after="0" w:line="81" w:lineRule="exact"/>
        <w:rPr>
          <w:sz w:val="20"/>
          <w:szCs w:val="20"/>
          <w:color w:val="auto"/>
        </w:rPr>
      </w:pPr>
    </w:p>
    <w:p>
      <w:pPr>
        <w:ind w:left="1300" w:hanging="381"/>
        <w:spacing w:after="0"/>
        <w:tabs>
          <w:tab w:leader="none" w:pos="130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will happen in the Business Combination</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jc w:val="both"/>
        <w:ind w:left="1300" w:right="939" w:hanging="381"/>
        <w:spacing w:after="0" w:line="251" w:lineRule="auto"/>
        <w:tabs>
          <w:tab w:leader="none" w:pos="131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of the Business Combination, Merger Sub will merge with and into Gemini, with Gemini surviving such merger as the surviving entity. Upon the Closing, Gemini will become a wholly-owned subsidiary of FS Development. In connection with the Business Combination, the cash held in the Trust Account after giving effect to any redemption of shares by FS Development’s public stockholders and the proceeds from the PIPE Investment will be used to pay (i) FS Development stockholders who properly exercise their redemption rights, (ii) the underwriters their deferred underwriting commissions from the FS Development IPO, (iii) 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 (iv) unpaid franchise and income taxes of FS Development, and</w:t>
      </w:r>
    </w:p>
    <w:p>
      <w:pPr>
        <w:spacing w:after="0" w:line="4" w:lineRule="exact"/>
        <w:rPr>
          <w:rFonts w:ascii="Times New Roman" w:cs="Times New Roman" w:eastAsia="Times New Roman" w:hAnsi="Times New Roman"/>
          <w:sz w:val="16"/>
          <w:szCs w:val="16"/>
          <w:color w:val="auto"/>
        </w:rPr>
      </w:pPr>
    </w:p>
    <w:p>
      <w:pPr>
        <w:ind w:left="1300" w:right="939" w:firstLine="1"/>
        <w:spacing w:after="0" w:line="258" w:lineRule="auto"/>
        <w:tabs>
          <w:tab w:leader="none" w:pos="1546"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general corporate purposes including, but not limited to, working capital for operations, capital expenditures and future potential acquisitions.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 w:name="page19"/>
    <w:bookmarkEnd w:id="1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13" w:lineRule="exact"/>
        <w:rPr>
          <w:sz w:val="20"/>
          <w:szCs w:val="20"/>
          <w:color w:val="auto"/>
        </w:rPr>
      </w:pPr>
    </w:p>
    <w:p>
      <w:pPr>
        <w:ind w:left="1300" w:right="939" w:hanging="381"/>
        <w:spacing w:after="0" w:line="283" w:lineRule="auto"/>
        <w:tabs>
          <w:tab w:leader="none" w:pos="1327"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equity stake will current stockholders of FS Development and Gemini Equityholders hold in the Combined Entity after the Closing</w:t>
      </w:r>
      <w:r>
        <w:rPr>
          <w:rFonts w:ascii="Times New Roman" w:cs="Times New Roman" w:eastAsia="Times New Roman" w:hAnsi="Times New Roman"/>
          <w:sz w:val="16"/>
          <w:szCs w:val="16"/>
          <w:color w:val="auto"/>
        </w:rPr>
        <w:t>?</w:t>
      </w:r>
    </w:p>
    <w:p>
      <w:pPr>
        <w:spacing w:after="0" w:line="58" w:lineRule="exact"/>
        <w:rPr>
          <w:sz w:val="20"/>
          <w:szCs w:val="20"/>
          <w:color w:val="auto"/>
        </w:rPr>
      </w:pPr>
    </w:p>
    <w:p>
      <w:pPr>
        <w:jc w:val="both"/>
        <w:ind w:left="1300" w:right="939" w:hanging="381"/>
        <w:spacing w:after="0" w:line="252" w:lineRule="auto"/>
        <w:tabs>
          <w:tab w:leader="none" w:pos="151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anticipated that, upon completion of the Business Combination,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(i) the redemption of any shares by FS Development’s public stockholders, or (ii) the issuance of any shares upon the Closing under the Equity Incentive Plan, which is intended to be adopted following the Closing. If the actual facts are different than these assumptions (which they are likely to be), the percentage ownership retained by FS Development’s existing stockholders in the Combined Entity will be different.</w:t>
      </w:r>
    </w:p>
    <w:p>
      <w:pPr>
        <w:spacing w:after="0" w:line="106" w:lineRule="exact"/>
        <w:rPr>
          <w:sz w:val="20"/>
          <w:szCs w:val="20"/>
          <w:color w:val="auto"/>
        </w:rPr>
      </w:pPr>
    </w:p>
    <w:p>
      <w:pPr>
        <w:ind w:left="1300" w:right="939"/>
        <w:spacing w:after="0" w:line="283" w:lineRule="auto"/>
        <w:rPr>
          <w:sz w:val="20"/>
          <w:szCs w:val="20"/>
          <w:color w:val="auto"/>
        </w:rPr>
      </w:pPr>
      <w:r>
        <w:rPr>
          <w:rFonts w:ascii="Times New Roman" w:cs="Times New Roman" w:eastAsia="Times New Roman" w:hAnsi="Times New Roman"/>
          <w:sz w:val="16"/>
          <w:szCs w:val="16"/>
          <w:color w:val="auto"/>
        </w:rPr>
        <w:t>See the section titled “</w:t>
      </w:r>
      <w:r>
        <w:rPr>
          <w:rFonts w:ascii="Times New Roman" w:cs="Times New Roman" w:eastAsia="Times New Roman" w:hAnsi="Times New Roman"/>
          <w:sz w:val="16"/>
          <w:szCs w:val="16"/>
          <w:i w:val="1"/>
          <w:iCs w:val="1"/>
          <w:color w:val="auto"/>
        </w:rPr>
        <w:t>Summary Unaudited Pro Forma Condensed Combined Financial Information</w:t>
      </w:r>
      <w:r>
        <w:rPr>
          <w:rFonts w:ascii="Times New Roman" w:cs="Times New Roman" w:eastAsia="Times New Roman" w:hAnsi="Times New Roman"/>
          <w:sz w:val="16"/>
          <w:szCs w:val="16"/>
          <w:color w:val="auto"/>
        </w:rPr>
        <w:t>” for further information.</w:t>
      </w:r>
    </w:p>
    <w:p>
      <w:pPr>
        <w:spacing w:after="0" w:line="80" w:lineRule="exact"/>
        <w:rPr>
          <w:sz w:val="20"/>
          <w:szCs w:val="20"/>
          <w:color w:val="auto"/>
        </w:rPr>
      </w:pPr>
    </w:p>
    <w:p>
      <w:pPr>
        <w:ind w:left="1300" w:right="939" w:hanging="381"/>
        <w:spacing w:after="0" w:line="283" w:lineRule="auto"/>
        <w:tabs>
          <w:tab w:leader="none" w:pos="1322"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Did the Board obtain a third-party valuation or fairness opinion in determining whether or not to proceed with the Business Combination?</w:t>
      </w:r>
    </w:p>
    <w:p>
      <w:pPr>
        <w:spacing w:after="0" w:line="69" w:lineRule="exact"/>
        <w:rPr>
          <w:rFonts w:ascii="Times New Roman" w:cs="Times New Roman" w:eastAsia="Times New Roman" w:hAnsi="Times New Roman"/>
          <w:sz w:val="16"/>
          <w:szCs w:val="16"/>
          <w:b w:val="1"/>
          <w:bCs w:val="1"/>
          <w:color w:val="auto"/>
        </w:rPr>
      </w:pPr>
    </w:p>
    <w:p>
      <w:pPr>
        <w:jc w:val="both"/>
        <w:ind w:left="1300" w:right="939" w:hanging="381"/>
        <w:spacing w:after="0" w:line="253" w:lineRule="auto"/>
        <w:tabs>
          <w:tab w:leader="none" w:pos="126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did not obtain a third-party valuation or fairness opinion in connection with its determination to approve the Business Combination. The Board believes that based upon the financial skills and background of its directors, it was qualified to conclude that the Business Combination was fair from a financial perspective to its stockholders. The Board also determined, without seeking a valuation from a financial advisor, that Gemini’s fair market value was at least 80% of the assets held in the Trust Account (excluding the deferred underwriting commissions and taxes payable on the income earned on the Trust Account). Accordingly, investors will be relying on the judgment of the Board as described above in valuing Gemini’s business and assuming the risk that the Board may not have properly valued such business.</w:t>
      </w:r>
    </w:p>
    <w:p>
      <w:pPr>
        <w:spacing w:after="0" w:line="105" w:lineRule="exact"/>
        <w:rPr>
          <w:sz w:val="20"/>
          <w:szCs w:val="20"/>
          <w:color w:val="auto"/>
        </w:rPr>
      </w:pPr>
    </w:p>
    <w:p>
      <w:pPr>
        <w:ind w:left="1300" w:right="939" w:hanging="381"/>
        <w:spacing w:after="0" w:line="283" w:lineRule="auto"/>
        <w:tabs>
          <w:tab w:leader="none" w:pos="144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Why is FS Development providing stockholders with the opportunity to vote on the Business Combination</w:t>
      </w:r>
      <w:r>
        <w:rPr>
          <w:rFonts w:ascii="Times New Roman" w:cs="Times New Roman" w:eastAsia="Times New Roman" w:hAnsi="Times New Roman"/>
          <w:sz w:val="16"/>
          <w:szCs w:val="16"/>
          <w:color w:val="auto"/>
        </w:rPr>
        <w:t>?</w:t>
      </w:r>
    </w:p>
    <w:p>
      <w:pPr>
        <w:spacing w:after="0" w:line="82" w:lineRule="exact"/>
        <w:rPr>
          <w:sz w:val="20"/>
          <w:szCs w:val="20"/>
          <w:color w:val="auto"/>
        </w:rPr>
      </w:pPr>
    </w:p>
    <w:p>
      <w:pPr>
        <w:jc w:val="both"/>
        <w:ind w:left="1300" w:right="939" w:hanging="381"/>
        <w:spacing w:after="0" w:line="253" w:lineRule="auto"/>
        <w:tabs>
          <w:tab w:leader="none" w:pos="141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Current Charter, FS Development must provide all holders of its Public Shares with the opportunity to have their Public Shares redeemed upon the consummation of FS Development’s initial business combination either in conjunction with a tender offer or in conjunction with a stockholder vote. For business and other reasons, FS Development has elected to provide its stockholders with the opportunity to have their Public Shares redeemed in connection with a stockholder vote rather than a tender offer. Therefore, FS Development is seeking to obtain the approval of its stockholders of the Business Combination Proposal in order to allow its public stockholders to effectuate redemptions of their Public Shares in connection with the Closing.</w:t>
      </w:r>
    </w:p>
    <w:p>
      <w:pPr>
        <w:spacing w:after="0" w:line="95" w:lineRule="exact"/>
        <w:rPr>
          <w:sz w:val="20"/>
          <w:szCs w:val="20"/>
          <w:color w:val="auto"/>
        </w:rPr>
      </w:pPr>
    </w:p>
    <w:p>
      <w:pPr>
        <w:ind w:left="1300" w:right="939" w:hanging="381"/>
        <w:spacing w:after="0" w:line="283" w:lineRule="auto"/>
        <w:tabs>
          <w:tab w:leader="none" w:pos="131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Are there any arrangements to help ensure that the Combined Company will have sufficient funds, together with the proceeds in its Trust Account, to fund the Business Combination?</w:t>
      </w:r>
    </w:p>
    <w:p>
      <w:pPr>
        <w:spacing w:after="0" w:line="82" w:lineRule="exact"/>
        <w:rPr>
          <w:sz w:val="20"/>
          <w:szCs w:val="20"/>
          <w:color w:val="auto"/>
        </w:rPr>
      </w:pPr>
    </w:p>
    <w:p>
      <w:pPr>
        <w:jc w:val="both"/>
        <w:ind w:left="1300" w:right="939" w:hanging="381"/>
        <w:spacing w:after="0" w:line="257" w:lineRule="auto"/>
        <w:tabs>
          <w:tab w:leader="none" w:pos="137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On October 15, 2020, FS Development entered into Subscription Agreements with the investors named therein providing for the issuance by FS Development of 9,506,000 shares of FS Development Class A Common Stock through the PIPE Investment (subject to certain conditions, including that all conditions precedent to the Closing will have been satisfied or waived (other than those conditions that are to be satisfied at the Closing) for gross proceeds to FS Development of $95,060,000.</w:t>
      </w:r>
    </w:p>
    <w:p>
      <w:pPr>
        <w:spacing w:after="0" w:line="102" w:lineRule="exact"/>
        <w:rPr>
          <w:sz w:val="20"/>
          <w:szCs w:val="20"/>
          <w:color w:val="auto"/>
        </w:rPr>
      </w:pPr>
    </w:p>
    <w:p>
      <w:pPr>
        <w:jc w:val="both"/>
        <w:ind w:left="1300" w:right="939"/>
        <w:spacing w:after="0" w:line="255" w:lineRule="auto"/>
        <w:rPr>
          <w:sz w:val="20"/>
          <w:szCs w:val="20"/>
          <w:color w:val="auto"/>
        </w:rPr>
      </w:pPr>
      <w:r>
        <w:rPr>
          <w:rFonts w:ascii="Times New Roman" w:cs="Times New Roman" w:eastAsia="Times New Roman" w:hAnsi="Times New Roman"/>
          <w:sz w:val="16"/>
          <w:szCs w:val="16"/>
          <w:color w:val="auto"/>
        </w:rPr>
        <w:t>To the extent not utilized to consummate the Business Combination, the proceeds from the Trust Account will be used for general corporate purposes, including, but not limited to, working capital for operations, capital expenditures and future acquisitions. FS Development will agree that it (or its successor) will file with the SEC a registration statement registering the resale of the shares purchased in the PIPE Investment and maintain an effective registration statement under the Securities Act covering such securities and certain other securities of the Combined Entity.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 w:name="page20"/>
    <w:bookmarkEnd w:id="1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1300" w:hanging="381"/>
        <w:spacing w:after="0"/>
        <w:tabs>
          <w:tab w:leader="none" w:pos="130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votes do I have at the Special Meeting?</w:t>
      </w:r>
    </w:p>
    <w:p>
      <w:pPr>
        <w:spacing w:after="0" w:line="141" w:lineRule="exact"/>
        <w:rPr>
          <w:sz w:val="20"/>
          <w:szCs w:val="20"/>
          <w:color w:val="auto"/>
        </w:rPr>
      </w:pPr>
    </w:p>
    <w:p>
      <w:pPr>
        <w:jc w:val="both"/>
        <w:ind w:left="1300" w:right="939" w:hanging="381"/>
        <w:spacing w:after="0" w:line="265" w:lineRule="auto"/>
        <w:tabs>
          <w:tab w:leader="none" w:pos="147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stockholders are entitled to one vote at the Special Meeting for each share of FS Development Common Stock held as of the Record Date. As of the close of business on the Record Date, there were 15,535,250 outstanding shares of FS Development Common Stock.</w:t>
      </w:r>
    </w:p>
    <w:p>
      <w:pPr>
        <w:spacing w:after="0" w:line="94" w:lineRule="exact"/>
        <w:rPr>
          <w:sz w:val="20"/>
          <w:szCs w:val="20"/>
          <w:color w:val="auto"/>
        </w:rPr>
      </w:pPr>
    </w:p>
    <w:p>
      <w:pPr>
        <w:ind w:left="1300" w:right="939" w:hanging="381"/>
        <w:spacing w:after="0" w:line="283" w:lineRule="auto"/>
        <w:tabs>
          <w:tab w:leader="none" w:pos="1449"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May FS Development, the Sponsor or FS Development’s directors, officers, advisors or their affiliates purchase shares in connection with the Business Combination?</w:t>
      </w:r>
    </w:p>
    <w:p>
      <w:pPr>
        <w:spacing w:after="0" w:line="70" w:lineRule="exact"/>
        <w:rPr>
          <w:sz w:val="20"/>
          <w:szCs w:val="20"/>
          <w:color w:val="auto"/>
        </w:rPr>
      </w:pPr>
    </w:p>
    <w:p>
      <w:pPr>
        <w:jc w:val="both"/>
        <w:ind w:left="1300" w:right="939" w:hanging="381"/>
        <w:spacing w:after="0" w:line="269" w:lineRule="auto"/>
        <w:tabs>
          <w:tab w:leader="none" w:pos="137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97" w:lineRule="exact"/>
        <w:rPr>
          <w:sz w:val="20"/>
          <w:szCs w:val="20"/>
          <w:color w:val="auto"/>
        </w:rPr>
      </w:pPr>
    </w:p>
    <w:p>
      <w:pPr>
        <w:ind w:left="1300" w:hanging="381"/>
        <w:spacing w:after="0"/>
        <w:tabs>
          <w:tab w:leader="none" w:pos="130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constitutes a quorum at the Special Meeting?</w:t>
      </w:r>
    </w:p>
    <w:p>
      <w:pPr>
        <w:spacing w:after="0" w:line="141" w:lineRule="exact"/>
        <w:rPr>
          <w:sz w:val="20"/>
          <w:szCs w:val="20"/>
          <w:color w:val="auto"/>
        </w:rPr>
      </w:pPr>
    </w:p>
    <w:p>
      <w:pPr>
        <w:jc w:val="both"/>
        <w:ind w:left="1300" w:right="939" w:hanging="381"/>
        <w:spacing w:after="0" w:line="259" w:lineRule="auto"/>
        <w:tabs>
          <w:tab w:leader="none" w:pos="135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a majority in voting power of FS Development Common Stock issued and outstanding and entitled to vote at the Special Meeting constitute a quorum. In the absence of a quorum, the chairman of the meeting has power to adjourn the Special Meeting. As of the Record Date, 7,767,626 shares of FS Development Common Stock would be required to achieve a quorum.</w:t>
      </w:r>
    </w:p>
    <w:p>
      <w:pPr>
        <w:spacing w:after="0" w:line="88" w:lineRule="exact"/>
        <w:rPr>
          <w:sz w:val="20"/>
          <w:szCs w:val="20"/>
          <w:color w:val="auto"/>
        </w:rPr>
      </w:pPr>
    </w:p>
    <w:p>
      <w:pPr>
        <w:ind w:left="1300" w:hanging="381"/>
        <w:spacing w:after="0"/>
        <w:tabs>
          <w:tab w:leader="none" w:pos="130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will the Sponsor, directors and officers vote?</w:t>
      </w:r>
    </w:p>
    <w:p>
      <w:pPr>
        <w:spacing w:after="0" w:line="141" w:lineRule="exact"/>
        <w:rPr>
          <w:sz w:val="20"/>
          <w:szCs w:val="20"/>
          <w:color w:val="auto"/>
        </w:rPr>
      </w:pPr>
    </w:p>
    <w:p>
      <w:pPr>
        <w:jc w:val="both"/>
        <w:ind w:left="1300" w:right="939" w:hanging="381"/>
        <w:spacing w:after="0" w:line="253" w:lineRule="auto"/>
        <w:tabs>
          <w:tab w:leader="none" w:pos="131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as FS Development’s initial stockholder, has agreed to vote its Founders Shares (as well as any Public Shares purchased during or after the FS Development IPO) in favor of the Business Combination. As of the date of this proxy statement/prospectus, the Sponsor owns approximately 21.7% of the issued and outstanding shares of FS Development Common Stock, including all of the Founders Shares, and will be able to vote all such shares at the Special Meeting. Accordingly, it is more likely that the necessary stockholder approval will be received than would be the case if the Sponsor agreed to vote their Founders Shares in accordance with the majority of the votes cast by FS Development’s public stockholders.</w:t>
      </w:r>
    </w:p>
    <w:p>
      <w:pPr>
        <w:spacing w:after="0" w:line="107" w:lineRule="exact"/>
        <w:rPr>
          <w:sz w:val="20"/>
          <w:szCs w:val="20"/>
          <w:color w:val="auto"/>
        </w:rPr>
      </w:pPr>
    </w:p>
    <w:p>
      <w:pPr>
        <w:ind w:left="1300" w:right="939" w:hanging="381"/>
        <w:spacing w:after="0" w:line="283" w:lineRule="auto"/>
        <w:tabs>
          <w:tab w:leader="none" w:pos="1547"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interests do FS Development’s current officers and directors have in the Business Combination?</w:t>
      </w:r>
    </w:p>
    <w:p>
      <w:pPr>
        <w:spacing w:after="0" w:line="70" w:lineRule="exact"/>
        <w:rPr>
          <w:sz w:val="20"/>
          <w:szCs w:val="20"/>
          <w:color w:val="auto"/>
        </w:rPr>
      </w:pPr>
    </w:p>
    <w:p>
      <w:pPr>
        <w:jc w:val="both"/>
        <w:ind w:left="1300" w:right="939" w:hanging="381"/>
        <w:spacing w:after="0" w:line="265" w:lineRule="auto"/>
        <w:tabs>
          <w:tab w:leader="none" w:pos="129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members of the Board and its executive officers have interests in the Business Combination that are different from or in addition to (and which may conflict with) your interest. These interests include, among other things:</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52" w:lineRule="auto"/>
        <w:tabs>
          <w:tab w:leader="none" w:pos="192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 w:name="page21"/>
    <w:bookmarkEnd w:id="2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7" w:lineRule="auto"/>
        <w:tabs>
          <w:tab w:leader="none" w:pos="181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Robert Carey, Daniel Dubin and Deepa Pakianathan.</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75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Simultaneously with the closing of the FS Development IPO, FS Development consummated the sale of 441,500 shares of FS Development Class A Common Stock (the “</w:t>
      </w:r>
      <w:r>
        <w:rPr>
          <w:rFonts w:ascii="Times New Roman" w:cs="Times New Roman" w:eastAsia="Times New Roman" w:hAnsi="Times New Roman"/>
          <w:sz w:val="16"/>
          <w:szCs w:val="16"/>
          <w:b w:val="1"/>
          <w:bCs w:val="1"/>
          <w:color w:val="auto"/>
        </w:rPr>
        <w:t>Private Placement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at a price of $10.00 per share in a private placement to the Sponsor. If FS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05"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86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90"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8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90" w:lineRule="auto"/>
        <w:tabs>
          <w:tab w:leader="none" w:pos="1672"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79" w:lineRule="exact"/>
        <w:rPr>
          <w:rFonts w:ascii="Times New Roman" w:cs="Times New Roman" w:eastAsia="Times New Roman" w:hAnsi="Times New Roman"/>
          <w:sz w:val="15"/>
          <w:szCs w:val="15"/>
          <w:color w:val="auto"/>
        </w:rPr>
      </w:pPr>
    </w:p>
    <w:p>
      <w:pPr>
        <w:jc w:val="both"/>
        <w:ind w:left="1680" w:right="939" w:hanging="379"/>
        <w:spacing w:after="0" w:line="253" w:lineRule="auto"/>
        <w:tabs>
          <w:tab w:leader="none" w:pos="176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97"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0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0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0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FS Development will continue to indemnify FS Development’s existing directors and officers and will maintain a directors’ and officers’ liability insurance policy.</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83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95" w:lineRule="exact"/>
        <w:rPr>
          <w:sz w:val="20"/>
          <w:szCs w:val="20"/>
          <w:color w:val="auto"/>
        </w:rPr>
      </w:pPr>
    </w:p>
    <w:p>
      <w:pPr>
        <w:ind w:left="1300" w:right="939"/>
        <w:spacing w:after="0" w:line="280" w:lineRule="auto"/>
        <w:rPr>
          <w:sz w:val="20"/>
          <w:szCs w:val="20"/>
          <w:color w:val="auto"/>
        </w:rPr>
      </w:pPr>
      <w:r>
        <w:rPr>
          <w:rFonts w:ascii="Times New Roman" w:cs="Times New Roman" w:eastAsia="Times New Roman" w:hAnsi="Times New Roman"/>
          <w:sz w:val="16"/>
          <w:szCs w:val="16"/>
          <w:color w:val="auto"/>
        </w:rPr>
        <w:t>These interests may influence FS Development’s directors in making their recommendation that you vote in favor of the approval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 w:name="page22"/>
    <w:bookmarkEnd w:id="2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1300" w:hanging="381"/>
        <w:spacing w:after="0"/>
        <w:tabs>
          <w:tab w:leader="none" w:pos="130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I sell my shares of FS Development Common Stock before the Special Meeting?</w:t>
      </w:r>
    </w:p>
    <w:p>
      <w:pPr>
        <w:spacing w:after="0" w:line="141" w:lineRule="exact"/>
        <w:rPr>
          <w:sz w:val="20"/>
          <w:szCs w:val="20"/>
          <w:color w:val="auto"/>
        </w:rPr>
      </w:pPr>
    </w:p>
    <w:p>
      <w:pPr>
        <w:jc w:val="both"/>
        <w:ind w:left="1300" w:right="939" w:hanging="381"/>
        <w:spacing w:after="0" w:line="254" w:lineRule="auto"/>
        <w:tabs>
          <w:tab w:leader="none" w:pos="146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 Date is earlier than the date of the Special Meeting. If you transfer your shares of FS Development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Closing. If you transfer your shares of FS Development Common Stock prior to the Record Date, you will have no right to vote those shares at the Special Meeting or redeem those shares for a pro rata portion of the proceeds held in our Trust Account.</w:t>
      </w:r>
    </w:p>
    <w:p>
      <w:pPr>
        <w:spacing w:after="0" w:line="105" w:lineRule="exact"/>
        <w:rPr>
          <w:sz w:val="20"/>
          <w:szCs w:val="20"/>
          <w:color w:val="auto"/>
        </w:rPr>
      </w:pPr>
    </w:p>
    <w:p>
      <w:pPr>
        <w:ind w:left="1300" w:hanging="381"/>
        <w:spacing w:after="0"/>
        <w:tabs>
          <w:tab w:leader="none" w:pos="130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I vote against the Business Combination Proposal?</w:t>
      </w:r>
    </w:p>
    <w:p>
      <w:pPr>
        <w:spacing w:after="0" w:line="129" w:lineRule="exact"/>
        <w:rPr>
          <w:sz w:val="20"/>
          <w:szCs w:val="20"/>
          <w:color w:val="auto"/>
        </w:rPr>
      </w:pPr>
    </w:p>
    <w:p>
      <w:pPr>
        <w:jc w:val="both"/>
        <w:ind w:left="1300" w:right="939" w:hanging="381"/>
        <w:spacing w:after="0" w:line="259" w:lineRule="auto"/>
        <w:tabs>
          <w:tab w:leader="none" w:pos="1280" w:val="left"/>
        </w:tabs>
        <w:rPr>
          <w:sz w:val="20"/>
          <w:szCs w:val="20"/>
          <w:color w:val="auto"/>
        </w:rPr>
      </w:pPr>
      <w:r>
        <w:rPr>
          <w:rFonts w:ascii="Times New Roman" w:cs="Times New Roman" w:eastAsia="Times New Roman" w:hAnsi="Times New Roman"/>
          <w:sz w:val="16"/>
          <w:szCs w:val="16"/>
          <w:color w:val="auto"/>
        </w:rPr>
        <w:t>A:</w:t>
        <w:tab/>
        <w:t>Pursuant to the Current Charter, if the Business Combination Proposal is not approved and FS Development does not otherwise consummate an alternative business combination by August 14, 2022, FS Development will be required to dissolve and liquidate its Trust Account by returning the then remaining funds in such account to the public stockholders.</w:t>
      </w:r>
    </w:p>
    <w:p>
      <w:pPr>
        <w:spacing w:after="0" w:line="100" w:lineRule="exact"/>
        <w:rPr>
          <w:sz w:val="20"/>
          <w:szCs w:val="20"/>
          <w:color w:val="auto"/>
        </w:rPr>
      </w:pPr>
    </w:p>
    <w:p>
      <w:pPr>
        <w:ind w:left="1300" w:hanging="381"/>
        <w:spacing w:after="0"/>
        <w:tabs>
          <w:tab w:leader="none" w:pos="130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 I have redemption rights?</w:t>
      </w:r>
    </w:p>
    <w:p>
      <w:pPr>
        <w:spacing w:after="0" w:line="141" w:lineRule="exact"/>
        <w:rPr>
          <w:sz w:val="20"/>
          <w:szCs w:val="20"/>
          <w:color w:val="auto"/>
        </w:rPr>
      </w:pPr>
    </w:p>
    <w:p>
      <w:pPr>
        <w:jc w:val="both"/>
        <w:ind w:left="1300" w:right="939" w:hanging="381"/>
        <w:spacing w:after="0" w:line="253" w:lineRule="auto"/>
        <w:tabs>
          <w:tab w:leader="none" w:pos="131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Current Charter, holders of Public Shares may elect to have their shares redeemed for cash at the applicable redemption price per share calculated in accordance with the Current Charter. As of September 30, 2020, based on funds in the Trust Account of approximately $120,751,489, this would have amounted to approximately $10.73 per share. If a holder exercises its redemption rights, then such holder will be exchanging its Public Shares for cash. Such a holder will be entitled to receive cash for its Public Shares only if it properly demands redemption and delivers its shares (either physically or electronically) to FS Development’s transfer agent prior to the Special Meeting. See the section titled “</w:t>
      </w:r>
      <w:r>
        <w:rPr>
          <w:rFonts w:ascii="Times New Roman" w:cs="Times New Roman" w:eastAsia="Times New Roman" w:hAnsi="Times New Roman"/>
          <w:sz w:val="16"/>
          <w:szCs w:val="16"/>
          <w:i w:val="1"/>
          <w:iCs w:val="1"/>
          <w:color w:val="auto"/>
        </w:rPr>
        <w:t>Special Meeting of FS Development Stockholders — Redemption Rights</w:t>
      </w:r>
      <w:r>
        <w:rPr>
          <w:rFonts w:ascii="Times New Roman" w:cs="Times New Roman" w:eastAsia="Times New Roman" w:hAnsi="Times New Roman"/>
          <w:sz w:val="16"/>
          <w:szCs w:val="16"/>
          <w:color w:val="auto"/>
        </w:rPr>
        <w:t>” for the procedures to be followed if you wish to redeem your shares for cash.</w:t>
      </w:r>
    </w:p>
    <w:p>
      <w:pPr>
        <w:spacing w:after="0" w:line="93" w:lineRule="exact"/>
        <w:rPr>
          <w:sz w:val="20"/>
          <w:szCs w:val="20"/>
          <w:color w:val="auto"/>
        </w:rPr>
      </w:pPr>
    </w:p>
    <w:p>
      <w:pPr>
        <w:ind w:left="1300" w:hanging="381"/>
        <w:spacing w:after="0"/>
        <w:tabs>
          <w:tab w:leader="none" w:pos="130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Will how I vote affect my ability to exercise redemption rights?</w:t>
      </w:r>
    </w:p>
    <w:p>
      <w:pPr>
        <w:spacing w:after="0" w:line="141" w:lineRule="exact"/>
        <w:rPr>
          <w:sz w:val="20"/>
          <w:szCs w:val="20"/>
          <w:color w:val="auto"/>
        </w:rPr>
      </w:pPr>
    </w:p>
    <w:p>
      <w:pPr>
        <w:jc w:val="both"/>
        <w:ind w:left="1300" w:right="939" w:hanging="381"/>
        <w:spacing w:after="0" w:line="255" w:lineRule="auto"/>
        <w:tabs>
          <w:tab w:leader="none" w:pos="149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You may exercise your redemption rights whether you vote your Public Shares “FOR” or “AGAINST” the Business Combination Proposal or any other proposal described by this proxy statement/prospectus. As a result, the Merger Agreement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listing standards of the Nasdaq Capital Market.</w:t>
      </w:r>
    </w:p>
    <w:p>
      <w:pPr>
        <w:spacing w:after="0" w:line="104" w:lineRule="exact"/>
        <w:rPr>
          <w:sz w:val="20"/>
          <w:szCs w:val="20"/>
          <w:color w:val="auto"/>
        </w:rPr>
      </w:pPr>
    </w:p>
    <w:p>
      <w:pPr>
        <w:ind w:left="1300" w:hanging="381"/>
        <w:spacing w:after="0"/>
        <w:tabs>
          <w:tab w:leader="none" w:pos="130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do I exercise my redemption rights?</w:t>
      </w:r>
    </w:p>
    <w:p>
      <w:pPr>
        <w:spacing w:after="0" w:line="129" w:lineRule="exact"/>
        <w:rPr>
          <w:sz w:val="20"/>
          <w:szCs w:val="20"/>
          <w:color w:val="auto"/>
        </w:rPr>
      </w:pPr>
    </w:p>
    <w:p>
      <w:pPr>
        <w:jc w:val="both"/>
        <w:ind w:left="1300" w:right="939" w:hanging="381"/>
        <w:spacing w:after="0" w:line="256" w:lineRule="auto"/>
        <w:tabs>
          <w:tab w:leader="none" w:pos="128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order to exercise your redemption rights, you must prior to 5:00 PM, Eastern time, on February 1, 2021 (two (2) business days before the Special Meeting), tender your shares physically or electronically and submit a request in writing that FS Development redeem your Public Shares for cash to </w:t>
      </w:r>
      <w:r>
        <w:rPr>
          <w:rFonts w:ascii="Times New Roman" w:cs="Times New Roman" w:eastAsia="Times New Roman" w:hAnsi="Times New Roman"/>
          <w:sz w:val="16"/>
          <w:szCs w:val="16"/>
          <w:b w:val="1"/>
          <w:bCs w:val="1"/>
          <w:color w:val="auto"/>
        </w:rPr>
        <w:t>Continental</w:t>
      </w:r>
    </w:p>
    <w:p>
      <w:pPr>
        <w:spacing w:after="0" w:line="1"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 Transfer &amp; Trust Company, our transfer agent, at the following address:</w:t>
      </w:r>
    </w:p>
    <w:p>
      <w:pPr>
        <w:spacing w:after="0" w:line="1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Continental Stock Transfer &amp; Trust Company</w:t>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One State Street Plaza, 30</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ind w:left="1680"/>
        <w:spacing w:after="0"/>
        <w:rPr>
          <w:sz w:val="20"/>
          <w:szCs w:val="20"/>
          <w:color w:val="auto"/>
        </w:rPr>
      </w:pPr>
      <w:r>
        <w:rPr>
          <w:rFonts w:ascii="Times New Roman" w:cs="Times New Roman" w:eastAsia="Times New Roman" w:hAnsi="Times New Roman"/>
          <w:sz w:val="16"/>
          <w:szCs w:val="16"/>
          <w:b w:val="1"/>
          <w:bCs w:val="1"/>
          <w:color w:val="auto"/>
        </w:rPr>
        <w:t>New York, New York 10004</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Attn: Mark Zimkind</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E-mail: mzimkind@continentalstock.com</w:t>
      </w:r>
    </w:p>
    <w:p>
      <w:pPr>
        <w:spacing w:after="0" w:line="120" w:lineRule="exact"/>
        <w:rPr>
          <w:sz w:val="20"/>
          <w:szCs w:val="20"/>
          <w:color w:val="auto"/>
        </w:rPr>
      </w:pPr>
    </w:p>
    <w:p>
      <w:pPr>
        <w:jc w:val="both"/>
        <w:ind w:left="1300" w:right="93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In the written request to redeem your Public Share for cash to Continental Stock Transfer &amp; Trust Company, please provide a </w:t>
      </w:r>
      <w:r>
        <w:rPr>
          <w:rFonts w:ascii="Times New Roman" w:cs="Times New Roman" w:eastAsia="Times New Roman" w:hAnsi="Times New Roman"/>
          <w:sz w:val="16"/>
          <w:szCs w:val="16"/>
          <w:color w:val="auto"/>
        </w:rPr>
        <w:t>“Stockholder Certification” if you are not acting in concert or as a “group”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defined in Section 13d-3 of the Exchange Act) with any other stockholder with respect to shares of FS Development Class A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20% or more of the shares of FS Development Class A Common Stock issued in the FS Development IPO, which is referred to as the “20% threshold” in this proxy statement/prospectus. Accordingly, all Public Shares in excess of the 20% threshold beneficially owned by a public stockholder or group will not be redeemed for cash.</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 w:name="page23"/>
    <w:bookmarkEnd w:id="2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300" w:right="939"/>
        <w:spacing w:after="0" w:line="254" w:lineRule="auto"/>
        <w:rPr>
          <w:sz w:val="20"/>
          <w:szCs w:val="20"/>
          <w:color w:val="auto"/>
        </w:rPr>
      </w:pPr>
      <w:r>
        <w:rPr>
          <w:rFonts w:ascii="Times New Roman" w:cs="Times New Roman" w:eastAsia="Times New Roman" w:hAnsi="Times New Roman"/>
          <w:sz w:val="16"/>
          <w:szCs w:val="16"/>
          <w:color w:val="auto"/>
        </w:rPr>
        <w:t>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07" w:lineRule="exact"/>
        <w:rPr>
          <w:sz w:val="20"/>
          <w:szCs w:val="20"/>
          <w:color w:val="auto"/>
        </w:rPr>
      </w:pPr>
    </w:p>
    <w:p>
      <w:pPr>
        <w:jc w:val="both"/>
        <w:ind w:left="1300" w:right="939"/>
        <w:spacing w:after="0" w:line="254" w:lineRule="auto"/>
        <w:rPr>
          <w:sz w:val="20"/>
          <w:szCs w:val="20"/>
          <w:color w:val="auto"/>
        </w:rPr>
      </w:pPr>
      <w:r>
        <w:rPr>
          <w:rFonts w:ascii="Times New Roman" w:cs="Times New Roman" w:eastAsia="Times New Roman" w:hAnsi="Times New Roman"/>
          <w:sz w:val="16"/>
          <w:szCs w:val="16"/>
          <w:color w:val="auto"/>
        </w:rPr>
        <w:t>Any demand for redemption, once made, may be withdrawn at any time until the deadline for exercising redemption requests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under the question “Who can help answer my questions?” below.</w:t>
      </w:r>
    </w:p>
    <w:p>
      <w:pPr>
        <w:spacing w:after="0" w:line="105" w:lineRule="exact"/>
        <w:rPr>
          <w:sz w:val="20"/>
          <w:szCs w:val="20"/>
          <w:color w:val="auto"/>
        </w:rPr>
      </w:pPr>
    </w:p>
    <w:p>
      <w:pPr>
        <w:ind w:left="1300" w:hanging="381"/>
        <w:spacing w:after="0"/>
        <w:tabs>
          <w:tab w:leader="none" w:pos="130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U.S. federal income tax consequences of exercising my redemption rights?</w:t>
      </w:r>
    </w:p>
    <w:p>
      <w:pPr>
        <w:spacing w:after="0" w:line="129" w:lineRule="exact"/>
        <w:rPr>
          <w:sz w:val="20"/>
          <w:szCs w:val="20"/>
          <w:color w:val="auto"/>
        </w:rPr>
      </w:pPr>
    </w:p>
    <w:p>
      <w:pPr>
        <w:jc w:val="both"/>
        <w:ind w:left="1300" w:right="939" w:hanging="381"/>
        <w:spacing w:after="0" w:line="251" w:lineRule="auto"/>
        <w:tabs>
          <w:tab w:leader="none" w:pos="149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income tax consequences of FS Development stockholders who exercise their redemption rights to receive cash in exchange for their Public Shares depend on the stockholder’s particular facts and circumstances. Such stockholder generally will be required to treat the transaction as a sale of such shares and recognize gain or loss upon the redemption in an amount equal to the difference, if any, between the amount of cash received and the tax basis of the Public Shares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Public Shares, and any remaining amount will be treated as gain realized on the sale or other disposition of Public Shares. These tax consequences are described in more detail in the section titled “</w:t>
      </w:r>
      <w:r>
        <w:rPr>
          <w:rFonts w:ascii="Times New Roman" w:cs="Times New Roman" w:eastAsia="Times New Roman" w:hAnsi="Times New Roman"/>
          <w:sz w:val="16"/>
          <w:szCs w:val="16"/>
          <w:i w:val="1"/>
          <w:iCs w:val="1"/>
          <w:color w:val="auto"/>
        </w:rPr>
        <w:t>The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Combination Proposal — The Merger Agreement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Certain Material U.S. Federal Income Tax Considerations of the Redemption</w:t>
      </w:r>
      <w:r>
        <w:rPr>
          <w:rFonts w:ascii="Times New Roman" w:cs="Times New Roman" w:eastAsia="Times New Roman" w:hAnsi="Times New Roman"/>
          <w:sz w:val="16"/>
          <w:szCs w:val="16"/>
          <w:color w:val="auto"/>
        </w:rPr>
        <w:t>.” We urge you to consult your tax advisor regarding the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consequences of exercising your redemption rights.</w:t>
      </w:r>
    </w:p>
    <w:p>
      <w:pPr>
        <w:spacing w:after="0" w:line="106" w:lineRule="exact"/>
        <w:rPr>
          <w:sz w:val="20"/>
          <w:szCs w:val="20"/>
          <w:color w:val="auto"/>
        </w:rPr>
      </w:pPr>
    </w:p>
    <w:p>
      <w:pPr>
        <w:ind w:left="1300" w:hanging="381"/>
        <w:spacing w:after="0"/>
        <w:tabs>
          <w:tab w:leader="none" w:pos="130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 I have dissenter rights if I object to the proposed Business Combination?</w:t>
      </w:r>
    </w:p>
    <w:p>
      <w:pPr>
        <w:spacing w:after="0" w:line="141" w:lineRule="exact"/>
        <w:rPr>
          <w:sz w:val="20"/>
          <w:szCs w:val="20"/>
          <w:color w:val="auto"/>
        </w:rPr>
      </w:pPr>
    </w:p>
    <w:p>
      <w:pPr>
        <w:jc w:val="both"/>
        <w:ind w:left="1300" w:right="939" w:hanging="381"/>
        <w:spacing w:after="0" w:line="252" w:lineRule="auto"/>
        <w:tabs>
          <w:tab w:leader="none" w:pos="135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FS Development stockholders are not entitled to exercise dissenters’ rights under Delaware law in connection with the Business Combination. Dissenters’ rights are unavailable under Delaware law in connection with the Business Combination to holders of FS Development Class A Common Stock because it is currently listed on a national securities exchange and such holders are not required to receive any consideration (other than continuing to hold their shares of FS Development Class A Common Stock, which will become an equal number of shares of Common Stock of the Combined Entity after giving effect to the Business Combination). Holders of FS Development Class A Common Stock may vote against the Business Combination Proposal or redeem their Public Shares if they are not in favor of the adoption of the Merger Agreement or the Business Combination. Dissenters’ rights are unavailable under Delaware law in connection with the Business Combination to holders of FS Development Class B Common Stock because they have agreed to vote in favor of the Business Combination.</w:t>
      </w:r>
    </w:p>
    <w:p>
      <w:pPr>
        <w:spacing w:after="0" w:line="96" w:lineRule="exact"/>
        <w:rPr>
          <w:sz w:val="20"/>
          <w:szCs w:val="20"/>
          <w:color w:val="auto"/>
        </w:rPr>
      </w:pPr>
    </w:p>
    <w:p>
      <w:pPr>
        <w:ind w:left="1300" w:hanging="381"/>
        <w:spacing w:after="0"/>
        <w:tabs>
          <w:tab w:leader="none" w:pos="130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to the funds held in the Trust Account upon Closing?</w:t>
      </w:r>
    </w:p>
    <w:p>
      <w:pPr>
        <w:spacing w:after="0" w:line="141" w:lineRule="exact"/>
        <w:rPr>
          <w:sz w:val="20"/>
          <w:szCs w:val="20"/>
          <w:color w:val="auto"/>
        </w:rPr>
      </w:pPr>
    </w:p>
    <w:p>
      <w:pPr>
        <w:ind w:left="1280" w:hanging="361"/>
        <w:spacing w:after="0"/>
        <w:tabs>
          <w:tab w:leader="none" w:pos="12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Business Combination is consummated, the funds held in the Trust Account will be released to pay:</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stockholders who properly exercise their redemption rights;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underwriters their deferred underwriting commissions;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96"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 w:name="page24"/>
    <w:bookmarkEnd w:id="2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hanging="379"/>
        <w:spacing w:after="0"/>
        <w:tabs>
          <w:tab w:leader="none" w:pos="168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unpaid franchise and income taxes of FS Development; and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general corporate purposes including, but not limited to, working capital for operations, capital expenditures and future potential acquisitions.</w:t>
      </w:r>
    </w:p>
    <w:p>
      <w:pPr>
        <w:spacing w:after="0" w:line="82" w:lineRule="exact"/>
        <w:rPr>
          <w:rFonts w:ascii="Times New Roman" w:cs="Times New Roman" w:eastAsia="Times New Roman" w:hAnsi="Times New Roman"/>
          <w:sz w:val="16"/>
          <w:szCs w:val="16"/>
          <w:color w:val="auto"/>
        </w:rPr>
      </w:pPr>
    </w:p>
    <w:p>
      <w:pPr>
        <w:ind w:left="1300" w:hanging="381"/>
        <w:spacing w:after="0"/>
        <w:tabs>
          <w:tab w:leader="none" w:pos="130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the Business Combination is not consummated?</w:t>
      </w:r>
    </w:p>
    <w:p>
      <w:pPr>
        <w:spacing w:after="0" w:line="129" w:lineRule="exact"/>
        <w:rPr>
          <w:sz w:val="20"/>
          <w:szCs w:val="20"/>
          <w:color w:val="auto"/>
        </w:rPr>
      </w:pPr>
    </w:p>
    <w:p>
      <w:pPr>
        <w:jc w:val="both"/>
        <w:ind w:left="1300" w:right="939" w:hanging="381"/>
        <w:spacing w:after="0" w:line="265" w:lineRule="auto"/>
        <w:tabs>
          <w:tab w:leader="none" w:pos="133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certain circumstances under which the Merger Agreement may be terminated. See the section titled “</w:t>
      </w:r>
      <w:r>
        <w:rPr>
          <w:rFonts w:ascii="Times New Roman" w:cs="Times New Roman" w:eastAsia="Times New Roman" w:hAnsi="Times New Roman"/>
          <w:sz w:val="16"/>
          <w:szCs w:val="16"/>
          <w:i w:val="1"/>
          <w:iCs w:val="1"/>
          <w:color w:val="auto"/>
        </w:rPr>
        <w:t>The Business Combination Proposal — The Merger Agreement — Termination</w:t>
      </w:r>
      <w:r>
        <w:rPr>
          <w:rFonts w:ascii="Times New Roman" w:cs="Times New Roman" w:eastAsia="Times New Roman" w:hAnsi="Times New Roman"/>
          <w:sz w:val="16"/>
          <w:szCs w:val="16"/>
          <w:color w:val="auto"/>
        </w:rPr>
        <w:t>” for information regarding the parties’ specific termination rights.</w:t>
      </w:r>
    </w:p>
    <w:p>
      <w:pPr>
        <w:spacing w:after="0" w:line="96" w:lineRule="exact"/>
        <w:rPr>
          <w:sz w:val="20"/>
          <w:szCs w:val="20"/>
          <w:color w:val="auto"/>
        </w:rPr>
      </w:pPr>
    </w:p>
    <w:p>
      <w:pPr>
        <w:jc w:val="both"/>
        <w:ind w:left="1300" w:right="939"/>
        <w:spacing w:after="0" w:line="252" w:lineRule="auto"/>
        <w:rPr>
          <w:sz w:val="20"/>
          <w:szCs w:val="20"/>
          <w:color w:val="auto"/>
        </w:rPr>
      </w:pPr>
      <w:r>
        <w:rPr>
          <w:rFonts w:ascii="Times New Roman" w:cs="Times New Roman" w:eastAsia="Times New Roman" w:hAnsi="Times New Roman"/>
          <w:sz w:val="16"/>
          <w:szCs w:val="16"/>
          <w:color w:val="auto"/>
        </w:rPr>
        <w:t>If, as a result of the termination of the Merger Agreement or otherwise, FS Development is unable to complete the Business Combination or another initial business combination transaction by August 14, 2022, the Current Charter provides that it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the DGCL to provide for claims of creditors and the requirements of other applicable law.</w:t>
      </w:r>
    </w:p>
    <w:p>
      <w:pPr>
        <w:spacing w:after="0" w:line="106" w:lineRule="exact"/>
        <w:rPr>
          <w:sz w:val="20"/>
          <w:szCs w:val="20"/>
          <w:color w:val="auto"/>
        </w:rPr>
      </w:pPr>
    </w:p>
    <w:p>
      <w:pPr>
        <w:jc w:val="both"/>
        <w:ind w:left="1300" w:right="939"/>
        <w:spacing w:after="0" w:line="255" w:lineRule="auto"/>
        <w:rPr>
          <w:sz w:val="20"/>
          <w:szCs w:val="20"/>
          <w:color w:val="auto"/>
        </w:rPr>
      </w:pPr>
      <w:r>
        <w:rPr>
          <w:rFonts w:ascii="Times New Roman" w:cs="Times New Roman" w:eastAsia="Times New Roman" w:hAnsi="Times New Roman"/>
          <w:sz w:val="16"/>
          <w:szCs w:val="16"/>
          <w:color w:val="auto"/>
        </w:rPr>
        <w:t>FS Development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FS Development’s obligations under the DGCL to provide for claims of creditors and other requirements of applicable law. Holders of Founders Shares have waived any right to any liquidating distribution with respect to those shares.</w:t>
      </w:r>
    </w:p>
    <w:p>
      <w:pPr>
        <w:spacing w:after="0" w:line="92" w:lineRule="exact"/>
        <w:rPr>
          <w:sz w:val="20"/>
          <w:szCs w:val="20"/>
          <w:color w:val="auto"/>
        </w:rPr>
      </w:pPr>
    </w:p>
    <w:p>
      <w:pPr>
        <w:ind w:left="1300" w:hanging="381"/>
        <w:spacing w:after="0"/>
        <w:tabs>
          <w:tab w:leader="none" w:pos="130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When is the Business Combination expected to be completed?</w:t>
      </w:r>
    </w:p>
    <w:p>
      <w:pPr>
        <w:spacing w:after="0" w:line="141" w:lineRule="exact"/>
        <w:rPr>
          <w:sz w:val="20"/>
          <w:szCs w:val="20"/>
          <w:color w:val="auto"/>
        </w:rPr>
      </w:pPr>
    </w:p>
    <w:p>
      <w:pPr>
        <w:jc w:val="both"/>
        <w:ind w:left="1300" w:right="939" w:hanging="381"/>
        <w:spacing w:after="0" w:line="255" w:lineRule="auto"/>
        <w:tabs>
          <w:tab w:leader="none" w:pos="131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Closing is expected to take place (a) the second business day following the satisfaction or waiver of the conditions described below under the section titled </w:t>
      </w:r>
      <w:r>
        <w:rPr>
          <w:rFonts w:ascii="Times New Roman" w:cs="Times New Roman" w:eastAsia="Times New Roman" w:hAnsi="Times New Roman"/>
          <w:sz w:val="16"/>
          <w:szCs w:val="16"/>
          <w:i w:val="1"/>
          <w:iCs w:val="1"/>
          <w:color w:val="auto"/>
        </w:rPr>
        <w:t>“The Business Combination Proposal —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Merger Agreement — Conditions to Closing”</w:t>
      </w:r>
      <w:r>
        <w:rPr>
          <w:rFonts w:ascii="Times New Roman" w:cs="Times New Roman" w:eastAsia="Times New Roman" w:hAnsi="Times New Roman"/>
          <w:sz w:val="16"/>
          <w:szCs w:val="16"/>
          <w:color w:val="auto"/>
        </w:rPr>
        <w:t>; or (b) such other date as agreed to by FS Development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Gemini in writing, in each case, subject to the satisfaction or waiver of the closing conditions. The Merger Agreement may be terminated by either FS Development or Gemini if the Closing has not occurred by April 15, 2021, subject to certain exceptions.</w:t>
      </w:r>
    </w:p>
    <w:p>
      <w:pPr>
        <w:spacing w:after="0" w:line="106" w:lineRule="exact"/>
        <w:rPr>
          <w:sz w:val="20"/>
          <w:szCs w:val="20"/>
          <w:color w:val="auto"/>
        </w:rPr>
      </w:pPr>
    </w:p>
    <w:p>
      <w:pPr>
        <w:ind w:left="1300" w:right="939"/>
        <w:spacing w:after="0" w:line="280" w:lineRule="auto"/>
        <w:rPr>
          <w:sz w:val="20"/>
          <w:szCs w:val="20"/>
          <w:color w:val="auto"/>
        </w:rPr>
      </w:pPr>
      <w:r>
        <w:rPr>
          <w:rFonts w:ascii="Times New Roman" w:cs="Times New Roman" w:eastAsia="Times New Roman" w:hAnsi="Times New Roman"/>
          <w:sz w:val="16"/>
          <w:szCs w:val="16"/>
          <w:color w:val="auto"/>
        </w:rPr>
        <w:t>For a description of the conditions to the completion of the Business Combination, see the section titled “</w:t>
      </w:r>
      <w:r>
        <w:rPr>
          <w:rFonts w:ascii="Times New Roman" w:cs="Times New Roman" w:eastAsia="Times New Roman" w:hAnsi="Times New Roman"/>
          <w:sz w:val="16"/>
          <w:szCs w:val="16"/>
          <w:i w:val="1"/>
          <w:iCs w:val="1"/>
          <w:color w:val="auto"/>
        </w:rPr>
        <w:t>The Business Combination Proposal — The Merger Agreement — Conditions to Closing.</w:t>
      </w:r>
      <w:r>
        <w:rPr>
          <w:rFonts w:ascii="Times New Roman" w:cs="Times New Roman" w:eastAsia="Times New Roman" w:hAnsi="Times New Roman"/>
          <w:sz w:val="16"/>
          <w:szCs w:val="16"/>
          <w:color w:val="auto"/>
        </w:rPr>
        <w:t>”</w:t>
      </w:r>
    </w:p>
    <w:p>
      <w:pPr>
        <w:spacing w:after="0" w:line="71" w:lineRule="exact"/>
        <w:rPr>
          <w:sz w:val="20"/>
          <w:szCs w:val="20"/>
          <w:color w:val="auto"/>
        </w:rPr>
      </w:pPr>
    </w:p>
    <w:p>
      <w:pPr>
        <w:ind w:left="1300" w:hanging="381"/>
        <w:spacing w:after="0"/>
        <w:tabs>
          <w:tab w:leader="none" w:pos="1300"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do I need to do now?</w:t>
      </w:r>
    </w:p>
    <w:p>
      <w:pPr>
        <w:spacing w:after="0" w:line="141" w:lineRule="exact"/>
        <w:rPr>
          <w:sz w:val="20"/>
          <w:szCs w:val="20"/>
          <w:color w:val="auto"/>
        </w:rPr>
      </w:pPr>
    </w:p>
    <w:p>
      <w:pPr>
        <w:jc w:val="both"/>
        <w:ind w:left="1300" w:right="939" w:hanging="381"/>
        <w:spacing w:after="0" w:line="278" w:lineRule="auto"/>
        <w:tabs>
          <w:tab w:leader="none" w:pos="12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86" w:lineRule="exact"/>
        <w:rPr>
          <w:sz w:val="20"/>
          <w:szCs w:val="20"/>
          <w:color w:val="auto"/>
        </w:rPr>
      </w:pPr>
    </w:p>
    <w:p>
      <w:pPr>
        <w:ind w:left="1300" w:hanging="381"/>
        <w:spacing w:after="0"/>
        <w:tabs>
          <w:tab w:leader="none" w:pos="1300"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do I vote?</w:t>
      </w:r>
    </w:p>
    <w:p>
      <w:pPr>
        <w:spacing w:after="0" w:line="129" w:lineRule="exact"/>
        <w:rPr>
          <w:sz w:val="20"/>
          <w:szCs w:val="20"/>
          <w:color w:val="auto"/>
        </w:rPr>
      </w:pPr>
    </w:p>
    <w:p>
      <w:pPr>
        <w:jc w:val="both"/>
        <w:ind w:left="1300" w:right="939" w:hanging="381"/>
        <w:spacing w:after="0" w:line="253" w:lineRule="auto"/>
        <w:tabs>
          <w:tab w:leader="none" w:pos="129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you were a holder of record of FS Development Common Stock on January 15, 2021, the Record Date, you may vote with respect to the applicable proposals online at the Special Meeting or by completing, signing, dating and returning the enclosed proxy card in the postage-paid envelope provided. If you choose to participate in the Special Meeting, you can vote your shares electronically during the Special Meeting via live webcast by visiting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 You will need the 12-digit meeting control number that is printed on your proxy card to enter the Special Meeting. FS Development recommends that you log in at least 15 minutes before the Special Meeting to ensure you are logged in when the Special Meeting starts.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 w:name="page25"/>
    <w:bookmarkEnd w:id="2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300" w:right="939"/>
        <w:spacing w:after="0" w:line="252" w:lineRule="auto"/>
        <w:rPr>
          <w:sz w:val="20"/>
          <w:szCs w:val="20"/>
          <w:color w:val="auto"/>
        </w:rPr>
      </w:pPr>
      <w:r>
        <w:rPr>
          <w:rFonts w:ascii="Times New Roman" w:cs="Times New Roman" w:eastAsia="Times New Roman" w:hAnsi="Times New Roman"/>
          <w:sz w:val="16"/>
          <w:szCs w:val="16"/>
          <w:color w:val="auto"/>
        </w:rPr>
        <w:t xml:space="preserve">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 other agent. You must then e-mail a copy (a legible photograph is sufficient) of your legal proxy to </w:t>
      </w:r>
      <w:r>
        <w:rPr>
          <w:rFonts w:ascii="Times New Roman" w:cs="Times New Roman" w:eastAsia="Times New Roman" w:hAnsi="Times New Roman"/>
          <w:sz w:val="16"/>
          <w:szCs w:val="16"/>
          <w:b w:val="1"/>
          <w:bCs w:val="1"/>
          <w:color w:val="auto"/>
        </w:rPr>
        <w:t>Continental Stock Transfer &amp; Trust Company (“CST”) 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 CST no later than January 31, 2021 to obtain this information</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1300" w:hanging="381"/>
        <w:spacing w:after="0"/>
        <w:tabs>
          <w:tab w:leader="none" w:pos="130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will happen if I abstain from voting or fail to vote at the Special Meeting?</w:t>
      </w:r>
    </w:p>
    <w:p>
      <w:pPr>
        <w:spacing w:after="0" w:line="141" w:lineRule="exact"/>
        <w:rPr>
          <w:sz w:val="20"/>
          <w:szCs w:val="20"/>
          <w:color w:val="auto"/>
        </w:rPr>
      </w:pPr>
    </w:p>
    <w:p>
      <w:pPr>
        <w:jc w:val="both"/>
        <w:ind w:left="1300" w:right="939" w:hanging="381"/>
        <w:spacing w:after="0" w:line="254" w:lineRule="auto"/>
        <w:tabs>
          <w:tab w:leader="none" w:pos="129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Special Meeting, FS Development will count a properly executed proxy card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and the Adjournment Proposal.</w:t>
      </w:r>
    </w:p>
    <w:p>
      <w:pPr>
        <w:spacing w:after="0" w:line="93" w:lineRule="exact"/>
        <w:rPr>
          <w:sz w:val="20"/>
          <w:szCs w:val="20"/>
          <w:color w:val="auto"/>
        </w:rPr>
      </w:pPr>
    </w:p>
    <w:p>
      <w:pPr>
        <w:ind w:left="1300" w:hanging="381"/>
        <w:spacing w:after="0"/>
        <w:tabs>
          <w:tab w:leader="none" w:pos="130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will happen if I sign and return my proxy card without indicating how I wish to vote?</w:t>
      </w:r>
    </w:p>
    <w:p>
      <w:pPr>
        <w:spacing w:after="0" w:line="141" w:lineRule="exact"/>
        <w:rPr>
          <w:sz w:val="20"/>
          <w:szCs w:val="20"/>
          <w:color w:val="auto"/>
        </w:rPr>
      </w:pPr>
    </w:p>
    <w:p>
      <w:pPr>
        <w:jc w:val="both"/>
        <w:ind w:left="1300" w:right="939" w:hanging="381"/>
        <w:spacing w:after="0" w:line="259" w:lineRule="auto"/>
        <w:tabs>
          <w:tab w:leader="none" w:pos="138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Signed and dated proxies received by FS Development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00" w:lineRule="exact"/>
        <w:rPr>
          <w:sz w:val="20"/>
          <w:szCs w:val="20"/>
          <w:color w:val="auto"/>
        </w:rPr>
      </w:pPr>
    </w:p>
    <w:p>
      <w:pPr>
        <w:ind w:left="1280" w:hanging="361"/>
        <w:spacing w:after="0"/>
        <w:tabs>
          <w:tab w:leader="none" w:pos="128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can I attend the Special Meeting?</w:t>
      </w:r>
    </w:p>
    <w:p>
      <w:pPr>
        <w:spacing w:after="0" w:line="129" w:lineRule="exact"/>
        <w:rPr>
          <w:sz w:val="20"/>
          <w:szCs w:val="20"/>
          <w:color w:val="auto"/>
        </w:rPr>
      </w:pPr>
    </w:p>
    <w:p>
      <w:pPr>
        <w:jc w:val="both"/>
        <w:ind w:left="1300" w:right="939" w:hanging="381"/>
        <w:spacing w:after="0" w:line="253" w:lineRule="auto"/>
        <w:tabs>
          <w:tab w:leader="none" w:pos="13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 may attend the Special Meeting and vote your shares online during the Special Meeting via live webcast by visiting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 As a registered stockholder, you received a proxy card 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below.</w:t>
      </w:r>
    </w:p>
    <w:p>
      <w:pPr>
        <w:spacing w:after="0" w:line="109" w:lineRule="exact"/>
        <w:rPr>
          <w:sz w:val="20"/>
          <w:szCs w:val="20"/>
          <w:color w:val="auto"/>
        </w:rPr>
      </w:pPr>
    </w:p>
    <w:p>
      <w:pPr>
        <w:jc w:val="both"/>
        <w:ind w:left="1300" w:right="939"/>
        <w:spacing w:after="0" w:line="254" w:lineRule="auto"/>
        <w:rPr>
          <w:sz w:val="20"/>
          <w:szCs w:val="20"/>
          <w:color w:val="auto"/>
        </w:rPr>
      </w:pPr>
      <w:r>
        <w:rPr>
          <w:rFonts w:ascii="Times New Roman" w:cs="Times New Roman" w:eastAsia="Times New Roman" w:hAnsi="Times New Roman"/>
          <w:sz w:val="16"/>
          <w:szCs w:val="16"/>
          <w:color w:val="auto"/>
        </w:rPr>
        <w:t>You can pre-register to attend the Special Meeting online starting, January 29, 2021. Enter the URL address into your browser, and enter your 12-digit meeting control number, name and email address. Once you pre-register you can vote or enter questions in the chat box. Prior to or at the start of the Special Meeting you will need to re-log in using your 12-digit meeting control number and will also be prompted to enter your 12-digit meeting control number if you vote online during the Special Meeting. FS Development recommends that you log in at least 15 minutes before the Special Meeting to ensure you are logged in when the Special Meeting starts.</w:t>
      </w:r>
    </w:p>
    <w:p>
      <w:pPr>
        <w:spacing w:after="0" w:line="107" w:lineRule="exact"/>
        <w:rPr>
          <w:sz w:val="20"/>
          <w:szCs w:val="20"/>
          <w:color w:val="auto"/>
        </w:rPr>
      </w:pPr>
    </w:p>
    <w:p>
      <w:pPr>
        <w:jc w:val="both"/>
        <w:ind w:left="1300" w:right="939"/>
        <w:spacing w:after="0" w:line="257" w:lineRule="auto"/>
        <w:rPr>
          <w:sz w:val="20"/>
          <w:szCs w:val="20"/>
          <w:color w:val="auto"/>
        </w:rPr>
      </w:pPr>
      <w:r>
        <w:rPr>
          <w:rFonts w:ascii="Times New Roman" w:cs="Times New Roman" w:eastAsia="Times New Roman" w:hAnsi="Times New Roman"/>
          <w:sz w:val="16"/>
          <w:szCs w:val="16"/>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90" w:lineRule="exact"/>
        <w:rPr>
          <w:sz w:val="20"/>
          <w:szCs w:val="20"/>
          <w:color w:val="auto"/>
        </w:rPr>
      </w:pPr>
    </w:p>
    <w:p>
      <w:pPr>
        <w:jc w:val="both"/>
        <w:ind w:left="1300" w:right="939"/>
        <w:spacing w:after="0" w:line="259" w:lineRule="auto"/>
        <w:rPr>
          <w:sz w:val="20"/>
          <w:szCs w:val="20"/>
          <w:color w:val="auto"/>
        </w:rPr>
      </w:pPr>
      <w:r>
        <w:rPr>
          <w:rFonts w:ascii="Times New Roman" w:cs="Times New Roman" w:eastAsia="Times New Roman" w:hAnsi="Times New Roman"/>
          <w:sz w:val="16"/>
          <w:szCs w:val="16"/>
          <w:color w:val="auto"/>
        </w:rPr>
        <w:t>If you do not have Internet capabilities, you can listen only to the Special Meeting by dialing 1 877-770-3647 (U.S. and Canada) or +1 312-780-0854 (outside of the U.S. and Canada), when prompted enter the pin # 63600790#. This is listen only, you will not be able to vote or enter questions during the Special Meeting.</w:t>
      </w:r>
    </w:p>
    <w:p>
      <w:pPr>
        <w:spacing w:after="0" w:line="100" w:lineRule="exact"/>
        <w:rPr>
          <w:sz w:val="20"/>
          <w:szCs w:val="20"/>
          <w:color w:val="auto"/>
        </w:rPr>
      </w:pPr>
    </w:p>
    <w:p>
      <w:pPr>
        <w:ind w:left="1300" w:hanging="381"/>
        <w:spacing w:after="0"/>
        <w:tabs>
          <w:tab w:leader="none" w:pos="130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If I am not going to attend the Special Meeting, should I return my proxy card instead?</w:t>
      </w:r>
    </w:p>
    <w:p>
      <w:pPr>
        <w:spacing w:after="0" w:line="141" w:lineRule="exact"/>
        <w:rPr>
          <w:sz w:val="20"/>
          <w:szCs w:val="20"/>
          <w:color w:val="auto"/>
        </w:rPr>
      </w:pPr>
    </w:p>
    <w:p>
      <w:pPr>
        <w:jc w:val="both"/>
        <w:ind w:left="1300" w:right="939" w:hanging="381"/>
        <w:spacing w:after="0" w:line="265" w:lineRule="auto"/>
        <w:tabs>
          <w:tab w:leader="none" w:pos="152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 w:name="page26"/>
    <w:bookmarkEnd w:id="2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300" w:right="939"/>
        <w:spacing w:after="0" w:line="265" w:lineRule="auto"/>
        <w:rPr>
          <w:sz w:val="20"/>
          <w:szCs w:val="20"/>
          <w:color w:val="auto"/>
        </w:rPr>
      </w:pPr>
      <w:r>
        <w:rPr>
          <w:rFonts w:ascii="Times New Roman" w:cs="Times New Roman" w:eastAsia="Times New Roman" w:hAnsi="Times New Roman"/>
          <w:sz w:val="16"/>
          <w:szCs w:val="16"/>
          <w:color w:val="auto"/>
        </w:rPr>
        <w:t xml:space="preserve">In order to exercise your redemption rights, you must properly demand redemption and deliver your shares (either physically or electronically) to our transfer agent at least two business days prior to the Special Meeting. See “— </w:t>
      </w:r>
      <w:r>
        <w:rPr>
          <w:rFonts w:ascii="Times New Roman" w:cs="Times New Roman" w:eastAsia="Times New Roman" w:hAnsi="Times New Roman"/>
          <w:sz w:val="16"/>
          <w:szCs w:val="16"/>
          <w:i w:val="1"/>
          <w:iCs w:val="1"/>
          <w:color w:val="auto"/>
        </w:rPr>
        <w:t>How do I exercise my redemption rights</w:t>
      </w:r>
      <w:r>
        <w:rPr>
          <w:rFonts w:ascii="Times New Roman" w:cs="Times New Roman" w:eastAsia="Times New Roman" w:hAnsi="Times New Roman"/>
          <w:sz w:val="16"/>
          <w:szCs w:val="16"/>
          <w:color w:val="auto"/>
        </w:rPr>
        <w:t>” above.</w:t>
      </w:r>
    </w:p>
    <w:p>
      <w:pPr>
        <w:spacing w:after="0" w:line="94" w:lineRule="exact"/>
        <w:rPr>
          <w:sz w:val="20"/>
          <w:szCs w:val="20"/>
          <w:color w:val="auto"/>
        </w:rPr>
      </w:pPr>
    </w:p>
    <w:p>
      <w:pPr>
        <w:ind w:left="1300" w:hanging="381"/>
        <w:spacing w:after="0"/>
        <w:tabs>
          <w:tab w:leader="none" w:pos="1300"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May I change my vote after I have mailed my signed proxy card?</w:t>
      </w:r>
    </w:p>
    <w:p>
      <w:pPr>
        <w:spacing w:after="0" w:line="141" w:lineRule="exact"/>
        <w:rPr>
          <w:sz w:val="20"/>
          <w:szCs w:val="20"/>
          <w:color w:val="auto"/>
        </w:rPr>
      </w:pPr>
    </w:p>
    <w:p>
      <w:pPr>
        <w:jc w:val="both"/>
        <w:ind w:left="1300" w:right="939" w:hanging="381"/>
        <w:spacing w:after="0" w:line="265" w:lineRule="auto"/>
        <w:tabs>
          <w:tab w:leader="none" w:pos="13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If you are a stockholder of record of FS Development Common Stock as of the close of business on the Record Date, you can change or revoke your proxy before it is voted at the meeting in one of the following ways:</w:t>
      </w:r>
    </w:p>
    <w:p>
      <w:pPr>
        <w:spacing w:after="0" w:line="83" w:lineRule="exact"/>
        <w:rPr>
          <w:rFonts w:ascii="Times New Roman" w:cs="Times New Roman" w:eastAsia="Times New Roman" w:hAnsi="Times New Roman"/>
          <w:sz w:val="16"/>
          <w:szCs w:val="16"/>
          <w:color w:val="auto"/>
        </w:rPr>
      </w:pPr>
    </w:p>
    <w:p>
      <w:pPr>
        <w:ind w:left="2060" w:hanging="376"/>
        <w:spacing w:after="0"/>
        <w:tabs>
          <w:tab w:leader="none" w:pos="20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a new proxy card bearing a later date;</w:t>
      </w:r>
    </w:p>
    <w:p>
      <w:pPr>
        <w:spacing w:after="0" w:line="138" w:lineRule="exact"/>
        <w:rPr>
          <w:rFonts w:ascii="Times New Roman" w:cs="Times New Roman" w:eastAsia="Times New Roman" w:hAnsi="Times New Roman"/>
          <w:sz w:val="16"/>
          <w:szCs w:val="16"/>
          <w:color w:val="auto"/>
        </w:rPr>
      </w:pPr>
    </w:p>
    <w:p>
      <w:pPr>
        <w:jc w:val="both"/>
        <w:ind w:left="2060" w:right="939" w:hanging="376"/>
        <w:spacing w:after="0" w:line="265" w:lineRule="auto"/>
        <w:tabs>
          <w:tab w:leader="none" w:pos="2064"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written notice of your revocation to FS Development’s Corporate Secretary, which notice must be received by FS Development’s Corporate Secretary prior to the vote at the Special Meeting; or</w:t>
      </w:r>
    </w:p>
    <w:p>
      <w:pPr>
        <w:sectPr>
          <w:pgSz w:w="11900" w:h="16838" w:orient="portrait"/>
          <w:cols w:equalWidth="0" w:num="1">
            <w:col w:w="9019"/>
          </w:cols>
          <w:pgMar w:left="1440" w:top="254" w:right="1440" w:bottom="1440" w:gutter="0" w:footer="0" w:header="0"/>
        </w:sectPr>
      </w:pPr>
    </w:p>
    <w:p>
      <w:pPr>
        <w:spacing w:after="0" w:line="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both"/>
        <w:ind w:right="939" w:firstLine="1402"/>
        <w:spacing w:after="0" w:line="259" w:lineRule="auto"/>
        <w:rPr>
          <w:sz w:val="20"/>
          <w:szCs w:val="20"/>
          <w:color w:val="auto"/>
        </w:rPr>
      </w:pPr>
      <w:r>
        <w:rPr>
          <w:rFonts w:ascii="Times New Roman" w:cs="Times New Roman" w:eastAsia="Times New Roman" w:hAnsi="Times New Roman"/>
          <w:sz w:val="16"/>
          <w:szCs w:val="16"/>
          <w:color w:val="auto"/>
        </w:rPr>
        <w:t xml:space="preserve">vote electronically at the Special Meeting by visiting </w:t>
      </w:r>
      <w:r>
        <w:rPr>
          <w:rFonts w:ascii="Times New Roman" w:cs="Times New Roman" w:eastAsia="Times New Roman" w:hAnsi="Times New Roman"/>
          <w:sz w:val="16"/>
          <w:szCs w:val="16"/>
          <w:i w:val="1"/>
          <w:iCs w:val="1"/>
          <w:color w:val="auto"/>
        </w:rPr>
        <w:t xml:space="preserve">https://www.cstproxy.com/fsdevelopmentcorp/sm2021 </w:t>
      </w:r>
      <w:r>
        <w:rPr>
          <w:rFonts w:ascii="Times New Roman" w:cs="Times New Roman" w:eastAsia="Times New Roman" w:hAnsi="Times New Roman"/>
          <w:sz w:val="16"/>
          <w:szCs w:val="16"/>
          <w:color w:val="auto"/>
        </w:rPr>
        <w:t>and entering the control number found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your proxy card, voting instruction form or notice you previously received. Please note that your attendance at the Special Meeting will not alone serve to revoke your proxy.</w:t>
      </w:r>
    </w:p>
    <w:p>
      <w:pPr>
        <w:spacing w:after="0" w:line="90" w:lineRule="exact"/>
        <w:rPr>
          <w:sz w:val="20"/>
          <w:szCs w:val="20"/>
          <w:color w:val="auto"/>
        </w:rPr>
      </w:pPr>
    </w:p>
    <w:p>
      <w:pPr>
        <w:sectPr>
          <w:pgSz w:w="11900" w:h="16838" w:orient="portrait"/>
          <w:cols w:equalWidth="0" w:num="2">
            <w:col w:w="1740" w:space="320"/>
            <w:col w:w="6959"/>
          </w:cols>
          <w:pgMar w:left="1440" w:top="254" w:right="1440" w:bottom="1440" w:gutter="0" w:footer="0" w:header="0"/>
          <w:type w:val="continuous"/>
        </w:sectPr>
      </w:pPr>
    </w:p>
    <w:p>
      <w:pPr>
        <w:jc w:val="both"/>
        <w:ind w:left="1300" w:right="939"/>
        <w:spacing w:after="0" w:line="265" w:lineRule="auto"/>
        <w:rPr>
          <w:sz w:val="20"/>
          <w:szCs w:val="20"/>
          <w:color w:val="auto"/>
        </w:rPr>
      </w:pPr>
      <w:r>
        <w:rPr>
          <w:rFonts w:ascii="Times New Roman" w:cs="Times New Roman" w:eastAsia="Times New Roman" w:hAnsi="Times New Roman"/>
          <w:sz w:val="16"/>
          <w:szCs w:val="16"/>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94" w:lineRule="exact"/>
        <w:rPr>
          <w:sz w:val="20"/>
          <w:szCs w:val="20"/>
          <w:color w:val="auto"/>
        </w:rPr>
      </w:pPr>
    </w:p>
    <w:p>
      <w:pPr>
        <w:ind w:left="1300" w:hanging="381"/>
        <w:spacing w:after="0"/>
        <w:tabs>
          <w:tab w:leader="none" w:pos="130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should I do if I receive more than one set of voting materials?</w:t>
      </w:r>
    </w:p>
    <w:p>
      <w:pPr>
        <w:spacing w:after="0" w:line="141" w:lineRule="exact"/>
        <w:rPr>
          <w:sz w:val="20"/>
          <w:szCs w:val="20"/>
          <w:color w:val="auto"/>
        </w:rPr>
      </w:pPr>
    </w:p>
    <w:p>
      <w:pPr>
        <w:jc w:val="both"/>
        <w:ind w:left="1300" w:right="939" w:hanging="381"/>
        <w:spacing w:after="0" w:line="254" w:lineRule="auto"/>
        <w:tabs>
          <w:tab w:leader="none" w:pos="146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93" w:lineRule="exact"/>
        <w:rPr>
          <w:sz w:val="20"/>
          <w:szCs w:val="20"/>
          <w:color w:val="auto"/>
        </w:rPr>
      </w:pPr>
    </w:p>
    <w:p>
      <w:pPr>
        <w:ind w:left="1300" w:hanging="381"/>
        <w:spacing w:after="0"/>
        <w:tabs>
          <w:tab w:leader="none" w:pos="130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will solicit and pay the cost of soliciting proxies?</w:t>
      </w:r>
    </w:p>
    <w:p>
      <w:pPr>
        <w:spacing w:after="0" w:line="141" w:lineRule="exact"/>
        <w:rPr>
          <w:sz w:val="20"/>
          <w:szCs w:val="20"/>
          <w:color w:val="auto"/>
        </w:rPr>
      </w:pPr>
    </w:p>
    <w:p>
      <w:pPr>
        <w:jc w:val="both"/>
        <w:ind w:left="1300" w:right="939" w:hanging="381"/>
        <w:spacing w:after="0" w:line="252" w:lineRule="auto"/>
        <w:tabs>
          <w:tab w:leader="none" w:pos="137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will pay the cost of soliciting proxies for the Special Meeting. FS Development has engaged Morrow Sodali LLC, which we refer to as “Morrow Sodali LLC,” to assist in the solicitation of proxies for the Special Meeting. FS Development has agreed to pay Morrow Sodali LLC a fee of $22,500, plus disbursements. FS Development will reimburse Morrow Sodali LLC for reasonable out-of-pocket expenses and will indemnify Morrow Sodali LLC and its affiliates against certain claims, liabilities, losses, damages and expenses. FS Development will also reimburse banks, brokers and other custodians, nominees and fiduciaries representing beneficial owners of shares of FS Development Common Stock for their expenses in forwarding soliciting materials to beneficial owners of the FS Development Common Stock and in obtaining voting instructions from those owners. FS Development’s directors, officers and employees may also solicit proxies by telephone, by facsimile, by mail, on the Internet or in person. They will not be paid any additional amounts for soliciting proxies.</w:t>
      </w:r>
    </w:p>
    <w:p>
      <w:pPr>
        <w:spacing w:after="0" w:line="108" w:lineRule="exact"/>
        <w:rPr>
          <w:sz w:val="20"/>
          <w:szCs w:val="20"/>
          <w:color w:val="auto"/>
        </w:rPr>
      </w:pPr>
    </w:p>
    <w:p>
      <w:pPr>
        <w:ind w:left="1300" w:right="939" w:hanging="381"/>
        <w:spacing w:after="0" w:line="283" w:lineRule="auto"/>
        <w:tabs>
          <w:tab w:leader="none" w:pos="1301"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Are there any risks that I should consider as a FS Development stockholder in deciding how to vote or whether to exercise my redemption rights?</w:t>
      </w:r>
    </w:p>
    <w:p>
      <w:pPr>
        <w:spacing w:after="0" w:line="68" w:lineRule="exact"/>
        <w:rPr>
          <w:sz w:val="20"/>
          <w:szCs w:val="20"/>
          <w:color w:val="auto"/>
        </w:rPr>
      </w:pPr>
    </w:p>
    <w:p>
      <w:pPr>
        <w:ind w:left="1300" w:right="939" w:hanging="381"/>
        <w:spacing w:after="0" w:line="283" w:lineRule="auto"/>
        <w:tabs>
          <w:tab w:leader="none" w:pos="127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You should read and carefully consider the risk factors set forth in the section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this proxy statement/prospectus.</w:t>
      </w:r>
    </w:p>
    <w:p>
      <w:pPr>
        <w:spacing w:after="0" w:line="80" w:lineRule="exact"/>
        <w:rPr>
          <w:sz w:val="20"/>
          <w:szCs w:val="20"/>
          <w:color w:val="auto"/>
        </w:rPr>
      </w:pPr>
    </w:p>
    <w:p>
      <w:pPr>
        <w:ind w:left="1300" w:hanging="381"/>
        <w:spacing w:after="0"/>
        <w:tabs>
          <w:tab w:leader="none" w:pos="130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can help answer my questions?</w:t>
      </w:r>
    </w:p>
    <w:p>
      <w:pPr>
        <w:spacing w:after="0" w:line="141" w:lineRule="exact"/>
        <w:rPr>
          <w:sz w:val="20"/>
          <w:szCs w:val="20"/>
          <w:color w:val="auto"/>
        </w:rPr>
      </w:pPr>
    </w:p>
    <w:p>
      <w:pPr>
        <w:ind w:left="1300" w:right="939" w:hanging="381"/>
        <w:spacing w:after="0" w:line="280" w:lineRule="auto"/>
        <w:tabs>
          <w:tab w:leader="none" w:pos="159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questions about the proposals or if you need additional copies of this proxy statement/prospectus or the enclosed proxy card, please call us at (415) 877-4887.</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6" w:name="page27"/>
    <w:bookmarkEnd w:id="2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You may also contact our proxy solicitor at: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Morrow Sodali LLC,</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Individuals call toll-free (800) 662-5200</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Banks and brokers call (203) 658-9400</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 FSDC.info@investor.morrowsodali.com</w:t>
      </w:r>
    </w:p>
    <w:p>
      <w:pPr>
        <w:spacing w:after="0" w:line="110" w:lineRule="exact"/>
        <w:rPr>
          <w:sz w:val="20"/>
          <w:szCs w:val="20"/>
          <w:color w:val="auto"/>
        </w:rPr>
      </w:pPr>
    </w:p>
    <w:p>
      <w:pPr>
        <w:jc w:val="both"/>
        <w:ind w:left="1300" w:right="939"/>
        <w:spacing w:after="0" w:line="280" w:lineRule="auto"/>
        <w:rPr>
          <w:sz w:val="20"/>
          <w:szCs w:val="20"/>
          <w:color w:val="auto"/>
        </w:rPr>
      </w:pPr>
      <w:r>
        <w:rPr>
          <w:rFonts w:ascii="Times New Roman" w:cs="Times New Roman" w:eastAsia="Times New Roman" w:hAnsi="Times New Roman"/>
          <w:sz w:val="16"/>
          <w:szCs w:val="16"/>
          <w:color w:val="auto"/>
        </w:rPr>
        <w:t>To obtain timely delivery, FS Development stockholders must request the materials no later than five (5) business days prior to the Special Meeting.</w:t>
      </w:r>
    </w:p>
    <w:p>
      <w:pPr>
        <w:spacing w:after="0" w:line="85" w:lineRule="exact"/>
        <w:rPr>
          <w:sz w:val="20"/>
          <w:szCs w:val="20"/>
          <w:color w:val="auto"/>
        </w:rPr>
      </w:pPr>
    </w:p>
    <w:p>
      <w:pPr>
        <w:jc w:val="both"/>
        <w:ind w:left="1300" w:right="939"/>
        <w:spacing w:after="0" w:line="280" w:lineRule="auto"/>
        <w:rPr>
          <w:sz w:val="20"/>
          <w:szCs w:val="20"/>
          <w:color w:val="auto"/>
        </w:rPr>
      </w:pPr>
      <w:r>
        <w:rPr>
          <w:rFonts w:ascii="Times New Roman" w:cs="Times New Roman" w:eastAsia="Times New Roman" w:hAnsi="Times New Roman"/>
          <w:sz w:val="16"/>
          <w:szCs w:val="16"/>
          <w:color w:val="auto"/>
        </w:rPr>
        <w:t>You may also obtain additional information about FS Development from documents filed with the SEC by following the instructions in the section titled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jc w:val="both"/>
        <w:ind w:left="1300" w:right="939"/>
        <w:spacing w:after="0" w:line="257" w:lineRule="auto"/>
        <w:rPr>
          <w:sz w:val="20"/>
          <w:szCs w:val="20"/>
          <w:color w:val="auto"/>
        </w:rPr>
      </w:pPr>
      <w:r>
        <w:rPr>
          <w:rFonts w:ascii="Times New Roman" w:cs="Times New Roman" w:eastAsia="Times New Roman" w:hAnsi="Times New Roman"/>
          <w:sz w:val="16"/>
          <w:szCs w:val="16"/>
          <w:color w:val="auto"/>
        </w:rPr>
        <w:t xml:space="preserve">If you intend to seek redemption of your Public Shares, you will need to send a letter demanding redemption and deliver your stock (either physically or electronically) to FS Development’s transfer agent prior to the Special Meeting in accordance with the procedures detailed under the question “— </w:t>
      </w:r>
      <w:r>
        <w:rPr>
          <w:rFonts w:ascii="Times New Roman" w:cs="Times New Roman" w:eastAsia="Times New Roman" w:hAnsi="Times New Roman"/>
          <w:sz w:val="16"/>
          <w:szCs w:val="16"/>
          <w:i w:val="1"/>
          <w:iCs w:val="1"/>
          <w:color w:val="auto"/>
        </w:rPr>
        <w:t>How do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my redemption rights</w:t>
      </w:r>
      <w:r>
        <w:rPr>
          <w:rFonts w:ascii="Times New Roman" w:cs="Times New Roman" w:eastAsia="Times New Roman" w:hAnsi="Times New Roman"/>
          <w:sz w:val="16"/>
          <w:szCs w:val="16"/>
          <w:color w:val="auto"/>
        </w:rPr>
        <w:t>” If you have questions regarding the certification of your position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delivery of your stock, please contact:</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One State Street Plaza,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w:t>
      </w:r>
    </w:p>
    <w:p>
      <w:pPr>
        <w:ind w:left="1300"/>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Attn: Mark Zimkind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 mzimkind@continentalstock.com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 w:name="page28"/>
    <w:bookmarkEnd w:id="2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7176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58030" cy="7176135"/>
                    </a:xfrm>
                    <a:prstGeom prst="rect">
                      <a:avLst/>
                    </a:prstGeom>
                    <a:noFill/>
                  </pic:spPr>
                </pic:pic>
              </a:graphicData>
            </a:graphic>
          </wp:anchor>
        </w:drawing>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SUMMARY OF THE PROXY STATEMENT/PROSPECTUS</w:t>
      </w:r>
    </w:p>
    <w:p>
      <w:pPr>
        <w:spacing w:after="0" w:line="139"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78" w:lineRule="exact"/>
        <w:rPr>
          <w:sz w:val="20"/>
          <w:szCs w:val="20"/>
          <w:color w:val="auto"/>
        </w:rPr>
      </w:pPr>
    </w:p>
    <w:p>
      <w:pPr>
        <w:jc w:val="both"/>
        <w:ind w:left="1000" w:right="1019"/>
        <w:spacing w:after="0" w:line="260" w:lineRule="auto"/>
        <w:rPr>
          <w:sz w:val="20"/>
          <w:szCs w:val="20"/>
          <w:color w:val="auto"/>
        </w:rPr>
      </w:pPr>
      <w:r>
        <w:rPr>
          <w:rFonts w:ascii="Times New Roman" w:cs="Times New Roman" w:eastAsia="Times New Roman" w:hAnsi="Times New Roman"/>
          <w:sz w:val="16"/>
          <w:szCs w:val="16"/>
          <w:i w:val="1"/>
          <w:iCs w:val="1"/>
          <w:color w:val="auto"/>
        </w:rPr>
        <w:t>Unless otherwise indicated or the context otherwise requires, references in this Summary of the Proxy Statement/Prospectus to the “Combined Entity” refer to FS Development and its consolidated subsidiaries after giving effect to the Business Combination. References to the “Company,” “FS Development”, “we”, “us” or “our” generally refer to FS Development Corp.</w:t>
      </w:r>
    </w:p>
    <w:p>
      <w:pPr>
        <w:spacing w:after="0" w:line="87" w:lineRule="exact"/>
        <w:rPr>
          <w:sz w:val="20"/>
          <w:szCs w:val="20"/>
          <w:color w:val="auto"/>
        </w:rPr>
      </w:pPr>
    </w:p>
    <w:p>
      <w:pPr>
        <w:jc w:val="both"/>
        <w:ind w:left="1000" w:right="1019"/>
        <w:spacing w:after="0" w:line="283" w:lineRule="auto"/>
        <w:rPr>
          <w:sz w:val="20"/>
          <w:szCs w:val="20"/>
          <w:color w:val="auto"/>
        </w:rPr>
      </w:pPr>
      <w:r>
        <w:rPr>
          <w:rFonts w:ascii="Times New Roman" w:cs="Times New Roman" w:eastAsia="Times New Roman" w:hAnsi="Times New Roman"/>
          <w:sz w:val="16"/>
          <w:szCs w:val="16"/>
          <w:i w:val="1"/>
          <w:iCs w:val="1"/>
          <w:color w:val="auto"/>
        </w:rPr>
        <w:t>Unless otherwise specified, all share calculations assume no exercise of redemption rights by the Company’s public stockholders.</w:t>
      </w:r>
    </w:p>
    <w:p>
      <w:pPr>
        <w:spacing w:after="0" w:line="1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Parties to the Business Combination</w:t>
      </w:r>
    </w:p>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FS Development Corp.</w:t>
      </w:r>
    </w:p>
    <w:p>
      <w:pPr>
        <w:spacing w:after="0" w:line="131"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FS Development is a blank check company incorporated on June 25, 2020 as a Delaware corporation for the purpose of effecting a merger, capital stock exchange, asset acquisition, stock purchase, reorganization or similar business combination involving FS Development and one or more businesses. Upon the Closing, we intend to change our name from “FS Development Corp.” to “Gemini Therapeutics, Inc.”</w:t>
      </w:r>
    </w:p>
    <w:p>
      <w:pPr>
        <w:spacing w:after="0" w:line="102" w:lineRule="exact"/>
        <w:rPr>
          <w:sz w:val="20"/>
          <w:szCs w:val="20"/>
          <w:color w:val="auto"/>
        </w:rPr>
      </w:pPr>
    </w:p>
    <w:p>
      <w:pPr>
        <w:jc w:val="both"/>
        <w:ind w:left="1000" w:right="1019"/>
        <w:spacing w:after="0" w:line="280" w:lineRule="auto"/>
        <w:rPr>
          <w:sz w:val="20"/>
          <w:szCs w:val="20"/>
          <w:color w:val="auto"/>
        </w:rPr>
      </w:pPr>
      <w:r>
        <w:rPr>
          <w:rFonts w:ascii="Times New Roman" w:cs="Times New Roman" w:eastAsia="Times New Roman" w:hAnsi="Times New Roman"/>
          <w:sz w:val="16"/>
          <w:szCs w:val="16"/>
          <w:color w:val="auto"/>
        </w:rPr>
        <w:t>The mailing address of our principal executive office is 600 Montgomery Street, Suite 4500, San Francisco, CA 94111.</w:t>
      </w:r>
    </w:p>
    <w:p>
      <w:pPr>
        <w:spacing w:after="0" w:line="1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Merger Sub</w:t>
      </w:r>
    </w:p>
    <w:p>
      <w:pPr>
        <w:spacing w:after="0" w:line="143"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FSG Merger Sub, Inc. is a Delaware corporation and wholly-owned subsidiary of FS Development, which was formed on October 9, 2020 to consummate the Business Combination. Following the Business Combination, Gemini will merge with Merger Sub with Gemini surviving the merger. As a result, Gemini will become a wholly-owned subsidiary of the Combined Entity.</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Gemini Therapeutics, Inc.</w:t>
      </w:r>
    </w:p>
    <w:p>
      <w:pPr>
        <w:spacing w:after="0" w:line="143"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Gemini is a clinical-stage precision medicine company developing novel therapeutic compounds to treat genetically defined, AMD. Its lead candidate, GEM103, is a recombinant form of the CFH and is designed to address both complement hyperactivity and restore retinal health. Variations in the gene that encodes CFH strongly correlate with an increased risk for developing AMD.</w:t>
      </w:r>
    </w:p>
    <w:p>
      <w:pPr>
        <w:spacing w:after="0" w:line="10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Below is a summary of Gemini’s product candidate pipeline as of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In the table above, IND enabled means Gemini has completed the necessary nonclinical studies, including without limitation absorption, distribution, metabolism, and excretion, or ADME and toxicology, as well as formulation and manufacturing development necessary to seek the permission of regulatory authorities to begin human clinical testing.</w:t>
      </w:r>
    </w:p>
    <w:p>
      <w:pPr>
        <w:spacing w:after="0" w:line="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For additional information about Gemini, see the section titled “</w:t>
      </w:r>
      <w:r>
        <w:rPr>
          <w:rFonts w:ascii="Times New Roman" w:cs="Times New Roman" w:eastAsia="Times New Roman" w:hAnsi="Times New Roman"/>
          <w:sz w:val="16"/>
          <w:szCs w:val="16"/>
          <w:i w:val="1"/>
          <w:iCs w:val="1"/>
          <w:color w:val="auto"/>
        </w:rPr>
        <w:t>Information about Gemini</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 w:name="page29"/>
    <w:bookmarkEnd w:id="2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6819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8030" cy="6819265"/>
                    </a:xfrm>
                    <a:prstGeom prst="rect">
                      <a:avLst/>
                    </a:prstGeom>
                    <a:noFill/>
                  </pic:spPr>
                </pic:pic>
              </a:graphicData>
            </a:graphic>
          </wp:anchor>
        </w:drawing>
      </w:r>
    </w:p>
    <w:p>
      <w:pPr>
        <w:spacing w:after="0" w:line="3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The Proposals</w:t>
      </w:r>
    </w:p>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The Business Combination Proposal</w:t>
      </w:r>
    </w:p>
    <w:p>
      <w:pPr>
        <w:spacing w:after="0" w:line="143"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FS Development and Gemini have agreed to a Business Combination under the terms of the Merger Agreement. Pursuant to the terms and subject to the conditions set forth in the Merger Agreement, at the Closing, Merger Sub will merge with and into Gemini, with Gemini continuing as the surviving entity and becoming a wholly-owned subsidiary of FS Development. See the section titled “</w:t>
      </w:r>
      <w:r>
        <w:rPr>
          <w:rFonts w:ascii="Times New Roman" w:cs="Times New Roman" w:eastAsia="Times New Roman" w:hAnsi="Times New Roman"/>
          <w:sz w:val="16"/>
          <w:szCs w:val="16"/>
          <w:i w:val="1"/>
          <w:iCs w:val="1"/>
          <w:color w:val="auto"/>
        </w:rPr>
        <w:t>The Business Combination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Proposal</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i w:val="1"/>
          <w:iCs w:val="1"/>
          <w:color w:val="auto"/>
        </w:rPr>
        <w:t>The Merger Agreement</w:t>
      </w:r>
    </w:p>
    <w:p>
      <w:pPr>
        <w:spacing w:after="0" w:line="129"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On October 15, 2020, FS Development entered into the Merger Agreement by and among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Upon the Closing, it is anticipated that FS Development will change its name to “Gemini Therapeutics, Inc.”</w:t>
      </w:r>
    </w:p>
    <w:p>
      <w:pPr>
        <w:spacing w:after="0" w:line="102"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 xml:space="preserve">Under the Merger Agreement, FS Development has agreed to acquire all of the outstanding equity interests of Gemini in exchange for up to 21,500,000 shares of FS Development Class A Common Stock,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Acquisition of Gemini; Merger Consideration”</w:t>
      </w:r>
      <w:r>
        <w:rPr>
          <w:rFonts w:ascii="Times New Roman" w:cs="Times New Roman" w:eastAsia="Times New Roman" w:hAnsi="Times New Roman"/>
          <w:sz w:val="16"/>
          <w:szCs w:val="16"/>
          <w:color w:val="auto"/>
        </w:rPr>
        <w:t>, to be paid at the Effective Time.</w:t>
      </w:r>
    </w:p>
    <w:p>
      <w:pPr>
        <w:spacing w:after="0" w:line="102" w:lineRule="exact"/>
        <w:rPr>
          <w:sz w:val="20"/>
          <w:szCs w:val="20"/>
          <w:color w:val="auto"/>
        </w:rPr>
      </w:pPr>
    </w:p>
    <w:p>
      <w:pPr>
        <w:jc w:val="both"/>
        <w:ind w:left="1000" w:right="1019"/>
        <w:spacing w:after="0" w:line="254" w:lineRule="auto"/>
        <w:rPr>
          <w:sz w:val="20"/>
          <w:szCs w:val="20"/>
          <w:color w:val="auto"/>
        </w:rPr>
      </w:pPr>
      <w:r>
        <w:rPr>
          <w:rFonts w:ascii="Times New Roman" w:cs="Times New Roman" w:eastAsia="Times New Roman" w:hAnsi="Times New Roman"/>
          <w:sz w:val="16"/>
          <w:szCs w:val="16"/>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of FS Development Class A Common Stock to be placed into escrow for indemnification purposes, as further described in the Merger Agreement.</w:t>
      </w:r>
    </w:p>
    <w:p>
      <w:pPr>
        <w:spacing w:after="0" w:line="95"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For additional information and a summary of the terms of the Merger Agreement and the other agreements executed, or to be executed, in connection with the Business Combination, see the sections titled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 Combination Proposal — The Merger Agreement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The Business Combination Proposal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Ancillary Agreements Related to the Business Combination</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i w:val="1"/>
          <w:iCs w:val="1"/>
          <w:color w:val="auto"/>
        </w:rPr>
        <w:t>Classified Board of Directors</w:t>
      </w:r>
    </w:p>
    <w:p>
      <w:pPr>
        <w:spacing w:after="0" w:line="141"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02" w:lineRule="exact"/>
        <w:rPr>
          <w:sz w:val="20"/>
          <w:szCs w:val="20"/>
          <w:color w:val="auto"/>
        </w:rPr>
      </w:pPr>
    </w:p>
    <w:p>
      <w:pPr>
        <w:ind w:left="1760" w:right="1019" w:hanging="379"/>
        <w:spacing w:after="0" w:line="280" w:lineRule="auto"/>
        <w:tabs>
          <w:tab w:leader="none" w:pos="18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will be Jean George and Dr. Carl Gordon, and their terms will expire at the annual meeting of stockholders to be held in 2021;</w:t>
      </w:r>
    </w:p>
    <w:p>
      <w:pPr>
        <w:spacing w:after="0" w:line="72" w:lineRule="exact"/>
        <w:rPr>
          <w:rFonts w:ascii="Times New Roman" w:cs="Times New Roman" w:eastAsia="Times New Roman" w:hAnsi="Times New Roman"/>
          <w:sz w:val="16"/>
          <w:szCs w:val="16"/>
          <w:color w:val="auto"/>
        </w:rPr>
      </w:pPr>
    </w:p>
    <w:p>
      <w:pPr>
        <w:ind w:left="1760" w:right="1019" w:hanging="379"/>
        <w:spacing w:after="0" w:line="280" w:lineRule="auto"/>
        <w:tabs>
          <w:tab w:leader="none" w:pos="182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will be David Lubner, Dr. Tuyen Ong, and Jason Rhodes, and their terms will expire at the annual meeting of stockholders to be held in 2022; and</w:t>
      </w:r>
    </w:p>
    <w:p>
      <w:pPr>
        <w:spacing w:after="0" w:line="84" w:lineRule="exact"/>
        <w:rPr>
          <w:rFonts w:ascii="Times New Roman" w:cs="Times New Roman" w:eastAsia="Times New Roman" w:hAnsi="Times New Roman"/>
          <w:sz w:val="16"/>
          <w:szCs w:val="16"/>
          <w:color w:val="auto"/>
        </w:rPr>
      </w:pPr>
    </w:p>
    <w:p>
      <w:pPr>
        <w:ind w:left="1760" w:right="1019" w:hanging="379"/>
        <w:spacing w:after="0" w:line="280" w:lineRule="auto"/>
        <w:tabs>
          <w:tab w:leader="none" w:pos="187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will be Jason Meyenburg and Dr. Jim Tananbaum, and their terms will expire at the annual meeting of stockholders to be held in 2023.</w:t>
      </w:r>
    </w:p>
    <w:p>
      <w:pPr>
        <w:spacing w:after="0" w:line="85"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 w:name="page30"/>
    <w:bookmarkEnd w:id="2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7183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58030" cy="7183755"/>
                    </a:xfrm>
                    <a:prstGeom prst="rect">
                      <a:avLst/>
                    </a:prstGeom>
                    <a:noFill/>
                  </pic:spPr>
                </pic:pic>
              </a:graphicData>
            </a:graphic>
          </wp:anchor>
        </w:drawing>
      </w:r>
    </w:p>
    <w:p>
      <w:pPr>
        <w:spacing w:after="0" w:line="3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i w:val="1"/>
          <w:iCs w:val="1"/>
          <w:color w:val="auto"/>
        </w:rPr>
        <w:t>Board’s Reasons for the Business Combination</w:t>
      </w:r>
    </w:p>
    <w:p>
      <w:pPr>
        <w:spacing w:after="0" w:line="141" w:lineRule="exact"/>
        <w:rPr>
          <w:sz w:val="20"/>
          <w:szCs w:val="20"/>
          <w:color w:val="auto"/>
        </w:rPr>
      </w:pPr>
    </w:p>
    <w:p>
      <w:pPr>
        <w:jc w:val="both"/>
        <w:ind w:left="1000" w:right="1019"/>
        <w:spacing w:after="0" w:line="282" w:lineRule="auto"/>
        <w:rPr>
          <w:sz w:val="20"/>
          <w:szCs w:val="20"/>
          <w:color w:val="auto"/>
        </w:rPr>
      </w:pPr>
      <w:r>
        <w:rPr>
          <w:rFonts w:ascii="Times New Roman" w:cs="Times New Roman" w:eastAsia="Times New Roman" w:hAnsi="Times New Roman"/>
          <w:sz w:val="15"/>
          <w:szCs w:val="15"/>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86" w:lineRule="exact"/>
        <w:rPr>
          <w:sz w:val="20"/>
          <w:szCs w:val="20"/>
          <w:color w:val="auto"/>
        </w:rPr>
      </w:pPr>
    </w:p>
    <w:p>
      <w:pPr>
        <w:jc w:val="both"/>
        <w:ind w:left="1000" w:right="1019"/>
        <w:spacing w:after="0" w:line="280" w:lineRule="auto"/>
        <w:rPr>
          <w:sz w:val="20"/>
          <w:szCs w:val="20"/>
          <w:color w:val="auto"/>
        </w:rPr>
      </w:pPr>
      <w:r>
        <w:rPr>
          <w:rFonts w:ascii="Times New Roman" w:cs="Times New Roman" w:eastAsia="Times New Roman" w:hAnsi="Times New Roman"/>
          <w:sz w:val="16"/>
          <w:szCs w:val="16"/>
          <w:color w:val="auto"/>
        </w:rPr>
        <w:t>In particular, the Board considered the following positive factors, although not weighted or in any order of significance:</w:t>
      </w:r>
    </w:p>
    <w:p>
      <w:pPr>
        <w:spacing w:after="0" w:line="69" w:lineRule="exact"/>
        <w:rPr>
          <w:sz w:val="20"/>
          <w:szCs w:val="20"/>
          <w:color w:val="auto"/>
        </w:rPr>
      </w:pPr>
    </w:p>
    <w:p>
      <w:pPr>
        <w:jc w:val="both"/>
        <w:ind w:left="1760" w:right="1019" w:hanging="379"/>
        <w:spacing w:after="0" w:line="253" w:lineRule="auto"/>
        <w:tabs>
          <w:tab w:leader="none" w:pos="187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6"/>
          <w:szCs w:val="16"/>
          <w:color w:val="auto"/>
        </w:rPr>
        <w:t>Gemini’s lead program, GEM103, targets a genetically-defined subset of age-related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macular degeneration (“</w:t>
      </w:r>
      <w:r>
        <w:rPr>
          <w:rFonts w:ascii="Times New Roman" w:cs="Times New Roman" w:eastAsia="Times New Roman" w:hAnsi="Times New Roman"/>
          <w:sz w:val="16"/>
          <w:szCs w:val="16"/>
          <w:b w:val="1"/>
          <w:bCs w:val="1"/>
          <w:color w:val="auto"/>
        </w:rPr>
        <w:t>AMD</w:t>
      </w:r>
      <w:r>
        <w:rPr>
          <w:rFonts w:ascii="Times New Roman" w:cs="Times New Roman" w:eastAsia="Times New Roman" w:hAnsi="Times New Roman"/>
          <w:sz w:val="16"/>
          <w:szCs w:val="16"/>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03" w:lineRule="exact"/>
        <w:rPr>
          <w:rFonts w:ascii="Times New Roman" w:cs="Times New Roman" w:eastAsia="Times New Roman" w:hAnsi="Times New Roman"/>
          <w:sz w:val="16"/>
          <w:szCs w:val="16"/>
          <w:color w:val="auto"/>
        </w:rPr>
      </w:pPr>
    </w:p>
    <w:p>
      <w:pPr>
        <w:jc w:val="both"/>
        <w:ind w:left="1760" w:right="1019" w:hanging="379"/>
        <w:spacing w:after="0" w:line="253" w:lineRule="auto"/>
        <w:tabs>
          <w:tab w:leader="none" w:pos="1835"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Supporting Phase 1 study data in advanced dry AMD patients. </w:t>
      </w:r>
      <w:r>
        <w:rPr>
          <w:rFonts w:ascii="Times New Roman" w:cs="Times New Roman" w:eastAsia="Times New Roman" w:hAnsi="Times New Roman"/>
          <w:sz w:val="16"/>
          <w:szCs w:val="16"/>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06" w:lineRule="exact"/>
        <w:rPr>
          <w:rFonts w:ascii="Times New Roman" w:cs="Times New Roman" w:eastAsia="Times New Roman" w:hAnsi="Times New Roman"/>
          <w:sz w:val="16"/>
          <w:szCs w:val="16"/>
          <w:color w:val="auto"/>
        </w:rPr>
      </w:pPr>
    </w:p>
    <w:p>
      <w:pPr>
        <w:jc w:val="both"/>
        <w:ind w:left="1760" w:right="1019" w:hanging="379"/>
        <w:spacing w:after="0" w:line="256" w:lineRule="auto"/>
        <w:tabs>
          <w:tab w:leader="none" w:pos="18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Vast market opportunity in dry AMD. </w:t>
      </w:r>
      <w:r>
        <w:rPr>
          <w:rFonts w:ascii="Times New Roman" w:cs="Times New Roman" w:eastAsia="Times New Roman" w:hAnsi="Times New Roman"/>
          <w:sz w:val="16"/>
          <w:szCs w:val="16"/>
          <w:color w:val="auto"/>
        </w:rPr>
        <w:t>Third-party reports indicate there are approximately 16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89" w:lineRule="exact"/>
        <w:rPr>
          <w:rFonts w:ascii="Times New Roman" w:cs="Times New Roman" w:eastAsia="Times New Roman" w:hAnsi="Times New Roman"/>
          <w:sz w:val="16"/>
          <w:szCs w:val="16"/>
          <w:color w:val="auto"/>
        </w:rPr>
      </w:pPr>
    </w:p>
    <w:p>
      <w:pPr>
        <w:jc w:val="both"/>
        <w:ind w:left="1760" w:right="1019" w:hanging="379"/>
        <w:spacing w:after="0" w:line="256" w:lineRule="auto"/>
        <w:tabs>
          <w:tab w:leader="none" w:pos="175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Potential to address an area of high unmet medical need. </w:t>
      </w:r>
      <w:r>
        <w:rPr>
          <w:rFonts w:ascii="Times New Roman" w:cs="Times New Roman" w:eastAsia="Times New Roman" w:hAnsi="Times New Roman"/>
          <w:sz w:val="16"/>
          <w:szCs w:val="16"/>
          <w:color w:val="auto"/>
        </w:rPr>
        <w:t>Dry AMD, Gemini’s lead indication,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 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01" w:lineRule="exact"/>
        <w:rPr>
          <w:rFonts w:ascii="Times New Roman" w:cs="Times New Roman" w:eastAsia="Times New Roman" w:hAnsi="Times New Roman"/>
          <w:sz w:val="16"/>
          <w:szCs w:val="16"/>
          <w:color w:val="auto"/>
        </w:rPr>
      </w:pPr>
    </w:p>
    <w:p>
      <w:pPr>
        <w:jc w:val="both"/>
        <w:ind w:left="1760" w:right="1019" w:hanging="379"/>
        <w:spacing w:after="0" w:line="267" w:lineRule="auto"/>
        <w:tabs>
          <w:tab w:leader="none" w:pos="184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Proprietary screening. </w:t>
      </w:r>
      <w:r>
        <w:rPr>
          <w:rFonts w:ascii="Times New Roman" w:cs="Times New Roman" w:eastAsia="Times New Roman" w:hAnsi="Times New Roman"/>
          <w:sz w:val="16"/>
          <w:szCs w:val="16"/>
          <w:color w:val="auto"/>
        </w:rPr>
        <w:t>Gemini has a proprietary genetic screening process that enables it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identify genetically-defined dry AMD patients who may be most likely to benefit from GEM103. The Board believes this proprietary approach provides a competitive advantage to Gemini.</w:t>
      </w:r>
    </w:p>
    <w:p>
      <w:pPr>
        <w:spacing w:after="0" w:line="90" w:lineRule="exact"/>
        <w:rPr>
          <w:rFonts w:ascii="Times New Roman" w:cs="Times New Roman" w:eastAsia="Times New Roman" w:hAnsi="Times New Roman"/>
          <w:sz w:val="16"/>
          <w:szCs w:val="16"/>
          <w:color w:val="auto"/>
        </w:rPr>
      </w:pPr>
    </w:p>
    <w:p>
      <w:pPr>
        <w:jc w:val="both"/>
        <w:ind w:left="1760" w:right="1019" w:hanging="379"/>
        <w:spacing w:after="0" w:line="253" w:lineRule="auto"/>
        <w:tabs>
          <w:tab w:leader="none" w:pos="1811" w:val="left"/>
        </w:tabs>
        <w:numPr>
          <w:ilvl w:val="0"/>
          <w:numId w:val="9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Multiple pipeline opportunities led by a Phase 2a clinical stage program. </w:t>
      </w:r>
      <w:r>
        <w:rPr>
          <w:rFonts w:ascii="Times New Roman" w:cs="Times New Roman" w:eastAsia="Times New Roman" w:hAnsi="Times New Roman"/>
          <w:sz w:val="16"/>
          <w:szCs w:val="16"/>
          <w:color w:val="auto"/>
        </w:rPr>
        <w:t>Gemini’s pipeline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consists of multiple programs that include lead clinical candidate GEM103 in both dry and wet AMD, plus additional programs in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6"/>
          <w:szCs w:val="16"/>
          <w:b w:val="1"/>
          <w:bCs w:val="1"/>
          <w:color w:val="auto"/>
        </w:rPr>
        <w:t>anti-VEGF</w:t>
      </w:r>
      <w:r>
        <w:rPr>
          <w:rFonts w:ascii="Times New Roman" w:cs="Times New Roman" w:eastAsia="Times New Roman" w:hAnsi="Times New Roman"/>
          <w:sz w:val="16"/>
          <w:szCs w:val="16"/>
          <w:color w:val="auto"/>
        </w:rPr>
        <w:t>”) treated wet AMD with concomitant geographic atrophy.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 w:name="page31"/>
    <w:bookmarkEnd w:id="3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6940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58030" cy="6940550"/>
                    </a:xfrm>
                    <a:prstGeom prst="rect">
                      <a:avLst/>
                    </a:prstGeom>
                    <a:noFill/>
                  </pic:spPr>
                </pic:pic>
              </a:graphicData>
            </a:graphic>
          </wp:anchor>
        </w:drawing>
      </w:r>
    </w:p>
    <w:p>
      <w:pPr>
        <w:spacing w:after="0" w:line="282" w:lineRule="exact"/>
        <w:rPr>
          <w:sz w:val="20"/>
          <w:szCs w:val="20"/>
          <w:color w:val="auto"/>
        </w:rPr>
      </w:pPr>
    </w:p>
    <w:p>
      <w:pPr>
        <w:jc w:val="both"/>
        <w:ind w:left="1760" w:right="1019" w:hanging="379"/>
        <w:spacing w:after="0" w:line="258" w:lineRule="auto"/>
        <w:tabs>
          <w:tab w:leader="none" w:pos="1764" w:val="left"/>
        </w:tabs>
        <w:numPr>
          <w:ilvl w:val="0"/>
          <w:numId w:val="9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Diversified risk profile from multimodality approach. </w:t>
      </w:r>
      <w:r>
        <w:rPr>
          <w:rFonts w:ascii="Times New Roman" w:cs="Times New Roman" w:eastAsia="Times New Roman" w:hAnsi="Times New Roman"/>
          <w:sz w:val="16"/>
          <w:szCs w:val="16"/>
          <w:color w:val="auto"/>
        </w:rPr>
        <w:t>Gemini’s therapeutic candidates include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recombinant proteins, adeno-associated virus — (“</w:t>
      </w:r>
      <w:r>
        <w:rPr>
          <w:rFonts w:ascii="Times New Roman" w:cs="Times New Roman" w:eastAsia="Times New Roman" w:hAnsi="Times New Roman"/>
          <w:sz w:val="16"/>
          <w:szCs w:val="16"/>
          <w:b w:val="1"/>
          <w:bCs w:val="1"/>
          <w:color w:val="auto"/>
        </w:rPr>
        <w:t>AAV</w:t>
      </w:r>
      <w:r>
        <w:rPr>
          <w:rFonts w:ascii="Times New Roman" w:cs="Times New Roman" w:eastAsia="Times New Roman" w:hAnsi="Times New Roman"/>
          <w:sz w:val="16"/>
          <w:szCs w:val="16"/>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98" w:lineRule="exact"/>
        <w:rPr>
          <w:rFonts w:ascii="Times New Roman" w:cs="Times New Roman" w:eastAsia="Times New Roman" w:hAnsi="Times New Roman"/>
          <w:sz w:val="16"/>
          <w:szCs w:val="16"/>
          <w:b w:val="1"/>
          <w:bCs w:val="1"/>
          <w:i w:val="1"/>
          <w:iCs w:val="1"/>
          <w:color w:val="auto"/>
        </w:rPr>
      </w:pPr>
    </w:p>
    <w:p>
      <w:pPr>
        <w:jc w:val="both"/>
        <w:ind w:left="1760" w:right="1019" w:hanging="379"/>
        <w:spacing w:after="0" w:line="254" w:lineRule="auto"/>
        <w:tabs>
          <w:tab w:leader="none" w:pos="193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Near-term catalysts. </w:t>
      </w:r>
      <w:r>
        <w:rPr>
          <w:rFonts w:ascii="Times New Roman" w:cs="Times New Roman" w:eastAsia="Times New Roman" w:hAnsi="Times New Roman"/>
          <w:sz w:val="16"/>
          <w:szCs w:val="16"/>
          <w:color w:val="auto"/>
        </w:rPr>
        <w:t>Gemini has initiated a Phase 2a trial of GEM103 in dry AMD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anticipates 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6"/>
          <w:szCs w:val="16"/>
          <w:b w:val="1"/>
          <w:bCs w:val="1"/>
          <w:color w:val="auto"/>
        </w:rPr>
        <w:t>IND</w:t>
      </w:r>
      <w:r>
        <w:rPr>
          <w:rFonts w:ascii="Times New Roman" w:cs="Times New Roman" w:eastAsia="Times New Roman" w:hAnsi="Times New Roman"/>
          <w:sz w:val="16"/>
          <w:szCs w:val="16"/>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91" w:lineRule="exact"/>
        <w:rPr>
          <w:rFonts w:ascii="Times New Roman" w:cs="Times New Roman" w:eastAsia="Times New Roman" w:hAnsi="Times New Roman"/>
          <w:sz w:val="16"/>
          <w:szCs w:val="16"/>
          <w:color w:val="auto"/>
        </w:rPr>
      </w:pPr>
    </w:p>
    <w:p>
      <w:pPr>
        <w:ind w:left="1760" w:right="1019" w:hanging="379"/>
        <w:spacing w:after="0" w:line="285" w:lineRule="auto"/>
        <w:tabs>
          <w:tab w:leader="none" w:pos="175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Experienced management team. </w:t>
      </w:r>
      <w:r>
        <w:rPr>
          <w:rFonts w:ascii="Times New Roman" w:cs="Times New Roman" w:eastAsia="Times New Roman" w:hAnsi="Times New Roman"/>
          <w:sz w:val="16"/>
          <w:szCs w:val="16"/>
          <w:color w:val="auto"/>
        </w:rPr>
        <w:t>The Board believes that Gemini has a proven and experienced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team that will effectively lead the company after the Business Combination.</w:t>
      </w:r>
    </w:p>
    <w:p>
      <w:pPr>
        <w:spacing w:after="0" w:line="76" w:lineRule="exact"/>
        <w:rPr>
          <w:rFonts w:ascii="Times New Roman" w:cs="Times New Roman" w:eastAsia="Times New Roman" w:hAnsi="Times New Roman"/>
          <w:sz w:val="16"/>
          <w:szCs w:val="16"/>
          <w:color w:val="auto"/>
        </w:rPr>
      </w:pPr>
    </w:p>
    <w:p>
      <w:pPr>
        <w:jc w:val="both"/>
        <w:ind w:left="1760" w:right="1019" w:hanging="379"/>
        <w:spacing w:after="0" w:line="267" w:lineRule="auto"/>
        <w:tabs>
          <w:tab w:leader="none" w:pos="185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Backed by top-tier healthcare investors. </w:t>
      </w:r>
      <w:r>
        <w:rPr>
          <w:rFonts w:ascii="Times New Roman" w:cs="Times New Roman" w:eastAsia="Times New Roman" w:hAnsi="Times New Roman"/>
          <w:sz w:val="16"/>
          <w:szCs w:val="16"/>
          <w:color w:val="auto"/>
        </w:rPr>
        <w:t>Gemini’s existing investors include Atlas Venture,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Lightstone Ventures, OrbiMed, and Wu Capital, which the Board believes provides additional validation to Gemini’s clinical and business strategies.</w:t>
      </w:r>
    </w:p>
    <w:p>
      <w:pPr>
        <w:spacing w:after="0" w:line="90" w:lineRule="exact"/>
        <w:rPr>
          <w:rFonts w:ascii="Times New Roman" w:cs="Times New Roman" w:eastAsia="Times New Roman" w:hAnsi="Times New Roman"/>
          <w:sz w:val="16"/>
          <w:szCs w:val="16"/>
          <w:color w:val="auto"/>
        </w:rPr>
      </w:pPr>
    </w:p>
    <w:p>
      <w:pPr>
        <w:jc w:val="both"/>
        <w:ind w:left="1760" w:right="1019" w:hanging="379"/>
        <w:spacing w:after="0" w:line="267" w:lineRule="auto"/>
        <w:tabs>
          <w:tab w:leader="none" w:pos="1943"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Financial analysis conducted by FS Development. </w:t>
      </w:r>
      <w:r>
        <w:rPr>
          <w:rFonts w:ascii="Times New Roman" w:cs="Times New Roman" w:eastAsia="Times New Roman" w:hAnsi="Times New Roman"/>
          <w:sz w:val="16"/>
          <w:szCs w:val="16"/>
          <w:color w:val="auto"/>
        </w:rPr>
        <w:t>The financial analysis conducted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FS Development’s management team and reviewed by the Board supported the equity valuation of Gemini.</w:t>
      </w:r>
    </w:p>
    <w:p>
      <w:pPr>
        <w:spacing w:after="0" w:line="1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i w:val="1"/>
          <w:iCs w:val="1"/>
          <w:color w:val="auto"/>
        </w:rPr>
        <w:t>Accounting Treatment</w:t>
      </w:r>
    </w:p>
    <w:p>
      <w:pPr>
        <w:spacing w:after="0" w:line="129" w:lineRule="exact"/>
        <w:rPr>
          <w:sz w:val="20"/>
          <w:szCs w:val="20"/>
          <w:color w:val="auto"/>
        </w:rPr>
      </w:pPr>
    </w:p>
    <w:p>
      <w:pPr>
        <w:jc w:val="both"/>
        <w:ind w:left="1000" w:right="1019"/>
        <w:spacing w:after="0" w:line="252" w:lineRule="auto"/>
        <w:rPr>
          <w:sz w:val="20"/>
          <w:szCs w:val="20"/>
          <w:color w:val="auto"/>
        </w:rPr>
      </w:pPr>
      <w:r>
        <w:rPr>
          <w:rFonts w:ascii="Times New Roman" w:cs="Times New Roman" w:eastAsia="Times New Roman" w:hAnsi="Times New Roman"/>
          <w:sz w:val="16"/>
          <w:szCs w:val="16"/>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Equityholders comprising a relative majority of the voting power of the Combined Entity, Gemini’s operations prior to the Merger comprising the only ongoing operations of the Combined Entity, and Gemini’s senior management comprising the senior management of the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i w:val="1"/>
          <w:iCs w:val="1"/>
          <w:color w:val="auto"/>
        </w:rPr>
        <w:t>Dissenter Rights</w:t>
      </w:r>
    </w:p>
    <w:p>
      <w:pPr>
        <w:spacing w:after="0" w:line="141" w:lineRule="exact"/>
        <w:rPr>
          <w:sz w:val="20"/>
          <w:szCs w:val="20"/>
          <w:color w:val="auto"/>
        </w:rPr>
      </w:pPr>
    </w:p>
    <w:p>
      <w:pPr>
        <w:jc w:val="both"/>
        <w:ind w:left="1000" w:right="1019"/>
        <w:spacing w:after="0" w:line="280" w:lineRule="auto"/>
        <w:rPr>
          <w:sz w:val="20"/>
          <w:szCs w:val="20"/>
          <w:color w:val="auto"/>
        </w:rPr>
      </w:pPr>
      <w:r>
        <w:rPr>
          <w:rFonts w:ascii="Times New Roman" w:cs="Times New Roman" w:eastAsia="Times New Roman" w:hAnsi="Times New Roman"/>
          <w:sz w:val="16"/>
          <w:szCs w:val="16"/>
          <w:color w:val="auto"/>
        </w:rPr>
        <w:t>Dissenter rights are not available to FS Development stockholders in connection with the Business Combination.</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i w:val="1"/>
          <w:iCs w:val="1"/>
          <w:color w:val="auto"/>
        </w:rPr>
        <w:t>Impact of the Business Combination on FS Development’s Public Float</w:t>
      </w:r>
    </w:p>
    <w:p>
      <w:pPr>
        <w:spacing w:after="0" w:line="141" w:lineRule="exact"/>
        <w:rPr>
          <w:sz w:val="20"/>
          <w:szCs w:val="20"/>
          <w:color w:val="auto"/>
        </w:rPr>
      </w:pPr>
    </w:p>
    <w:p>
      <w:pPr>
        <w:jc w:val="both"/>
        <w:ind w:left="1000" w:right="1019"/>
        <w:spacing w:after="0" w:line="252" w:lineRule="auto"/>
        <w:rPr>
          <w:sz w:val="20"/>
          <w:szCs w:val="20"/>
          <w:color w:val="auto"/>
        </w:rPr>
      </w:pPr>
      <w:r>
        <w:rPr>
          <w:rFonts w:ascii="Times New Roman" w:cs="Times New Roman" w:eastAsia="Times New Roman" w:hAnsi="Times New Roman"/>
          <w:sz w:val="16"/>
          <w:szCs w:val="16"/>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the FS Development’s existing stockholders in the Combined Entity will be different.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 w:name="page32"/>
    <w:bookmarkEnd w:id="31"/>
    <w:p>
      <w:pPr>
        <w:ind w:left="920"/>
        <w:spacing w:after="0"/>
        <w:rPr>
          <w:rFonts w:ascii="Times New Roman" w:cs="Times New Roman" w:eastAsia="Times New Roman" w:hAnsi="Times New Roman"/>
          <w:sz w:val="15"/>
          <w:szCs w:val="15"/>
          <w:u w:val="single" w:color="auto"/>
          <w:color w:val="0000EE"/>
        </w:rPr>
      </w:pPr>
      <w:hyperlink w:anchor="page10">
        <w:r>
          <w:rPr>
            <w:rFonts w:ascii="Times New Roman" w:cs="Times New Roman" w:eastAsia="Times New Roman" w:hAnsi="Times New Roman"/>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19685</wp:posOffset>
            </wp:positionV>
            <wp:extent cx="4558030" cy="8215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58030" cy="821563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p>
      <w:pPr>
        <w:spacing w:after="0" w:line="317" w:lineRule="exact"/>
        <w:rPr>
          <w:sz w:val="20"/>
          <w:szCs w:val="20"/>
          <w:color w:val="auto"/>
        </w:rPr>
      </w:pPr>
    </w:p>
    <w:p>
      <w:pPr>
        <w:jc w:val="both"/>
        <w:ind w:left="1000" w:right="1019"/>
        <w:spacing w:after="0" w:line="280" w:lineRule="auto"/>
        <w:rPr>
          <w:sz w:val="20"/>
          <w:szCs w:val="20"/>
          <w:color w:val="auto"/>
        </w:rPr>
      </w:pPr>
      <w:r>
        <w:rPr>
          <w:rFonts w:ascii="Times New Roman" w:cs="Times New Roman" w:eastAsia="Times New Roman" w:hAnsi="Times New Roman"/>
          <w:sz w:val="16"/>
          <w:szCs w:val="16"/>
          <w:color w:val="auto"/>
        </w:rPr>
        <w:t>The following tables illustrate varying ownership levels in FS Development assuming the factors mentioned above:</w:t>
      </w:r>
    </w:p>
    <w:p>
      <w:pPr>
        <w:spacing w:after="0" w:line="111" w:lineRule="exact"/>
        <w:rPr>
          <w:sz w:val="20"/>
          <w:szCs w:val="20"/>
          <w:color w:val="auto"/>
        </w:rPr>
      </w:pPr>
    </w:p>
    <w:tbl>
      <w:tblPr>
        <w:tblLayout w:type="fixed"/>
        <w:tblInd w:w="1000" w:type="dxa"/>
        <w:tblCellMar>
          <w:top w:w="0" w:type="dxa"/>
          <w:left w:w="0" w:type="dxa"/>
          <w:bottom w:w="0" w:type="dxa"/>
          <w:right w:w="0" w:type="dxa"/>
        </w:tblCellMar>
      </w:tblPr>
      <w:tr>
        <w:trPr>
          <w:trHeight w:val="179"/>
        </w:trPr>
        <w:tc>
          <w:tcPr>
            <w:tcW w:w="3220" w:type="dxa"/>
            <w:vAlign w:val="bottom"/>
          </w:tcPr>
          <w:p>
            <w:pPr>
              <w:spacing w:after="0"/>
              <w:rPr>
                <w:sz w:val="15"/>
                <w:szCs w:val="15"/>
                <w:color w:val="auto"/>
              </w:rPr>
            </w:pPr>
          </w:p>
        </w:tc>
        <w:tc>
          <w:tcPr>
            <w:tcW w:w="19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1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redemption</w:t>
            </w:r>
          </w:p>
        </w:tc>
      </w:tr>
      <w:tr>
        <w:trPr>
          <w:trHeight w:val="188"/>
        </w:trPr>
        <w:tc>
          <w:tcPr>
            <w:tcW w:w="3220" w:type="dxa"/>
            <w:vAlign w:val="bottom"/>
          </w:tcPr>
          <w:p>
            <w:pPr>
              <w:spacing w:after="0"/>
              <w:rPr>
                <w:sz w:val="16"/>
                <w:szCs w:val="16"/>
                <w:color w:val="auto"/>
              </w:rPr>
            </w:pPr>
          </w:p>
        </w:tc>
        <w:tc>
          <w:tcPr>
            <w:tcW w:w="1220" w:type="dxa"/>
            <w:vAlign w:val="bottom"/>
            <w:gridSpan w:val="3"/>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2"/>
        </w:trPr>
        <w:tc>
          <w:tcPr>
            <w:tcW w:w="3220" w:type="dxa"/>
            <w:vAlign w:val="bottom"/>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1"/>
        </w:trPr>
        <w:tc>
          <w:tcPr>
            <w:tcW w:w="3220" w:type="dxa"/>
            <w:vAlign w:val="bottom"/>
          </w:tcPr>
          <w:p>
            <w:pPr>
              <w:spacing w:after="0"/>
              <w:rPr>
                <w:sz w:val="17"/>
                <w:szCs w:val="17"/>
                <w:color w:val="auto"/>
              </w:rPr>
            </w:pP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r>
      <w:tr>
        <w:trPr>
          <w:trHeight w:val="42"/>
        </w:trPr>
        <w:tc>
          <w:tcPr>
            <w:tcW w:w="3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11"/>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FS Development Corp. public stockholders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922,625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5"/>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FS Development Corp. Sponsor and Directors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3,460,250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3,460,250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36"/>
        </w:trPr>
        <w:tc>
          <w:tcPr>
            <w:tcW w:w="3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31"/>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w:t>
            </w:r>
          </w:p>
        </w:tc>
      </w:tr>
      <w:tr>
        <w:trPr>
          <w:trHeight w:val="215"/>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36"/>
        </w:trPr>
        <w:tc>
          <w:tcPr>
            <w:tcW w:w="3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31"/>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2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24"/>
        </w:trPr>
        <w:tc>
          <w:tcPr>
            <w:tcW w:w="3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1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46,541,250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35,388,875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20"/>
        </w:trPr>
        <w:tc>
          <w:tcPr>
            <w:tcW w:w="3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00" w:right="1019"/>
        <w:spacing w:after="0" w:line="256" w:lineRule="auto"/>
        <w:rPr>
          <w:sz w:val="20"/>
          <w:szCs w:val="20"/>
          <w:color w:val="auto"/>
        </w:rPr>
      </w:pPr>
      <w:r>
        <w:rPr>
          <w:rFonts w:ascii="Times New Roman" w:cs="Times New Roman" w:eastAsia="Times New Roman" w:hAnsi="Times New Roman"/>
          <w:sz w:val="16"/>
          <w:szCs w:val="16"/>
          <w:color w:val="auto"/>
        </w:rPr>
        <w:t>Upon Closing, the Board anticipates having seven directors, with each Class I director having an initial term that expires at the Combined Entity’s annual meeting of stockholders in 2021, each Class II director having an initial term that expires at the Combined Entity’s annual meeting of stockholders in 2022, and each Class</w:t>
      </w:r>
    </w:p>
    <w:p>
      <w:pPr>
        <w:spacing w:after="0" w:line="2" w:lineRule="exact"/>
        <w:rPr>
          <w:sz w:val="20"/>
          <w:szCs w:val="20"/>
          <w:color w:val="auto"/>
        </w:rPr>
      </w:pPr>
    </w:p>
    <w:p>
      <w:pPr>
        <w:jc w:val="both"/>
        <w:ind w:left="1000" w:right="1019" w:hanging="1"/>
        <w:spacing w:after="0" w:line="252" w:lineRule="auto"/>
        <w:tabs>
          <w:tab w:leader="none" w:pos="1218"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 having an initial term that expires at the Combined Entity’s annual meeting of stockholders in 2023, or in each case until their respective successors are duly elected and qualified, or until their earlier resignation, removal or death. See the section titled “</w:t>
      </w:r>
      <w:r>
        <w:rPr>
          <w:rFonts w:ascii="Times New Roman" w:cs="Times New Roman" w:eastAsia="Times New Roman" w:hAnsi="Times New Roman"/>
          <w:sz w:val="16"/>
          <w:szCs w:val="16"/>
          <w:i w:val="1"/>
          <w:iCs w:val="1"/>
          <w:color w:val="auto"/>
        </w:rPr>
        <w:t>Management After the Business Combination</w:t>
      </w:r>
      <w:r>
        <w:rPr>
          <w:rFonts w:ascii="Times New Roman" w:cs="Times New Roman" w:eastAsia="Times New Roman" w:hAnsi="Times New Roman"/>
          <w:sz w:val="16"/>
          <w:szCs w:val="16"/>
          <w:color w:val="auto"/>
        </w:rPr>
        <w:t>” for additional information.</w:t>
      </w:r>
    </w:p>
    <w:p>
      <w:pPr>
        <w:spacing w:after="0" w:line="1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The Nasdaq Stock Issuance Proposal</w:t>
      </w:r>
    </w:p>
    <w:p>
      <w:pPr>
        <w:spacing w:after="0" w:line="131" w:lineRule="exact"/>
        <w:rPr>
          <w:sz w:val="20"/>
          <w:szCs w:val="20"/>
          <w:color w:val="auto"/>
        </w:rPr>
      </w:pPr>
    </w:p>
    <w:p>
      <w:pPr>
        <w:jc w:val="both"/>
        <w:ind w:left="1000" w:right="1019"/>
        <w:spacing w:after="0" w:line="253" w:lineRule="auto"/>
        <w:rPr>
          <w:sz w:val="20"/>
          <w:szCs w:val="20"/>
          <w:color w:val="auto"/>
        </w:rPr>
      </w:pPr>
      <w:r>
        <w:rPr>
          <w:rFonts w:ascii="Times New Roman" w:cs="Times New Roman" w:eastAsia="Times New Roman" w:hAnsi="Times New Roman"/>
          <w:sz w:val="16"/>
          <w:szCs w:val="16"/>
          <w:color w:val="auto"/>
        </w:rPr>
        <w:t xml:space="preserve">As the consideration for the Business Combination, FS Development is obligated to issue up to 21,500,000 shares of FS Development Class A Common Stock to the Gemini Equityholders,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Acquisition of Gemini; Merger Consideration”</w:t>
      </w:r>
      <w:r>
        <w:rPr>
          <w:rFonts w:ascii="Times New Roman" w:cs="Times New Roman" w:eastAsia="Times New Roman" w:hAnsi="Times New Roman"/>
          <w:sz w:val="16"/>
          <w:szCs w:val="16"/>
          <w:color w:val="auto"/>
        </w:rPr>
        <w:t>. In addition, in connection with the Business Combination, FS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entered into the Subscription Agreements with investors to purchase 9,506,000 shares of Class A Common Stock for an aggregate amount of $95,060,000, subject to certain conditions, including that all conditions precedent to the Closing will have been satisfied or waived (other than those conditions that are to be satisfied at Closing).</w:t>
      </w:r>
    </w:p>
    <w:p>
      <w:pPr>
        <w:spacing w:after="0" w:line="109" w:lineRule="exact"/>
        <w:rPr>
          <w:sz w:val="20"/>
          <w:szCs w:val="20"/>
          <w:color w:val="auto"/>
        </w:rPr>
      </w:pPr>
    </w:p>
    <w:p>
      <w:pPr>
        <w:jc w:val="both"/>
        <w:ind w:left="1000" w:right="1019"/>
        <w:spacing w:after="0" w:line="255" w:lineRule="auto"/>
        <w:rPr>
          <w:sz w:val="20"/>
          <w:szCs w:val="20"/>
          <w:color w:val="auto"/>
        </w:rPr>
      </w:pPr>
      <w:r>
        <w:rPr>
          <w:rFonts w:ascii="Times New Roman" w:cs="Times New Roman" w:eastAsia="Times New Roman" w:hAnsi="Times New Roman"/>
          <w:sz w:val="16"/>
          <w:szCs w:val="16"/>
          <w:color w:val="auto"/>
        </w:rPr>
        <w:t xml:space="preserve">FS Development stockholders will be asked to approve, for purposes of complying with the Nasdaq Listing Rules, the issuance of up to 21,500,000 newly issued shares of FS Development Class A Common Stock pursuant to the Business Combination,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 and 9,506,000 newly issued shares of FS Development Class A Common Stock in the PIPE Investment. See the section titled “</w:t>
      </w:r>
      <w:r>
        <w:rPr>
          <w:rFonts w:ascii="Times New Roman" w:cs="Times New Roman" w:eastAsia="Times New Roman" w:hAnsi="Times New Roman"/>
          <w:sz w:val="16"/>
          <w:szCs w:val="16"/>
          <w:i w:val="1"/>
          <w:iCs w:val="1"/>
          <w:color w:val="auto"/>
        </w:rPr>
        <w:t>The Nasdaq Stock Issuance Proposal</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The Charter Amendment Proposal</w:t>
      </w:r>
    </w:p>
    <w:p>
      <w:pPr>
        <w:spacing w:after="0" w:line="143"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 xml:space="preserve">FS Development stockholders will be asked to approve and adopt, subject to and conditional on (but with immediate effect therefrom) approval of the Business Combination Proposal, the Nasdaq Stock Issuance Proposal, the Incentive Plan Proposal and the Closing, an amendment and restatement of the Current Charter, as set out in the Proposed Charter appended to this proxy statement/prospectus as </w:t>
      </w:r>
      <w:r>
        <w:rPr>
          <w:rFonts w:ascii="Times New Roman" w:cs="Times New Roman" w:eastAsia="Times New Roman" w:hAnsi="Times New Roman"/>
          <w:sz w:val="16"/>
          <w:szCs w:val="16"/>
          <w:i w:val="1"/>
          <w:iCs w:val="1"/>
          <w:u w:val="single" w:color="auto"/>
          <w:color w:val="auto"/>
        </w:rPr>
        <w:t>Annex B</w:t>
      </w:r>
      <w:r>
        <w:rPr>
          <w:rFonts w:ascii="Times New Roman" w:cs="Times New Roman" w:eastAsia="Times New Roman" w:hAnsi="Times New Roman"/>
          <w:sz w:val="16"/>
          <w:szCs w:val="16"/>
          <w:color w:val="auto"/>
        </w:rPr>
        <w:t>. See the section titled “</w:t>
      </w:r>
      <w:r>
        <w:rPr>
          <w:rFonts w:ascii="Times New Roman" w:cs="Times New Roman" w:eastAsia="Times New Roman" w:hAnsi="Times New Roman"/>
          <w:sz w:val="16"/>
          <w:szCs w:val="16"/>
          <w:i w:val="1"/>
          <w:iCs w:val="1"/>
          <w:color w:val="auto"/>
        </w:rPr>
        <w:t>The Charter Amendment Proposal</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The Charter Amendment Advisory Proposals</w:t>
      </w:r>
    </w:p>
    <w:p>
      <w:pPr>
        <w:spacing w:after="0" w:line="131"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6"/>
          <w:szCs w:val="16"/>
          <w:b w:val="1"/>
          <w:bCs w:val="1"/>
          <w:color w:val="auto"/>
        </w:rPr>
        <w:t>Advisory Charter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Proposals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760" w:right="1019" w:hanging="379"/>
        <w:spacing w:after="0" w:line="283" w:lineRule="auto"/>
        <w:tabs>
          <w:tab w:leader="none" w:pos="177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A </w:t>
      </w:r>
      <w:r>
        <w:rPr>
          <w:rFonts w:ascii="Times New Roman" w:cs="Times New Roman" w:eastAsia="Times New Roman" w:hAnsi="Times New Roman"/>
          <w:sz w:val="16"/>
          <w:szCs w:val="16"/>
          <w:color w:val="auto"/>
        </w:rPr>
        <w:t>— to increase the authorized shares of FS Development Class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to 250,000,000 shares;</w:t>
      </w:r>
    </w:p>
    <w:p>
      <w:pPr>
        <w:spacing w:after="0" w:line="79" w:lineRule="exact"/>
        <w:rPr>
          <w:rFonts w:ascii="Times New Roman" w:cs="Times New Roman" w:eastAsia="Times New Roman" w:hAnsi="Times New Roman"/>
          <w:sz w:val="16"/>
          <w:szCs w:val="16"/>
          <w:color w:val="auto"/>
        </w:rPr>
      </w:pPr>
    </w:p>
    <w:p>
      <w:pPr>
        <w:jc w:val="both"/>
        <w:ind w:left="1760" w:right="1019" w:hanging="379"/>
        <w:spacing w:after="0" w:line="266" w:lineRule="auto"/>
        <w:tabs>
          <w:tab w:leader="none" w:pos="177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B </w:t>
      </w:r>
      <w:r>
        <w:rPr>
          <w:rFonts w:ascii="Times New Roman" w:cs="Times New Roman" w:eastAsia="Times New Roman" w:hAnsi="Times New Roman"/>
          <w:sz w:val="16"/>
          <w:szCs w:val="16"/>
          <w:color w:val="auto"/>
        </w:rPr>
        <w:t>— to increase the authorized shares of “blank check” preferred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that the Combined Entity’s board of directors could issue to discourage a takeover attempt to 10,000,000 shares;</w:t>
      </w:r>
    </w:p>
    <w:p>
      <w:pPr>
        <w:spacing w:after="0" w:line="81" w:lineRule="exact"/>
        <w:rPr>
          <w:rFonts w:ascii="Times New Roman" w:cs="Times New Roman" w:eastAsia="Times New Roman" w:hAnsi="Times New Roman"/>
          <w:sz w:val="16"/>
          <w:szCs w:val="16"/>
          <w:color w:val="auto"/>
        </w:rPr>
      </w:pPr>
    </w:p>
    <w:p>
      <w:pPr>
        <w:jc w:val="both"/>
        <w:ind w:left="1760" w:right="1019" w:hanging="379"/>
        <w:spacing w:after="0" w:line="259" w:lineRule="auto"/>
        <w:tabs>
          <w:tab w:leader="none" w:pos="1885"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C </w:t>
      </w:r>
      <w:r>
        <w:rPr>
          <w:rFonts w:ascii="Times New Roman" w:cs="Times New Roman" w:eastAsia="Times New Roman" w:hAnsi="Times New Roman"/>
          <w:sz w:val="16"/>
          <w:szCs w:val="16"/>
          <w:color w:val="auto"/>
        </w:rPr>
        <w:t>— to provide that certain amendments to provisions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Proposed Charter will require the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6"/>
          <w:szCs w:val="16"/>
          <w:color w:val="auto"/>
        </w:rPr>
        <w:t>% of the Combined Entity’s then-outstanding shares of capital stock entitled to vote on such amendment;</w:t>
      </w:r>
    </w:p>
    <w:p>
      <w:pPr>
        <w:sectPr>
          <w:pgSz w:w="11900" w:h="16838" w:orient="portrait"/>
          <w:cols w:equalWidth="0" w:num="1">
            <w:col w:w="9019"/>
          </w:cols>
          <w:pgMar w:left="1440" w:top="254" w:right="1440" w:bottom="1440" w:gutter="0" w:footer="0" w:header="0"/>
          <w:type w:val="continuous"/>
        </w:sect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32" w:name="page33"/>
    <w:bookmarkEnd w:id="3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7031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58030" cy="7031990"/>
                    </a:xfrm>
                    <a:prstGeom prst="rect">
                      <a:avLst/>
                    </a:prstGeom>
                    <a:noFill/>
                  </pic:spPr>
                </pic:pic>
              </a:graphicData>
            </a:graphic>
          </wp:anchor>
        </w:drawing>
      </w:r>
    </w:p>
    <w:p>
      <w:pPr>
        <w:spacing w:after="0" w:line="284" w:lineRule="exact"/>
        <w:rPr>
          <w:sz w:val="20"/>
          <w:szCs w:val="20"/>
          <w:color w:val="auto"/>
        </w:rPr>
      </w:pPr>
    </w:p>
    <w:p>
      <w:pPr>
        <w:jc w:val="both"/>
        <w:ind w:left="1760" w:right="1019" w:hanging="379"/>
        <w:spacing w:after="0" w:line="257" w:lineRule="auto"/>
        <w:tabs>
          <w:tab w:leader="none" w:pos="1758"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D — </w:t>
      </w:r>
      <w:r>
        <w:rPr>
          <w:rFonts w:ascii="Times New Roman" w:cs="Times New Roman" w:eastAsia="Times New Roman" w:hAnsi="Times New Roman"/>
          <w:sz w:val="16"/>
          <w:szCs w:val="16"/>
          <w:color w:val="auto"/>
        </w:rPr>
        <w:t>to make the Combined Entity’s corporate existence perpetual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6"/>
          <w:szCs w:val="16"/>
          <w:color w:val="auto"/>
        </w:rPr>
      </w:pPr>
    </w:p>
    <w:p>
      <w:pPr>
        <w:jc w:val="both"/>
        <w:ind w:left="1760" w:right="1019" w:hanging="379"/>
        <w:spacing w:after="0" w:line="252" w:lineRule="auto"/>
        <w:tabs>
          <w:tab w:leader="none" w:pos="1777"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E </w:t>
      </w:r>
      <w:r>
        <w:rPr>
          <w:rFonts w:ascii="Times New Roman" w:cs="Times New Roman" w:eastAsia="Times New Roman" w:hAnsi="Times New Roman"/>
          <w:sz w:val="16"/>
          <w:szCs w:val="16"/>
          <w:color w:val="auto"/>
        </w:rPr>
        <w:t>— to provide that any amendment to the Amended By-laws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 the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6"/>
          <w:szCs w:val="16"/>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The Incentive Plan Proposal</w:t>
      </w:r>
    </w:p>
    <w:p>
      <w:pPr>
        <w:spacing w:after="0" w:line="131" w:lineRule="exact"/>
        <w:rPr>
          <w:sz w:val="20"/>
          <w:szCs w:val="20"/>
          <w:color w:val="auto"/>
        </w:rPr>
      </w:pPr>
    </w:p>
    <w:p>
      <w:pPr>
        <w:jc w:val="both"/>
        <w:ind w:left="1000" w:right="1019"/>
        <w:spacing w:after="0" w:line="265" w:lineRule="auto"/>
        <w:rPr>
          <w:sz w:val="20"/>
          <w:szCs w:val="20"/>
          <w:color w:val="auto"/>
        </w:rPr>
      </w:pPr>
      <w:r>
        <w:rPr>
          <w:rFonts w:ascii="Times New Roman" w:cs="Times New Roman" w:eastAsia="Times New Roman" w:hAnsi="Times New Roman"/>
          <w:sz w:val="16"/>
          <w:szCs w:val="16"/>
          <w:color w:val="auto"/>
        </w:rPr>
        <w:t>FS Development is proposing that its stockholders approve and adopt the Equity Incentive Plan of the Combined Entity, which will become effective as of the date immediately preceding the date of the Closing and will have the following principal features:</w:t>
      </w:r>
    </w:p>
    <w:p>
      <w:pPr>
        <w:spacing w:after="0" w:line="92" w:lineRule="exact"/>
        <w:rPr>
          <w:sz w:val="20"/>
          <w:szCs w:val="20"/>
          <w:color w:val="auto"/>
        </w:rPr>
      </w:pPr>
    </w:p>
    <w:p>
      <w:pPr>
        <w:jc w:val="both"/>
        <w:ind w:left="1760" w:right="1019" w:hanging="379"/>
        <w:spacing w:after="0" w:line="254" w:lineRule="auto"/>
        <w:tabs>
          <w:tab w:leader="none" w:pos="18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Types of Awards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Equity Incentive Plan provides for the grant of incentive stock options,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non-qualified stock options, stock appreciation rights, restricted stock awards, restricted stock unit awards, unrestricted stock awards, and dividend equivalent rights, or collectively, stock awards, all of which may be granted to employees, including officers, non-employee directors and consultants of the Combined Entity and its affiliates. Additionally, the Equity Incentive Plan provides for the grant of performance-based cash awards. Incentive stock options may be granted only to employees. All other awards may be granted to employees, including officers, and to non-employee directors and consultants.</w:t>
      </w:r>
    </w:p>
    <w:p>
      <w:pPr>
        <w:spacing w:after="0" w:line="103" w:lineRule="exact"/>
        <w:rPr>
          <w:rFonts w:ascii="Times New Roman" w:cs="Times New Roman" w:eastAsia="Times New Roman" w:hAnsi="Times New Roman"/>
          <w:sz w:val="16"/>
          <w:szCs w:val="16"/>
          <w:color w:val="auto"/>
        </w:rPr>
      </w:pPr>
    </w:p>
    <w:p>
      <w:pPr>
        <w:jc w:val="both"/>
        <w:ind w:left="1760" w:right="1019" w:hanging="379"/>
        <w:spacing w:after="0" w:line="255" w:lineRule="auto"/>
        <w:tabs>
          <w:tab w:leader="none" w:pos="178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Shares Available for Awards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Initially, the aggregate number of shares of Common Stock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may be issued pursuant to stock awards under the Equity Incentive Plan after the Equity Incentive Plan becomes effective will not exceed 4,264,341 shares. Additionally,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89" w:lineRule="exact"/>
        <w:rPr>
          <w:rFonts w:ascii="Times New Roman" w:cs="Times New Roman" w:eastAsia="Times New Roman" w:hAnsi="Times New Roman"/>
          <w:sz w:val="16"/>
          <w:szCs w:val="16"/>
          <w:color w:val="auto"/>
        </w:rPr>
      </w:pPr>
    </w:p>
    <w:p>
      <w:pPr>
        <w:jc w:val="both"/>
        <w:ind w:left="1760" w:right="1019" w:hanging="379"/>
        <w:spacing w:after="0" w:line="258" w:lineRule="auto"/>
        <w:tabs>
          <w:tab w:leader="none" w:pos="185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Non-Employee Director Compensation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value of all awards awarded under the Equity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 Plan and all other cash compensation paid by the Combined Entity to any non-employee director in any calendar year for services as a non-employee director will not exceed $750,000, or $1,000,000 for the year in which a non-employee director is first appointed or elected to the Combined Entity’s board of directors.</w:t>
      </w:r>
    </w:p>
    <w:p>
      <w:pPr>
        <w:spacing w:after="0" w:line="101" w:lineRule="exact"/>
        <w:rPr>
          <w:sz w:val="20"/>
          <w:szCs w:val="20"/>
          <w:color w:val="auto"/>
        </w:rPr>
      </w:pPr>
    </w:p>
    <w:p>
      <w:pPr>
        <w:jc w:val="both"/>
        <w:ind w:left="1000" w:right="1019"/>
        <w:spacing w:after="0" w:line="283" w:lineRule="auto"/>
        <w:rPr>
          <w:sz w:val="20"/>
          <w:szCs w:val="20"/>
          <w:color w:val="auto"/>
        </w:rPr>
      </w:pPr>
      <w:r>
        <w:rPr>
          <w:rFonts w:ascii="Times New Roman" w:cs="Times New Roman" w:eastAsia="Times New Roman" w:hAnsi="Times New Roman"/>
          <w:sz w:val="16"/>
          <w:szCs w:val="16"/>
          <w:color w:val="auto"/>
        </w:rPr>
        <w:t>A summary of the Equity Incentive Plan is set forth in the “</w:t>
      </w:r>
      <w:r>
        <w:rPr>
          <w:rFonts w:ascii="Times New Roman" w:cs="Times New Roman" w:eastAsia="Times New Roman" w:hAnsi="Times New Roman"/>
          <w:sz w:val="16"/>
          <w:szCs w:val="16"/>
          <w:i w:val="1"/>
          <w:iCs w:val="1"/>
          <w:color w:val="auto"/>
        </w:rPr>
        <w:t>The Incentive Plan Proposal</w:t>
      </w:r>
      <w:r>
        <w:rPr>
          <w:rFonts w:ascii="Times New Roman" w:cs="Times New Roman" w:eastAsia="Times New Roman" w:hAnsi="Times New Roman"/>
          <w:sz w:val="16"/>
          <w:szCs w:val="16"/>
          <w:color w:val="auto"/>
        </w:rPr>
        <w:t xml:space="preserve">” section of this proxy statement/prospectus and a complete copy of the Equity Incentive Plan is attached hereto as </w:t>
      </w:r>
      <w:r>
        <w:rPr>
          <w:rFonts w:ascii="Times New Roman" w:cs="Times New Roman" w:eastAsia="Times New Roman" w:hAnsi="Times New Roman"/>
          <w:sz w:val="16"/>
          <w:szCs w:val="16"/>
          <w:i w:val="1"/>
          <w:iCs w:val="1"/>
          <w:u w:val="single" w:color="auto"/>
          <w:color w:val="auto"/>
        </w:rPr>
        <w:t>Annex D</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Date, Time and Place of Special Meeting</w:t>
      </w:r>
    </w:p>
    <w:p>
      <w:pPr>
        <w:spacing w:after="0" w:line="141" w:lineRule="exact"/>
        <w:rPr>
          <w:sz w:val="20"/>
          <w:szCs w:val="20"/>
          <w:color w:val="auto"/>
        </w:rPr>
      </w:pPr>
    </w:p>
    <w:p>
      <w:pPr>
        <w:jc w:val="both"/>
        <w:ind w:left="1000" w:right="1019"/>
        <w:spacing w:after="0" w:line="255" w:lineRule="auto"/>
        <w:rPr>
          <w:sz w:val="20"/>
          <w:szCs w:val="20"/>
          <w:color w:val="auto"/>
        </w:rPr>
      </w:pPr>
      <w:r>
        <w:rPr>
          <w:rFonts w:ascii="Times New Roman" w:cs="Times New Roman" w:eastAsia="Times New Roman" w:hAnsi="Times New Roman"/>
          <w:sz w:val="16"/>
          <w:szCs w:val="16"/>
          <w:color w:val="auto"/>
        </w:rPr>
        <w:t xml:space="preserve">The Special Meeting will be held on February 3, 2021, at 10:00 a.m., Eastern time, conducted via live webcast at the following address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 You will need the 12-digit 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94" w:lineRule="exact"/>
        <w:rPr>
          <w:sz w:val="20"/>
          <w:szCs w:val="20"/>
          <w:color w:val="auto"/>
        </w:rPr>
      </w:pPr>
    </w:p>
    <w:p>
      <w:pPr>
        <w:jc w:val="both"/>
        <w:ind w:left="1000" w:right="1019"/>
        <w:spacing w:after="0" w:line="282" w:lineRule="auto"/>
        <w:rPr>
          <w:sz w:val="20"/>
          <w:szCs w:val="20"/>
          <w:color w:val="auto"/>
        </w:rPr>
      </w:pPr>
      <w:r>
        <w:rPr>
          <w:rFonts w:ascii="Times New Roman" w:cs="Times New Roman" w:eastAsia="Times New Roman" w:hAnsi="Times New Roman"/>
          <w:sz w:val="15"/>
          <w:szCs w:val="15"/>
          <w:color w:val="auto"/>
        </w:rPr>
        <w:t>Only holders of record of issued and outstanding FS Development Common Stock as of the close of business on January 15, 2021, the Record Date for the Special Meeting, are entitled to notice of, and to vote at, the Special Meeting or any adjournment or postponement of the Special Meeting. You may cast one vote for each share of FS Development Common Stock that you owned as of the close of business on the Record Date.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 w:name="page34"/>
    <w:bookmarkEnd w:id="3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7547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58030" cy="7547610"/>
                    </a:xfrm>
                    <a:prstGeom prst="rect">
                      <a:avLst/>
                    </a:prstGeom>
                    <a:noFill/>
                  </pic:spPr>
                </pic:pic>
              </a:graphicData>
            </a:graphic>
          </wp:anchor>
        </w:drawing>
      </w:r>
    </w:p>
    <w:p>
      <w:pPr>
        <w:spacing w:after="0" w:line="3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Proxy Solicitation</w:t>
      </w:r>
    </w:p>
    <w:p>
      <w:pPr>
        <w:spacing w:after="0" w:line="141"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Times New Roman" w:cs="Times New Roman" w:eastAsia="Times New Roman" w:hAnsi="Times New Roman"/>
          <w:sz w:val="16"/>
          <w:szCs w:val="16"/>
          <w:i w:val="1"/>
          <w:iCs w:val="1"/>
          <w:color w:val="auto"/>
        </w:rPr>
        <w:t>Special Meeting of FS Development Stockholders — Revoking Your Proxy</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Quorum and Required Vote for Proposals for the Special Meeting</w:t>
      </w:r>
    </w:p>
    <w:p>
      <w:pPr>
        <w:spacing w:after="0" w:line="141"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A quorum of FS Development stockholders is necessary to hold a valid meeting. A quorum will be present at the Special Meeting if the holders of a majority of the FS Development Common Stock outstanding and entitled to vote at the Special Meeting is represented in person (which would include presence at a virtual meeting) or by proxy at the Special Meeting. Abstentions will count as present for the purposes of establishing a quorum. Broker non-votes will not be counted for purposes of establishing a quorum.</w:t>
      </w:r>
    </w:p>
    <w:p>
      <w:pPr>
        <w:spacing w:after="0" w:line="90"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The approval of the Charter Amendment Proposal requires the affirmative vote of a majority of the issued and outstanding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02" w:lineRule="exact"/>
        <w:rPr>
          <w:sz w:val="20"/>
          <w:szCs w:val="20"/>
          <w:color w:val="auto"/>
        </w:rPr>
      </w:pPr>
    </w:p>
    <w:p>
      <w:pPr>
        <w:jc w:val="both"/>
        <w:ind w:left="1000" w:right="1019"/>
        <w:spacing w:after="0" w:line="252" w:lineRule="auto"/>
        <w:rPr>
          <w:sz w:val="20"/>
          <w:szCs w:val="20"/>
          <w:color w:val="auto"/>
        </w:rPr>
      </w:pPr>
      <w:r>
        <w:rPr>
          <w:rFonts w:ascii="Times New Roman" w:cs="Times New Roman" w:eastAsia="Times New Roman" w:hAnsi="Times New Roman"/>
          <w:sz w:val="16"/>
          <w:szCs w:val="16"/>
          <w:color w:val="auto"/>
        </w:rPr>
        <w:t>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and the Adjournment Proposal.</w:t>
      </w:r>
    </w:p>
    <w:p>
      <w:pPr>
        <w:spacing w:after="0" w:line="112" w:lineRule="exact"/>
        <w:rPr>
          <w:sz w:val="20"/>
          <w:szCs w:val="20"/>
          <w:color w:val="auto"/>
        </w:rPr>
      </w:pPr>
    </w:p>
    <w:p>
      <w:pPr>
        <w:jc w:val="both"/>
        <w:ind w:left="1000" w:right="1019"/>
        <w:spacing w:after="0" w:line="252" w:lineRule="auto"/>
        <w:rPr>
          <w:sz w:val="20"/>
          <w:szCs w:val="20"/>
          <w:color w:val="auto"/>
        </w:rPr>
      </w:pPr>
      <w:r>
        <w:rPr>
          <w:rFonts w:ascii="Times New Roman" w:cs="Times New Roman" w:eastAsia="Times New Roman" w:hAnsi="Times New Roman"/>
          <w:sz w:val="16"/>
          <w:szCs w:val="16"/>
          <w:color w:val="auto"/>
        </w:rPr>
        <w:t>Approval of the Nasdaq Stock Issuance Proposal, the Charter Amendment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Unless the Business Combination Proposal is approved, the Nasdaq Stock Issuance Proposal, the Charter Amendment Proposal, and the Incentive Plan Proposal will not be presented to the stockholders of FS Development at the Special Meeting. The Adjournment Proposal is not conditioned on any other Proposal and does not require the approval of any other Proposal to be effective. It is important for you to note that in the event the Business Combination Proposal, the Nasdaq Stock Issuance Proposal, the Charter Amendment Proposal, and the Incentive Plan Proposal do not receive the requisite vote for approval, then FS Development will not consummate the Business Combination. If FS Development does not consummate the Business Combination and fails to complete an initial business combination by August 14, 2022, it will be required to dissolve and liquidate its Trust Account by returning the then remaining funds in such account to its public stockholders.</w:t>
      </w:r>
    </w:p>
    <w:p>
      <w:pPr>
        <w:spacing w:after="0" w:line="1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Recommendation to FS Development Stockholders</w:t>
      </w:r>
    </w:p>
    <w:p>
      <w:pPr>
        <w:spacing w:after="0" w:line="127" w:lineRule="exact"/>
        <w:rPr>
          <w:sz w:val="20"/>
          <w:szCs w:val="20"/>
          <w:color w:val="auto"/>
        </w:rPr>
      </w:pPr>
    </w:p>
    <w:p>
      <w:pPr>
        <w:jc w:val="both"/>
        <w:ind w:left="1000" w:right="1019"/>
        <w:spacing w:after="0" w:line="266" w:lineRule="auto"/>
        <w:rPr>
          <w:sz w:val="20"/>
          <w:szCs w:val="20"/>
          <w:color w:val="auto"/>
        </w:rPr>
      </w:pPr>
      <w:r>
        <w:rPr>
          <w:rFonts w:ascii="Times New Roman" w:cs="Times New Roman" w:eastAsia="Times New Roman" w:hAnsi="Times New Roman"/>
          <w:sz w:val="16"/>
          <w:szCs w:val="16"/>
          <w:b w:val="1"/>
          <w:bCs w:val="1"/>
          <w:color w:val="auto"/>
        </w:rPr>
        <w:t>The Board believes that the Proposals to be presented at the Special Meeting are in the best interests of FS Development and its stockholders and unanimously recommends that FS Development stockholders vote “FOR” the Proposals.</w:t>
      </w:r>
    </w:p>
    <w:p>
      <w:pPr>
        <w:spacing w:after="0" w:line="95"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When you consider the recommendation of the Board in favor of approval of these Proposals, you should keep in mind that FS Development directors and officers have interests in the Business Combination that are different from or in addition to (and which may conflict with) your interests as a stockholder. These interests include, among other things:</w:t>
      </w:r>
    </w:p>
    <w:p>
      <w:pPr>
        <w:spacing w:after="0" w:line="102" w:lineRule="exact"/>
        <w:rPr>
          <w:sz w:val="20"/>
          <w:szCs w:val="20"/>
          <w:color w:val="auto"/>
        </w:rPr>
      </w:pPr>
    </w:p>
    <w:p>
      <w:pPr>
        <w:jc w:val="both"/>
        <w:ind w:left="1760" w:right="1019" w:hanging="379"/>
        <w:spacing w:after="0" w:line="257" w:lineRule="auto"/>
        <w:tabs>
          <w:tab w:leader="none" w:pos="1835"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 w:name="page35"/>
    <w:bookmarkEnd w:id="3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7388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58030" cy="7388225"/>
                    </a:xfrm>
                    <a:prstGeom prst="rect">
                      <a:avLst/>
                    </a:prstGeom>
                    <a:noFill/>
                  </pic:spPr>
                </pic:pic>
              </a:graphicData>
            </a:graphic>
          </wp:anchor>
        </w:drawing>
      </w:r>
    </w:p>
    <w:p>
      <w:pPr>
        <w:spacing w:after="0" w:line="286" w:lineRule="exact"/>
        <w:rPr>
          <w:sz w:val="20"/>
          <w:szCs w:val="20"/>
          <w:color w:val="auto"/>
        </w:rPr>
      </w:pPr>
    </w:p>
    <w:p>
      <w:pPr>
        <w:jc w:val="both"/>
        <w:ind w:left="1760" w:right="1019"/>
        <w:spacing w:after="0" w:line="271" w:lineRule="auto"/>
        <w:rPr>
          <w:sz w:val="20"/>
          <w:szCs w:val="20"/>
          <w:color w:val="auto"/>
        </w:rPr>
      </w:pPr>
      <w:r>
        <w:rPr>
          <w:rFonts w:ascii="Times New Roman" w:cs="Times New Roman" w:eastAsia="Times New Roman" w:hAnsi="Times New Roman"/>
          <w:sz w:val="15"/>
          <w:szCs w:val="15"/>
          <w:color w:val="auto"/>
        </w:rPr>
        <w:t>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2" w:lineRule="exact"/>
        <w:rPr>
          <w:sz w:val="20"/>
          <w:szCs w:val="20"/>
          <w:color w:val="auto"/>
        </w:rPr>
      </w:pPr>
    </w:p>
    <w:p>
      <w:pPr>
        <w:jc w:val="both"/>
        <w:ind w:left="1760" w:right="1019"/>
        <w:spacing w:after="0" w:line="252" w:lineRule="auto"/>
        <w:rPr>
          <w:sz w:val="20"/>
          <w:szCs w:val="20"/>
          <w:color w:val="auto"/>
        </w:rPr>
      </w:pPr>
      <w:r>
        <w:rPr>
          <w:rFonts w:ascii="Times New Roman" w:cs="Times New Roman" w:eastAsia="Times New Roman" w:hAnsi="Times New Roman"/>
          <w:sz w:val="16"/>
          <w:szCs w:val="16"/>
          <w:color w:val="auto"/>
        </w:rPr>
        <w:t>(iii)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06" w:lineRule="exact"/>
        <w:rPr>
          <w:sz w:val="20"/>
          <w:szCs w:val="20"/>
          <w:color w:val="auto"/>
        </w:rPr>
      </w:pPr>
    </w:p>
    <w:p>
      <w:pPr>
        <w:jc w:val="both"/>
        <w:ind w:left="1760" w:right="1019" w:hanging="379"/>
        <w:spacing w:after="0" w:line="257" w:lineRule="auto"/>
        <w:tabs>
          <w:tab w:leader="none" w:pos="183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90" w:lineRule="exact"/>
        <w:rPr>
          <w:rFonts w:ascii="Times New Roman" w:cs="Times New Roman" w:eastAsia="Times New Roman" w:hAnsi="Times New Roman"/>
          <w:sz w:val="16"/>
          <w:szCs w:val="16"/>
          <w:color w:val="auto"/>
        </w:rPr>
      </w:pPr>
    </w:p>
    <w:p>
      <w:pPr>
        <w:jc w:val="both"/>
        <w:ind w:left="1760" w:right="1019" w:hanging="379"/>
        <w:spacing w:after="0" w:line="255" w:lineRule="auto"/>
        <w:tabs>
          <w:tab w:leader="none" w:pos="1776"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Simultaneously with the closing of the FS Development IPO, FS Development consummated the sale of 441,500 Private Placement Shares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05" w:lineRule="exact"/>
        <w:rPr>
          <w:rFonts w:ascii="Times New Roman" w:cs="Times New Roman" w:eastAsia="Times New Roman" w:hAnsi="Times New Roman"/>
          <w:sz w:val="16"/>
          <w:szCs w:val="16"/>
          <w:color w:val="auto"/>
        </w:rPr>
      </w:pPr>
    </w:p>
    <w:p>
      <w:pPr>
        <w:jc w:val="both"/>
        <w:ind w:left="1760" w:right="1019" w:hanging="379"/>
        <w:spacing w:after="0" w:line="257" w:lineRule="auto"/>
        <w:tabs>
          <w:tab w:leader="none" w:pos="187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2" w:lineRule="exact"/>
        <w:rPr>
          <w:rFonts w:ascii="Times New Roman" w:cs="Times New Roman" w:eastAsia="Times New Roman" w:hAnsi="Times New Roman"/>
          <w:sz w:val="16"/>
          <w:szCs w:val="16"/>
          <w:color w:val="auto"/>
        </w:rPr>
      </w:pPr>
    </w:p>
    <w:p>
      <w:pPr>
        <w:jc w:val="both"/>
        <w:ind w:left="1760" w:right="1019" w:hanging="379"/>
        <w:spacing w:after="0" w:line="254" w:lineRule="auto"/>
        <w:tabs>
          <w:tab w:leader="none" w:pos="189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94" w:lineRule="exact"/>
        <w:rPr>
          <w:rFonts w:ascii="Times New Roman" w:cs="Times New Roman" w:eastAsia="Times New Roman" w:hAnsi="Times New Roman"/>
          <w:sz w:val="16"/>
          <w:szCs w:val="16"/>
          <w:color w:val="auto"/>
        </w:rPr>
      </w:pPr>
    </w:p>
    <w:p>
      <w:pPr>
        <w:jc w:val="both"/>
        <w:ind w:left="1760" w:right="1019" w:hanging="379"/>
        <w:spacing w:after="0" w:line="259" w:lineRule="auto"/>
        <w:tabs>
          <w:tab w:leader="none" w:pos="17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102" w:lineRule="exact"/>
        <w:rPr>
          <w:rFonts w:ascii="Times New Roman" w:cs="Times New Roman" w:eastAsia="Times New Roman" w:hAnsi="Times New Roman"/>
          <w:sz w:val="16"/>
          <w:szCs w:val="16"/>
          <w:color w:val="auto"/>
        </w:rPr>
      </w:pPr>
    </w:p>
    <w:p>
      <w:pPr>
        <w:jc w:val="both"/>
        <w:ind w:left="1760" w:right="1019" w:hanging="379"/>
        <w:spacing w:after="0" w:line="253" w:lineRule="auto"/>
        <w:tabs>
          <w:tab w:leader="none" w:pos="18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09" w:lineRule="exact"/>
        <w:rPr>
          <w:rFonts w:ascii="Times New Roman" w:cs="Times New Roman" w:eastAsia="Times New Roman" w:hAnsi="Times New Roman"/>
          <w:sz w:val="16"/>
          <w:szCs w:val="16"/>
          <w:color w:val="auto"/>
        </w:rPr>
      </w:pPr>
    </w:p>
    <w:p>
      <w:pPr>
        <w:jc w:val="both"/>
        <w:ind w:left="1760" w:right="1019" w:hanging="379"/>
        <w:spacing w:after="0" w:line="254" w:lineRule="auto"/>
        <w:tabs>
          <w:tab w:leader="none" w:pos="183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94" w:lineRule="exact"/>
        <w:rPr>
          <w:rFonts w:ascii="Times New Roman" w:cs="Times New Roman" w:eastAsia="Times New Roman" w:hAnsi="Times New Roman"/>
          <w:sz w:val="16"/>
          <w:szCs w:val="16"/>
          <w:color w:val="auto"/>
        </w:rPr>
      </w:pPr>
    </w:p>
    <w:p>
      <w:pPr>
        <w:jc w:val="both"/>
        <w:ind w:left="1760" w:right="1019" w:hanging="379"/>
        <w:spacing w:after="0" w:line="265" w:lineRule="auto"/>
        <w:tabs>
          <w:tab w:leader="none" w:pos="187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consummation of the Business Combination, FS Development will continue to indemnify FS Development’s existing directors and officers and will maintain a directors’ and officers’ liability insurance policy.</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 w:name="page36"/>
    <w:bookmarkEnd w:id="35"/>
    <w:p>
      <w:pPr>
        <w:ind w:left="920"/>
        <w:spacing w:after="0"/>
        <w:rPr>
          <w:rFonts w:ascii="Times New Roman" w:cs="Times New Roman" w:eastAsia="Times New Roman" w:hAnsi="Times New Roman"/>
          <w:sz w:val="15"/>
          <w:szCs w:val="15"/>
          <w:u w:val="single" w:color="auto"/>
          <w:color w:val="0000EE"/>
        </w:rPr>
      </w:pPr>
      <w:hyperlink w:anchor="page10">
        <w:r>
          <w:rPr>
            <w:rFonts w:ascii="Times New Roman" w:cs="Times New Roman" w:eastAsia="Times New Roman" w:hAnsi="Times New Roman"/>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19685</wp:posOffset>
            </wp:positionV>
            <wp:extent cx="4558030" cy="8185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58030" cy="818515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p>
      <w:pPr>
        <w:spacing w:after="0" w:line="317" w:lineRule="exact"/>
        <w:rPr>
          <w:sz w:val="20"/>
          <w:szCs w:val="20"/>
          <w:color w:val="auto"/>
        </w:rPr>
      </w:pPr>
    </w:p>
    <w:p>
      <w:pPr>
        <w:jc w:val="both"/>
        <w:ind w:left="1760" w:right="1019" w:hanging="379"/>
        <w:spacing w:after="0" w:line="254" w:lineRule="auto"/>
        <w:tabs>
          <w:tab w:leader="none" w:pos="185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41" w:lineRule="exact"/>
        <w:rPr>
          <w:sz w:val="20"/>
          <w:szCs w:val="20"/>
          <w:color w:val="auto"/>
        </w:rPr>
      </w:pPr>
    </w:p>
    <w:p>
      <w:pPr>
        <w:jc w:val="both"/>
        <w:ind w:left="1000" w:right="1019"/>
        <w:spacing w:after="0" w:line="265" w:lineRule="auto"/>
        <w:rPr>
          <w:sz w:val="20"/>
          <w:szCs w:val="20"/>
          <w:color w:val="auto"/>
        </w:rPr>
      </w:pPr>
      <w:r>
        <w:rPr>
          <w:rFonts w:ascii="Times New Roman" w:cs="Times New Roman" w:eastAsia="Times New Roman" w:hAnsi="Times New Roman"/>
          <w:sz w:val="16"/>
          <w:szCs w:val="16"/>
          <w:color w:val="auto"/>
        </w:rPr>
        <w:t>In evaluating the proposals set forth in this proxy statement/prospectus, you should carefully read this proxy statement/prospectus, including the annexes, and especially consider the factors discussed in the section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129" w:lineRule="exact"/>
        <w:rPr>
          <w:sz w:val="20"/>
          <w:szCs w:val="20"/>
          <w:color w:val="auto"/>
        </w:rPr>
      </w:pPr>
    </w:p>
    <w:p>
      <w:pPr>
        <w:jc w:val="both"/>
        <w:ind w:left="1000" w:right="1019"/>
        <w:spacing w:after="0" w:line="265" w:lineRule="auto"/>
        <w:rPr>
          <w:sz w:val="20"/>
          <w:szCs w:val="20"/>
          <w:color w:val="auto"/>
        </w:rPr>
      </w:pPr>
      <w:r>
        <w:rPr>
          <w:rFonts w:ascii="Times New Roman" w:cs="Times New Roman" w:eastAsia="Times New Roman" w:hAnsi="Times New Roman"/>
          <w:sz w:val="16"/>
          <w:szCs w:val="16"/>
          <w:color w:val="auto"/>
        </w:rPr>
        <w:t>FS Development’s Class A Common Stock is publicly traded on Nasdaq, under the symbol “FSDC.” FS Development intends to apply to list the common stock of the Combined Entity on Nasdaq under the symbol “GMNI”, upon the Closing.</w:t>
      </w:r>
    </w:p>
    <w:p>
      <w:pPr>
        <w:spacing w:after="0" w:line="1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Sources and Uses for the Business Combination</w:t>
      </w:r>
    </w:p>
    <w:p>
      <w:pPr>
        <w:spacing w:after="0" w:line="141"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 xml:space="preserve">The following tables summarizes the sources and uses for funding the Business Combination based on (i) the assumption that there will be no redemptions and (ii) the assumption that there will be maximum redemptions. See section titled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for further information.</w:t>
      </w:r>
    </w:p>
    <w:p>
      <w:pPr>
        <w:spacing w:after="0" w:line="102" w:lineRule="exact"/>
        <w:rPr>
          <w:sz w:val="20"/>
          <w:szCs w:val="20"/>
          <w:color w:val="auto"/>
        </w:rPr>
      </w:pPr>
    </w:p>
    <w:p>
      <w:pPr>
        <w:ind w:left="1340" w:hanging="341"/>
        <w:spacing w:after="0"/>
        <w:tabs>
          <w:tab w:leader="none" w:pos="13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redemptions</w:t>
      </w: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480" w:type="dxa"/>
            <w:vAlign w:val="bottom"/>
          </w:tcPr>
          <w:p>
            <w:pPr>
              <w:ind w:left="1200"/>
              <w:spacing w:after="0"/>
              <w:rPr>
                <w:sz w:val="20"/>
                <w:szCs w:val="20"/>
                <w:color w:val="auto"/>
              </w:rPr>
            </w:pPr>
            <w:r>
              <w:rPr>
                <w:rFonts w:ascii="Times New Roman" w:cs="Times New Roman" w:eastAsia="Times New Roman" w:hAnsi="Times New Roman"/>
                <w:sz w:val="13"/>
                <w:szCs w:val="13"/>
                <w:b w:val="1"/>
                <w:bCs w:val="1"/>
                <w:color w:val="auto"/>
              </w:rPr>
              <w:t>Sources of Funds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Uses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Existing Cash in Trust Account</w:t>
            </w:r>
          </w:p>
        </w:tc>
        <w:tc>
          <w:tcPr>
            <w:tcW w:w="3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120,751</w:t>
            </w:r>
          </w:p>
        </w:tc>
        <w:tc>
          <w:tcPr>
            <w:tcW w:w="2780" w:type="dxa"/>
            <w:vAlign w:val="bottom"/>
            <w:shd w:val="clear" w:color="auto" w:fill="CCEEFF"/>
          </w:tcPr>
          <w:p>
            <w:pPr>
              <w:ind w:left="80"/>
              <w:spacing w:after="0" w:line="159" w:lineRule="exact"/>
              <w:rPr>
                <w:sz w:val="20"/>
                <w:szCs w:val="20"/>
                <w:color w:val="auto"/>
              </w:rPr>
            </w:pPr>
            <w:r>
              <w:rPr>
                <w:rFonts w:ascii="Times New Roman" w:cs="Times New Roman" w:eastAsia="Times New Roman" w:hAnsi="Times New Roman"/>
                <w:sz w:val="14"/>
                <w:szCs w:val="14"/>
                <w:color w:val="auto"/>
              </w:rPr>
              <w:t>Gemini Equityholders’ Retained Equity</w:t>
            </w:r>
          </w:p>
        </w:tc>
        <w:tc>
          <w:tcPr>
            <w:tcW w:w="20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215,000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Value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PIPE Investment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95,060</w:t>
            </w:r>
          </w:p>
        </w:tc>
        <w:tc>
          <w:tcPr>
            <w:tcW w:w="2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Remaining Cash on Balance Sheet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191,201</w:t>
            </w: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2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Gemini Equityholders’ Retained Equity</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FS Development Estimated Transaction</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Total Sources</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430,811</w:t>
            </w:r>
          </w:p>
        </w:tc>
        <w:tc>
          <w:tcPr>
            <w:tcW w:w="2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Uses</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430,811</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(ii) Maximum redemptions</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480" w:type="dxa"/>
            <w:vAlign w:val="bottom"/>
          </w:tcPr>
          <w:p>
            <w:pPr>
              <w:ind w:left="1200"/>
              <w:spacing w:after="0"/>
              <w:rPr>
                <w:sz w:val="20"/>
                <w:szCs w:val="20"/>
                <w:color w:val="auto"/>
              </w:rPr>
            </w:pPr>
            <w:r>
              <w:rPr>
                <w:rFonts w:ascii="Times New Roman" w:cs="Times New Roman" w:eastAsia="Times New Roman" w:hAnsi="Times New Roman"/>
                <w:sz w:val="13"/>
                <w:szCs w:val="13"/>
                <w:b w:val="1"/>
                <w:bCs w:val="1"/>
                <w:color w:val="auto"/>
              </w:rPr>
              <w:t>Sources of Funds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Uses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Existing Cash in Trust Account</w:t>
            </w:r>
          </w:p>
        </w:tc>
        <w:tc>
          <w:tcPr>
            <w:tcW w:w="3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5,001</w:t>
            </w:r>
          </w:p>
        </w:tc>
        <w:tc>
          <w:tcPr>
            <w:tcW w:w="2780" w:type="dxa"/>
            <w:vAlign w:val="bottom"/>
            <w:shd w:val="clear" w:color="auto" w:fill="CCEEFF"/>
          </w:tcPr>
          <w:p>
            <w:pPr>
              <w:ind w:left="80"/>
              <w:spacing w:after="0" w:line="159" w:lineRule="exact"/>
              <w:rPr>
                <w:sz w:val="20"/>
                <w:szCs w:val="20"/>
                <w:color w:val="auto"/>
              </w:rPr>
            </w:pPr>
            <w:r>
              <w:rPr>
                <w:rFonts w:ascii="Times New Roman" w:cs="Times New Roman" w:eastAsia="Times New Roman" w:hAnsi="Times New Roman"/>
                <w:sz w:val="14"/>
                <w:szCs w:val="14"/>
                <w:color w:val="auto"/>
              </w:rPr>
              <w:t>Gemini Equityholders’ Retained Equity</w:t>
            </w:r>
          </w:p>
        </w:tc>
        <w:tc>
          <w:tcPr>
            <w:tcW w:w="20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215,000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Value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PIPE Investment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95,060</w:t>
            </w:r>
          </w:p>
        </w:tc>
        <w:tc>
          <w:tcPr>
            <w:tcW w:w="2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Remaining Cash on Balance Sheet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75,451</w:t>
            </w: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2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Gemini Equityholders’ Retained Equity</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FS Development Estimated Transaction</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Total Sources</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315,061</w:t>
            </w:r>
          </w:p>
        </w:tc>
        <w:tc>
          <w:tcPr>
            <w:tcW w:w="2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Uses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Comparison of Stockholder Rights</w:t>
      </w:r>
    </w:p>
    <w:p>
      <w:pPr>
        <w:spacing w:after="0" w:line="129" w:lineRule="exact"/>
        <w:rPr>
          <w:sz w:val="20"/>
          <w:szCs w:val="20"/>
          <w:color w:val="auto"/>
        </w:rPr>
      </w:pPr>
    </w:p>
    <w:p>
      <w:pPr>
        <w:jc w:val="both"/>
        <w:ind w:left="1000" w:right="1019"/>
        <w:spacing w:after="0" w:line="280" w:lineRule="auto"/>
        <w:rPr>
          <w:sz w:val="20"/>
          <w:szCs w:val="20"/>
          <w:color w:val="auto"/>
        </w:rPr>
      </w:pPr>
      <w:r>
        <w:rPr>
          <w:rFonts w:ascii="Times New Roman" w:cs="Times New Roman" w:eastAsia="Times New Roman" w:hAnsi="Times New Roman"/>
          <w:sz w:val="16"/>
          <w:szCs w:val="16"/>
          <w:color w:val="auto"/>
        </w:rPr>
        <w:t>Following the Closing, the rights of the Combined Entity’s Stockholders will be governed by the Proposed Charter and the Amended By-laws. See the section titled “</w:t>
      </w:r>
      <w:r>
        <w:rPr>
          <w:rFonts w:ascii="Times New Roman" w:cs="Times New Roman" w:eastAsia="Times New Roman" w:hAnsi="Times New Roman"/>
          <w:sz w:val="16"/>
          <w:szCs w:val="16"/>
          <w:i w:val="1"/>
          <w:iCs w:val="1"/>
          <w:color w:val="auto"/>
        </w:rPr>
        <w:t>Comparison of Stockholder Rights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Emerging Growth Company</w:t>
      </w:r>
    </w:p>
    <w:p>
      <w:pPr>
        <w:spacing w:after="0" w:line="139" w:lineRule="exact"/>
        <w:rPr>
          <w:sz w:val="20"/>
          <w:szCs w:val="20"/>
          <w:color w:val="auto"/>
        </w:rPr>
      </w:pPr>
    </w:p>
    <w:p>
      <w:pPr>
        <w:jc w:val="both"/>
        <w:ind w:left="1000" w:right="1019"/>
        <w:spacing w:after="0" w:line="253" w:lineRule="auto"/>
        <w:rPr>
          <w:sz w:val="20"/>
          <w:szCs w:val="20"/>
          <w:color w:val="auto"/>
        </w:rPr>
      </w:pPr>
      <w:r>
        <w:rPr>
          <w:rFonts w:ascii="Times New Roman" w:cs="Times New Roman" w:eastAsia="Times New Roman" w:hAnsi="Times New Roman"/>
          <w:sz w:val="16"/>
          <w:szCs w:val="16"/>
          <w:color w:val="auto"/>
        </w:rPr>
        <w:t>Section 102(b)(1) of the Jumpstart Our Business Startups Act of 2012 (the “</w:t>
      </w:r>
      <w:r>
        <w:rPr>
          <w:rFonts w:ascii="Times New Roman" w:cs="Times New Roman" w:eastAsia="Times New Roman" w:hAnsi="Times New Roman"/>
          <w:sz w:val="16"/>
          <w:szCs w:val="16"/>
          <w:b w:val="1"/>
          <w:bCs w:val="1"/>
          <w:color w:val="auto"/>
        </w:rPr>
        <w:t>JOBS Act</w:t>
      </w:r>
      <w:r>
        <w:rPr>
          <w:rFonts w:ascii="Times New Roman" w:cs="Times New Roman" w:eastAsia="Times New Roman" w:hAnsi="Times New Roman"/>
          <w:sz w:val="16"/>
          <w:szCs w:val="16"/>
          <w:color w:val="auto"/>
        </w:rPr>
        <w: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w:t>
      </w:r>
    </w:p>
    <w:p>
      <w:pPr>
        <w:sectPr>
          <w:pgSz w:w="11900" w:h="16838" w:orient="portrait"/>
          <w:cols w:equalWidth="0" w:num="1">
            <w:col w:w="9019"/>
          </w:cols>
          <w:pgMar w:left="1440" w:top="254" w:right="1440" w:bottom="1440"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36" w:name="page37"/>
    <w:bookmarkEnd w:id="3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3017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58030" cy="3017520"/>
                    </a:xfrm>
                    <a:prstGeom prst="rect">
                      <a:avLst/>
                    </a:prstGeom>
                    <a:noFill/>
                  </pic:spPr>
                </pic:pic>
              </a:graphicData>
            </a:graphic>
          </wp:anchor>
        </w:drawing>
      </w:r>
    </w:p>
    <w:p>
      <w:pPr>
        <w:spacing w:after="0" w:line="286"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We will remain an emerging growth company until the earlier of: (1) the last day of the fiscal year</w:t>
      </w:r>
    </w:p>
    <w:p>
      <w:pPr>
        <w:spacing w:after="0" w:line="24" w:lineRule="exact"/>
        <w:rPr>
          <w:sz w:val="20"/>
          <w:szCs w:val="20"/>
          <w:color w:val="auto"/>
        </w:rPr>
      </w:pPr>
    </w:p>
    <w:p>
      <w:pPr>
        <w:jc w:val="both"/>
        <w:ind w:left="1000" w:right="1019" w:hanging="1"/>
        <w:spacing w:after="0" w:line="251" w:lineRule="auto"/>
        <w:tabs>
          <w:tab w:leader="none" w:pos="123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fifth anniversary of the closing of our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p>
      <w:pPr>
        <w:spacing w:after="0" w:line="129" w:lineRule="exact"/>
        <w:rPr>
          <w:sz w:val="20"/>
          <w:szCs w:val="20"/>
          <w:color w:val="auto"/>
        </w:rPr>
      </w:pPr>
    </w:p>
    <w:p>
      <w:pPr>
        <w:jc w:val="both"/>
        <w:ind w:left="1000" w:right="1019"/>
        <w:spacing w:after="0" w:line="254" w:lineRule="auto"/>
        <w:rPr>
          <w:sz w:val="20"/>
          <w:szCs w:val="20"/>
          <w:color w:val="auto"/>
        </w:rPr>
      </w:pPr>
      <w:r>
        <w:rPr>
          <w:rFonts w:ascii="Times New Roman" w:cs="Times New Roman" w:eastAsia="Times New Roman" w:hAnsi="Times New Roman"/>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 w:name="page38"/>
    <w:bookmarkEnd w:id="37"/>
    <w:p>
      <w:pPr>
        <w:ind w:left="920"/>
        <w:spacing w:after="0"/>
        <w:rPr>
          <w:rFonts w:ascii="Times New Roman" w:cs="Times New Roman" w:eastAsia="Times New Roman" w:hAnsi="Times New Roman"/>
          <w:sz w:val="15"/>
          <w:szCs w:val="15"/>
          <w:u w:val="single" w:color="auto"/>
          <w:color w:val="0000EE"/>
        </w:rPr>
      </w:pPr>
      <w:hyperlink w:anchor="page10">
        <w:r>
          <w:rPr>
            <w:rFonts w:ascii="Times New Roman" w:cs="Times New Roman" w:eastAsia="Times New Roman" w:hAnsi="Times New Roman"/>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19685</wp:posOffset>
            </wp:positionV>
            <wp:extent cx="4558030" cy="8086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58030" cy="808672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SUMMARY FINANCIAL AND OTHER DATA OF GEMINI</w:t>
      </w:r>
    </w:p>
    <w:p>
      <w:pPr>
        <w:spacing w:after="0" w:line="141" w:lineRule="exact"/>
        <w:rPr>
          <w:sz w:val="20"/>
          <w:szCs w:val="20"/>
          <w:color w:val="auto"/>
        </w:rPr>
      </w:pPr>
    </w:p>
    <w:p>
      <w:pPr>
        <w:jc w:val="both"/>
        <w:ind w:left="1000" w:right="1019"/>
        <w:spacing w:after="0" w:line="252" w:lineRule="auto"/>
        <w:rPr>
          <w:sz w:val="20"/>
          <w:szCs w:val="20"/>
          <w:color w:val="auto"/>
        </w:rPr>
      </w:pPr>
      <w:r>
        <w:rPr>
          <w:rFonts w:ascii="Times New Roman" w:cs="Times New Roman" w:eastAsia="Times New Roman" w:hAnsi="Times New Roman"/>
          <w:sz w:val="16"/>
          <w:szCs w:val="16"/>
          <w:color w:val="auto"/>
        </w:rPr>
        <w:t>The following tables summarize Gemini’s financial and other data. Gemini has derived the summary statements of operations data for the years ended December 31, 2018 and 2019 and the balance sheet data as of December 31, 2019 from its audited financial statements included elsewhere in this proxy statement/prospectus. The summary statements of operations data for the nine months ended September 30, 2019 and 2020 and the summary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08" w:lineRule="exact"/>
        <w:rPr>
          <w:sz w:val="20"/>
          <w:szCs w:val="20"/>
          <w:color w:val="auto"/>
        </w:rPr>
      </w:pPr>
    </w:p>
    <w:p>
      <w:pPr>
        <w:jc w:val="both"/>
        <w:ind w:left="1000" w:right="1019"/>
        <w:spacing w:after="0" w:line="265" w:lineRule="auto"/>
        <w:rPr>
          <w:sz w:val="20"/>
          <w:szCs w:val="20"/>
          <w:color w:val="auto"/>
        </w:rPr>
      </w:pPr>
      <w:r>
        <w:rPr>
          <w:rFonts w:ascii="Times New Roman" w:cs="Times New Roman" w:eastAsia="Times New Roman" w:hAnsi="Times New Roman"/>
          <w:sz w:val="16"/>
          <w:szCs w:val="16"/>
          <w:color w:val="auto"/>
        </w:rPr>
        <w:t>You should read this data together with Gemini’s financial statements and related notes included elsewhere in this proxy statement/prospectus and the sections titled “</w:t>
      </w:r>
      <w:r>
        <w:rPr>
          <w:rFonts w:ascii="Times New Roman" w:cs="Times New Roman" w:eastAsia="Times New Roman" w:hAnsi="Times New Roman"/>
          <w:sz w:val="16"/>
          <w:szCs w:val="16"/>
          <w:i w:val="1"/>
          <w:iCs w:val="1"/>
          <w:color w:val="auto"/>
        </w:rPr>
        <w:t>Selected Financial and Other Data of Gemini</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Management’s Discussion and Analysis of Financial Condition and Results of Operations of Gemini</w:t>
      </w:r>
      <w:r>
        <w:rPr>
          <w:rFonts w:ascii="Times New Roman" w:cs="Times New Roman" w:eastAsia="Times New Roman" w:hAnsi="Times New Roman"/>
          <w:sz w:val="16"/>
          <w:szCs w:val="16"/>
          <w:color w:val="auto"/>
        </w:rPr>
        <w:t>.”</w:t>
      </w:r>
    </w:p>
    <w:p>
      <w:pPr>
        <w:spacing w:after="0" w:line="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Statements of Operations and Comprehensive Loss Data:</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1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Nine Months Ended 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14,651</w:t>
            </w:r>
          </w:p>
        </w:tc>
        <w:tc>
          <w:tcPr>
            <w:tcW w:w="12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2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3"/>
        </w:trPr>
        <w:tc>
          <w:tcPr>
            <w:tcW w:w="2780" w:type="dxa"/>
            <w:vAlign w:val="bottom"/>
            <w:gridSpan w:val="2"/>
            <w:vMerge w:val="continue"/>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120" w:type="dxa"/>
            <w:vAlign w:val="bottom"/>
            <w:vMerge w:val="continue"/>
          </w:tcPr>
          <w:p>
            <w:pPr>
              <w:spacing w:after="0"/>
              <w:rPr>
                <w:sz w:val="22"/>
                <w:szCs w:val="22"/>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(41,400</w:t>
            </w:r>
          </w:p>
        </w:tc>
        <w:tc>
          <w:tcPr>
            <w:tcW w:w="120" w:type="dxa"/>
            <w:vAlign w:val="bottom"/>
            <w:vMerge w:val="continue"/>
          </w:tcPr>
          <w:p>
            <w:pPr>
              <w:spacing w:after="0"/>
              <w:rPr>
                <w:sz w:val="22"/>
                <w:szCs w:val="22"/>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(31,733</w:t>
            </w:r>
          </w:p>
        </w:tc>
        <w:tc>
          <w:tcPr>
            <w:tcW w:w="8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2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auto"/>
              </w:rPr>
              <w:t>Net loss attributable to common</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(41,400)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(31,733)</w:t>
            </w: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40" w:type="dxa"/>
            <w:vAlign w:val="bottom"/>
          </w:tcPr>
          <w:p>
            <w:pPr>
              <w:spacing w:after="0"/>
              <w:rPr>
                <w:sz w:val="18"/>
                <w:szCs w:val="18"/>
                <w:color w:val="auto"/>
              </w:rPr>
            </w:pPr>
          </w:p>
        </w:tc>
        <w:tc>
          <w:tcPr>
            <w:tcW w:w="28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Weighted average common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basic and diluted</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4,811,641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5,171,537</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5,133,773</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5,507,900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Statements of Balance Sheet Data: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18,528</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 carrying value</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000" w:type="dxa"/>
            <w:vAlign w:val="bottom"/>
            <w:gridSpan w:val="4"/>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Term loan, net of current portion and discount</w:t>
            </w: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47,113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60,365</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(30,584)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(71,984)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36"/>
        </w:trPr>
        <w:tc>
          <w:tcPr>
            <w:tcW w:w="27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(29,843)</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(70,797)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(88,727)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54" w:right="1440" w:bottom="1440" w:gutter="0" w:footer="0" w:header="0"/>
          <w:type w:val="continuous"/>
        </w:sect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38" w:name="page39"/>
    <w:bookmarkEnd w:id="3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5255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58030" cy="525589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FINANCIAL AND OTHER DATA OF FS DEVELOPMENT</w:t>
      </w:r>
    </w:p>
    <w:p>
      <w:pPr>
        <w:spacing w:after="0" w:line="141" w:lineRule="exact"/>
        <w:rPr>
          <w:sz w:val="20"/>
          <w:szCs w:val="20"/>
          <w:color w:val="auto"/>
        </w:rPr>
      </w:pPr>
    </w:p>
    <w:p>
      <w:pPr>
        <w:jc w:val="both"/>
        <w:ind w:left="1000" w:right="1019"/>
        <w:spacing w:after="0" w:line="265" w:lineRule="auto"/>
        <w:rPr>
          <w:sz w:val="20"/>
          <w:szCs w:val="20"/>
          <w:color w:val="auto"/>
        </w:rPr>
      </w:pPr>
      <w:r>
        <w:rPr>
          <w:rFonts w:ascii="Times New Roman" w:cs="Times New Roman" w:eastAsia="Times New Roman" w:hAnsi="Times New Roman"/>
          <w:sz w:val="16"/>
          <w:szCs w:val="16"/>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w:t>
      </w:r>
    </w:p>
    <w:p>
      <w:pPr>
        <w:spacing w:after="0" w:line="96" w:lineRule="exact"/>
        <w:rPr>
          <w:sz w:val="20"/>
          <w:szCs w:val="20"/>
          <w:color w:val="auto"/>
        </w:rPr>
      </w:pPr>
    </w:p>
    <w:p>
      <w:pPr>
        <w:jc w:val="both"/>
        <w:ind w:left="1000" w:right="1019"/>
        <w:spacing w:after="0" w:line="259" w:lineRule="auto"/>
        <w:rPr>
          <w:sz w:val="20"/>
          <w:szCs w:val="20"/>
          <w:color w:val="auto"/>
        </w:rPr>
      </w:pPr>
      <w:r>
        <w:rPr>
          <w:rFonts w:ascii="Times New Roman" w:cs="Times New Roman" w:eastAsia="Times New Roman" w:hAnsi="Times New Roman"/>
          <w:sz w:val="16"/>
          <w:szCs w:val="16"/>
          <w:color w:val="auto"/>
        </w:rPr>
        <w:t>This information is only a summary and should be read in conjunction with FS Development’s financial statements and related notes included elsewhere in this proxy statement/prospectus and the sections titled “</w:t>
      </w:r>
      <w:r>
        <w:rPr>
          <w:rFonts w:ascii="Times New Roman" w:cs="Times New Roman" w:eastAsia="Times New Roman" w:hAnsi="Times New Roman"/>
          <w:sz w:val="16"/>
          <w:szCs w:val="16"/>
          <w:i w:val="1"/>
          <w:iCs w:val="1"/>
          <w:color w:val="auto"/>
        </w:rPr>
        <w:t>Selected Financial and Other Data of FS Development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Management’s Discussion and Analysis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Condition and Results of Operations of FS Development</w:t>
      </w:r>
      <w:r>
        <w:rPr>
          <w:rFonts w:ascii="Times New Roman" w:cs="Times New Roman" w:eastAsia="Times New Roman" w:hAnsi="Times New Roman"/>
          <w:sz w:val="16"/>
          <w:szCs w:val="16"/>
          <w:color w:val="auto"/>
        </w:rPr>
        <w:t>.”</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Period</w:t>
            </w:r>
          </w:p>
        </w:tc>
      </w:tr>
      <w:tr>
        <w:trPr>
          <w:trHeight w:val="179"/>
        </w:trPr>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From June 25,</w:t>
            </w:r>
          </w:p>
        </w:tc>
      </w:tr>
      <w:tr>
        <w:trPr>
          <w:trHeight w:val="179"/>
        </w:trPr>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(inception)</w:t>
            </w:r>
          </w:p>
        </w:tc>
      </w:tr>
      <w:tr>
        <w:trPr>
          <w:trHeight w:val="179"/>
        </w:trPr>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through</w:t>
            </w:r>
          </w:p>
        </w:tc>
      </w:tr>
      <w:tr>
        <w:trPr>
          <w:trHeight w:val="179"/>
        </w:trPr>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
        </w:trPr>
        <w:tc>
          <w:tcPr>
            <w:tcW w:w="5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452,486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
        </w:trPr>
        <w:tc>
          <w:tcPr>
            <w:tcW w:w="5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1"/>
        </w:trPr>
        <w:tc>
          <w:tcPr>
            <w:tcW w:w="8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49,914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Loss from operations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
        </w:trPr>
        <w:tc>
          <w:tcPr>
            <w:tcW w:w="5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1"/>
        </w:trPr>
        <w:tc>
          <w:tcPr>
            <w:tcW w:w="8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 interest earned on Trust Account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
        </w:trPr>
        <w:tc>
          <w:tcPr>
            <w:tcW w:w="5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1"/>
        </w:trPr>
        <w:tc>
          <w:tcPr>
            <w:tcW w:w="8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weighted average shares outstanding of Class A common stock</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12,516,500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Basic and diluted net income per share, Class A</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5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1"/>
        </w:trPr>
        <w:tc>
          <w:tcPr>
            <w:tcW w:w="8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weighted average shares outstanding of Class B common stock</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 Class B</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6"/>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
        </w:trPr>
        <w:tc>
          <w:tcPr>
            <w:tcW w:w="5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122,358,987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
        </w:trPr>
        <w:tc>
          <w:tcPr>
            <w:tcW w:w="562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1"/>
        </w:trPr>
        <w:tc>
          <w:tcPr>
            <w:tcW w:w="8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4,778,652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 of Class A Common Stock subject to possible redemption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112,580,330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
        </w:trPr>
        <w:tc>
          <w:tcPr>
            <w:tcW w:w="562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1"/>
        </w:trPr>
        <w:tc>
          <w:tcPr>
            <w:tcW w:w="8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9"/>
        </w:trPr>
        <w:tc>
          <w:tcPr>
            <w:tcW w:w="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54"/>
        </w:trPr>
        <w:tc>
          <w:tcPr>
            <w:tcW w:w="5620" w:type="dxa"/>
            <w:vAlign w:val="bottom"/>
            <w:tcBorders>
              <w:bottom w:val="single" w:sz="8" w:color="auto"/>
            </w:tcBorders>
            <w:gridSpan w:val="2"/>
          </w:tcPr>
          <w:p>
            <w:pPr>
              <w:ind w:left="3500"/>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254" w:right="1440" w:bottom="1440" w:gutter="0" w:footer="0" w:header="0"/>
        </w:sectPr>
      </w:pPr>
    </w:p>
    <w:bookmarkStart w:id="39" w:name="page40"/>
    <w:bookmarkEnd w:id="3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12700</wp:posOffset>
            </wp:positionV>
            <wp:extent cx="4558030" cy="7760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58030" cy="7760335"/>
                    </a:xfrm>
                    <a:prstGeom prst="rect">
                      <a:avLst/>
                    </a:prstGeom>
                    <a:noFill/>
                  </pic:spPr>
                </pic:pic>
              </a:graphicData>
            </a:graphic>
          </wp:anchor>
        </w:drawing>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SUMMARY UNAUDITED PRO FORMA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COMBINED FINANCIAL INFORMATION</w:t>
      </w:r>
    </w:p>
    <w:p>
      <w:pPr>
        <w:spacing w:after="0" w:line="122"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The following summary unaudited pro forma condensed combined financial information has been derived from the unaudited pro forma condensed combined balance sheet as of September 30, 2020 and the unaudited pro forma condensed combined statements of operations for the year ended December 31, 2019 and the nine months ended September 30, 2020 included in “</w:t>
      </w:r>
      <w:r>
        <w:rPr>
          <w:rFonts w:ascii="Times New Roman" w:cs="Times New Roman" w:eastAsia="Times New Roman" w:hAnsi="Times New Roman"/>
          <w:sz w:val="16"/>
          <w:szCs w:val="16"/>
          <w:i w:val="1"/>
          <w:iCs w:val="1"/>
          <w:color w:val="auto"/>
        </w:rPr>
        <w:t>Unaudited Pro Forma Condensed Combined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left="1000" w:right="1019"/>
        <w:spacing w:after="0" w:line="255" w:lineRule="auto"/>
        <w:rPr>
          <w:sz w:val="20"/>
          <w:szCs w:val="20"/>
          <w:color w:val="auto"/>
        </w:rPr>
      </w:pPr>
      <w:r>
        <w:rPr>
          <w:rFonts w:ascii="Times New Roman" w:cs="Times New Roman" w:eastAsia="Times New Roman" w:hAnsi="Times New Roman"/>
          <w:sz w:val="16"/>
          <w:szCs w:val="16"/>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 Development and Gemini, including the accompanying notes, which are included elsewhere in this proxy statement/prospectus.</w:t>
      </w:r>
    </w:p>
    <w:p>
      <w:pPr>
        <w:spacing w:after="0" w:line="94" w:lineRule="exact"/>
        <w:rPr>
          <w:sz w:val="20"/>
          <w:szCs w:val="20"/>
          <w:color w:val="auto"/>
        </w:rPr>
      </w:pPr>
    </w:p>
    <w:p>
      <w:pPr>
        <w:jc w:val="both"/>
        <w:ind w:left="1000" w:right="1019"/>
        <w:spacing w:after="0" w:line="253" w:lineRule="auto"/>
        <w:rPr>
          <w:sz w:val="20"/>
          <w:szCs w:val="20"/>
          <w:color w:val="auto"/>
        </w:rPr>
      </w:pPr>
      <w:r>
        <w:rPr>
          <w:rFonts w:ascii="Times New Roman" w:cs="Times New Roman" w:eastAsia="Times New Roman" w:hAnsi="Times New Roman"/>
          <w:sz w:val="16"/>
          <w:szCs w:val="16"/>
          <w:color w:val="auto"/>
        </w:rPr>
        <w:t>The Business Combination will be accounted for as a reverse capitalization, with no goodwill or other intangible assets recorded, in accordance with GAAP. Under this method of accounting, FS Development is treated as the “acquired” company for financial reporting purposes.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are stated at historical cost, with no goodwill or other intangible assets recorded. Operations prior to the Business Combination are those of Gemini.</w:t>
      </w:r>
    </w:p>
    <w:p>
      <w:pPr>
        <w:spacing w:after="0" w:line="109" w:lineRule="exact"/>
        <w:rPr>
          <w:sz w:val="20"/>
          <w:szCs w:val="20"/>
          <w:color w:val="auto"/>
        </w:rPr>
      </w:pPr>
    </w:p>
    <w:p>
      <w:pPr>
        <w:jc w:val="both"/>
        <w:ind w:left="1000" w:right="1019"/>
        <w:spacing w:after="0" w:line="280"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has been prepared assuming two alternative levels of redemption into cash of FS Development Common Stock:</w:t>
      </w:r>
    </w:p>
    <w:p>
      <w:pPr>
        <w:spacing w:after="0" w:line="83" w:lineRule="exact"/>
        <w:rPr>
          <w:sz w:val="20"/>
          <w:szCs w:val="20"/>
          <w:color w:val="auto"/>
        </w:rPr>
      </w:pPr>
    </w:p>
    <w:p>
      <w:pPr>
        <w:ind w:left="1760" w:right="1019" w:hanging="379"/>
        <w:spacing w:after="0" w:line="283" w:lineRule="auto"/>
        <w:tabs>
          <w:tab w:leader="none" w:pos="199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Assuming No Redemptions</w:t>
      </w:r>
      <w:r>
        <w:rPr>
          <w:rFonts w:ascii="Times New Roman" w:cs="Times New Roman" w:eastAsia="Times New Roman" w:hAnsi="Times New Roman"/>
          <w:sz w:val="16"/>
          <w:szCs w:val="16"/>
          <w:color w:val="auto"/>
        </w:rPr>
        <w:t>: This presentation assumes that no FS Development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exercise redemption rights with respect to their Public Shares.</w:t>
      </w:r>
    </w:p>
    <w:p>
      <w:pPr>
        <w:spacing w:after="0" w:line="67" w:lineRule="exact"/>
        <w:rPr>
          <w:rFonts w:ascii="Times New Roman" w:cs="Times New Roman" w:eastAsia="Times New Roman" w:hAnsi="Times New Roman"/>
          <w:sz w:val="16"/>
          <w:szCs w:val="16"/>
          <w:color w:val="auto"/>
        </w:rPr>
      </w:pPr>
    </w:p>
    <w:p>
      <w:pPr>
        <w:jc w:val="both"/>
        <w:ind w:left="1760" w:right="1019" w:hanging="379"/>
        <w:spacing w:after="0" w:line="253" w:lineRule="auto"/>
        <w:tabs>
          <w:tab w:leader="none" w:pos="188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Assuming Maximum Redemptions</w:t>
      </w:r>
      <w:r>
        <w:rPr>
          <w:rFonts w:ascii="Times New Roman" w:cs="Times New Roman" w:eastAsia="Times New Roman" w:hAnsi="Times New Roman"/>
          <w:sz w:val="16"/>
          <w:szCs w:val="16"/>
          <w:color w:val="auto"/>
        </w:rPr>
        <w:t>: This presentation assumes that all of FS Development’s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public stockholders, without giving effect to the Subscription Agreements entered into by certain FS Development public stockholders participating in the PIPE Investment, exercise redemption rights with respect to their shares of FS Development Class A Common Stock. This scenario assumes that 11,152,375 FS Development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4"/>
              <w:spacing w:after="0" w:line="15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Statement of Operations – For the Nine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88"/>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Months Ended September 30, 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0" w:type="dxa"/>
            <w:vAlign w:val="bottom"/>
          </w:tcPr>
          <w:p>
            <w:pPr>
              <w:spacing w:after="0"/>
              <w:rPr>
                <w:sz w:val="1"/>
                <w:szCs w:val="1"/>
                <w:color w:val="auto"/>
              </w:rPr>
            </w:pPr>
          </w:p>
        </w:tc>
      </w:tr>
      <w:tr>
        <w:trPr>
          <w:trHeight w:val="42"/>
        </w:trPr>
        <w:tc>
          <w:tcPr>
            <w:tcW w:w="2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6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24,246</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24,748</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24,748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(24,748)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(24,748)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(33,938)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(33,938)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Basic and diluted net loss per share – Class 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Pr>
          <w:p>
            <w:pPr>
              <w:spacing w:after="0"/>
              <w:rPr>
                <w:sz w:val="20"/>
                <w:szCs w:val="20"/>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 per share – Class B</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24"/>
              <w:spacing w:after="0" w:line="15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Statement of Operations – Year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88"/>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0" w:type="dxa"/>
            <w:vAlign w:val="bottom"/>
          </w:tcPr>
          <w:p>
            <w:pPr>
              <w:spacing w:after="0"/>
              <w:rPr>
                <w:sz w:val="1"/>
                <w:szCs w:val="1"/>
                <w:color w:val="auto"/>
              </w:rPr>
            </w:pPr>
          </w:p>
        </w:tc>
      </w:tr>
      <w:tr>
        <w:trPr>
          <w:trHeight w:val="42"/>
        </w:trPr>
        <w:tc>
          <w:tcPr>
            <w:tcW w:w="2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6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8"/>
              </w:rPr>
              <w:t>(41,225)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8"/>
              </w:rPr>
              <w:t>(41,400)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(41,400)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(41,400)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40" w:name="page41"/>
    <w:bookmarkEnd w:id="4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p>
    <w:tbl>
      <w:tblPr>
        <w:tblLayout w:type="fixed"/>
        <w:tblInd w:w="930" w:type="dxa"/>
        <w:tblCellMar>
          <w:top w:w="0" w:type="dxa"/>
          <w:left w:w="0" w:type="dxa"/>
          <w:bottom w:w="0" w:type="dxa"/>
          <w:right w:w="0" w:type="dxa"/>
        </w:tblCellMar>
      </w:tblPr>
      <w:tr>
        <w:trPr>
          <w:trHeight w:val="528"/>
        </w:trPr>
        <w:tc>
          <w:tcPr>
            <w:tcW w:w="80" w:type="dxa"/>
            <w:vAlign w:val="bottom"/>
            <w:tcBorders>
              <w:top w:val="single" w:sz="8" w:color="auto"/>
              <w:left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180" w:type="dxa"/>
            <w:vAlign w:val="bottom"/>
            <w:tcBorders>
              <w:top w:val="single" w:sz="8" w:color="auto"/>
              <w:right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42"/>
        </w:trPr>
        <w:tc>
          <w:tcPr>
            <w:tcW w:w="80" w:type="dxa"/>
            <w:vAlign w:val="bottom"/>
            <w:tcBorders>
              <w:left w:val="single" w:sz="8" w:color="auto"/>
            </w:tcBorders>
          </w:tcPr>
          <w:p>
            <w:pPr>
              <w:spacing w:after="0"/>
              <w:rPr>
                <w:sz w:val="3"/>
                <w:szCs w:val="3"/>
                <w:color w:val="auto"/>
              </w:rPr>
            </w:pPr>
          </w:p>
        </w:tc>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auto"/>
            </w:tcBorders>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83"/>
              <w:spacing w:after="0" w:line="157" w:lineRule="exact"/>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83"/>
              <w:spacing w:after="0" w:line="15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 w:type="dxa"/>
            <w:vAlign w:val="bottom"/>
            <w:tcBorders>
              <w:left w:val="single" w:sz="8" w:color="auto"/>
            </w:tcBorders>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88"/>
        </w:trPr>
        <w:tc>
          <w:tcPr>
            <w:tcW w:w="26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 Sheet – As of September 30,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4"/>
              </w:rPr>
              <w:t>Gemini</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0" w:type="dxa"/>
            <w:vAlign w:val="bottom"/>
          </w:tcPr>
          <w:p>
            <w:pPr>
              <w:spacing w:after="0"/>
              <w:rPr>
                <w:sz w:val="1"/>
                <w:szCs w:val="1"/>
                <w:color w:val="auto"/>
              </w:rPr>
            </w:pPr>
          </w:p>
        </w:tc>
      </w:tr>
      <w:tr>
        <w:trPr>
          <w:trHeight w:val="42"/>
        </w:trPr>
        <w:tc>
          <w:tcPr>
            <w:tcW w:w="2680" w:type="dxa"/>
            <w:vAlign w:val="bottom"/>
            <w:tcBorders>
              <w:left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80" w:type="dxa"/>
            <w:vAlign w:val="bottom"/>
            <w:tcBorders>
              <w:left w:val="single" w:sz="8" w:color="auto"/>
            </w:tcBorders>
          </w:tcPr>
          <w:p>
            <w:pPr>
              <w:spacing w:after="0"/>
              <w:rPr>
                <w:sz w:val="18"/>
                <w:szCs w:val="18"/>
                <w:color w:val="auto"/>
              </w:rPr>
            </w:pPr>
          </w:p>
        </w:tc>
        <w:tc>
          <w:tcPr>
            <w:tcW w:w="26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14,206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95,491</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16,253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97,538</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680" w:type="dxa"/>
            <w:vAlign w:val="bottom"/>
            <w:tcBorders>
              <w:left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Borders>
              <w:left w:val="single" w:sz="8" w:color="auto"/>
            </w:tcBorders>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18,033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17,484</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680" w:type="dxa"/>
            <w:vAlign w:val="bottom"/>
            <w:tcBorders>
              <w:left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Borders>
              <w:right w:val="single" w:sz="8" w:color="auto"/>
            </w:tcBorders>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Borders>
              <w:left w:val="single" w:sz="8" w:color="auto"/>
            </w:tcBorders>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convertible preferred stock</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80,449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auto"/>
            </w:tcBorders>
          </w:tcPr>
          <w:p>
            <w:pPr>
              <w:spacing w:after="0"/>
              <w:rPr>
                <w:sz w:val="15"/>
                <w:szCs w:val="15"/>
                <w:color w:val="auto"/>
              </w:rPr>
            </w:pPr>
          </w:p>
        </w:tc>
        <w:tc>
          <w:tcPr>
            <w:tcW w:w="2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Class A common stock subject to</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 w:type="dxa"/>
            <w:vAlign w:val="bottom"/>
            <w:tcBorders>
              <w:left w:val="single" w:sz="8" w:color="auto"/>
            </w:tcBorders>
          </w:tcPr>
          <w:p>
            <w:pPr>
              <w:spacing w:after="0"/>
              <w:rPr>
                <w:sz w:val="18"/>
                <w:szCs w:val="18"/>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redemption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2680" w:type="dxa"/>
            <w:vAlign w:val="bottom"/>
            <w:tcBorders>
              <w:left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Borders>
              <w:left w:val="single" w:sz="8" w:color="auto"/>
            </w:tcBorders>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(88,727)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191,578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80,054</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80" w:type="dxa"/>
            <w:vAlign w:val="bottom"/>
            <w:tcBorders>
              <w:left w:val="single" w:sz="8" w:color="auto"/>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41" w:name="page42"/>
    <w:bookmarkEnd w:id="41"/>
    <w:p>
      <w:pPr>
        <w:ind w:left="920"/>
        <w:spacing w:after="0"/>
        <w:rPr>
          <w:rFonts w:ascii="Times New Roman" w:cs="Times New Roman" w:eastAsia="Times New Roman" w:hAnsi="Times New Roman"/>
          <w:sz w:val="15"/>
          <w:szCs w:val="15"/>
          <w:u w:val="single" w:color="auto"/>
          <w:color w:val="0000EE"/>
        </w:rPr>
      </w:pPr>
      <w:hyperlink w:anchor="page10">
        <w:r>
          <w:rPr>
            <w:rFonts w:ascii="Times New Roman" w:cs="Times New Roman" w:eastAsia="Times New Roman" w:hAnsi="Times New Roman"/>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19685</wp:posOffset>
            </wp:positionV>
            <wp:extent cx="4558030" cy="8329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58030" cy="832929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COMPARATIVE SHARE INFORMATION</w:t>
      </w:r>
    </w:p>
    <w:p>
      <w:pPr>
        <w:spacing w:after="0" w:line="141" w:lineRule="exact"/>
        <w:rPr>
          <w:sz w:val="20"/>
          <w:szCs w:val="20"/>
          <w:color w:val="auto"/>
        </w:rPr>
      </w:pPr>
    </w:p>
    <w:p>
      <w:pPr>
        <w:jc w:val="both"/>
        <w:ind w:left="1000" w:right="1019"/>
        <w:spacing w:after="0" w:line="271" w:lineRule="auto"/>
        <w:rPr>
          <w:sz w:val="20"/>
          <w:szCs w:val="20"/>
          <w:color w:val="auto"/>
        </w:rPr>
      </w:pPr>
      <w:r>
        <w:rPr>
          <w:rFonts w:ascii="Times New Roman" w:cs="Times New Roman" w:eastAsia="Times New Roman" w:hAnsi="Times New Roman"/>
          <w:sz w:val="15"/>
          <w:szCs w:val="15"/>
          <w:color w:val="auto"/>
        </w:rPr>
        <w:t>The following table sets forth the per share data of FS Development on a stand-alone basis and the unaudited pro forma condensed combined per share data for the year ended December 31, 2019 and the nine months ended September 30, 2020 after giving effect to the Business Combination, (1) assuming no FS Development stockholders exercise redemption rights with respect to their Public Shares upon the Closing; and</w:t>
      </w:r>
    </w:p>
    <w:p>
      <w:pPr>
        <w:spacing w:after="0" w:line="2" w:lineRule="exact"/>
        <w:rPr>
          <w:sz w:val="20"/>
          <w:szCs w:val="20"/>
          <w:color w:val="auto"/>
        </w:rPr>
      </w:pPr>
    </w:p>
    <w:p>
      <w:pPr>
        <w:ind w:left="1000" w:right="1019" w:hanging="1"/>
        <w:spacing w:after="0" w:line="258" w:lineRule="auto"/>
        <w:tabs>
          <w:tab w:leader="none" w:pos="123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that FS Development stockholders exercise their redemption rights with respect to a maximum of 11,152,375 Public Shares upon the Closing.</w:t>
      </w:r>
    </w:p>
    <w:p>
      <w:pPr>
        <w:spacing w:after="0" w:line="102" w:lineRule="exact"/>
        <w:rPr>
          <w:sz w:val="20"/>
          <w:szCs w:val="20"/>
          <w:color w:val="auto"/>
        </w:rPr>
      </w:pPr>
    </w:p>
    <w:p>
      <w:pPr>
        <w:jc w:val="both"/>
        <w:ind w:left="1000" w:right="1019"/>
        <w:spacing w:after="0" w:line="255" w:lineRule="auto"/>
        <w:rPr>
          <w:sz w:val="20"/>
          <w:szCs w:val="20"/>
          <w:color w:val="auto"/>
        </w:rPr>
      </w:pPr>
      <w:r>
        <w:rPr>
          <w:rFonts w:ascii="Times New Roman" w:cs="Times New Roman" w:eastAsia="Times New Roman" w:hAnsi="Times New Roman"/>
          <w:sz w:val="16"/>
          <w:szCs w:val="16"/>
          <w:color w:val="auto"/>
        </w:rPr>
        <w:t>You should read the information in the following table in conjunction with the selected historical financial information summary included elsewhere in this proxy statement/prospectus, and the historical financial statements of FS Development and Gemini and related notes that are included elsewhere in this proxy statement/prospectus. The unaudited FS Development and Gemini pro forma combined per share information is derived from, and should be read in conjunction with, the unaudited pro forma condensed combined financial statements and related notes included elsewhere in this proxy statement/prospectus.</w:t>
      </w:r>
    </w:p>
    <w:p>
      <w:pPr>
        <w:spacing w:after="0" w:line="94" w:lineRule="exact"/>
        <w:rPr>
          <w:sz w:val="20"/>
          <w:szCs w:val="20"/>
          <w:color w:val="auto"/>
        </w:rPr>
      </w:pPr>
    </w:p>
    <w:p>
      <w:pPr>
        <w:jc w:val="both"/>
        <w:ind w:left="1000" w:right="1019"/>
        <w:spacing w:after="0" w:line="257" w:lineRule="auto"/>
        <w:rPr>
          <w:sz w:val="20"/>
          <w:szCs w:val="20"/>
          <w:color w:val="auto"/>
        </w:rPr>
      </w:pPr>
      <w:r>
        <w:rPr>
          <w:rFonts w:ascii="Times New Roman" w:cs="Times New Roman" w:eastAsia="Times New Roman" w:hAnsi="Times New Roman"/>
          <w:sz w:val="16"/>
          <w:szCs w:val="16"/>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FS Development and Gemini would have been had the companies been combined during the periods presented.</w:t>
      </w:r>
    </w:p>
    <w:p>
      <w:pPr>
        <w:spacing w:after="0" w:line="13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3"/>
          <w:szCs w:val="13"/>
          <w:b w:val="1"/>
          <w:bCs w:val="1"/>
          <w:color w:val="auto"/>
        </w:rPr>
        <w:t>Gemini equivalent pro forma</w:t>
      </w:r>
    </w:p>
    <w:p>
      <w:pPr>
        <w:ind w:left="3320"/>
        <w:spacing w:after="0"/>
        <w:tabs>
          <w:tab w:leader="none" w:pos="4720" w:val="left"/>
          <w:tab w:leader="none" w:pos="6660" w:val="left"/>
        </w:tabs>
        <w:rPr>
          <w:sz w:val="20"/>
          <w:szCs w:val="20"/>
          <w:color w:val="auto"/>
        </w:rPr>
      </w:pPr>
      <w:r>
        <w:rPr>
          <w:rFonts w:ascii="Times New Roman" w:cs="Times New Roman" w:eastAsia="Times New Roman" w:hAnsi="Times New Roman"/>
          <w:sz w:val="13"/>
          <w:szCs w:val="13"/>
          <w:b w:val="1"/>
          <w:bCs w:val="1"/>
          <w:color w:val="auto"/>
        </w:rPr>
        <w:t>Historical</w:t>
      </w:r>
      <w:r>
        <w:rPr>
          <w:sz w:val="20"/>
          <w:szCs w:val="20"/>
          <w:color w:val="auto"/>
        </w:rPr>
        <w:tab/>
      </w:r>
      <w:r>
        <w:rPr>
          <w:rFonts w:ascii="Times New Roman" w:cs="Times New Roman" w:eastAsia="Times New Roman" w:hAnsi="Times New Roman"/>
          <w:sz w:val="13"/>
          <w:szCs w:val="13"/>
          <w:b w:val="1"/>
          <w:bCs w:val="1"/>
          <w:color w:val="auto"/>
        </w:rPr>
        <w:t>Pro Forma Combined</w:t>
      </w:r>
      <w:r>
        <w:rPr>
          <w:sz w:val="20"/>
          <w:szCs w:val="20"/>
          <w:color w:val="auto"/>
        </w:rPr>
        <w:tab/>
      </w:r>
      <w:r>
        <w:rPr>
          <w:rFonts w:ascii="Times New Roman" w:cs="Times New Roman" w:eastAsia="Times New Roman" w:hAnsi="Times New Roman"/>
          <w:sz w:val="12"/>
          <w:szCs w:val="12"/>
          <w:b w:val="1"/>
          <w:bCs w:val="1"/>
          <w:color w:val="auto"/>
        </w:rPr>
        <w:t>per share data</w:t>
      </w:r>
      <w:r>
        <w:rPr>
          <w:rFonts w:ascii="Times New Roman" w:cs="Times New Roman" w:eastAsia="Times New Roman" w:hAnsi="Times New Roman"/>
          <w:sz w:val="18"/>
          <w:szCs w:val="18"/>
          <w:b w:val="1"/>
          <w:bCs w:val="1"/>
          <w:color w:val="auto"/>
          <w:vertAlign w:val="superscript"/>
        </w:rPr>
        <w:t>(3)</w:t>
      </w:r>
    </w:p>
    <w:tbl>
      <w:tblPr>
        <w:tblLayout w:type="fixed"/>
        <w:tblInd w:w="1000" w:type="dxa"/>
        <w:tblCellMar>
          <w:top w:w="0" w:type="dxa"/>
          <w:left w:w="0" w:type="dxa"/>
          <w:bottom w:w="0" w:type="dxa"/>
          <w:right w:w="0" w:type="dxa"/>
        </w:tblCellMar>
      </w:tblPr>
      <w:tr>
        <w:trPr>
          <w:trHeight w:val="159"/>
        </w:trPr>
        <w:tc>
          <w:tcPr>
            <w:tcW w:w="16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8"/>
              </w:rPr>
              <w:t>Assuming</w:t>
            </w:r>
          </w:p>
        </w:tc>
        <w:tc>
          <w:tcPr>
            <w:tcW w:w="9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5"/>
              </w:rPr>
              <w:t>Assuming Max</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8"/>
              </w:rPr>
              <w:t>Assuming</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Assuming</w:t>
            </w:r>
          </w:p>
        </w:tc>
        <w:tc>
          <w:tcPr>
            <w:tcW w:w="0" w:type="dxa"/>
            <w:vAlign w:val="bottom"/>
          </w:tcPr>
          <w:p>
            <w:pPr>
              <w:spacing w:after="0"/>
              <w:rPr>
                <w:sz w:val="1"/>
                <w:szCs w:val="1"/>
                <w:color w:val="auto"/>
              </w:rPr>
            </w:pPr>
          </w:p>
        </w:tc>
      </w:tr>
      <w:tr>
        <w:trPr>
          <w:trHeight w:val="74"/>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and per share amounts)</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FSDC</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Gemini</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jc w:val="center"/>
              <w:ind w:right="12"/>
              <w:spacing w:after="0" w:line="74" w:lineRule="exact"/>
              <w:rPr>
                <w:sz w:val="20"/>
                <w:szCs w:val="20"/>
                <w:color w:val="auto"/>
              </w:rPr>
            </w:pPr>
            <w:r>
              <w:rPr>
                <w:rFonts w:ascii="Times New Roman" w:cs="Times New Roman" w:eastAsia="Times New Roman" w:hAnsi="Times New Roman"/>
                <w:sz w:val="8"/>
                <w:szCs w:val="8"/>
                <w:b w:val="1"/>
                <w:bCs w:val="1"/>
                <w:color w:val="auto"/>
              </w:rPr>
              <w:t>No</w:t>
            </w:r>
          </w:p>
        </w:tc>
        <w:tc>
          <w:tcPr>
            <w:tcW w:w="9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jc w:val="center"/>
              <w:ind w:right="32"/>
              <w:spacing w:after="0" w:line="74" w:lineRule="exact"/>
              <w:rPr>
                <w:sz w:val="20"/>
                <w:szCs w:val="20"/>
                <w:color w:val="auto"/>
              </w:rPr>
            </w:pPr>
            <w:r>
              <w:rPr>
                <w:rFonts w:ascii="Times New Roman" w:cs="Times New Roman" w:eastAsia="Times New Roman" w:hAnsi="Times New Roman"/>
                <w:sz w:val="8"/>
                <w:szCs w:val="8"/>
                <w:b w:val="1"/>
                <w:bCs w:val="1"/>
                <w:color w:val="auto"/>
              </w:rPr>
              <w:t>No</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jc w:val="center"/>
              <w:ind w:right="12"/>
              <w:spacing w:after="0" w:line="74" w:lineRule="exact"/>
              <w:rPr>
                <w:sz w:val="20"/>
                <w:szCs w:val="20"/>
                <w:color w:val="auto"/>
              </w:rPr>
            </w:pPr>
            <w:r>
              <w:rPr>
                <w:rFonts w:ascii="Times New Roman" w:cs="Times New Roman" w:eastAsia="Times New Roman" w:hAnsi="Times New Roman"/>
                <w:sz w:val="8"/>
                <w:szCs w:val="8"/>
                <w:b w:val="1"/>
                <w:bCs w:val="1"/>
                <w:color w:val="auto"/>
              </w:rPr>
              <w:t>Max</w:t>
            </w:r>
          </w:p>
        </w:tc>
        <w:tc>
          <w:tcPr>
            <w:tcW w:w="0" w:type="dxa"/>
            <w:vAlign w:val="bottom"/>
          </w:tcPr>
          <w:p>
            <w:pPr>
              <w:spacing w:after="0"/>
              <w:rPr>
                <w:sz w:val="1"/>
                <w:szCs w:val="1"/>
                <w:color w:val="auto"/>
              </w:rPr>
            </w:pPr>
          </w:p>
        </w:tc>
      </w:tr>
      <w:tr>
        <w:trPr>
          <w:trHeight w:val="168"/>
        </w:trPr>
        <w:tc>
          <w:tcPr>
            <w:tcW w:w="1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Redemptions</w:t>
            </w: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Redemptions</w:t>
            </w: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Redemptions</w:t>
            </w:r>
          </w:p>
        </w:tc>
        <w:tc>
          <w:tcPr>
            <w:tcW w:w="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Redemptions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 of and for the Nine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2020</w:t>
            </w:r>
            <w:r>
              <w:rPr>
                <w:rFonts w:ascii="Times New Roman" w:cs="Times New Roman" w:eastAsia="Times New Roman" w:hAnsi="Times New Roman"/>
                <w:sz w:val="19"/>
                <w:szCs w:val="19"/>
                <w:b w:val="1"/>
                <w:bCs w:val="1"/>
                <w:color w:val="auto"/>
                <w:vertAlign w:val="superscript"/>
              </w:rPr>
              <w:t>(4)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 basic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diluted</w:t>
            </w:r>
            <w:r>
              <w:rPr>
                <w:rFonts w:ascii="Times New Roman" w:cs="Times New Roman" w:eastAsia="Times New Roman" w:hAnsi="Times New Roman"/>
                <w:sz w:val="19"/>
                <w:szCs w:val="19"/>
                <w:color w:val="auto"/>
                <w:vertAlign w:val="superscript"/>
              </w:rPr>
              <w:t>(1)(2)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4.12</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and diluted – Class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27"/>
                <w:szCs w:val="27"/>
                <w:color w:val="auto"/>
                <w:vertAlign w:val="subscript"/>
              </w:rPr>
              <w:t>A</w:t>
            </w:r>
            <w:r>
              <w:rPr>
                <w:rFonts w:ascii="Times New Roman" w:cs="Times New Roman" w:eastAsia="Times New Roman" w:hAnsi="Times New Roman"/>
                <w:sz w:val="9"/>
                <w:szCs w:val="9"/>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of Class A,</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and diluted</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12,516,500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5,507,900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46,541,250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35,388,875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98"/>
              </w:rPr>
              <w:t>17,877,339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17,877,339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and diluted – Class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27"/>
                <w:szCs w:val="27"/>
                <w:color w:val="auto"/>
                <w:vertAlign w:val="subscript"/>
              </w:rPr>
              <w:t>B</w:t>
            </w:r>
            <w:r>
              <w:rPr>
                <w:rFonts w:ascii="Times New Roman" w:cs="Times New Roman" w:eastAsia="Times New Roman" w:hAnsi="Times New Roman"/>
                <w:sz w:val="9"/>
                <w:szCs w:val="9"/>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of Class B,</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and diluted</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3,018,750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9"/>
                <w:szCs w:val="19"/>
                <w:b w:val="1"/>
                <w:bCs w:val="1"/>
                <w:color w:val="auto"/>
                <w:vertAlign w:val="superscript"/>
              </w:rPr>
              <w:t>(4)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and diluted – Class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27"/>
                <w:szCs w:val="27"/>
                <w:color w:val="auto"/>
                <w:vertAlign w:val="subscript"/>
              </w:rPr>
              <w:t>A</w:t>
            </w:r>
            <w:r>
              <w:rPr>
                <w:rFonts w:ascii="Times New Roman" w:cs="Times New Roman" w:eastAsia="Times New Roman" w:hAnsi="Times New Roman"/>
                <w:sz w:val="9"/>
                <w:szCs w:val="9"/>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 Class A,</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and diluted</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5,171,537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46,541,250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35,388,875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98"/>
              </w:rPr>
              <w:t>17,877,339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17,877,339</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ind w:left="1380" w:right="1019" w:hanging="381"/>
        <w:spacing w:after="0" w:line="272" w:lineRule="auto"/>
        <w:tabs>
          <w:tab w:leader="none" w:pos="140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share = Total equity (deficit)/shares outstanding at September 30, 2020 for FSDC, Gemini and the pro forma.</w:t>
      </w:r>
    </w:p>
    <w:p>
      <w:pPr>
        <w:ind w:left="1380" w:right="1019" w:hanging="381"/>
        <w:spacing w:after="0" w:line="267" w:lineRule="auto"/>
        <w:tabs>
          <w:tab w:leader="none" w:pos="140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Book value per share and Net income (loss) per share are based on Class A and Class B common stock for FSDC and total common stock for Gemini.</w:t>
      </w:r>
    </w:p>
    <w:p>
      <w:pPr>
        <w:jc w:val="both"/>
        <w:ind w:left="1380" w:right="1019" w:hanging="381"/>
        <w:spacing w:after="0" w:line="267" w:lineRule="auto"/>
        <w:tabs>
          <w:tab w:leader="none" w:pos="1423"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pro forma basic and diluted per share data for Gemini is based on the expected exchange ratio of 0.2179 (calculated as of the Record Date, assuming interest on the Convertible Notes accrues through the expected Closing Date of February 5, 2020) for both No Redemptions and Max Redemptions scenarios. The equivalent pro forma shares outstanding for Gemini represent the total consideration shares of up to 21.5 million, less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4"/>
          <w:szCs w:val="14"/>
          <w:i w:val="1"/>
          <w:iCs w:val="1"/>
          <w:color w:val="auto"/>
        </w:rPr>
        <w:t>The Business Combination Proposal — Acquisition of Gemini;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 Consideration</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1380" w:hanging="381"/>
        <w:spacing w:after="0"/>
        <w:tabs>
          <w:tab w:leader="none" w:pos="13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cash dividends declared in the periods presented.</w:t>
      </w:r>
    </w:p>
    <w:p>
      <w:pPr>
        <w:sectPr>
          <w:pgSz w:w="11900" w:h="16838" w:orient="portrait"/>
          <w:cols w:equalWidth="0" w:num="1">
            <w:col w:w="9019"/>
          </w:cols>
          <w:pgMar w:left="1440" w:top="254"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42" w:name="page43"/>
    <w:bookmarkEnd w:id="4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i w:val="1"/>
          <w:iCs w:val="1"/>
          <w:color w:val="auto"/>
        </w:rPr>
        <w:t>The following risk factors will apply to our business and operations following the completion of the Business Combination. These risk factors are not exhaustive and we may face additional risks and uncertainties that are not presently known to us, or that we currently deem immaterial, which may also impair our business, prospects, financial condition or operating results.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FS Development Common Stock. The following discussion should be read in conjunction with our financial statements and the financial statements of Gemini and the notes to the financial statements included herein.</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Gemini</w:t>
      </w:r>
    </w:p>
    <w:p>
      <w:pPr>
        <w:spacing w:after="0" w:line="139"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 Risks Related to Gemini” to “we”, “us” and “our” generally refer to Gemini in the present tense or the Combined Entity from and after the Business Combination.</w:t>
      </w:r>
    </w:p>
    <w:p>
      <w:pPr>
        <w:spacing w:after="0" w:line="151"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has incurred significant losses since its inception and expects to incur losses for the foreseeable future.</w:t>
      </w:r>
    </w:p>
    <w:p>
      <w:pPr>
        <w:spacing w:after="0" w:line="8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years ended December 31, 2018 and 2019, respectively. For the nine months ended September 30, 2020, Gemini reported a net loss of $26.5 million. As of September 30, 2020, Gemini had an accumulated deficit of $98.5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00" w:lineRule="exact"/>
        <w:rPr>
          <w:sz w:val="20"/>
          <w:szCs w:val="20"/>
          <w:color w:val="auto"/>
        </w:rPr>
      </w:pPr>
    </w:p>
    <w:p>
      <w:pPr>
        <w:ind w:left="1680" w:right="939" w:hanging="379"/>
        <w:spacing w:after="0" w:line="280" w:lineRule="auto"/>
        <w:tabs>
          <w:tab w:leader="none" w:pos="1732"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conducts larger scale clinical trials for its lead product candidate, GEM103, and any other product candidates;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discovers and develops new product candidates, and conducts nonclinical studies and clinical trials;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manufactures, or has manufactured, clinical and commercial supplies of its product candidates;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seeks regulatory approvals for its product candidates;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commercializes GEM103 or any other product candidates, if approved;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6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attempts to transition from a company with a research focus to a company capable of supporting commercial activities, including establishing sales, marketing and distribution infrastructure;</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hires additional clinical, scientific, and management personnel;</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adds operational, financial, and management information systems and personnel;</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identifies additional compounds or product candidates and acquires rights from third parties to those compounds or product candidates through licenses; and</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63"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additional costs associated with operating as a public company following the Business Combination.</w:t>
      </w:r>
    </w:p>
    <w:p>
      <w:pPr>
        <w:spacing w:after="0" w:line="85"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 w:name="page44"/>
    <w:bookmarkEnd w:id="4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currently has a limited operating history, has not generated any revenue to date, and may never become profitable.</w:t>
      </w:r>
    </w:p>
    <w:p>
      <w:pPr>
        <w:spacing w:after="0" w:line="6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1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07" w:lineRule="exact"/>
        <w:rPr>
          <w:sz w:val="20"/>
          <w:szCs w:val="20"/>
          <w:color w:val="auto"/>
        </w:rPr>
      </w:pPr>
    </w:p>
    <w:p>
      <w:pPr>
        <w:ind w:left="1680" w:right="939" w:hanging="379"/>
        <w:spacing w:after="0" w:line="280" w:lineRule="auto"/>
        <w:tabs>
          <w:tab w:leader="none" w:pos="180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complete nonclinical studies and clinical trials for GEM103 and any other product candidates;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and obtain marketing approvals for any product candidates that complete clinical development;</w:t>
      </w:r>
    </w:p>
    <w:p>
      <w:pPr>
        <w:spacing w:after="0" w:line="150" w:lineRule="exact"/>
        <w:rPr>
          <w:rFonts w:ascii="Times New Roman" w:cs="Times New Roman" w:eastAsia="Times New Roman" w:hAnsi="Times New Roman"/>
          <w:sz w:val="15"/>
          <w:szCs w:val="15"/>
          <w:color w:val="auto"/>
        </w:rPr>
      </w:pPr>
    </w:p>
    <w:p>
      <w:pPr>
        <w:jc w:val="both"/>
        <w:ind w:left="1680" w:right="939" w:hanging="379"/>
        <w:spacing w:after="0" w:line="265" w:lineRule="auto"/>
        <w:tabs>
          <w:tab w:leader="none" w:pos="189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maintain supply and manufacturing relationships with third parties, and ensure adequate and legally compliant manufacturing of bulk drug substances and drug products to maintain that supply;</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67"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and commercialize any product candidates for which Gemini obtains marketing approval, and, if launched independently, successfully establish a sales, marketing and distribution infrastructure;</w:t>
      </w:r>
    </w:p>
    <w:p>
      <w:pPr>
        <w:spacing w:after="0" w:line="83"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the necessary safety data post-approval to ensure continued regulatory approval;</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204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coverage and adequate product reimbursement from third-party payors, including government payors;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for any approved products;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any competing technological and market developments;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3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negotiate favorable terms in any collaboration, licensing or other arrangements into which Gemini may enter in the future and performing its obligations in such collaborations;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maintain, protect and enforce its intellectual property rights; and</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3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12"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 w:name="page45"/>
    <w:bookmarkEnd w:id="4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8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As of September 30, 2020, Gemini had $13.2 million of cash and cash equivalents. Gemini believes that the net proceeds from the Business Combination and the PIPE transaction, together with its existing cash and cash equivalents, will fund its projected operating requirements through at least the next 12 months.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07" w:lineRule="exact"/>
        <w:rPr>
          <w:sz w:val="20"/>
          <w:szCs w:val="20"/>
          <w:color w:val="auto"/>
        </w:rPr>
      </w:pPr>
    </w:p>
    <w:p>
      <w:pPr>
        <w:jc w:val="both"/>
        <w:ind w:left="1680" w:right="939" w:hanging="379"/>
        <w:spacing w:after="0" w:line="265" w:lineRule="auto"/>
        <w:tabs>
          <w:tab w:leader="none" w:pos="189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83"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80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91"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0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7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acceptance of any approved product candidates, including product pricing, as well as product coverage and the adequacy of reimbursement by third-party payors;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acquiring, licensing or investing in additional businesses, products, product candidates and technologies;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87"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selecting, auditing and potentially validating a manufacturing site for commercial-scale manufacturing;</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establishing sales, marketing and distribution capabilities for any product candidates for which Gemini may receive regulatory approval and that Gemini determines to commercialize; and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11"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need to implement additional internal systems and infrastructure, including financial and reporting systems.</w:t>
      </w:r>
    </w:p>
    <w:p>
      <w:pPr>
        <w:spacing w:after="0" w:line="8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 w:name="page46"/>
    <w:bookmarkEnd w:id="4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Gemini is heavily dependent on the success of GEM103, its lead product candidate.</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12"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9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62"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98" w:lineRule="exact"/>
        <w:rPr>
          <w:sz w:val="20"/>
          <w:szCs w:val="20"/>
          <w:color w:val="auto"/>
        </w:rPr>
      </w:pPr>
    </w:p>
    <w:p>
      <w:pPr>
        <w:ind w:left="1680" w:hanging="379"/>
        <w:spacing w:after="0"/>
        <w:tabs>
          <w:tab w:leader="none" w:pos="16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methodology used may not be successful in identifying potential product candidates;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competitors may develop alternatives that render its product candidates obsolete;</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Gemini develop may nevertheless be covered by third parties’ patents or other exclusive rights;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 w:name="page47"/>
    <w:bookmarkEnd w:id="4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65" w:lineRule="auto"/>
        <w:tabs>
          <w:tab w:leader="none" w:pos="192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product candidate may not be capable of being produced in commercial quantities at an acceptable cost, or at all;</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79"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approved product may not be accepted as safe and effective by trial participants, the medical community or third-party payors; and</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6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or other proprietary rights of third parties for product candidates Gemini develop may potentially block its entry into certain markets or make such entry economically impracticable.</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5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9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9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14"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0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 w:name="page48"/>
    <w:bookmarkEnd w:id="4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58"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is subject to many manufacturing risks, any of which could substantially increase its costs, delay clinical programs and limit supply of its products.</w:t>
      </w:r>
    </w:p>
    <w:p>
      <w:pPr>
        <w:spacing w:after="0" w:line="8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02" w:lineRule="exact"/>
        <w:rPr>
          <w:sz w:val="20"/>
          <w:szCs w:val="20"/>
          <w:color w:val="auto"/>
        </w:rPr>
      </w:pPr>
    </w:p>
    <w:p>
      <w:pPr>
        <w:jc w:val="both"/>
        <w:ind w:left="1680" w:right="939" w:hanging="379"/>
        <w:spacing w:after="0" w:line="254" w:lineRule="auto"/>
        <w:tabs>
          <w:tab w:leader="none" w:pos="1851"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94"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92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911"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95"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63"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0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 w:name="page49"/>
    <w:bookmarkEnd w:id="4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0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94"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Gemini may encounter difficulties in managing its growth, which could adversely affect its operations.</w:t>
      </w:r>
    </w:p>
    <w:p>
      <w:pPr>
        <w:spacing w:after="0" w:line="14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As of November 30, 2020,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63"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8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1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 w:name="page50"/>
    <w:bookmarkEnd w:id="4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Gemini’s disclosure controls and procedures may not prevent or detect all errors or acts of fraud.</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6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9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its Chief Technology Officer, Scott Lauder, Ph.D., its Chief Medical Officer, Marc Uknis, M.D., and its interim Chief Financial Officer, Gregg Beloff.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67"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9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 w:name="page51"/>
    <w:bookmarkEnd w:id="5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8" w:lineRule="auto"/>
        <w:rPr>
          <w:sz w:val="20"/>
          <w:szCs w:val="20"/>
          <w:color w:val="auto"/>
        </w:rPr>
      </w:pPr>
      <w:r>
        <w:rPr>
          <w:rFonts w:ascii="Times New Roman" w:cs="Times New Roman" w:eastAsia="Times New Roman" w:hAnsi="Times New Roman"/>
          <w:sz w:val="15"/>
          <w:szCs w:val="15"/>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344"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9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Factors that may generally affect patient enrollment include:</w:t>
      </w:r>
    </w:p>
    <w:p>
      <w:pPr>
        <w:spacing w:after="0" w:line="127" w:lineRule="exact"/>
        <w:rPr>
          <w:sz w:val="20"/>
          <w:szCs w:val="20"/>
          <w:color w:val="auto"/>
        </w:rPr>
      </w:pPr>
    </w:p>
    <w:p>
      <w:pPr>
        <w:ind w:left="1680" w:hanging="379"/>
        <w:spacing w:after="0"/>
        <w:tabs>
          <w:tab w:leader="none" w:pos="16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nature of the patient population;</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location of clinical sites where patients are to be enrolled;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with other companies for clinical sites or patients;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eligibility and exclusion criteria for the trial;</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 of the clinical trial;</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and maintain patient consents;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that enrolled participants will drop out before completion; and</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3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9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 w:name="page52"/>
    <w:bookmarkEnd w:id="5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faces substantial competition, which may result in others discovering, developing or commercializing products before or more successfully than us.</w:t>
      </w:r>
    </w:p>
    <w:p>
      <w:pPr>
        <w:spacing w:after="0" w:line="6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14"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67"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Gemini’s business and operations would suffer in the event of computer system failures, cyber-attacks or deficiencies in its or related parties’ cyber security.</w:t>
      </w:r>
    </w:p>
    <w:p>
      <w:pPr>
        <w:spacing w:after="0" w:line="8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Comprehensive tax reform legislation could adversely affect its business and financial condition.</w:t>
      </w:r>
    </w:p>
    <w:p>
      <w:pPr>
        <w:spacing w:after="0" w:line="13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 w:name="page53"/>
    <w:bookmarkEnd w:id="5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58"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might not be able to utilize a significant portion of its U.S. NOL carryforwards and U.S. research and development tax credit carryforwards.</w:t>
      </w:r>
    </w:p>
    <w:p>
      <w:pPr>
        <w:spacing w:after="0" w:line="8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Gemini uses and generates materials that may expose it to material liability.</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Government Regulation</w:t>
      </w:r>
    </w:p>
    <w:p>
      <w:pPr>
        <w:spacing w:after="0" w:line="127"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 Risks Related to Government Regulation” to “we”, “us” and “our” generally refer to Gemini in the present tense or the Combined Entity from and after the Business Combination.</w:t>
      </w:r>
    </w:p>
    <w:p>
      <w:pPr>
        <w:spacing w:after="0" w:line="15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9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 w:name="page54"/>
    <w:bookmarkEnd w:id="5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GEM103 or its other product candidates could fail to receive regulatory approval from the FDA or an applicable foreign regulatory authority for many reasons, including:</w:t>
      </w:r>
    </w:p>
    <w:p>
      <w:pPr>
        <w:spacing w:after="0" w:line="85" w:lineRule="exact"/>
        <w:rPr>
          <w:sz w:val="20"/>
          <w:szCs w:val="20"/>
          <w:color w:val="auto"/>
        </w:rPr>
      </w:pPr>
    </w:p>
    <w:p>
      <w:pPr>
        <w:ind w:left="1680" w:hanging="379"/>
        <w:spacing w:after="0"/>
        <w:tabs>
          <w:tab w:leader="none" w:pos="16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 with the design or implementation of its clinical trials;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demonstrate that a product candidate is safe and effective for its proposed indication;</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clinical trials to meet the level of statistical significance required for approval;</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demonstrate that a product candidate’s clinical and other benefits outweigh its safety risks;</w:t>
      </w:r>
    </w:p>
    <w:p>
      <w:pPr>
        <w:spacing w:after="0" w:line="150" w:lineRule="exact"/>
        <w:rPr>
          <w:rFonts w:ascii="Times New Roman" w:cs="Times New Roman" w:eastAsia="Times New Roman" w:hAnsi="Times New Roman"/>
          <w:sz w:val="15"/>
          <w:szCs w:val="15"/>
          <w:color w:val="auto"/>
        </w:rPr>
      </w:pPr>
    </w:p>
    <w:p>
      <w:pPr>
        <w:ind w:left="1680" w:hanging="379"/>
        <w:spacing w:after="0"/>
        <w:tabs>
          <w:tab w:leader="none" w:pos="16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 with its interpretation of data from nonclinical studies or clinical trials;</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insufficiency of data collected from clinical trials of its product candidates to obtain regulatory approval;</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3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obtain approval of the manufacturing processes or facilities of third-party manufacturers with whom Gemini contract for clinical and commercial supplies; or</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35"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approval policies or regulations that render its nonclinical and clinical data insufficient for approval.</w:t>
      </w:r>
    </w:p>
    <w:p>
      <w:pPr>
        <w:spacing w:after="0" w:line="7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62"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9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96" w:lineRule="exact"/>
        <w:rPr>
          <w:sz w:val="20"/>
          <w:szCs w:val="20"/>
          <w:color w:val="auto"/>
        </w:rPr>
      </w:pPr>
    </w:p>
    <w:p>
      <w:pPr>
        <w:jc w:val="both"/>
        <w:ind w:left="1680" w:right="939" w:hanging="379"/>
        <w:spacing w:after="0" w:line="259" w:lineRule="auto"/>
        <w:tabs>
          <w:tab w:leader="none" w:pos="168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90"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filing or receiving allowance of additional IND applications that may be required;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 to continue its clinical trials and nonclinical studies;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results from its ongoing nonclinical studies;</w:t>
      </w:r>
    </w:p>
    <w:p>
      <w:pPr>
        <w:spacing w:after="0" w:line="126"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67"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7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CROs to perform under these agreements, including due to impacts from the COVID-19 pandemic on their workforce;</w:t>
      </w:r>
    </w:p>
    <w:p>
      <w:pPr>
        <w:spacing w:after="0" w:line="72" w:lineRule="exact"/>
        <w:rPr>
          <w:rFonts w:ascii="Times New Roman" w:cs="Times New Roman" w:eastAsia="Times New Roman" w:hAnsi="Times New Roman"/>
          <w:sz w:val="16"/>
          <w:szCs w:val="16"/>
          <w:color w:val="auto"/>
        </w:rPr>
      </w:pPr>
    </w:p>
    <w:p>
      <w:pPr>
        <w:ind w:left="1680" w:right="939" w:hanging="379"/>
        <w:spacing w:after="0" w:line="315" w:lineRule="auto"/>
        <w:tabs>
          <w:tab w:leader="none" w:pos="1672"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inadequate quantity or quality of a product candidate or other materials necessary to conduct clinical trials, for example delays in the manufacturing of sufficient supply of finished drug product;</w:t>
      </w:r>
    </w:p>
    <w:p>
      <w:pPr>
        <w:spacing w:after="0" w:line="61" w:lineRule="exact"/>
        <w:rPr>
          <w:rFonts w:ascii="Times New Roman" w:cs="Times New Roman" w:eastAsia="Times New Roman" w:hAnsi="Times New Roman"/>
          <w:sz w:val="15"/>
          <w:szCs w:val="15"/>
          <w:color w:val="auto"/>
        </w:rPr>
      </w:pPr>
    </w:p>
    <w:p>
      <w:pPr>
        <w:ind w:left="1680" w:right="939" w:hanging="379"/>
        <w:spacing w:after="0" w:line="280" w:lineRule="auto"/>
        <w:tabs>
          <w:tab w:leader="none" w:pos="168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obtaining ethics committee or Institutional Review Board, or IRB, approval to conduct a clinical study at a prospective site or sites;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4" w:name="page55"/>
    <w:bookmarkEnd w:id="5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9" w:lineRule="auto"/>
        <w:tabs>
          <w:tab w:leader="none" w:pos="183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0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severe or unexpected drug-related side effects experienced by subjects in a clinical trial;</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may decide, or regulatory authorities may require us, to conduct additional nonclinical or clinical trials or abandon product development programs;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validating, or inability to validate, any endpoints utilized in a clinical trial;</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69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retaining subjects who has enrolled in a clinical trial but may be prone to withdraw due to rigors of the clinical trials, lack of efficacy, side effects, personal issues, or loss of interest.</w:t>
      </w:r>
    </w:p>
    <w:p>
      <w:pPr>
        <w:spacing w:after="0" w:line="7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02" w:lineRule="exact"/>
        <w:rPr>
          <w:sz w:val="20"/>
          <w:szCs w:val="20"/>
          <w:color w:val="auto"/>
        </w:rPr>
      </w:pPr>
    </w:p>
    <w:p>
      <w:pPr>
        <w:ind w:left="1680" w:right="939" w:hanging="379"/>
        <w:spacing w:after="0" w:line="280" w:lineRule="auto"/>
        <w:tabs>
          <w:tab w:leader="none" w:pos="185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conduct the clinical study in accordance with regulatory requirements or its clinical protocols;</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0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83"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1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safety issues or safety signals, including any that could be identified in its ongoing nonclinical studies or clinical trials, adverse side effects or lack of effectiveness;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 regulations or administrative actions;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problems with clinical supply materials; and</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 to continue clinical trials.</w:t>
      </w:r>
    </w:p>
    <w:p>
      <w:pPr>
        <w:spacing w:after="0" w:line="139" w:lineRule="exact"/>
        <w:rPr>
          <w:sz w:val="20"/>
          <w:szCs w:val="20"/>
          <w:color w:val="auto"/>
        </w:rPr>
      </w:pPr>
    </w:p>
    <w:p>
      <w:pPr>
        <w:jc w:val="both"/>
        <w:ind w:left="920" w:right="939"/>
        <w:spacing w:after="0" w:line="273" w:lineRule="auto"/>
        <w:rPr>
          <w:sz w:val="20"/>
          <w:szCs w:val="20"/>
          <w:color w:val="auto"/>
        </w:rPr>
      </w:pPr>
      <w:r>
        <w:rPr>
          <w:rFonts w:ascii="Times New Roman" w:cs="Times New Roman" w:eastAsia="Times New Roman" w:hAnsi="Times New Roman"/>
          <w:sz w:val="15"/>
          <w:szCs w:val="15"/>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47"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has limited experience in conducting clinical trials and has never obtained approval for any product candidates and may be unable to do so successfully.</w:t>
      </w:r>
    </w:p>
    <w:p>
      <w:pPr>
        <w:spacing w:after="0" w:line="8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5" w:name="page56"/>
    <w:bookmarkEnd w:id="5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advancement of healthcare reform may negatively impact its ability to profitably sell its product candidates, if approved.</w:t>
      </w:r>
    </w:p>
    <w:p>
      <w:pPr>
        <w:spacing w:after="0" w:line="6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United States and many foreign jurisdictions has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0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08"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has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08"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6" w:name="page57"/>
    <w:bookmarkEnd w:id="5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06"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1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9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7" w:name="page58"/>
    <w:bookmarkEnd w:id="5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Gemini’s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8"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07" w:lineRule="exact"/>
        <w:rPr>
          <w:sz w:val="20"/>
          <w:szCs w:val="20"/>
          <w:color w:val="auto"/>
        </w:rPr>
      </w:pPr>
    </w:p>
    <w:p>
      <w:pPr>
        <w:jc w:val="both"/>
        <w:ind w:left="1680" w:right="939" w:hanging="379"/>
        <w:spacing w:after="0" w:line="255" w:lineRule="auto"/>
        <w:tabs>
          <w:tab w:leader="none" w:pos="1851"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05"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74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federal civil and criminal false claims laws and civil monetary penalty laws, including the federal False Claims Act, which can be enforced through civil whistleblower or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93"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87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3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69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94" w:lineRule="exact"/>
        <w:rPr>
          <w:rFonts w:ascii="Times New Roman" w:cs="Times New Roman" w:eastAsia="Times New Roman" w:hAnsi="Times New Roman"/>
          <w:sz w:val="16"/>
          <w:szCs w:val="16"/>
          <w:color w:val="auto"/>
        </w:rPr>
      </w:pPr>
    </w:p>
    <w:p>
      <w:pPr>
        <w:jc w:val="both"/>
        <w:ind w:left="1680" w:right="939" w:hanging="379"/>
        <w:spacing w:after="0" w:line="252" w:lineRule="auto"/>
        <w:tabs>
          <w:tab w:leader="none" w:pos="168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8" w:name="page59"/>
    <w:bookmarkEnd w:id="5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16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9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6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8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9" w:name="page60"/>
    <w:bookmarkEnd w:id="5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6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95"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177"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81" w:lineRule="exact"/>
        <w:rPr>
          <w:sz w:val="20"/>
          <w:szCs w:val="20"/>
          <w:color w:val="auto"/>
        </w:rPr>
      </w:pPr>
    </w:p>
    <w:p>
      <w:pPr>
        <w:jc w:val="both"/>
        <w:ind w:left="920" w:right="939"/>
        <w:spacing w:after="0" w:line="275" w:lineRule="auto"/>
        <w:rPr>
          <w:sz w:val="20"/>
          <w:szCs w:val="20"/>
          <w:color w:val="auto"/>
        </w:rPr>
      </w:pPr>
      <w:r>
        <w:rPr>
          <w:rFonts w:ascii="Times New Roman" w:cs="Times New Roman" w:eastAsia="Times New Roman" w:hAnsi="Times New Roman"/>
          <w:sz w:val="15"/>
          <w:szCs w:val="15"/>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8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0" w:name="page61"/>
    <w:bookmarkEnd w:id="6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02" w:lineRule="exact"/>
        <w:rPr>
          <w:sz w:val="20"/>
          <w:szCs w:val="20"/>
          <w:color w:val="auto"/>
        </w:rPr>
      </w:pPr>
    </w:p>
    <w:p>
      <w:pPr>
        <w:ind w:left="1680" w:right="939" w:hanging="379"/>
        <w:spacing w:after="0" w:line="280" w:lineRule="auto"/>
        <w:tabs>
          <w:tab w:leader="none" w:pos="191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safety alerts, Dear Healthcare Provider letters, press releases or other communications containing warnings about such product;</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mandate modifications to promotional materials or require us to provide corrective information to healthcare practitioners;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Gemini conduct post-marketing studies;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97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enter into a consent decree, which can include imposition of various fines, reimbursements for inspection costs, required due dates for specific actions and penalties for noncompliance;</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an injunction or impose civil or criminal penalties or monetary fines;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marketing of, withdraw regulatory approval of or recall such product;</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any ongoing clinical studies;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refuse to approve pending applications or supplements to applications filed by us;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or impose restrictions on operations, including costly new manufacturing requirements; or</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seize or detain products, refuse to permit the import or export of products or require us to initiate a product recall.</w:t>
      </w:r>
    </w:p>
    <w:p>
      <w:pPr>
        <w:spacing w:after="0" w:line="8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occurrence of any event or penalty described above may inhibit its ability to commercialize its products and generate revenue.</w:t>
      </w:r>
    </w:p>
    <w:p>
      <w:pPr>
        <w:spacing w:after="0" w:line="7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0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has a material adverse effect on its business, financial condition and results of operations.</w:t>
      </w:r>
    </w:p>
    <w:p>
      <w:pPr>
        <w:spacing w:after="0" w:line="11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1" w:name="page62"/>
    <w:bookmarkEnd w:id="6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6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1680" w:hanging="379"/>
        <w:spacing w:after="0"/>
        <w:tabs>
          <w:tab w:leader="none" w:pos="16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covered benefit under its health plan;</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 effective and medically necessary;</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for the specific patient;</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experimental nor investigational.</w:t>
      </w:r>
    </w:p>
    <w:p>
      <w:pPr>
        <w:spacing w:after="0" w:line="13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63"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Its failure to obtain regulatory approval in international jurisdictions would prevent Gemini from marketing its product candidates outside the United States.</w:t>
      </w:r>
    </w:p>
    <w:p>
      <w:pPr>
        <w:spacing w:after="0" w:line="6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2" w:name="page63"/>
    <w:bookmarkEnd w:id="6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165"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00"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6" w:lineRule="exact"/>
        <w:rPr>
          <w:sz w:val="20"/>
          <w:szCs w:val="20"/>
          <w:color w:val="auto"/>
        </w:rPr>
      </w:pPr>
    </w:p>
    <w:p>
      <w:pPr>
        <w:jc w:val="both"/>
        <w:ind w:left="920" w:right="939"/>
        <w:spacing w:after="0" w:line="284" w:lineRule="auto"/>
        <w:rPr>
          <w:sz w:val="20"/>
          <w:szCs w:val="20"/>
          <w:color w:val="auto"/>
        </w:rPr>
      </w:pPr>
      <w:r>
        <w:rPr>
          <w:rFonts w:ascii="Times New Roman" w:cs="Times New Roman" w:eastAsia="Times New Roman" w:hAnsi="Times New Roman"/>
          <w:sz w:val="15"/>
          <w:szCs w:val="15"/>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84"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94"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1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3" w:name="page64"/>
    <w:bookmarkEnd w:id="6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1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151"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GEM103 and other product candidates for which Gemini intends to seek approval as biologic products may face competition sooner than anticipated.</w:t>
      </w:r>
    </w:p>
    <w:p>
      <w:pPr>
        <w:spacing w:after="0" w:line="8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has a material adverse effect on the future commercial prospects for its biological products.</w:t>
      </w:r>
    </w:p>
    <w:p>
      <w:pPr>
        <w:spacing w:after="0" w:line="10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0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39"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 Risks Related to Intellectual Property” to “we”, “us” and “our” generally refer to Gemini in the present tense or the Combined Entity from and after the Business Combination.</w:t>
      </w:r>
    </w:p>
    <w:p>
      <w:pPr>
        <w:spacing w:after="0" w:line="15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5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4" w:name="page65"/>
    <w:bookmarkEnd w:id="6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03" w:lineRule="exact"/>
        <w:rPr>
          <w:sz w:val="20"/>
          <w:szCs w:val="20"/>
          <w:color w:val="auto"/>
        </w:rPr>
      </w:pPr>
    </w:p>
    <w:p>
      <w:pPr>
        <w:jc w:val="both"/>
        <w:ind w:left="920" w:right="939"/>
        <w:spacing w:after="0" w:line="290" w:lineRule="auto"/>
        <w:rPr>
          <w:sz w:val="20"/>
          <w:szCs w:val="20"/>
          <w:color w:val="auto"/>
        </w:rPr>
      </w:pPr>
      <w:r>
        <w:rPr>
          <w:rFonts w:ascii="Times New Roman" w:cs="Times New Roman" w:eastAsia="Times New Roman" w:hAnsi="Times New Roman"/>
          <w:sz w:val="15"/>
          <w:szCs w:val="15"/>
          <w:color w:val="auto"/>
        </w:rPr>
        <w:t>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44"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7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7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84" w:lineRule="exact"/>
        <w:rPr>
          <w:sz w:val="20"/>
          <w:szCs w:val="20"/>
          <w:color w:val="auto"/>
        </w:rPr>
      </w:pPr>
    </w:p>
    <w:p>
      <w:pPr>
        <w:jc w:val="both"/>
        <w:ind w:left="1680" w:right="939" w:hanging="379"/>
        <w:spacing w:after="0" w:line="259" w:lineRule="auto"/>
        <w:tabs>
          <w:tab w:leader="none" w:pos="169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0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may not result in any patents being issued;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may be challenged, invalidated, modified, revoked, circumvented, found to be unenforceable or otherwise may not provide any competitive advantage;</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6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08"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32"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6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 addition, although Gemini enters into non-disclosure and confidentiality agreements with parties who have access to patentable aspects of our research and development output, such as our employees, outside scientific collaborators,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5" w:name="page66"/>
    <w:bookmarkEnd w:id="6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0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58"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may be unable to obtain intellectual property rights or technology necessary to develop and commercialize its product candidates.</w:t>
      </w:r>
    </w:p>
    <w:p>
      <w:pPr>
        <w:spacing w:after="0" w:line="6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108"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67"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88"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6" w:name="page67"/>
    <w:bookmarkEnd w:id="6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Disputes may also arise between Gemini and Sanquin Blood Supply Foundation, as well as any future potential licensors, regarding intellectual property subject to a license agreement, including:</w:t>
      </w:r>
    </w:p>
    <w:p>
      <w:pPr>
        <w:spacing w:after="0" w:line="85" w:lineRule="exact"/>
        <w:rPr>
          <w:sz w:val="20"/>
          <w:szCs w:val="20"/>
          <w:color w:val="auto"/>
        </w:rPr>
      </w:pPr>
    </w:p>
    <w:p>
      <w:pPr>
        <w:ind w:left="1680" w:hanging="379"/>
        <w:spacing w:after="0"/>
        <w:tabs>
          <w:tab w:leader="none" w:pos="16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the extent to which its technology and processes infringe on intellectual property of the licensor that is not subject to the licensing agreement;</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51"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right to sublicense patent and other rights to third parties under collaborative development relationships;</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9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diligence obligations with respect to the use of the licensed technology in relation to its development and commercialization of its product candidates and what activities satisfy those diligence obligations;</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inventorship and ownership of inventions and know-how resulting from the joint creation or use of intellectual property by its licensors and us and its partners; and</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priority of invention of patented technology.</w:t>
      </w:r>
    </w:p>
    <w:p>
      <w:pPr>
        <w:spacing w:after="0" w:line="13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9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0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58"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its competitive position on its product candidates for an adequate amount of time.</w:t>
      </w:r>
    </w:p>
    <w:p>
      <w:pPr>
        <w:spacing w:after="0" w:line="81" w:lineRule="exact"/>
        <w:rPr>
          <w:sz w:val="20"/>
          <w:szCs w:val="20"/>
          <w:color w:val="auto"/>
        </w:rPr>
      </w:pPr>
    </w:p>
    <w:p>
      <w:pPr>
        <w:jc w:val="both"/>
        <w:ind w:left="920" w:right="939"/>
        <w:spacing w:after="0" w:line="273" w:lineRule="auto"/>
        <w:rPr>
          <w:sz w:val="20"/>
          <w:szCs w:val="20"/>
          <w:color w:val="auto"/>
        </w:rPr>
      </w:pPr>
      <w:r>
        <w:rPr>
          <w:rFonts w:ascii="Times New Roman" w:cs="Times New Roman" w:eastAsia="Times New Roman" w:hAnsi="Times New Roman"/>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Gemini may not be able to protect its intellectual property rights throughout the world.</w:t>
      </w:r>
    </w:p>
    <w:p>
      <w:pPr>
        <w:spacing w:after="0" w:line="14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9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7" w:name="page68"/>
    <w:bookmarkEnd w:id="6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0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9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63"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9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8" w:name="page69"/>
    <w:bookmarkEnd w:id="6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83"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1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Third-party pre-issuance submission of prior art to the USPTO, or opposition, derivation, revocation reexamination, or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0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9" w:name="page70"/>
    <w:bookmarkEnd w:id="6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8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1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9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9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02"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5"/>
          <w:szCs w:val="15"/>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0" w:name="page71"/>
    <w:bookmarkEnd w:id="7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67"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95" w:lineRule="exact"/>
        <w:rPr>
          <w:sz w:val="20"/>
          <w:szCs w:val="20"/>
          <w:color w:val="auto"/>
        </w:rPr>
      </w:pPr>
    </w:p>
    <w:p>
      <w:pPr>
        <w:jc w:val="both"/>
        <w:ind w:left="920" w:right="939"/>
        <w:spacing w:after="0" w:line="270" w:lineRule="auto"/>
        <w:rPr>
          <w:sz w:val="20"/>
          <w:szCs w:val="20"/>
          <w:color w:val="auto"/>
        </w:rPr>
      </w:pPr>
      <w:r>
        <w:rPr>
          <w:rFonts w:ascii="Times New Roman" w:cs="Times New Roman" w:eastAsia="Times New Roman" w:hAnsi="Times New Roman"/>
          <w:sz w:val="15"/>
          <w:szCs w:val="15"/>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9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65"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Gemini’s inability to protect its confidential information and trade secrets would harm its business and competitive position.</w:t>
      </w:r>
    </w:p>
    <w:p>
      <w:pPr>
        <w:spacing w:after="0" w:line="69" w:lineRule="exact"/>
        <w:rPr>
          <w:sz w:val="20"/>
          <w:szCs w:val="20"/>
          <w:color w:val="auto"/>
        </w:rPr>
      </w:pPr>
    </w:p>
    <w:p>
      <w:pPr>
        <w:jc w:val="both"/>
        <w:ind w:left="920" w:right="939"/>
        <w:spacing w:after="0" w:line="269" w:lineRule="auto"/>
        <w:rPr>
          <w:sz w:val="20"/>
          <w:szCs w:val="20"/>
          <w:color w:val="auto"/>
        </w:rPr>
      </w:pPr>
      <w:r>
        <w:rPr>
          <w:rFonts w:ascii="Times New Roman" w:cs="Times New Roman" w:eastAsia="Times New Roman" w:hAnsi="Times New Roman"/>
          <w:sz w:val="15"/>
          <w:szCs w:val="15"/>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1" w:name="page72"/>
    <w:bookmarkEnd w:id="7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w:t>
      </w:r>
    </w:p>
    <w:p>
      <w:pPr>
        <w:spacing w:after="0" w:line="13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96" w:lineRule="exact"/>
        <w:rPr>
          <w:sz w:val="20"/>
          <w:szCs w:val="20"/>
          <w:color w:val="auto"/>
        </w:rPr>
      </w:pPr>
    </w:p>
    <w:p>
      <w:pPr>
        <w:jc w:val="both"/>
        <w:ind w:left="1680" w:right="939" w:hanging="379"/>
        <w:spacing w:after="0" w:line="265" w:lineRule="auto"/>
        <w:tabs>
          <w:tab w:leader="none" w:pos="168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32"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or its current or future collaborators, might not have been the first to make the inventions covered by the issued patents and pending patent applications that Gemini licenses or may own in the future;</w:t>
      </w:r>
    </w:p>
    <w:p>
      <w:pPr>
        <w:spacing w:after="0" w:line="83"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or its current or future collaborators, might not have been the first to file patent applications covering certain of its or their inventions;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9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its technologies without infringing its owned or licensed intellectual property rights;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Gemini’s pending patent applications or those that it may own in the future will not lead to issued patents;</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patents that Gemini holds rights to may be held invalid or unenforceable, including as a result of legal challenges by its competitors;</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may not develop additional proprietary technologies that are patentable;</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harm its business; and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0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may choose not to file a patent application in order to maintain certain trade secrets or know-how, and a third party may subsequently file a patent covering such intellectual property.</w:t>
      </w:r>
    </w:p>
    <w:p>
      <w:pPr>
        <w:spacing w:after="0" w:line="8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Should any of these events occur, they could have a material adverse effect on its business, financial condition, results of operations and prospects.</w:t>
      </w:r>
    </w:p>
    <w:p>
      <w:pPr>
        <w:spacing w:after="0" w:line="140"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Patents that ultimately issue that cover its product candidates could be found invalid or unenforceable if challenged in court or the USPTO.</w:t>
      </w:r>
    </w:p>
    <w:p>
      <w:pPr>
        <w:spacing w:after="0" w:line="6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2" w:name="page73"/>
    <w:bookmarkEnd w:id="7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Changes in patent law could diminish the value of patents in general, thereby impairing its ability to protect its product candidates.</w:t>
      </w:r>
    </w:p>
    <w:p>
      <w:pPr>
        <w:spacing w:after="0" w:line="6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08"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Reliance on Third Parties</w:t>
      </w:r>
    </w:p>
    <w:p>
      <w:pPr>
        <w:spacing w:after="0" w:line="139"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 Risks Related to Reliance on Third Parties” to “we”, “us” and “our” generally refer to Gemini in the present tense or the Combined Entity from and after the Business Combination.</w:t>
      </w:r>
    </w:p>
    <w:p>
      <w:pPr>
        <w:spacing w:after="0" w:line="15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8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Gemini will depend upon third parties, including independent investigators, to conduct its clinical trials under agreements with universities, medical institutions, CROs, strategic partners and others. Gemini expects to has to negotiate budgets and contracts with CROs and trial sites, which may result in delays to its development timelines and increased costs.</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3" w:name="page74"/>
    <w:bookmarkEnd w:id="7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08"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9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63" w:lineRule="exact"/>
        <w:rPr>
          <w:sz w:val="20"/>
          <w:szCs w:val="20"/>
          <w:color w:val="auto"/>
        </w:rPr>
      </w:pPr>
    </w:p>
    <w:p>
      <w:pPr>
        <w:jc w:val="both"/>
        <w:ind w:left="920" w:right="93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0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does not have any manufacturing facilities. Gemini currently relies, and expect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12" w:lineRule="exact"/>
        <w:rPr>
          <w:sz w:val="20"/>
          <w:szCs w:val="20"/>
          <w:color w:val="auto"/>
        </w:rPr>
      </w:pPr>
    </w:p>
    <w:p>
      <w:pPr>
        <w:ind w:left="1680" w:hanging="379"/>
        <w:spacing w:after="0"/>
        <w:tabs>
          <w:tab w:leader="none" w:pos="16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breach of the manufacturing agreement by the third party;</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termination or nonrenewal of the agreement by the third party at a time that is costly or inconvenient for us; and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204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the third party for regulatory compliance, quality assurance and safety and pharmacovigilance reporting.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4" w:name="page75"/>
    <w:bookmarkEnd w:id="7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0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9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9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51" w:lineRule="exact"/>
        <w:rPr>
          <w:sz w:val="20"/>
          <w:szCs w:val="20"/>
          <w:color w:val="auto"/>
        </w:rPr>
      </w:pPr>
    </w:p>
    <w:p>
      <w:pPr>
        <w:jc w:val="both"/>
        <w:ind w:left="920" w:right="93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0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0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70"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6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5" w:name="page76"/>
    <w:bookmarkEnd w:id="7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0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Commercialization</w:t>
      </w:r>
    </w:p>
    <w:p>
      <w:pPr>
        <w:spacing w:after="0" w:line="127"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 Risks Related to Commercialization” to “we”, “us” and “our” generally refer to Gemini in the present tense or the Combined Entity from and after the Business Combination.</w:t>
      </w:r>
    </w:p>
    <w:p>
      <w:pPr>
        <w:spacing w:after="0" w:line="15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10"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94"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6" w:name="page77"/>
    <w:bookmarkEnd w:id="7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6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1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0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51"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8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7" w:name="page78"/>
    <w:bookmarkEnd w:id="7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02" w:lineRule="exact"/>
        <w:rPr>
          <w:sz w:val="20"/>
          <w:szCs w:val="20"/>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of the product candidate as demonstrated in clinical trials;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the product candidate as well as competitive products;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product candidate is approved;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the product candidate as a safe and effective treatment by clinics and patients;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11"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and perceived advantages of the product candidate over alternative treatments, including any similar generic treatments;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treatment in relation to alternative treatments;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coverage and adequate reimbursement and pricing by third-party payors;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convenience and ease of administration;</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frequency and severity of adverse events;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sales and marketing efforts;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relating to its product candidates.</w:t>
      </w:r>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62"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Product liability lawsuits against us could cause us to incur substantial liabilities and to limit commercialization of any products that Gemini may develop and insurance coverage may not be adequate.</w:t>
      </w:r>
    </w:p>
    <w:p>
      <w:pPr>
        <w:spacing w:after="0" w:line="8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07" w:lineRule="exact"/>
        <w:rPr>
          <w:sz w:val="20"/>
          <w:szCs w:val="20"/>
          <w:color w:val="auto"/>
        </w:rPr>
      </w:pPr>
    </w:p>
    <w:p>
      <w:pPr>
        <w:ind w:left="1680" w:hanging="379"/>
        <w:spacing w:after="0"/>
        <w:tabs>
          <w:tab w:leader="none" w:pos="16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Gemini may develop;</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clinical trial sites or entire trial programs;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its reputation and significant negative media attention;</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to defend the related litigation;</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trial subjects or patients;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8" w:name="page79"/>
    <w:bookmarkEnd w:id="7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hanging="379"/>
        <w:spacing w:after="0"/>
        <w:tabs>
          <w:tab w:leader="none" w:pos="16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 and scientific resources from its business operations;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products that Gemini may develop;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its stock price.</w:t>
      </w:r>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FS Development and the Business Combination</w:t>
      </w:r>
    </w:p>
    <w:p>
      <w:pPr>
        <w:spacing w:after="0" w:line="139"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 Risks Related to FS Development and Combination” to “we”, “us” and “our” generally refer to FS Development in the present tense or the Combined Entity from and after the Business Combination.</w:t>
      </w:r>
    </w:p>
    <w:p>
      <w:pPr>
        <w:spacing w:after="0" w:line="151"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FS Development’s Sponsor, directors and officers have interests in the Business Combination which may be different from or in addition to (and which may conflict with) the interests of its stockholders.</w:t>
      </w:r>
    </w:p>
    <w:p>
      <w:pPr>
        <w:spacing w:after="0" w:line="8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FS Development’s Sponsor, officers and directors and their respective affiliates and associates have interests in and arising from the Business Combination that are different from, or in addition to, (and which may conflict with) the interests of FS Development’s public stockholders, which could result in a real or perceived conflict of interest. These interests include, among other things, the interests listed below:</w:t>
      </w:r>
    </w:p>
    <w:p>
      <w:pPr>
        <w:spacing w:after="0" w:line="90" w:lineRule="exact"/>
        <w:rPr>
          <w:sz w:val="20"/>
          <w:szCs w:val="20"/>
          <w:color w:val="auto"/>
        </w:rPr>
      </w:pPr>
    </w:p>
    <w:p>
      <w:pPr>
        <w:jc w:val="both"/>
        <w:ind w:left="1680" w:right="939" w:hanging="379"/>
        <w:spacing w:after="0" w:line="252" w:lineRule="auto"/>
        <w:tabs>
          <w:tab w:leader="none" w:pos="168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complete our initial business combination by August 14, 2022,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 .</w:t>
      </w:r>
    </w:p>
    <w:p>
      <w:pPr>
        <w:spacing w:after="0" w:line="107"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815"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55"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Simultaneously with the closing of the FS Development IPO, FS Development consummated the sale of 441,500 Private Placement Shares at a price of $10.00 per share in a private placement to our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9" w:name="page80"/>
    <w:bookmarkEnd w:id="7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9" w:lineRule="auto"/>
        <w:tabs>
          <w:tab w:leader="none" w:pos="174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Sponsor,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887"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92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83"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67"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69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our Sponsor would be entitled to the repayment of any working capital loan and advances that have been made to FS Development and remain outstanding. As of the date of this proxy statement/prospectus, our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0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we will continue to indemnify our existing directors and officers and will maintain a directors’ and officers’ liability insurance policy.</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32"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Closing, subject to the terms and conditions of the Merger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our Sponsor or certain of our officers and directors to finance transaction costs in connection with an intended initial business combination.</w:t>
      </w:r>
    </w:p>
    <w:p>
      <w:pPr>
        <w:spacing w:after="0" w:line="105"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Business Combination Proposal — Interests of FS Development’s Directors and Officers and Others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for additional information on interests of FS Development’s directors and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w:t>
      </w:r>
    </w:p>
    <w:p>
      <w:pPr>
        <w:spacing w:after="0" w:line="9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These financial interests of the Sponsor as well as FS Development’s directors and officers may have influenced their motivation in identifying and selecting Gemini as a business combination target, and their decision to approve the Business Combination. In considering the recommendations of the Board to vote for the proposals, its stockholders should consider these interests.</w:t>
      </w:r>
    </w:p>
    <w:p>
      <w:pPr>
        <w:spacing w:after="0" w:line="158"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Activities taken by FS Development’s affiliates to purchase, directly or indirectly, Public Shares will increase the likelihood of approval of the Business Combination Proposal and the other Proposals and may affect the market price of the FS Development’s securities.</w:t>
      </w:r>
    </w:p>
    <w:p>
      <w:pPr>
        <w:spacing w:after="0" w:line="8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FS Development’s Sponsor, directors, officers, advisors or their affiliates may purchase shares in privately negotiated transactions either prior to or following the Closing, although they are under no obligation to do so. None of FS Development’s Sponsor, directors, officers, advisors or their affiliates will make any such purchases when such parties are in possession of any material non-public information not disclosed to the seller or during a restricted period under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0" w:name="page81"/>
    <w:bookmarkEnd w:id="8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Regulation M under the Exchange Act. Although none of FS Development’s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FS Development’s Sponsor, directors, officers, advisors or their affiliates, or the price such parties may pay, subject to compliance with applicable law and Nasdaq rules.</w:t>
      </w:r>
    </w:p>
    <w:p>
      <w:pPr>
        <w:spacing w:after="0" w:line="10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FS Development’s securities. In addition, the termination of the support provided by these purchases may materially adversely affect the market price of FS Development’s securities. In addition, if such purchases are made, the public “float” of FS Development Class A Common Stock and the number of beneficial holders of FS Development Class A Common Stock may be reduced, possibly making it difficult to obtain or maintain the quotation, listing or trading of FS Development Class A Common Stock on a national securities exchange.</w:t>
      </w:r>
    </w:p>
    <w:p>
      <w:pPr>
        <w:spacing w:after="0" w:line="11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Other than as expressly stated herein, there are no current commitments, plans or intentions to engage in any such transactions and no terms or conditions for any such transaction have been formulated. None of the funds in the Trust Account will be used to purchase shares in such transactions.</w:t>
      </w:r>
    </w:p>
    <w:p>
      <w:pPr>
        <w:spacing w:after="0" w:line="15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FS Development did not obtain an opinion from an independent investment banking or accounting firm, and consequently, there can be no assurance from an independent source that the price FS Development is paying for is fair to FS Development from a financial point of view.</w:t>
      </w:r>
    </w:p>
    <w:p>
      <w:pPr>
        <w:spacing w:after="0" w:line="83"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FS Development is not required to obtain an opinion from an independent investment banking or accounting firm that the price FS Development is paying in connection with the Business Combination is fair to FS Development from a financial point of view. The Board did not obtain a third-party valuation or fairness opinion in connection with its initial determination to approve and recommend the Business Combination. Accordingly, investors will be relying solely on the judgment of the Board in valuing Gemini’s business, and assuming the risk that the Board may not have properly valued the Business Combination.</w:t>
      </w:r>
    </w:p>
    <w:p>
      <w:pPr>
        <w:spacing w:after="0" w:line="161"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Sponsor has agreed to vote in favor of the Business Combination, regardless of how FS Development’s public stockholders vote.</w:t>
      </w:r>
    </w:p>
    <w:p>
      <w:pPr>
        <w:spacing w:after="0" w:line="8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pursuant to the Parent Support Agreement, have agreed, among other things, to vote their shares in favor of the Business Combination. Our initial stockholders own approximately 22.3% of our outstanding shares prior to the Business Combination. As a result, FS Development would need only 4,303,264, or approximately 27.7%, of the 15,535,250 shares of FS Development Common Stock to be voted in favor of the Business Combination in order to have the Business Combination approved. Accordingly, it is more likely that the necessary stockholder approval will be received than would be the case if the Sponsor agreed to vote its Founders Shares in accordance with the majority of the votes cast by FS Development’s public stockholders.</w:t>
      </w:r>
    </w:p>
    <w:p>
      <w:pPr>
        <w:spacing w:after="0" w:line="167"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FS Development has no operating history and is subject to a mandatory liquidation and subsequent dissolution requirement. If FS Development is unable to consummate a business combination, including the Business Combination, its public stockholders may be forced to wait more than 24 months before receiving distributions from the Trust Account.</w:t>
      </w:r>
    </w:p>
    <w:p>
      <w:pPr>
        <w:spacing w:after="0" w:line="10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FS Development is a development stage blank check company, and it has no operating history and is subject to a mandatory liquidation and subsequent dissolution requirement. FS Development has until August 14, 2022 to complete a business combination. FS Development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FS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1" w:name="page82"/>
    <w:bookmarkEnd w:id="8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Development. Only after the expiration of this full time period will public stockholders be entitled to distributions from the Trust Account if FS Development is unable to complete a business combination. Accordingly, investors’ funds may be unavailable to them until after such date and to liquidate their investment, public security holders may be forced to sell their Public Shares, potentially at a loss.</w:t>
      </w:r>
    </w:p>
    <w:p>
      <w:pPr>
        <w:spacing w:after="0" w:line="158"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Following the Closing, the Combined Entity’s only significant asset will be ownership of 100% of Gemini and such ownership may not be sufficient to pay dividends or make distributions or loans to enable it to pay any dividends on its Common Stock.</w:t>
      </w:r>
    </w:p>
    <w:p>
      <w:pPr>
        <w:spacing w:after="0" w:line="9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Following the Closing, the Combined Entity will have no direct operations and no significant assets other than the ownership of 100% of Gemini. The Combined Entity will depend on Gemini for distributions, loans and other payments to generate the funds necessary to meet the Combined Entity’s financial obligations, including expenses related to operating as a publicly traded company, and to pay any dividends with respect to its Common Stock. In addition, there are legal and contractual restrictions in agreements governing current and future indebtedness of Gemini under its loan and security agreement with SVB. The earnings from, or other available assets of, Gemini, may not be sufficient to pay dividends or make distributions or loans to enable the Combined Entity to pay any dividends on its Common Stock.</w:t>
      </w:r>
    </w:p>
    <w:p>
      <w:pPr>
        <w:spacing w:after="0" w:line="16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Subsequent to the Closing, FS Development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9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Although FS Development has conducted due diligence on Gemini, FS Development cannot assure you that this diligence revealed all material issues that may be present in Gemini’s business, that it would be possible to uncover all material issues through a customary amount of due diligence, or that factors outside of FS Development’s and Gemini’s control will not later arise. As a result, FS Development may be forced to later write-down or write-off assets, restructure its operations, or incur impairment or other charges that could result in losses. Even if FS Development’s due diligence successfully identifies certain risks, unexpected risks may arise and previously known risks may materialize in a manner not consistent with FS Development’s preliminary risk analysis. Even though these charges may be non-cash items and may not have an immediate impact on FS Development’s liquidity, the fact that FS Development reports charges of this nature could contribute to negative market perceptions about the Combined Entity’s or FS Development’s securities. In addition, charges of this nature may cause FS Development to be unable to obtain future financing on favorable terms or at all. Accordingly, any FS Development stockholder who chooses to remain a stockholder of the Combined Entity following the Business Combination could suffer a reduction in the value of their shares. Such stockholders are unlikely to have a remedy for such reduction in value unless they are able to successfully claim that the reduction was due to the breach by FS Development’s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6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Our actual financial position and results of operations may differ materially from the unaudited pro forma condensed combined financial information included in this proxy statement/prospectus may not be indicative of what FS Development’s actual financial position or results of operations would have been.</w:t>
      </w:r>
    </w:p>
    <w:p>
      <w:pPr>
        <w:spacing w:after="0" w:line="8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in this proxy statement/prospectus is presented for illustrative purposes only and is not necessarily indicative of what FS Development’s actual financial position or results of operations would have been had the Business Combination been completed on the dates indicated. See the section titled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for more information.</w:t>
      </w:r>
    </w:p>
    <w:p>
      <w:pPr>
        <w:spacing w:after="0" w:line="158"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If third parties bring claims against FS Development or if FS Development files a bankruptcy petition or an involuntary bankruptcy petition is filed against FS Development that is not dismissed, the proceeds held in trust could be reduced and the per-share redemption price received by stockholders may be less than $10.00 (which was the offering price in our initial public offering).</w:t>
      </w:r>
    </w:p>
    <w:p>
      <w:pPr>
        <w:spacing w:after="0" w:line="10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FS Development’s placing of funds in trust may not protect those funds from third party claims against FS Development. Although FS Development will seek to have all vendors and service providers (except for our independent registered public accounting firm) FS Development engages and prospective target businesses FS Development negotiates with execute agreements with FS Development waiving any right, title, interest or claim of any kind in or to any monies held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2" w:name="page83"/>
    <w:bookmarkEnd w:id="8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the Trust Account for the benefit of FS Development’s public stockholders, they may not execute such agreements. Furthermore, even if such entities execute such agreements with FS Development, they may seek recourse against the Trust Account. Additionally, a court may not uphold the validity of such agreements. Accordingly, the proceeds held in trust could be subject to claims which could take priority over those of FS Development’s public stockholders.</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Additionally, if FS Development is forced to file a bankruptcy case or an involuntary bankruptcy case is filed against FS Development’s which is not dismissed, the proceeds held in the Trust Account could be subject to applicable bankruptcy law, and may be included in FS Development’s bankruptcy estate and subject to the claims of third parties with priority over the claims of FS Development’s stockholders. To the extent any bankruptcy claims deplete the Trust Account, FS Development may not be able to return to FS Development’s public stockholders at least $10.00 (which was the offering price in our initial public offering). As a result, if any such claims were successfully made against the Trust Account, the funds available for FS Development’s initial business combination, including the Business Combination, and redemptions could be reduced to less than $10.00 per Public Share.</w:t>
      </w:r>
    </w:p>
    <w:p>
      <w:pPr>
        <w:spacing w:after="0" w:line="103"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FS Development’s stockholders may be held liable for claims by third parties against FS Development to the extent of distributions received by them.</w:t>
      </w:r>
    </w:p>
    <w:p>
      <w:pPr>
        <w:spacing w:after="0" w:line="6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Current Charter provides that FS Development will continue in existence only until April 14, 2022. If FS Development has not completed a business combination by such date, FS Development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w:t>
      </w:r>
    </w:p>
    <w:p>
      <w:pPr>
        <w:spacing w:after="0" w:line="10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If FS Development is forced to file a bankruptcy case or an involuntary bankruptcy case is filed against FS Development which is not dismissed, any distributions received by stockholders could be viewed under applicable debtor/creditor and/or bankruptcy laws as either a “preferential transfer” or a “fraudulent conveyance.” As a result, a bankruptcy court could seek to recover all amounts received by FS Development’s stockholders. Furthermore, because FS Development intends to distribute the proceeds held in the Public Shares to FS Development’s public stockholders promptly after expiration of the time FS Development has to complete an initial business combination, this may be viewed or interpreted as giving preference to FS Development’s public stockholders over any potential creditors with respect to access to or distributions from FS Development’s assets. Furthermore, the Board may be viewed as having breached their fiduciary duties to FS Development’s creditors and/or may have acted in bad faith, and thereby exposing itself and FS Development to claims of punitive damages, by paying public stockholders from the Trust Account prior to addressing the claims of creditors. FS Development cannot assure you that claims will not be brought against it for these reasons.</w:t>
      </w:r>
    </w:p>
    <w:p>
      <w:pPr>
        <w:spacing w:after="0" w:line="161" w:lineRule="exact"/>
        <w:rPr>
          <w:sz w:val="20"/>
          <w:szCs w:val="20"/>
          <w:color w:val="auto"/>
        </w:rPr>
      </w:pPr>
    </w:p>
    <w:p>
      <w:pPr>
        <w:jc w:val="both"/>
        <w:ind w:left="920" w:right="93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FS Development’s ability to successfully effect the Business Combination and to be successful thereafter will be totally dependent upon the efforts of its key personnel, including Gemini’s key personnel, all of whom are expected to join FS Development following the Business Combination. While FS Development intends to closely scrutinize any individuals it engages after the Business Combination, it cannot assure you that its assessment of these individuals will prove to be correct.</w:t>
      </w:r>
    </w:p>
    <w:p>
      <w:pPr>
        <w:spacing w:after="0" w:line="10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FS Development’s ability to successfully effect the Business Combination is dependent upon the efforts of FS Development’s key personnel, including key personnel of Gemini. Although FS Development expects all of such key personnel to remain with Gemini following the Business Combination, it is possible that FS Development will lose some key personnel, the loss of which could negatively impact the operations and profitability of the Combined Entity. While FS Development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FS Development to have to expend time and resources helping them become familiar with such requirements. This could be expensive and time-consuming and could lead to various regulatory issues which may adversely affect its operations. Additionally, FS Development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3" w:name="page84"/>
    <w:bookmarkEnd w:id="8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cannot assure you that FS Development will be successful in integrating and retaining such key personnel, or in identifying and recruiting additional key individuals FS Development determines may be necessary following the Business Combination.</w:t>
      </w:r>
    </w:p>
    <w:p>
      <w:pPr>
        <w:spacing w:after="0" w:line="151"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 market for FS Development’s securities may not continue, which would adversely affect the liquidity and price of its securities.</w:t>
      </w:r>
    </w:p>
    <w:p>
      <w:pPr>
        <w:spacing w:after="0" w:line="8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Following the Business Combination, the price of FS Development’s securities may fluctuate significantly due to the market’s reaction to the Business Combination and general market and economic conditions. An active trading market for FS Development’s securities following the Business Combination may never develop or, if developed, it may not be sustained. In addition, the price of FS Development’s securities after the Business Combination can vary due to general economic conditions and forecasts, FS Development’s general business condition and the release of FS Development’s financial reports. Additionally, if FS Development’s securities are not listed on, or become delisted from the Nasdaq for any reason, and are quoted on the OTC Bulletin Board, an inter-dealer automated quotation system for equity securities that is not a national securities exchange, the liquidity and price of FS Development’s securities may be more limited than if FS Development were quoted or listed on the NYSE American, LLC, the Nasdaq or another national securities exchange. You may be unable to sell your securities unless a market can be established or sustained.</w:t>
      </w:r>
    </w:p>
    <w:p>
      <w:pPr>
        <w:spacing w:after="0" w:line="165"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There can be no assurance that FS Development will be able to comply with the continued listing standards of the Nasdaq.</w:t>
      </w:r>
    </w:p>
    <w:p>
      <w:pPr>
        <w:spacing w:after="0" w:line="8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FS Development Class A Common Stock is expected to be listed on Nasdaq following the Business Combination. FS Development’s continued eligibility for listing may depend on the number of shares that are redeemed. If, after the Business Combination, the Nasdaq delists FS Development’s securities from trading on its exchange for failure to meet the listing standards, FS Development and its stockholders could face significant material adverse consequences including:</w:t>
      </w:r>
    </w:p>
    <w:p>
      <w:pPr>
        <w:spacing w:after="0" w:line="90" w:lineRule="exact"/>
        <w:rPr>
          <w:sz w:val="20"/>
          <w:szCs w:val="20"/>
          <w:color w:val="auto"/>
        </w:rPr>
      </w:pPr>
    </w:p>
    <w:p>
      <w:pPr>
        <w:ind w:left="1680" w:hanging="379"/>
        <w:spacing w:after="0"/>
        <w:tabs>
          <w:tab w:leader="none" w:pos="16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of market quotations for FS Development’s securities;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8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FS Development Class A Common Stock is a “penny stock” which will require brokers trading in its FS Development Class A Common Stock to adhere to more stringent rules, possibly resulting in a reduced level of trading activity in the secondary trading market for FS Development Class A Common Stock;</w:t>
      </w:r>
    </w:p>
    <w:p>
      <w:pPr>
        <w:spacing w:after="0" w:line="10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amount of analyst coverage; and</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194" w:lineRule="exact"/>
        <w:rPr>
          <w:sz w:val="20"/>
          <w:szCs w:val="20"/>
          <w:color w:val="auto"/>
        </w:rPr>
      </w:pPr>
    </w:p>
    <w:p>
      <w:pPr>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the event that the proceeds in the Trust Account are reduced below the lesser of (i) $10.00 per share and</w:t>
      </w:r>
    </w:p>
    <w:p>
      <w:pPr>
        <w:spacing w:after="0" w:line="24" w:lineRule="exact"/>
        <w:rPr>
          <w:sz w:val="20"/>
          <w:szCs w:val="20"/>
          <w:color w:val="auto"/>
        </w:rPr>
      </w:pPr>
    </w:p>
    <w:p>
      <w:pPr>
        <w:jc w:val="both"/>
        <w:ind w:left="920" w:right="939" w:hanging="1"/>
        <w:spacing w:after="0" w:line="250" w:lineRule="auto"/>
        <w:tabs>
          <w:tab w:leader="none" w:pos="1168"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66"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If the Business Combination’s benefits do not meet the expectations of investors, stockholders or financial analysts, the market price of FS Development’s securities may decline.</w:t>
      </w:r>
    </w:p>
    <w:p>
      <w:pPr>
        <w:spacing w:after="0" w:line="8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If the benefits of the Business Combination do not meet the expectations of investors or securities analysts, the market price of FS Development’s securities prior to the Closing may decline. The market values of FS Development’s securities at the time of the Business Combination may vary significantly from their prices on the date the Merger Agreement was executed, the date of this proxy statement/prospectus, or the date on which FS Development’s stockholders vote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4" w:name="page85"/>
    <w:bookmarkEnd w:id="8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the Business Combination. Because the number of shares to be issued pursuant to the Merger Agreement is fixed and will not be adjusted to reflect any changes in the market price of FS Development Class A Common Stock, the market value of FS Development stock issued in the Business Combination may be higher or lower than the value of these shares on an earlier date.</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following the Business Combination, fluctuations in the price of FS Development’s securities could contribute to the loss of all or part of your investment. Accordingly, the valuation ascribed to Gemini and FS Development Class A Common Stock in the Business Combination may not be indicative of the actual price that will prevail in the trading market following the Business Combination. If an active market for FS Development’s Class A Common Stock develops and continues, the trading price of FS Development’s Class A Common Stock following the Business Combination could be volatile and subject to wide fluctuations in response to various factors, some of which are beyond FS Development’s control. Any of the factors listed below could have a material adverse effect on your investment in FS Development’s Class A Common Stock and FS Development’s Class A Common Stock may trade at prices significantly below the price you paid for them. In such circumstances, the trading price of FS Development’s Class A Common Stock may not recover and may experience a further decline.</w:t>
      </w:r>
    </w:p>
    <w:p>
      <w:pPr>
        <w:spacing w:after="0" w:line="11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Factors affecting the trading price of the Combined Entity’s securities following the Business Combination may include:</w:t>
      </w:r>
    </w:p>
    <w:p>
      <w:pPr>
        <w:spacing w:after="0" w:line="73" w:lineRule="exact"/>
        <w:rPr>
          <w:sz w:val="20"/>
          <w:szCs w:val="20"/>
          <w:color w:val="auto"/>
        </w:rPr>
      </w:pPr>
    </w:p>
    <w:p>
      <w:pPr>
        <w:ind w:left="1680" w:right="939" w:hanging="379"/>
        <w:spacing w:after="0" w:line="280" w:lineRule="auto"/>
        <w:tabs>
          <w:tab w:leader="none" w:pos="167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the Combined Entity’s quarterly financial results or the quarterly financial results of companies perceived to be similar to the Combined Entity;</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market’s expectations about the Combined Entity’s operating results;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of competitors;</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03"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Entity’s operating results failing to meet the expectation of securities analysts or investors in a particular period;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71"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and recommendations by securities analysts concerning the Combined Entity or the market in general;</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and stock price performance of other companies that investors deem comparable to the Combined Entity;</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Entity’s ability to develop product candidates;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5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affecting the Combined Entity’s business, including any changes that affect development of Gemini’s product candidates, including GEM103, Gemini’s lead product candidate;</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or involvement in, litigation involving the Combined Entity;</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03"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Combined Entity’s capital structure, such as future issuances of securities or the incurrence of additional debt;</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of shares of the Combined Entity’s securities available for public sale;</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major change in the board or management;</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substantial amounts of Common Stock by FS Development’s directors, executive officers or significant stockholders or the perception that such sales could occur; and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political conditions such as recessions, interest rates, fuel prices, international currency fluctuations and acts of war or terrorism.</w:t>
      </w:r>
    </w:p>
    <w:p>
      <w:pPr>
        <w:spacing w:after="0" w:line="7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Broad market and industry factors may materially harm the market price of the Combined Entity’s securities irrespective of its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the Combined Entity’s securities, may not be predictable. A loss of investor confidence in the market for biopharmaceutical stocks or the stocks of other companies which investors perceive to be similar to the Combined Entity could depress the Combined Entity’s stock</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5" w:name="page86"/>
    <w:bookmarkEnd w:id="8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price regardless of the Combined Entity’s business, prospects, financial conditions or results of operations. A decline in the market price of the Combined Entity’s securities also could adversely affect the Combined Entity’s ability to issue additional securities and the Combined Entity’s ability to obtain additional financing in the future.</w:t>
      </w:r>
    </w:p>
    <w:p>
      <w:pPr>
        <w:spacing w:after="0" w:line="158"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Following the Business Combination, if securities or industry analysts do not publish or cease publishing research or reports about the Combined Entity, its business, or its market, or if they change their recommendations regarding the Combined Entity’s securities adversely, the price and trading volume of the Combined Entity’s securities could decline.</w:t>
      </w:r>
    </w:p>
    <w:p>
      <w:pPr>
        <w:spacing w:after="0" w:line="100"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trading market for the Combined Entity’s securities will be influenced by the research and reports that industry or securities analysts may publish about FS Development, its business, its market, or its competitors. Securities and industry analysts do not currently, and may never, publish research on FS Development or the Combined Entity. Because the Business Combination will result in Gemini being acquired by a special purpose acquisition company, research coverage from industry analysts may be limited. If no securities or industry analysts commence coverage of the Combined Entity, FS Development’s stock price and trading volume could be negatively impacted. If any of the analysts who may cover the Combined Entity change their recommendation regarding FS Development’s stock adversely, provide more favorable relative recommendations about FS Development’s competitors or publishes inaccurate or unfavorable research about the Combined Entity’s business, the price of the Combined Entity’s securities would likely decline. If any analyst who may cover the Combined Entity were to cease coverage of the Combined Entity or fail to regularly publish reports on it, FS Development could lose visibility in the financial markets, demand for the Combined Entity’s securities could decrease, which could cause its stock price or trading volume to decline.</w:t>
      </w:r>
    </w:p>
    <w:p>
      <w:pPr>
        <w:spacing w:after="0" w:line="161"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future sales of shares by existing stockholders and future exercise of registration rights may adversely affect the market price of the Combined Entity’s common stock.</w:t>
      </w:r>
    </w:p>
    <w:p>
      <w:pPr>
        <w:spacing w:after="0" w:line="8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Sales of a substantial number of shares of the Combined Entity’s common stock in the public market could occur at any time. If the Combined Entity’s stockholders sell, or the market perceives that the Combined Entity’s stockholders intend to sell, substantial amounts of the Combined Entity’s common stock in the public market, the market price of the Combined Entity’s common stock could decline.</w:t>
      </w:r>
    </w:p>
    <w:p>
      <w:pPr>
        <w:spacing w:after="0" w:line="9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Pursuant to the Registration Rights Agreement to be entered into in connection with the Business Combination,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the Combined Entity’s securities.</w:t>
      </w:r>
    </w:p>
    <w:p>
      <w:pPr>
        <w:spacing w:after="0" w:line="162"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FS Development’s public stockholders will experience immediate dilution as a consequence of, among other transactions, the issuance of FS Development Class A Common Stock as consideration in the Business Combination and the PIPE Investment. Having a minority share position may reduce the influence that FS Development’s current stockholders have on the management of the Combined Entity.</w:t>
      </w:r>
    </w:p>
    <w:p>
      <w:pPr>
        <w:spacing w:after="0" w:line="10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FS Development’s existing stockholders in the Combined Entity will be different.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6" w:name="page87"/>
    <w:bookmarkEnd w:id="8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Combined Entity expects to incur significant additional costs as a result of being a public company, which may adversely affect its operating results and financial condition.</w:t>
      </w:r>
    </w:p>
    <w:p>
      <w:pPr>
        <w:spacing w:after="0" w:line="6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Combined Entity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the Combined Entity expects these rules and regulations are expected to increase its accounting, legal and financial compliance costs and make some activities more time-consuming and costly. In addition, the Combined Entity will incur additional costs associated with its public company reporting requirements and the Combined Entity expects those costs to increase in the future. For example, the Combined Entity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10"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To date, the Combined Entity has not conducted a review of its internal control for the purpose of providing the reports required by these rules. During its review and testing, the Combined Entity may identify deficiencies and be unable to remediate them before the Combined Entity must provide the required reports. Furthermore, if the Combined Entity fails to remediate its existing material weakness in its internal control over financial reporting or if new material weaknesses are identified or arise in the future, the Combined Entity may not detect errors on a timely basis and its consolidated financial statements may be materially misstated. the Combined Entity or its independent registered public accounting firm may not be able to conclude on an ongoing basis that the Combined Entity has effective internal control over financial reporting, which could harm its operating results, cause investors to lose confidence in its reported financial information and cause the trading price of its stock to fall. In addition, as a public company the Combined Entity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The Combined Entity will incur significant costs to remediate any material weaknesses the Combined Entity identifies through these efforts. The increased costs will increase its net loss and may require us to reduce costs in other areas of its business or increase the prices of its products or services. The Combined Entity also expects these rules and regulations to make it more expensive for us to maintain directors’ and officers’ liability insurance and the Combined Entity may be required to accept reduced policy limits and coverage or incur substantially higher costs to obtain the same or similar coverage. As a result, it may be more difficult for the Combined Entity to attract and retain qualified persons to serve on its board of directors, its board committees, or as executive officers. The Combined Entity cannot predict or estimate the amount of additional costs the Combined Entity may incur or the timing of such costs.</w:t>
      </w:r>
    </w:p>
    <w:p>
      <w:pPr>
        <w:spacing w:after="0" w:line="122"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New laws and regulations, as well as changes to existing laws and regulations affecting public companies, including the provisions of the Sarbanes-Oxley Act, the Dodd-Frank Act and rules adopted by the SEC and Nasdaq, would likely result in increased costs as the Combined Entity responds to their requirements, which may adversely affect its operating results and financial condition.</w:t>
      </w:r>
    </w:p>
    <w:p>
      <w:pPr>
        <w:spacing w:after="0" w:line="86"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contained in the Proposed Charter and the Amended By-laws, as well as provisions of Delaware law, could impair a takeover attempt.</w:t>
      </w:r>
    </w:p>
    <w:p>
      <w:pPr>
        <w:spacing w:after="0" w:line="8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Proposed Charter will contain provisions that may discourage unsolicited takeover proposals that stockholders may consider to be in their best interests. FS Development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the Combined Entity’s stockholders. These provisions provide for, among other things:</w:t>
      </w:r>
    </w:p>
    <w:p>
      <w:pPr>
        <w:spacing w:after="0" w:line="82" w:lineRule="exact"/>
        <w:rPr>
          <w:sz w:val="20"/>
          <w:szCs w:val="20"/>
          <w:color w:val="auto"/>
        </w:rPr>
      </w:pPr>
    </w:p>
    <w:p>
      <w:pPr>
        <w:ind w:left="1680" w:hanging="379"/>
        <w:spacing w:after="0"/>
        <w:tabs>
          <w:tab w:leader="none" w:pos="16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classified board with a three-year staggered term;</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96"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the Combined Entity’s board of directors to issue one or more series of “blank check” preferred stock;</w:t>
      </w:r>
    </w:p>
    <w:p>
      <w:pPr>
        <w:spacing w:after="0" w:line="60"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limitations on convening special stockholder meetings;</w:t>
      </w:r>
    </w:p>
    <w:p>
      <w:pPr>
        <w:spacing w:after="0" w:line="11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96"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for nominations of directors by stockholders and for stockholders to include matters to be considered at the Combined Entity’s annual meetings;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7" w:name="page88"/>
    <w:bookmarkEnd w:id="8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65" w:lineRule="auto"/>
        <w:tabs>
          <w:tab w:leader="none" w:pos="169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 of certain provisions of the organizational documents only by the affirmative vote of at least two-thirds of the Combined Entity’s then-outstanding shares of capital stock entitled to vote generally at an election of directors.</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These anti-takeover provisions as well as certain provisions of Delaware law could make it more difficult for a third party to acquire the Combined Entity, even if the third party’s offer may be considered beneficial by many of the Combined Entity’s stockholders. As a result, the Combined Entity’s stockholders may be limited in their ability to obtain a premium for their shares. If prospective takeovers are not consummated for any reason, the Combined Entity may experience negative reactions from the financial markets, including negative impacts on the price of the Combined Entity common stock. These provisions could also discourage proxy contests and make it more difficult for the Combined Entity’s stockholders to elect directors of their choosing and to cause the Combined Entity to take other corporate actions that the Combined Entity’s stockholders desire. For more information, see “Charter Amendment Proposal.”</w:t>
      </w:r>
    </w:p>
    <w:p>
      <w:pPr>
        <w:spacing w:after="0" w:line="162"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Business Combination is subject to conditions, including certain conditions that may not be satisfied on a timely basis, if at all.</w:t>
      </w:r>
    </w:p>
    <w:p>
      <w:pPr>
        <w:spacing w:after="0" w:line="8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completion of the Business Combination is subject to a number of conditions. The completion of the Business Combination is not assured and is subject to risks, including the risk that approval of the Business Combination by FS Development stockholders is not obtained or that there are not sufficient funds in the Trust Account, in each case subject to certain terms specified in the Merger Agreement (as described under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 Combination Proposal — The Merger Agreement — Conditions to Closing</w:t>
      </w:r>
      <w:r>
        <w:rPr>
          <w:rFonts w:ascii="Times New Roman" w:cs="Times New Roman" w:eastAsia="Times New Roman" w:hAnsi="Times New Roman"/>
          <w:sz w:val="16"/>
          <w:szCs w:val="16"/>
          <w:color w:val="auto"/>
        </w:rPr>
        <w:t>”), or that other closing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conditions are not satisfied. If FS Development does not complete the Business Combination, it could be subject to several risks, including:</w:t>
      </w:r>
    </w:p>
    <w:p>
      <w:pPr>
        <w:spacing w:after="0" w:line="95" w:lineRule="exact"/>
        <w:rPr>
          <w:sz w:val="20"/>
          <w:szCs w:val="20"/>
          <w:color w:val="auto"/>
        </w:rPr>
      </w:pPr>
    </w:p>
    <w:p>
      <w:pPr>
        <w:ind w:left="1680" w:right="939" w:hanging="379"/>
        <w:spacing w:after="0" w:line="280" w:lineRule="auto"/>
        <w:tabs>
          <w:tab w:leader="none" w:pos="1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may be liable for damages to one another under the terms and conditions of the Merger Agreement;</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reactions from the financial markets, including declines in the price of FS Development’s Class A Common Stock due to the fact that current prices may reflect a market assumption that the Business Combination will be completed; and</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200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attention of FS Development’s management will have been diverted to the Business Combination rather than the pursuit of other opportunities in respect of an initial business combination.</w:t>
      </w:r>
    </w:p>
    <w:p>
      <w:pPr>
        <w:spacing w:after="0" w:line="82"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For more information about the closing conditions to the Business Combination, see the section titled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 Combination Proposal — The Merger Agreement — Conditions to Closing</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FS Development or Gemini may waive one or more of the closing conditions without re-soliciting stockholder approval.</w:t>
      </w:r>
    </w:p>
    <w:p>
      <w:pPr>
        <w:spacing w:after="0" w:line="8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Certain conditions to FS Development’s or Gemini’s obligations to complete the Business Combination may be waived, in whole or in part, to the extent legally allowed, either unilaterally or by agreement of FS Development and Gemini. In the event of a waiver of a condition, the Board will evaluate the materiality of any such waiver to determine whether amendment of this proxy statement/prospectus and re-solicitation of proxies is necessary. In the event that the Board determines any such waiver is not significant enough to require re-solicitation of its stockholders, it will have the discretion to complete the Business Combination without seeking further stockholder approval.</w:t>
      </w:r>
    </w:p>
    <w:p>
      <w:pPr>
        <w:spacing w:after="0" w:line="107"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For more information about the closing conditions to the Business Combination, see the section titled “The Business Combination Proposal — The Merger Agreement — Conditions to Closing.”</w:t>
      </w:r>
    </w:p>
    <w:p>
      <w:pPr>
        <w:spacing w:after="0" w:line="140" w:lineRule="exact"/>
        <w:rPr>
          <w:sz w:val="20"/>
          <w:szCs w:val="20"/>
          <w:color w:val="auto"/>
        </w:rPr>
      </w:pPr>
    </w:p>
    <w:p>
      <w:pPr>
        <w:jc w:val="both"/>
        <w:ind w:left="920" w:right="93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The Amended By-laws will provide that the Court of Chancery of the State of Delaware and the federal district courts of the District of Massachusetts will be the exclusive forums for substantially all disputes between the Combined Entity and its stockholders, which could limit the Combined Entity’s stockholders’ ability to obtain a favorable judicial forum for disputes with the Combined Entity or its directors, officers, or employees.</w:t>
      </w:r>
    </w:p>
    <w:p>
      <w:pPr>
        <w:spacing w:after="0" w:line="9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Amended By-laws will provide that the Court of Chancery of the State of Delaware is the exclusive forum for:</w:t>
      </w:r>
    </w:p>
    <w:p>
      <w:pPr>
        <w:spacing w:after="0" w:line="85" w:lineRule="exact"/>
        <w:rPr>
          <w:sz w:val="20"/>
          <w:szCs w:val="20"/>
          <w:color w:val="auto"/>
        </w:rPr>
      </w:pPr>
    </w:p>
    <w:p>
      <w:pPr>
        <w:ind w:left="1680" w:hanging="379"/>
        <w:spacing w:after="0"/>
        <w:tabs>
          <w:tab w:leader="none" w:pos="16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its behalf;</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breach of fiduciary duty;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8" w:name="page89"/>
    <w:bookmarkEnd w:id="8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right="939" w:hanging="379"/>
        <w:spacing w:after="0" w:line="280" w:lineRule="auto"/>
        <w:tabs>
          <w:tab w:leader="none" w:pos="1851"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against the Combined Entity arising under the Delaware General Corporation Law, the Proposed Charter, or the Amended By-laws;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27"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to interpret, apply, enforce or determine the validity of the Proposed Charter or the Amended By-laws; and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79"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against the Combined Entity that is governed by the internal-affairs doctrine.</w:t>
      </w:r>
    </w:p>
    <w:p>
      <w:pPr>
        <w:spacing w:after="0" w:line="7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Amended By-laws provides that the federal district courts of the District of Massachusetts will be the exclusive forum for resolving any complaint asserting a cause of action arising under the Securities Act.</w:t>
      </w:r>
    </w:p>
    <w:p>
      <w:pPr>
        <w:spacing w:after="0" w:line="10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These exclusive-forum provisions may limit a stockholder’s ability to bring a claim in a judicial forum that it finds favorable for disputes with the Combined Entity or its directors, officers, or other employees, which may discourage lawsuits against the Combined Entity and its directors, officers, and other employees. If a court were to find either exclusive-forum provision in the Amended By-laws to be inapplicable or unenforceable in an action, it may incur additional costs associated with resolving the dispute in other jurisdictions, which could harm the Combined Entity’s business.</w:t>
      </w:r>
    </w:p>
    <w:p>
      <w:pPr>
        <w:spacing w:after="0" w:line="161"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FS Development and Gemini intend for the Business Combination to be treated for U.S. federal income tax purposes as a reorganization within the meaning of Section 368(a) of the Code. However, neither FS Development nor Gemini has requested, or intends to request, an opinion of tax counsel or a ruling from the Internal Revenue Service, or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 For a more complete discussion of U.S. federal income tax consequences of the Business Combination, see the section titled “</w:t>
      </w:r>
      <w:r>
        <w:rPr>
          <w:rFonts w:ascii="Times New Roman" w:cs="Times New Roman" w:eastAsia="Times New Roman" w:hAnsi="Times New Roman"/>
          <w:sz w:val="16"/>
          <w:szCs w:val="16"/>
          <w:i w:val="1"/>
          <w:iCs w:val="1"/>
          <w:color w:val="auto"/>
        </w:rPr>
        <w:t>Certain Material U.S. Federal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Considerations of the Business Combination to Gemini Equityholders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the Redemption</w:t>
      </w:r>
    </w:p>
    <w:p>
      <w:pPr>
        <w:spacing w:after="0" w:line="127"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 Risks Related to the Redemption” to “we”, “us” and “our” generally refer to FS Development in the present tense or the Combined Entity from and after the Business Combination.</w:t>
      </w:r>
    </w:p>
    <w:p>
      <w:pPr>
        <w:spacing w:after="0" w:line="151"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If you or a “group” of stockholders of which you are a part are deemed to hold an aggregate of 20.0% or more of FS Development Class A Common Stock issued in the FS Development IPO, you (or, if a member of such a group, all of the members of such group in the aggregate) will lose the ability to redeem all such shares of 20.0% or more of FS Development Class A Common Stock issued in the FS Development IPO.</w:t>
      </w:r>
    </w:p>
    <w:p>
      <w:pPr>
        <w:spacing w:after="0" w:line="100"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20% or more of the shares of FS Development Class A Common Stock issued in the FS Development IPO. FS Development refers to such shares in excess of an aggregation of 20% or more of the shares issued in the FS Development IPO as “Unredeemable Shares.” In order to determine whether a stockholder is acting in concert or as a group with another stockholder, FS Development will require each public stockholder seeking to exercise redemption rights to certify to FS Development whether such stockholder is acting in concert or as a group with any other stockholder. Such certifications, together with other public information relating to stock ownership available to FS Development at that time, such as Section 13D, Section 13G and Section 16 filings under the Exchange Act, will be the sole basis on which FS Development makes the above-referenced determination. Your inability to redeem any Unredeemable Shares will reduce your influence over FS Development’s ability to</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9" w:name="page90"/>
    <w:bookmarkEnd w:id="8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consummate the Business Combination and you could suffer a material loss on your investment in FS Development if you sell Unredeemable Shares in open market transactions. Additionally, you will not receive redemption distributions with respect to the Unredeemable Shares if FS Development consummates the Business Combination. As a result, in order to dispose of such shares, you would be required to sell your stock in open market transactions, potentially at a loss. Notwithstanding the foregoing, stockholders may challenge FS Development’s determination as to whether a stockholder is acting in concert or as a group with another stockholder in a court of competent jurisdiction.</w:t>
      </w:r>
    </w:p>
    <w:p>
      <w:pPr>
        <w:spacing w:after="0" w:line="163" w:lineRule="exact"/>
        <w:rPr>
          <w:sz w:val="20"/>
          <w:szCs w:val="20"/>
          <w:color w:val="auto"/>
        </w:rPr>
      </w:pPr>
    </w:p>
    <w:p>
      <w:pPr>
        <w:jc w:val="both"/>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8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FS Development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FS Development’s share price, and may result in a lower value realized now for a stockholder redeeming their shares than a stockholder of FS Development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67"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If FS Development’s stockholders fail to comply with the redemption requirements specified in this proxy statement/prospectus, they will not be entitled to redeem their shares of FS Development Class A Common Stock for a pro rata portion of the funds held in the Trust Account.</w:t>
      </w:r>
    </w:p>
    <w:p>
      <w:pPr>
        <w:spacing w:after="0" w:line="9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Holders of Public Shares are required to submit a request in writing and deliver their stock (either physically or electronically) to FS Development’s transfer agent at least two (2) business days prior to the Special Meeting in order to exercise their rights to redeem their shares for a pro rata portion of the Trust Account. Stockholders electing to redeem their shares will receive their pro rata portion of the aggregate amount then on deposit in the Trust Account, including interest earned on the funds held in the Trust Account and not previously released to it to pay the Company’s franchise and income taxes, calculated as of two (2) business days prior to the anticipated Closing. See the section titled “</w:t>
      </w:r>
      <w:r>
        <w:rPr>
          <w:rFonts w:ascii="Times New Roman" w:cs="Times New Roman" w:eastAsia="Times New Roman" w:hAnsi="Times New Roman"/>
          <w:sz w:val="16"/>
          <w:szCs w:val="16"/>
          <w:i w:val="1"/>
          <w:iCs w:val="1"/>
          <w:color w:val="auto"/>
        </w:rPr>
        <w:t>Special Meeting of FS Development Stockholders — Redemption Rights</w:t>
      </w:r>
      <w:r>
        <w:rPr>
          <w:rFonts w:ascii="Times New Roman" w:cs="Times New Roman" w:eastAsia="Times New Roman" w:hAnsi="Times New Roman"/>
          <w:sz w:val="16"/>
          <w:szCs w:val="16"/>
          <w:color w:val="auto"/>
        </w:rPr>
        <w:t>” for additional information on how to exercise your redemption rights.</w:t>
      </w:r>
    </w:p>
    <w:p>
      <w:pPr>
        <w:spacing w:after="0" w:line="16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FS Development’s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8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FS Development’s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6"/>
          <w:szCs w:val="16"/>
          <w:i w:val="1"/>
          <w:iCs w:val="1"/>
          <w:color w:val="auto"/>
        </w:rPr>
        <w:t>Special Meeting of FS Development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Stockholders — Redemption Rights,</w:t>
      </w:r>
      <w:r>
        <w:rPr>
          <w:rFonts w:ascii="Times New Roman" w:cs="Times New Roman" w:eastAsia="Times New Roman" w:hAnsi="Times New Roman"/>
          <w:sz w:val="16"/>
          <w:szCs w:val="16"/>
          <w:color w:val="auto"/>
        </w:rPr>
        <w:t>” tender their certificates to FS Development’s transfer agent or deliver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to the transfer agent electronically through the Depository Trust Company, or DTC, at least two (2) business days prior to the Special Meeting. In order to obtain a physical stock certificate, a stockholder’s broker and/or clearing broker, DTC and FS Development’s transfer agent will need to act to facilitate this request. It is FS Development’s understanding that stockholders should generally allot at least two (2) weeks to obtain physical certificates from the transfer agent. However, because FS Development does not have any control over this process or over the brokers or DTC, it may take significantly longer than two (2)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63"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The ability to execute FS Development’s strategic plan could be negatively impacted to the extent a significant number of stockholders choose to redeem their shares in connection with the Business Combination.</w:t>
      </w:r>
    </w:p>
    <w:p>
      <w:pPr>
        <w:spacing w:after="0" w:line="9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the event the aggregate cash consideration FS Development would be required to pay for all shares of FS Development Class A Common Stock that are validly submitted for redemption plus any amount required to satisfy cash conditions pursuant to the terms of the Merger Agreement exceeds the aggregate amount of cash available to FS Development, FS Development may be required to increase the financial leverage FS Development’s business would have to support. This may negatively impact FS Development’s ability to execute on its own future strategic plan.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0" w:name="page91"/>
    <w:bookmarkEnd w:id="9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This proxy statement/prospectus contains forward-looking statements. Forward-looking statements provide FS Development’s and Gemini’s current expectations or forecasts of future events. Forward-looking statements include statements about FS Development’s and Gemini’s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FS Development in this proxy statement/prospectus include, but are not limited to, statements about FS Development’s:</w:t>
      </w:r>
    </w:p>
    <w:p>
      <w:pPr>
        <w:spacing w:after="0" w:line="107" w:lineRule="exact"/>
        <w:rPr>
          <w:sz w:val="20"/>
          <w:szCs w:val="20"/>
          <w:color w:val="auto"/>
        </w:rPr>
      </w:pPr>
    </w:p>
    <w:p>
      <w:pPr>
        <w:ind w:left="1680" w:hanging="379"/>
        <w:spacing w:after="0"/>
        <w:tabs>
          <w:tab w:leader="none" w:pos="16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from the Business Combination;</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complete an initial business combination, including the Business Combination;</w:t>
      </w:r>
    </w:p>
    <w:p>
      <w:pPr>
        <w:spacing w:after="0" w:line="126"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827"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meet the Closing conditions to the Business Combination, including approval by the stockholders of FS Development and the availability of at least $170 million of cash from the proceeds received from the PIPE Investment and in the Trust Account, after giving effect to redemptions of Public Shares, if any;</w:t>
      </w:r>
    </w:p>
    <w:p>
      <w:pPr>
        <w:spacing w:after="0" w:line="10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financial performance following the Business Combination;</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in retaining or recruiting, or changes required in, our officers, key employees or directors following an initial business combination;</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67"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officers and directors allocating their time to other businesses and potentially having conflicts of interest with Gemini’s business or in approving our initial business combination, as a result of which they would then receive expense reimbursements;</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securities’ potential liquidity and trading;</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change or other circumstances that could give rise to the termination of the Merger Agreement;</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proceeds not held in the Trust Account;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from the outcome of any known and unknown litigation.</w:t>
      </w:r>
    </w:p>
    <w:p>
      <w:pPr>
        <w:spacing w:after="0" w:line="139"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Forward-looking statements relating to Gemini and the Combined Entity following the Closing in this proxy statement/prospectus include, but are not limited to, statements about:</w:t>
      </w:r>
    </w:p>
    <w:p>
      <w:pPr>
        <w:spacing w:after="0" w:line="73" w:lineRule="exact"/>
        <w:rPr>
          <w:sz w:val="20"/>
          <w:szCs w:val="20"/>
          <w:color w:val="auto"/>
        </w:rPr>
      </w:pPr>
    </w:p>
    <w:p>
      <w:pPr>
        <w:jc w:val="both"/>
        <w:ind w:left="1680" w:right="939" w:hanging="379"/>
        <w:spacing w:after="0" w:line="315" w:lineRule="auto"/>
        <w:tabs>
          <w:tab w:leader="none" w:pos="1815"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Gemini’s clinical trials to demonstrate acceptable safety and efficacy of Gemini’s product candidates, including GEM103, Gemini’s lead product candidate, and other positive results;</w:t>
      </w:r>
    </w:p>
    <w:p>
      <w:pPr>
        <w:spacing w:after="0" w:line="61" w:lineRule="exact"/>
        <w:rPr>
          <w:rFonts w:ascii="Times New Roman" w:cs="Times New Roman" w:eastAsia="Times New Roman" w:hAnsi="Times New Roman"/>
          <w:sz w:val="15"/>
          <w:szCs w:val="15"/>
          <w:color w:val="auto"/>
        </w:rPr>
      </w:pPr>
    </w:p>
    <w:p>
      <w:pPr>
        <w:jc w:val="both"/>
        <w:ind w:left="1680" w:right="939" w:hanging="379"/>
        <w:spacing w:after="0" w:line="265" w:lineRule="auto"/>
        <w:tabs>
          <w:tab w:leader="none" w:pos="1947"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period during which the results of the trials will become available, and Gemini’s research and development programs;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scope and likelihood of regulatory filings;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91"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ability to obtain marketing approvals of its product candidates and to meet existing or future regulatory standards or comply with post-approval requirements;</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expectations regarding the potential market size and the size of the patient populations for its product candidates, if approved for commercial use;</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commercialization, marketing and manufacturing capabilities and strategy;</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9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intellectual property position and expectations regarding its ability to obtain and maintain intellectual property protection;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1" w:name="page92"/>
    <w:bookmarkEnd w:id="9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right="939" w:hanging="379"/>
        <w:spacing w:after="0" w:line="280" w:lineRule="auto"/>
        <w:tabs>
          <w:tab w:leader="none" w:pos="170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ability to identify additional products, product candidates or technologies with significant commercial potential that are consistent with its commercial objectives;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 laws and regulations;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competitive position and expectations regarding developments and projections relating to its competitors and any competing therapies that are or become available; and</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11"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and expectations regarding developments and projections relating to Gemini’s competitors and industry.</w:t>
      </w:r>
    </w:p>
    <w:p>
      <w:pPr>
        <w:spacing w:after="0" w:line="8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In addition, statements that FS Development or Gemini “believes” and similar statements reflect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FS Development or Gemini has conducted an exhaustive inquiry into, or review of, all potentially available relevant information. These statements are inherently uncertain and investors are cautioned not to unduly rely upon these statements.</w:t>
      </w:r>
    </w:p>
    <w:p>
      <w:pPr>
        <w:spacing w:after="0" w:line="9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forward-looking statements. Some factors that could cause the Combined Entity’s actual results to differ include:</w:t>
      </w:r>
    </w:p>
    <w:p>
      <w:pPr>
        <w:spacing w:after="0" w:line="102" w:lineRule="exact"/>
        <w:rPr>
          <w:sz w:val="20"/>
          <w:szCs w:val="20"/>
          <w:color w:val="auto"/>
        </w:rPr>
      </w:pPr>
    </w:p>
    <w:p>
      <w:pPr>
        <w:ind w:left="1680" w:right="939" w:hanging="379"/>
        <w:spacing w:after="0" w:line="280" w:lineRule="auto"/>
        <w:tabs>
          <w:tab w:leader="none" w:pos="168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change or other circumstances that could give rise to the termination of the Business Combination;</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6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any legal proceedings that may be instituted against FS Development, Gemini or others following announcement of the Business Combination and the transactions contemplated therein;</w:t>
      </w:r>
    </w:p>
    <w:p>
      <w:pPr>
        <w:spacing w:after="0" w:line="83"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0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complete the transactions contemplated by the Business Combination due to the failure to obtain approval of the stockholders of FS Development or Gemini or other conditions to closing in the Business Combination;</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7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the proposed transaction disrupts current plans and operations as a result of the announcement and the Closing;</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90" w:lineRule="auto"/>
        <w:tabs>
          <w:tab w:leader="none" w:pos="1672"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67" w:lineRule="exact"/>
        <w:rPr>
          <w:rFonts w:ascii="Times New Roman" w:cs="Times New Roman" w:eastAsia="Times New Roman" w:hAnsi="Times New Roman"/>
          <w:sz w:val="15"/>
          <w:szCs w:val="15"/>
          <w:color w:val="auto"/>
        </w:rPr>
      </w:pPr>
    </w:p>
    <w:p>
      <w:pPr>
        <w:ind w:left="1680" w:hanging="379"/>
        <w:spacing w:after="0"/>
        <w:tabs>
          <w:tab w:leader="none" w:pos="16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the proposed Business Combination;</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1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FS Development or Gemini may be adversely impacted by other economic, business, and/or competitive factors;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exchange and interest rates; and</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8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indicated in this proxy statement/prospectus, including those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herein, and other filings that have been made or will be made with the SEC.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2" w:name="page93"/>
    <w:bookmarkEnd w:id="9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MEETING OF FS DEVELOPMENT STOCKHOLDERS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FS Development is furnishing this proxy statement/prospectus to its stockholders as part of the solicitation of proxies by the Board for use at the Special Meeting to be held on February 3, 2021 and at any adjournment or postponement thereof. This proxy statement/prospectus provides FS Development’s stockholders with information they need to know to be able to vote or direct their vote to be cast at the Special Meeting.</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Date, Time and Place</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 xml:space="preserve">The Special Meeting will be held on February 3, 2021, at 10:00 a.m. Eastern Time, via live webcast at the following address: </w:t>
      </w:r>
      <w:r>
        <w:rPr>
          <w:rFonts w:ascii="Times New Roman" w:cs="Times New Roman" w:eastAsia="Times New Roman" w:hAnsi="Times New Roman"/>
          <w:sz w:val="16"/>
          <w:szCs w:val="16"/>
          <w:i w:val="1"/>
          <w:iCs w:val="1"/>
          <w:color w:val="auto"/>
        </w:rPr>
        <w:t>https://www.cstproxy.com/fsdevelopmentcorp/sm2021</w:t>
      </w:r>
      <w:r>
        <w:rPr>
          <w:rFonts w:ascii="Times New Roman" w:cs="Times New Roman" w:eastAsia="Times New Roman" w:hAnsi="Times New Roman"/>
          <w:sz w:val="16"/>
          <w:szCs w:val="16"/>
          <w:color w:val="auto"/>
        </w:rPr>
        <w:t>. In light of the COVID-19 pandemic and to support the well-being of FS Development’s stockholders, directors and management, the Special Meeting will be completely virtual.</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Voting Power; Record Date</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You will be entitled to vote or direct votes to be cast at the Special Meeting if you owned shares of FS Development Common Stock at the close of business on January 15, 2021, which is the Record Date. You are entitled to one vote for each share of FS Development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15,535,250 shares of FS Development Common Stock outstanding, of which 12,075,000 are Public Shares, 441,500 are Private Placement Shares held by the Sponsor and 3,018,750 are Founders Shares held by the Sponsor and the other Initial Stockholders.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Vote of the Sponsor, Directors and Officers</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connection with the FS Development IPO, FS Development entered into agreements with each of its Sponsor, directors and officers pursuant to which each agreed to vote any shares of FS Development Common Stock owned by it in favor of the Business Combination Proposal and for all other proposals presented at the Special Meeting. These agreements apply to the Sponsor as it relates to the Founders Shares and the requirement to vote such shares in favor of the Business Combination Proposal and for all other proposals presented to FS Development stockholders in this proxy statement/prospectus.</w:t>
      </w:r>
    </w:p>
    <w:p>
      <w:pPr>
        <w:spacing w:after="0" w:line="10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FS Development’s Sponsor, directors and officers have waived any redemption rights, including with respect to shares of FS Development Common Stock issued or purchased in the FS Development IPO or in the aftermarket, in connection with Business Combination.</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Quorum and Required Vote for Proposals</w:t>
      </w:r>
    </w:p>
    <w:p>
      <w:pPr>
        <w:spacing w:after="0" w:line="10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 quorum of FS Development stockholders is necessary to hold a valid meeting. A quorum will be present at the Special Meeting if a majority of the FS Development Common Stock outstanding and entitled to vote at the Special Meeting is represented in person or by proxy at the Special Meeting.</w:t>
      </w:r>
    </w:p>
    <w:p>
      <w:pPr>
        <w:spacing w:after="0" w:line="6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approval of the Charter Amendment Proposal requires the affirmative vote of a majority of the issued and outstanding FS Development Common Stock as of the Record Date for the Special Meeting, voting together as a single class. The approval of the Business Combination Proposal, the Nasdaq Stock Issuance Proposal, the Incentive Plan Proposal, the Advisory Charter Approvals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w:t>
      </w:r>
    </w:p>
    <w:p>
      <w:pPr>
        <w:spacing w:after="0" w:line="7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 The Nasdaq Stock Issuance Proposal, the Charter Amendment Proposal, the Advisory Charter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The Adjournment Proposal is not conditioned on the approval of any other proposal set forth in this proxy statement/prospectus.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3" w:name="page94"/>
    <w:bookmarkEnd w:id="9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It is important for you to note that in the event the Business Combination Proposal does not receive the requisite vote for approval, then FS Development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the public stockholders.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Abstentions and Broker Non-Votes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At the Special Meeting, FS Development will count a properly executed proxy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or the Adjournment Proposal.</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Board has unanimously determined that each of the Proposals is fair to and in the best interests of FS Development and its stockholders, and has unanimously approved such proposals. The Board unanimously recommends that stockholders:</w:t>
      </w:r>
    </w:p>
    <w:p>
      <w:pPr>
        <w:spacing w:after="0" w:line="84" w:lineRule="exact"/>
        <w:rPr>
          <w:sz w:val="20"/>
          <w:szCs w:val="20"/>
          <w:color w:val="auto"/>
        </w:rPr>
      </w:pPr>
    </w:p>
    <w:p>
      <w:pPr>
        <w:ind w:left="1680" w:hanging="379"/>
        <w:spacing w:after="0"/>
        <w:tabs>
          <w:tab w:leader="none" w:pos="16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the Business Combination Proposal;</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the Nasdaq Stock Issuance Proposal;</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the Charter Amendment Proposal;</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the each of the Advisory Charter Proposals;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the Incentive Plan Proposal;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the Adjournment Proposal, if it is presented to the meeting.</w:t>
      </w:r>
    </w:p>
    <w:p>
      <w:pPr>
        <w:spacing w:after="0" w:line="127" w:lineRule="exact"/>
        <w:rPr>
          <w:sz w:val="20"/>
          <w:szCs w:val="20"/>
          <w:color w:val="auto"/>
        </w:rPr>
      </w:pPr>
    </w:p>
    <w:p>
      <w:pPr>
        <w:jc w:val="both"/>
        <w:ind w:left="920" w:right="939" w:firstLine="39"/>
        <w:spacing w:after="0" w:line="259" w:lineRule="auto"/>
        <w:rPr>
          <w:sz w:val="20"/>
          <w:szCs w:val="20"/>
          <w:color w:val="auto"/>
        </w:rPr>
      </w:pPr>
      <w:r>
        <w:rPr>
          <w:rFonts w:ascii="Times New Roman" w:cs="Times New Roman" w:eastAsia="Times New Roman" w:hAnsi="Times New Roman"/>
          <w:sz w:val="16"/>
          <w:szCs w:val="16"/>
          <w:color w:val="auto"/>
        </w:rPr>
        <w:t>When you consider the recommendation of the Board in favor of approval of the Proposals, you should keep in mind that the Sponsor, members of the Board and officers of FS Development have interests in the Business Combination that are different from or in addition to (or which may conflict with) your interests as a stockholder.</w:t>
      </w:r>
    </w:p>
    <w:p>
      <w:pPr>
        <w:spacing w:after="0" w:line="100"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Business Combination Proposal — Interests of FS Development’s Directors and Officers and Others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for additional information on interests of FS Development’s directors and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Voting Your Shares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Each share of FS Development Common Stock that you own in your name entitles you to one vote. If you are a record owner of your shares, there are two ways to vote your shares of FS Development Common Stock at the Special Meeting:</w:t>
      </w:r>
    </w:p>
    <w:p>
      <w:pPr>
        <w:spacing w:after="0" w:line="82" w:lineRule="exact"/>
        <w:rPr>
          <w:sz w:val="20"/>
          <w:szCs w:val="20"/>
          <w:color w:val="auto"/>
        </w:rPr>
      </w:pPr>
    </w:p>
    <w:p>
      <w:pPr>
        <w:jc w:val="both"/>
        <w:ind w:left="1680" w:right="939" w:hanging="379"/>
        <w:spacing w:after="0" w:line="255" w:lineRule="auto"/>
        <w:tabs>
          <w:tab w:leader="none" w:pos="1684"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You Can Vote By Signing and Returning the Enclosed Proxy Card</w:t>
      </w:r>
      <w:r>
        <w:rPr>
          <w:rFonts w:ascii="Times New Roman" w:cs="Times New Roman" w:eastAsia="Times New Roman" w:hAnsi="Times New Roman"/>
          <w:sz w:val="16"/>
          <w:szCs w:val="16"/>
          <w:color w:val="auto"/>
        </w:rPr>
        <w:t>. If you vote by proxy card, your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Stock Issuance Proposal, the Charter Amendment Proposal, the Advisory Charter Proposals, the Incentive Plan Proposal, and the Adjournment Proposal (if presented). Votes received after a matter has been voted upon at the Special Meeting will not be counted.</w:t>
      </w:r>
    </w:p>
    <w:p>
      <w:pPr>
        <w:spacing w:after="0" w:line="101" w:lineRule="exact"/>
        <w:rPr>
          <w:rFonts w:ascii="Times New Roman" w:cs="Times New Roman" w:eastAsia="Times New Roman" w:hAnsi="Times New Roman"/>
          <w:sz w:val="16"/>
          <w:szCs w:val="16"/>
          <w:color w:val="auto"/>
        </w:rPr>
      </w:pPr>
    </w:p>
    <w:p>
      <w:pPr>
        <w:jc w:val="both"/>
        <w:ind w:left="1680" w:right="939" w:hanging="379"/>
        <w:spacing w:after="0" w:line="260" w:lineRule="auto"/>
        <w:tabs>
          <w:tab w:leader="none" w:pos="1696" w:val="left"/>
        </w:tabs>
        <w:numPr>
          <w:ilvl w:val="0"/>
          <w:numId w:val="14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You Can Attend the Special Meeting and Vote Through the Internet</w:t>
      </w:r>
      <w:r>
        <w:rPr>
          <w:rFonts w:ascii="Times New Roman" w:cs="Times New Roman" w:eastAsia="Times New Roman" w:hAnsi="Times New Roman"/>
          <w:sz w:val="16"/>
          <w:szCs w:val="16"/>
          <w:color w:val="auto"/>
        </w:rPr>
        <w:t>. You will be able to attend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Special Meeting online and vote during the meeting by visiting </w:t>
      </w:r>
      <w:r>
        <w:rPr>
          <w:rFonts w:ascii="Times New Roman" w:cs="Times New Roman" w:eastAsia="Times New Roman" w:hAnsi="Times New Roman"/>
          <w:sz w:val="16"/>
          <w:szCs w:val="16"/>
          <w:i w:val="1"/>
          <w:iCs w:val="1"/>
          <w:color w:val="auto"/>
        </w:rPr>
        <w:t xml:space="preserve">https://www.cstproxy.com/fsdevelopmentcorp/sm2021 </w:t>
      </w:r>
      <w:r>
        <w:rPr>
          <w:rFonts w:ascii="Times New Roman" w:cs="Times New Roman" w:eastAsia="Times New Roman" w:hAnsi="Times New Roman"/>
          <w:sz w:val="16"/>
          <w:szCs w:val="16"/>
          <w:color w:val="auto"/>
        </w:rPr>
        <w:t>and entering the control number included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your proxy card or on the instructions that accompanied your proxy materials, as applicable.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4" w:name="page95"/>
    <w:bookmarkEnd w:id="9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FS Development can be sure that the broker, bank or nominee has not already voted your shares.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Revoking Your Proxy</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If you are a record owner of your shares and you give a proxy, you may change or revoke it at any time before it is exercised by doing any one of the following:</w:t>
      </w:r>
    </w:p>
    <w:p>
      <w:pPr>
        <w:spacing w:after="0" w:line="85" w:lineRule="exact"/>
        <w:rPr>
          <w:sz w:val="20"/>
          <w:szCs w:val="20"/>
          <w:color w:val="auto"/>
        </w:rPr>
      </w:pPr>
    </w:p>
    <w:p>
      <w:pPr>
        <w:ind w:left="1680" w:hanging="379"/>
        <w:spacing w:after="0"/>
        <w:tabs>
          <w:tab w:leader="none" w:pos="16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a new proxy card bearing a later date;</w:t>
      </w:r>
    </w:p>
    <w:p>
      <w:pPr>
        <w:spacing w:after="0" w:line="126" w:lineRule="exact"/>
        <w:rPr>
          <w:rFonts w:ascii="Times New Roman" w:cs="Times New Roman" w:eastAsia="Times New Roman" w:hAnsi="Times New Roman"/>
          <w:sz w:val="16"/>
          <w:szCs w:val="16"/>
          <w:color w:val="auto"/>
        </w:rPr>
      </w:pPr>
    </w:p>
    <w:p>
      <w:pPr>
        <w:ind w:left="1680" w:right="939" w:hanging="379"/>
        <w:spacing w:after="0" w:line="315" w:lineRule="auto"/>
        <w:tabs>
          <w:tab w:leader="none" w:pos="1696"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give written notice of your revocation to FS Development’s Corporate Secretary, which notice must be received by FS Development’s Corporate Secretary prior to the vote at the Special Meeting; or</w:t>
      </w:r>
    </w:p>
    <w:p>
      <w:pPr>
        <w:spacing w:after="0" w:line="61" w:lineRule="exact"/>
        <w:rPr>
          <w:sz w:val="20"/>
          <w:szCs w:val="20"/>
          <w:color w:val="auto"/>
        </w:rPr>
      </w:pPr>
    </w:p>
    <w:p>
      <w:pPr>
        <w:jc w:val="both"/>
        <w:ind w:left="1680" w:right="939" w:hanging="381"/>
        <w:spacing w:after="0" w:line="259" w:lineRule="auto"/>
        <w:tabs>
          <w:tab w:leader="none" w:pos="1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vote electronically at the Special Meeting by visiting </w:t>
      </w:r>
      <w:r>
        <w:rPr>
          <w:rFonts w:ascii="Times New Roman" w:cs="Times New Roman" w:eastAsia="Times New Roman" w:hAnsi="Times New Roman"/>
          <w:sz w:val="16"/>
          <w:szCs w:val="16"/>
          <w:i w:val="1"/>
          <w:iCs w:val="1"/>
          <w:color w:val="auto"/>
        </w:rPr>
        <w:t xml:space="preserve">https://www.cstproxy.com/fsdevelopmentcorp/sm2021 </w:t>
      </w:r>
      <w:r>
        <w:rPr>
          <w:rFonts w:ascii="Times New Roman" w:cs="Times New Roman" w:eastAsia="Times New Roman" w:hAnsi="Times New Roman"/>
          <w:sz w:val="16"/>
          <w:szCs w:val="16"/>
          <w:color w:val="auto"/>
        </w:rPr>
        <w:t>and entering the control number found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your proxy card, voting instruction form or notice you previously received. Please note that your attendance at the Special Meeting will not alone serve to revoke your proxy.</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Who Can Answer Your Questions About Voting Your Shares</w:t>
      </w:r>
    </w:p>
    <w:p>
      <w:pPr>
        <w:spacing w:after="0" w:line="129" w:lineRule="exact"/>
        <w:rPr>
          <w:sz w:val="20"/>
          <w:szCs w:val="20"/>
          <w:color w:val="auto"/>
        </w:rPr>
      </w:pPr>
    </w:p>
    <w:p>
      <w:pPr>
        <w:jc w:val="both"/>
        <w:ind w:left="920" w:right="939"/>
        <w:spacing w:after="0" w:line="260" w:lineRule="auto"/>
        <w:rPr>
          <w:sz w:val="20"/>
          <w:szCs w:val="20"/>
          <w:color w:val="auto"/>
        </w:rPr>
      </w:pPr>
      <w:r>
        <w:rPr>
          <w:rFonts w:ascii="Times New Roman" w:cs="Times New Roman" w:eastAsia="Times New Roman" w:hAnsi="Times New Roman"/>
          <w:sz w:val="16"/>
          <w:szCs w:val="16"/>
          <w:color w:val="auto"/>
        </w:rPr>
        <w:t>If you are a stockholder and have any questions about how to vote or direct a vote in respect of your FS Development Common Stock, you may call Morrow Sodali LLC, FS Development’s proxy solicitor, at (800)</w:t>
      </w:r>
    </w:p>
    <w:p>
      <w:pPr>
        <w:ind w:left="920"/>
        <w:spacing w:after="0"/>
        <w:tabs>
          <w:tab w:leader="none" w:pos="1840" w:val="left"/>
          <w:tab w:leader="none" w:pos="2980" w:val="left"/>
          <w:tab w:leader="none" w:pos="3440" w:val="left"/>
          <w:tab w:leader="none" w:pos="4100" w:val="left"/>
          <w:tab w:leader="none" w:pos="5040" w:val="left"/>
          <w:tab w:leader="none" w:pos="5800" w:val="left"/>
          <w:tab w:leader="none" w:pos="6340" w:val="left"/>
          <w:tab w:leader="none" w:pos="7200" w:val="left"/>
          <w:tab w:leader="none" w:pos="7660" w:val="left"/>
        </w:tabs>
        <w:rPr>
          <w:sz w:val="20"/>
          <w:szCs w:val="20"/>
          <w:color w:val="auto"/>
        </w:rPr>
      </w:pPr>
      <w:r>
        <w:rPr>
          <w:rFonts w:ascii="Times New Roman" w:cs="Times New Roman" w:eastAsia="Times New Roman" w:hAnsi="Times New Roman"/>
          <w:sz w:val="16"/>
          <w:szCs w:val="16"/>
          <w:color w:val="auto"/>
        </w:rPr>
        <w:t>662-5200</w:t>
      </w:r>
      <w:r>
        <w:rPr>
          <w:sz w:val="20"/>
          <w:szCs w:val="20"/>
          <w:color w:val="auto"/>
        </w:rPr>
        <w:tab/>
      </w:r>
      <w:r>
        <w:rPr>
          <w:rFonts w:ascii="Times New Roman" w:cs="Times New Roman" w:eastAsia="Times New Roman" w:hAnsi="Times New Roman"/>
          <w:sz w:val="16"/>
          <w:szCs w:val="16"/>
          <w:color w:val="auto"/>
        </w:rPr>
        <w:t>(Individuals)</w:t>
      </w:r>
      <w:r>
        <w:rPr>
          <w:sz w:val="20"/>
          <w:szCs w:val="20"/>
          <w:color w:val="auto"/>
        </w:rPr>
        <w:tab/>
      </w:r>
      <w:r>
        <w:rPr>
          <w:rFonts w:ascii="Times New Roman" w:cs="Times New Roman" w:eastAsia="Times New Roman" w:hAnsi="Times New Roman"/>
          <w:sz w:val="16"/>
          <w:szCs w:val="16"/>
          <w:color w:val="auto"/>
        </w:rPr>
        <w:t>or</w:t>
      </w:r>
      <w:r>
        <w:rPr>
          <w:sz w:val="20"/>
          <w:szCs w:val="20"/>
          <w:color w:val="auto"/>
        </w:rPr>
        <w:tab/>
      </w:r>
      <w:r>
        <w:rPr>
          <w:rFonts w:ascii="Times New Roman" w:cs="Times New Roman" w:eastAsia="Times New Roman" w:hAnsi="Times New Roman"/>
          <w:sz w:val="16"/>
          <w:szCs w:val="16"/>
          <w:color w:val="auto"/>
        </w:rPr>
        <w:t>(203)</w:t>
      </w:r>
      <w:r>
        <w:rPr>
          <w:sz w:val="20"/>
          <w:szCs w:val="20"/>
          <w:color w:val="auto"/>
        </w:rPr>
        <w:tab/>
      </w:r>
      <w:r>
        <w:rPr>
          <w:rFonts w:ascii="Times New Roman" w:cs="Times New Roman" w:eastAsia="Times New Roman" w:hAnsi="Times New Roman"/>
          <w:sz w:val="16"/>
          <w:szCs w:val="16"/>
          <w:color w:val="auto"/>
        </w:rPr>
        <w:t>658-9400</w:t>
      </w:r>
      <w:r>
        <w:rPr>
          <w:sz w:val="20"/>
          <w:szCs w:val="20"/>
          <w:color w:val="auto"/>
        </w:rPr>
        <w:tab/>
      </w:r>
      <w:r>
        <w:rPr>
          <w:rFonts w:ascii="Times New Roman" w:cs="Times New Roman" w:eastAsia="Times New Roman" w:hAnsi="Times New Roman"/>
          <w:sz w:val="16"/>
          <w:szCs w:val="16"/>
          <w:color w:val="auto"/>
        </w:rPr>
        <w:t>(banks</w:t>
      </w:r>
      <w:r>
        <w:rPr>
          <w:sz w:val="20"/>
          <w:szCs w:val="20"/>
          <w:color w:val="auto"/>
        </w:rPr>
        <w:tab/>
      </w:r>
      <w:r>
        <w:rPr>
          <w:rFonts w:ascii="Times New Roman" w:cs="Times New Roman" w:eastAsia="Times New Roman" w:hAnsi="Times New Roman"/>
          <w:sz w:val="16"/>
          <w:szCs w:val="16"/>
          <w:color w:val="auto"/>
        </w:rPr>
        <w:t>and</w:t>
      </w:r>
      <w:r>
        <w:rPr>
          <w:sz w:val="20"/>
          <w:szCs w:val="20"/>
          <w:color w:val="auto"/>
        </w:rPr>
        <w:tab/>
      </w:r>
      <w:r>
        <w:rPr>
          <w:rFonts w:ascii="Times New Roman" w:cs="Times New Roman" w:eastAsia="Times New Roman" w:hAnsi="Times New Roman"/>
          <w:sz w:val="16"/>
          <w:szCs w:val="16"/>
          <w:color w:val="auto"/>
        </w:rPr>
        <w:t>brokers)</w:t>
      </w:r>
      <w:r>
        <w:rPr>
          <w:sz w:val="20"/>
          <w:szCs w:val="20"/>
          <w:color w:val="auto"/>
        </w:rPr>
        <w:tab/>
      </w:r>
      <w:r>
        <w:rPr>
          <w:rFonts w:ascii="Times New Roman" w:cs="Times New Roman" w:eastAsia="Times New Roman" w:hAnsi="Times New Roman"/>
          <w:sz w:val="16"/>
          <w:szCs w:val="16"/>
          <w:color w:val="auto"/>
        </w:rPr>
        <w:t>or</w:t>
      </w:r>
      <w:r>
        <w:rPr>
          <w:sz w:val="20"/>
          <w:szCs w:val="20"/>
          <w:color w:val="auto"/>
        </w:rPr>
        <w:tab/>
      </w:r>
      <w:r>
        <w:rPr>
          <w:rFonts w:ascii="Times New Roman" w:cs="Times New Roman" w:eastAsia="Times New Roman" w:hAnsi="Times New Roman"/>
          <w:sz w:val="15"/>
          <w:szCs w:val="15"/>
          <w:color w:val="auto"/>
        </w:rPr>
        <w:t>email:</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FSDC.info@investor.morrowsodali.com.</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 Additional Matters May Be Presented at the Special Meeting</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Special Meeting has been called only to consider the approval of the Business Combination Proposal, the Nasdaq Stock Issuance Proposal, the Charter Amendment Proposal, the Incentive Plan Proposal, the Advisory Charter Proposals and the Adjournment Proposal. Under the Current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Redemption Rights</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Pursuant to the Current Charter, any holders of Public Shares may demand that such shares be redeemed in exchange for a pro rata share of the aggregate amount on deposit in the Trust Account, less franchise and income taxes payable.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FS Development IPO (including interest earned on the funds held in the Trust Account and not previously released to it to pay the Company’s franchise and income taxes). For illustrative purposes, based on funds in the Trust Account of approximately $120,751,489 on September 30, 2020, the estimated per share redemption price would have been approximately $10.73.</w:t>
      </w:r>
    </w:p>
    <w:p>
      <w:pPr>
        <w:spacing w:after="0" w:line="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 order to exercise your redemption rights, you must:</w:t>
      </w:r>
    </w:p>
    <w:p>
      <w:pPr>
        <w:spacing w:after="0" w:line="139" w:lineRule="exact"/>
        <w:rPr>
          <w:sz w:val="20"/>
          <w:szCs w:val="20"/>
          <w:color w:val="auto"/>
        </w:rPr>
      </w:pPr>
    </w:p>
    <w:p>
      <w:pPr>
        <w:ind w:left="1680" w:hanging="379"/>
        <w:spacing w:after="0"/>
        <w:tabs>
          <w:tab w:leader="none" w:pos="16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box on the enclosed proxy card to elect redemption;</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91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in the written request to redeem your Public Shares for cash to Continental Stock Transfer &amp; Trust Company, a “Stockholder Certification” if you are not acting in concert or as a “group” (as defined in Section 13d-3 of the Exchange Act) with any other stockholder with respect to shares of FS Development Common Stock;</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5" w:name="page96"/>
    <w:bookmarkEnd w:id="9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9" w:lineRule="auto"/>
        <w:tabs>
          <w:tab w:leader="none" w:pos="183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5:00 PM Eastern time on February 1, 2021 (two (2) business days before the Special Meeting), tender your shares physically or electronically and submit a request in writing that we redeem your Public Shares for cash to Continental Stock Transfer &amp; Trust Company, FS Development’s transfer agent, at the following address: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One State Street Plaza,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w:t>
      </w:r>
    </w:p>
    <w:p>
      <w:pPr>
        <w:jc w:val="center"/>
        <w:ind w:right="19"/>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Attn: Mark Zimkind</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E-mail: mzimkind@continentalstock.comand</w:t>
      </w:r>
    </w:p>
    <w:p>
      <w:pPr>
        <w:spacing w:after="0" w:line="110" w:lineRule="exact"/>
        <w:rPr>
          <w:sz w:val="20"/>
          <w:szCs w:val="20"/>
          <w:color w:val="auto"/>
        </w:rPr>
      </w:pPr>
    </w:p>
    <w:p>
      <w:pPr>
        <w:jc w:val="both"/>
        <w:ind w:left="1680" w:right="939" w:hanging="379"/>
        <w:spacing w:after="0" w:line="252" w:lineRule="auto"/>
        <w:tabs>
          <w:tab w:leader="none" w:pos="1779"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your Public Shares either physically or electronically through DTC to FS Development’s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1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Any demand for redemption, once made, may be withdrawn at any time until the deadline for exercising redemption requests (and submitting shares to the transfer agent)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above.</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Prior to exercising redemption rights, stockholders should verify the market price of FS Development Class A Common Stock as they may receive higher proceeds from the sale of their FS Development Class A Common Stock in the public market than from exercising their redemption rights if the market price per share is higher than the redemption price. We cannot assure you that you will be able to sell your shares of FS Development Class A Common Stock in the open market, even if the market price per share is higher than the redemption price stated above, as there may not be sufficient liquidity in FS Development Common Stock when you wish to sell your shares.</w:t>
      </w:r>
    </w:p>
    <w:p>
      <w:pPr>
        <w:spacing w:after="0" w:line="9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If you exercise your redemption rights, your shares of FS Development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the Business Combination is not approved or completed for any reason, then public stockholders who elected to exercise their redemption rights will not be entitled to redeem their shares. In such case FS Development will promptly return any Public Shares previously delivered by the public holders.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Dissenter Rights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FS Development stockholders do not have dissenter rights in connection with the Business Combination or the other proposals.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Potential Purchases of Shares</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6" w:name="page97"/>
    <w:bookmarkEnd w:id="9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Proxy Solicitation</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FS Development is soliciting proxies on behalf of the Board. This solicitation is being made by mail but also may be made by telephone or in person. FS Development and its directors, officers and employees may also solicit proxies in person. FS Development will file with the SEC all scripts and other electronic communications as proxy soliciting materials. FS Development will bear the cost of the solicitation.</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FS Development has hired Morrow Sodali LLC to assist in the proxy solicitation process. FS Development will pay that firm a fee of $22,500, plus disbursements.</w:t>
      </w:r>
    </w:p>
    <w:p>
      <w:pPr>
        <w:spacing w:after="0" w:line="7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FS Development will ask banks, brokers and other institutions, nominees and fiduciaries to forward the proxy materials to their principals and to obtain their authority to execute proxies and voting instructions. FS Development will reimburse them for their reasonable expenses.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Assistance</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you need assistance in completing your proxy card or have questions regarding the Special Meeting, please contact Morrow Sodali LLC, the proxy solicitation agent for FS Development, by calling (800) 662-5200 or banks and brokers can call collect at (203) 658-9400, or by emailing: FSDC.info@investor.morrowsodali.com.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7" w:name="page98"/>
    <w:bookmarkEnd w:id="9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COMBINED FINANCIAL INFORMATION</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following unaudited pro forma combined balance sheet of Combined Entity as of September 30, 2020 and the unaudited pro forma combined statements of operations of Combined Entity for the year ended December 31, 2019 and nine months ended September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0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unaudited pro forma combined statements of operations for the year ended December 31, 2019 and the nine months ended September 30, 2020 give pro forma effect to the Business Combination and PIPE Investment as if they had occurred as of January 1, 2019. The unaudited pro forma combined balance sheet as of September 30, 2020 gives pro forma effect to the Business Combination and PIPE Investment as if they were completed on September 30, 2020.</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Times New Roman" w:cs="Times New Roman" w:eastAsia="Times New Roman" w:hAnsi="Times New Roman"/>
          <w:sz w:val="16"/>
          <w:szCs w:val="16"/>
          <w:i w:val="1"/>
          <w:iCs w:val="1"/>
          <w:color w:val="auto"/>
        </w:rPr>
        <w:t>Management’s Discussion and Analysis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Financial Condition and Results of Operations of FS Development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Management’s Discussion and Analysis of Financial Condition and Results of Operations of Gemini</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October 15, 2020, FS Development entered into the Merger Agreement with Merger Sub, Gemini and the Shareholders Representative, pursuant to which Merger Sub will merge with and into Gemini, with Gemini surviving the merger as a wholly-owned subsidiary of FS Development. Upon the Closing, FS Development will then change its name to “Gemini Therapeutics, Inc.” The aggregate consideration to be paid to Gemini Equityholders pursuant to the Merger Agreement (subject to certain adjustments as provided therein) will be up to 21,500,000 shares of Class A Common Stock. In connection with the Business Combination, FS Development will also expect to consummate the private placement of 9,506,000 shares of Class A Common Stock at $10.00 per share, for aggregate gross proceeds of $95,060,000, under the PIPE Investment.</w:t>
      </w:r>
    </w:p>
    <w:p>
      <w:pPr>
        <w:spacing w:after="0" w:line="10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The unaudited pro forma combined information contained herein assumes that FS Development stockholders approve the Business Combination. FS Development’s public stockholders may elect to redeem their Public Shares for cash even if they approve the Business Combination. FS Development Corp. cannot predict how many of its public stockholders will exercise their right to have their Public Shares redeemed for cash. As a result, the Combined Entity has elected to provide the unaudited pro forma combined financial information under two different redemption scenarios, which produce different allocations of total Combined Entity equity between holders of Public Shares. As described in greater detail in Note 2, </w:t>
      </w:r>
      <w:r>
        <w:rPr>
          <w:rFonts w:ascii="Times New Roman" w:cs="Times New Roman" w:eastAsia="Times New Roman" w:hAnsi="Times New Roman"/>
          <w:sz w:val="16"/>
          <w:szCs w:val="16"/>
          <w:i w:val="1"/>
          <w:iCs w:val="1"/>
          <w:color w:val="auto"/>
        </w:rPr>
        <w:t>Basis of Presentation</w:t>
      </w:r>
      <w:r>
        <w:rPr>
          <w:rFonts w:ascii="Times New Roman" w:cs="Times New Roman" w:eastAsia="Times New Roman" w:hAnsi="Times New Roman"/>
          <w:sz w:val="16"/>
          <w:szCs w:val="16"/>
          <w:color w:val="auto"/>
        </w:rPr>
        <w:t xml:space="preserve">, of the unaudited pro forma combined financial information, the first scenario, or “no redemption scenario,” assumes that none of FS Development’s public stockholders will exercise their right to have their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scenarios. However, there can be no assurance regarding which scenario will be closest to the actual results. Under both scenarios, Gemini is considered the accounting acquirer, as further discussed in Note 2, </w:t>
      </w:r>
      <w:r>
        <w:rPr>
          <w:rFonts w:ascii="Times New Roman" w:cs="Times New Roman" w:eastAsia="Times New Roman" w:hAnsi="Times New Roman"/>
          <w:sz w:val="16"/>
          <w:szCs w:val="16"/>
          <w:i w:val="1"/>
          <w:iCs w:val="1"/>
          <w:color w:val="auto"/>
        </w:rPr>
        <w:t>Basis of Presentation</w:t>
      </w:r>
      <w:r>
        <w:rPr>
          <w:rFonts w:ascii="Times New Roman" w:cs="Times New Roman" w:eastAsia="Times New Roman" w:hAnsi="Times New Roman"/>
          <w:sz w:val="16"/>
          <w:szCs w:val="16"/>
          <w:color w:val="auto"/>
        </w:rPr>
        <w:t>, of the unaudited pro forma combined financial information.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8" w:name="page99"/>
    <w:bookmarkEnd w:id="9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 ENTITY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 BALANCE SHEET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9"/>
          </w:tcPr>
          <w:p>
            <w:pPr>
              <w:ind w:left="260"/>
              <w:spacing w:after="0"/>
              <w:rPr>
                <w:sz w:val="20"/>
                <w:szCs w:val="20"/>
                <w:color w:val="auto"/>
              </w:rPr>
            </w:pPr>
            <w:r>
              <w:rPr>
                <w:rFonts w:ascii="Times New Roman" w:cs="Times New Roman" w:eastAsia="Times New Roman" w:hAnsi="Times New Roman"/>
                <w:sz w:val="13"/>
                <w:szCs w:val="13"/>
                <w:b w:val="1"/>
                <w:bCs w:val="1"/>
                <w:color w:val="auto"/>
              </w:rPr>
              <w:t>No redemption scenario</w:t>
            </w:r>
          </w:p>
        </w:tc>
        <w:tc>
          <w:tcPr>
            <w:tcW w:w="80" w:type="dxa"/>
            <w:vAlign w:val="bottom"/>
          </w:tcPr>
          <w:p>
            <w:pPr>
              <w:spacing w:after="0"/>
              <w:rPr>
                <w:sz w:val="14"/>
                <w:szCs w:val="14"/>
                <w:color w:val="auto"/>
              </w:rPr>
            </w:pPr>
          </w:p>
        </w:tc>
        <w:tc>
          <w:tcPr>
            <w:tcW w:w="1900" w:type="dxa"/>
            <w:vAlign w:val="bottom"/>
            <w:gridSpan w:val="8"/>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Maximum redemption scenario</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FSDC</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Gemini</w:t>
            </w:r>
          </w:p>
        </w:tc>
        <w:tc>
          <w:tcPr>
            <w:tcW w:w="60" w:type="dxa"/>
            <w:vAlign w:val="bottom"/>
          </w:tcPr>
          <w:p>
            <w:pPr>
              <w:spacing w:after="0"/>
              <w:rPr>
                <w:sz w:val="8"/>
                <w:szCs w:val="8"/>
                <w:color w:val="auto"/>
              </w:rPr>
            </w:pPr>
          </w:p>
        </w:tc>
        <w:tc>
          <w:tcPr>
            <w:tcW w:w="840" w:type="dxa"/>
            <w:vAlign w:val="bottom"/>
            <w:gridSpan w:val="4"/>
          </w:tcPr>
          <w:p>
            <w:pPr>
              <w:jc w:val="center"/>
              <w:ind w:right="120"/>
              <w:spacing w:after="0" w:line="10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Note 3</w:t>
            </w:r>
          </w:p>
        </w:tc>
        <w:tc>
          <w:tcPr>
            <w:tcW w:w="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20" w:type="dxa"/>
            <w:vAlign w:val="bottom"/>
            <w:gridSpan w:val="4"/>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60" w:type="dxa"/>
            <w:vAlign w:val="bottom"/>
            <w:gridSpan w:val="2"/>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82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4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equivalents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191,201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(a), (b)</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205,854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current assets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Total Current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14,206</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191,201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207,015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79,677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95,491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5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Cash held in Trust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120,751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(120,751)</w:t>
            </w:r>
          </w:p>
        </w:tc>
        <w:tc>
          <w:tcPr>
            <w:tcW w:w="80" w:type="dxa"/>
            <w:vAlign w:val="bottom"/>
          </w:tcPr>
          <w:p>
            <w:pPr>
              <w:spacing w:after="0"/>
              <w:rPr>
                <w:sz w:val="16"/>
                <w:szCs w:val="16"/>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w:t>
            </w:r>
          </w:p>
        </w:tc>
        <w:tc>
          <w:tcPr>
            <w:tcW w:w="10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(120,751)</w:t>
            </w:r>
          </w:p>
        </w:tc>
        <w:tc>
          <w:tcPr>
            <w:tcW w:w="80" w:type="dxa"/>
            <w:vAlign w:val="bottom"/>
          </w:tcPr>
          <w:p>
            <w:pPr>
              <w:spacing w:after="0"/>
              <w:rPr>
                <w:sz w:val="16"/>
                <w:szCs w:val="16"/>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15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offering costs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122,359</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16,253</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70,450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209,062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(41,074)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restart"/>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7"/>
              </w:rPr>
              <w:t>(d)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7,236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7"/>
              </w:rPr>
              <w:t>(d)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Franchise tax payable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8"/>
                <w:szCs w:val="18"/>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(d)</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8"/>
                <w:szCs w:val="18"/>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(d)</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 loan, current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portion</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3,750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notes, 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(7,600)</w:t>
            </w:r>
          </w:p>
        </w:tc>
        <w:tc>
          <w:tcPr>
            <w:tcW w:w="80" w:type="dxa"/>
            <w:vAlign w:val="bottom"/>
          </w:tcPr>
          <w:p>
            <w:pPr>
              <w:spacing w:after="0"/>
              <w:rPr>
                <w:sz w:val="19"/>
                <w:szCs w:val="19"/>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(e)</w:t>
            </w:r>
          </w:p>
        </w:tc>
        <w:tc>
          <w:tcPr>
            <w:tcW w:w="10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(7,600)</w:t>
            </w:r>
          </w:p>
        </w:tc>
        <w:tc>
          <w:tcPr>
            <w:tcW w:w="80" w:type="dxa"/>
            <w:vAlign w:val="bottom"/>
          </w:tcPr>
          <w:p>
            <w:pPr>
              <w:spacing w:after="0"/>
              <w:rPr>
                <w:sz w:val="19"/>
                <w:szCs w:val="19"/>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Total Current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18,033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(7,600)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10,986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(7,600)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10,986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Deferred underwriting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(4,226)</w:t>
            </w:r>
          </w:p>
        </w:tc>
        <w:tc>
          <w:tcPr>
            <w:tcW w:w="80" w:type="dxa"/>
            <w:vAlign w:val="bottom"/>
          </w:tcPr>
          <w:p>
            <w:pPr>
              <w:spacing w:after="0"/>
              <w:rPr>
                <w:sz w:val="16"/>
                <w:szCs w:val="16"/>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(b)</w:t>
            </w:r>
          </w:p>
        </w:tc>
        <w:tc>
          <w:tcPr>
            <w:tcW w:w="10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(4,226)</w:t>
            </w:r>
          </w:p>
        </w:tc>
        <w:tc>
          <w:tcPr>
            <w:tcW w:w="80" w:type="dxa"/>
            <w:vAlign w:val="bottom"/>
          </w:tcPr>
          <w:p>
            <w:pPr>
              <w:spacing w:after="0"/>
              <w:rPr>
                <w:sz w:val="16"/>
                <w:szCs w:val="16"/>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(b)</w:t>
            </w:r>
          </w:p>
        </w:tc>
        <w:tc>
          <w:tcPr>
            <w:tcW w:w="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15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net of current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portion and discount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6,190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(11,826)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17,484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(11,826)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5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Series A convertible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(47,113)</w:t>
            </w:r>
          </w:p>
        </w:tc>
        <w:tc>
          <w:tcPr>
            <w:tcW w:w="80" w:type="dxa"/>
            <w:vAlign w:val="bottom"/>
          </w:tcPr>
          <w:p>
            <w:pPr>
              <w:spacing w:after="0"/>
              <w:rPr>
                <w:sz w:val="16"/>
                <w:szCs w:val="16"/>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(47,113)</w:t>
            </w:r>
          </w:p>
        </w:tc>
        <w:tc>
          <w:tcPr>
            <w:tcW w:w="80" w:type="dxa"/>
            <w:vAlign w:val="bottom"/>
          </w:tcPr>
          <w:p>
            <w:pPr>
              <w:spacing w:after="0"/>
              <w:rPr>
                <w:sz w:val="16"/>
                <w:szCs w:val="16"/>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B convertible</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33,336</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(33,336)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(33,336)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Total convertible</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80,449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(80,449)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(80,449)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Class A common stock</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subject to redemption</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112,580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(112,580)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(112,580)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common stock</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8"/>
                <w:szCs w:val="18"/>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capital</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281,724</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296,998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185,475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(98,506)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(6,414)</w:t>
            </w:r>
          </w:p>
        </w:tc>
        <w:tc>
          <w:tcPr>
            <w:tcW w:w="80" w:type="dxa"/>
            <w:vAlign w:val="bottom"/>
          </w:tcPr>
          <w:p>
            <w:pPr>
              <w:spacing w:after="0"/>
              <w:rPr>
                <w:sz w:val="19"/>
                <w:szCs w:val="19"/>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(105,421)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(6,414)</w:t>
            </w:r>
          </w:p>
        </w:tc>
        <w:tc>
          <w:tcPr>
            <w:tcW w:w="80" w:type="dxa"/>
            <w:vAlign w:val="bottom"/>
          </w:tcPr>
          <w:p>
            <w:pPr>
              <w:spacing w:after="0"/>
              <w:rPr>
                <w:sz w:val="19"/>
                <w:szCs w:val="19"/>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(105,421)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(88,727)</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275,305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191,578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163,781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80,054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Total Liabilities and</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122,359</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16,253</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70,450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209,062</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(41,074)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1">
            <w:col w:w="9019"/>
          </w:cols>
          <w:pgMar w:left="1440" w:top="254" w:right="1440" w:bottom="372"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372" w:gutter="0" w:footer="0" w:header="0"/>
          <w:type w:val="continuous"/>
        </w:sectPr>
      </w:pPr>
    </w:p>
    <w:bookmarkStart w:id="99" w:name="page100"/>
    <w:bookmarkEnd w:id="9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 ENTITY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COMBINED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 OF OPERATIONS FOR THE NINE MONTHS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ENDED SEPTEMBER 30, 2020</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7"/>
          </w:tcPr>
          <w:p>
            <w:pPr>
              <w:ind w:left="4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40" w:type="dxa"/>
            <w:vAlign w:val="bottom"/>
          </w:tcPr>
          <w:p>
            <w:pPr>
              <w:spacing w:after="0"/>
              <w:rPr>
                <w:sz w:val="14"/>
                <w:szCs w:val="14"/>
                <w:color w:val="auto"/>
              </w:rPr>
            </w:pPr>
          </w:p>
        </w:tc>
        <w:tc>
          <w:tcPr>
            <w:tcW w:w="1840" w:type="dxa"/>
            <w:vAlign w:val="bottom"/>
            <w:gridSpan w:val="8"/>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No redemption scenario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8"/>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Maximum redemption scenario</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FSDC</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Gemini</w:t>
            </w:r>
          </w:p>
        </w:tc>
        <w:tc>
          <w:tcPr>
            <w:tcW w:w="760" w:type="dxa"/>
            <w:vAlign w:val="bottom"/>
            <w:gridSpan w:val="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60" w:type="dxa"/>
            <w:vAlign w:val="bottom"/>
          </w:tcPr>
          <w:p>
            <w:pPr>
              <w:spacing w:after="0"/>
              <w:rPr>
                <w:sz w:val="8"/>
                <w:szCs w:val="8"/>
                <w:color w:val="auto"/>
              </w:rPr>
            </w:pPr>
          </w:p>
        </w:tc>
        <w:tc>
          <w:tcPr>
            <w:tcW w:w="760" w:type="dxa"/>
            <w:vAlign w:val="bottom"/>
            <w:gridSpan w:val="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Adjustments Note 3</w:t>
            </w:r>
          </w:p>
        </w:tc>
        <w:tc>
          <w:tcPr>
            <w:tcW w:w="720" w:type="dxa"/>
            <w:vAlign w:val="bottom"/>
            <w:gridSpan w:val="2"/>
            <w:vMerge w:val="continue"/>
          </w:tcPr>
          <w:p>
            <w:pPr>
              <w:spacing w:after="0"/>
              <w:rPr>
                <w:sz w:val="14"/>
                <w:szCs w:val="14"/>
                <w:color w:val="auto"/>
              </w:rPr>
            </w:pPr>
          </w:p>
        </w:tc>
        <w:tc>
          <w:tcPr>
            <w:tcW w:w="1300" w:type="dxa"/>
            <w:vAlign w:val="bottom"/>
            <w:gridSpan w:val="8"/>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 Note 3</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20,472</w:t>
            </w:r>
          </w:p>
        </w:tc>
        <w:tc>
          <w:tcPr>
            <w:tcW w:w="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20,472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administrative</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3,774</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4,276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Franchise tax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9"/>
                <w:szCs w:val="19"/>
                <w:color w:val="auto"/>
              </w:rPr>
            </w:pP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(g)</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9"/>
                <w:szCs w:val="19"/>
                <w:color w:val="auto"/>
              </w:rPr>
            </w:pP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24,246</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24,748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(24,246)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(24,748)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(24,748)</w:t>
            </w:r>
          </w:p>
        </w:tc>
        <w:tc>
          <w:tcPr>
            <w:tcW w:w="0" w:type="dxa"/>
            <w:vAlign w:val="bottom"/>
          </w:tcPr>
          <w:p>
            <w:pPr>
              <w:spacing w:after="0"/>
              <w:rPr>
                <w:sz w:val="1"/>
                <w:szCs w:val="1"/>
                <w:color w:val="auto"/>
              </w:rPr>
            </w:pPr>
          </w:p>
        </w:tc>
      </w:tr>
      <w:tr>
        <w:trPr>
          <w:trHeight w:val="30"/>
        </w:trPr>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(2,307)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(6,204)</w:t>
            </w: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(8,511)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(6,204)</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Loss 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extinguishment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of debt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(711)</w:t>
            </w: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(711)</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 in fair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value of warrant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liability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(501)</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(26,522)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(6,915)</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(33,938)</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(6,915)</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restart"/>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common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outstanding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12,516,500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5,507,900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46,541,250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35,388,875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net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 – Class 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42"/>
        </w:trPr>
        <w:tc>
          <w:tcPr>
            <w:tcW w:w="15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Weighted common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outstanding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3,018,750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net loss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share – Class B</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0" w:name="page101"/>
    <w:bookmarkEnd w:id="10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 ENTITY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COMBINED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 OF OPERATIONS FOR THE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7"/>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No redemption scenario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Maximum redemption scenario</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b w:val="1"/>
                <w:bCs w:val="1"/>
                <w:color w:val="auto"/>
                <w:w w:val="94"/>
              </w:rPr>
              <w:t>FSDC</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b w:val="1"/>
                <w:bCs w:val="1"/>
                <w:color w:val="auto"/>
              </w:rPr>
              <w:t>Gemini</w:t>
            </w: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8"/>
                <w:szCs w:val="8"/>
                <w:color w:val="auto"/>
              </w:rPr>
            </w:pPr>
          </w:p>
        </w:tc>
        <w:tc>
          <w:tcPr>
            <w:tcW w:w="1120" w:type="dxa"/>
            <w:vAlign w:val="bottom"/>
            <w:gridSpan w:val="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(Historical)  (Historical)</w:t>
            </w:r>
          </w:p>
        </w:tc>
        <w:tc>
          <w:tcPr>
            <w:tcW w:w="11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 Note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Adjustments Note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34,472</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34,472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34,472</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administrative</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6,753</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6,753</w:t>
            </w:r>
          </w:p>
        </w:tc>
        <w:tc>
          <w:tcPr>
            <w:tcW w:w="0" w:type="dxa"/>
            <w:vAlign w:val="bottom"/>
          </w:tcPr>
          <w:p>
            <w:pPr>
              <w:spacing w:after="0"/>
              <w:rPr>
                <w:sz w:val="1"/>
                <w:szCs w:val="1"/>
                <w:color w:val="auto"/>
              </w:rPr>
            </w:pPr>
          </w:p>
        </w:tc>
      </w:tr>
      <w:tr>
        <w:trPr>
          <w:trHeight w:val="20"/>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5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41,225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41,225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(41,225)</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(41,225)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(41,225)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 in fair</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value of warrant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liability</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(41,400)</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(41,400)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restart"/>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basic and</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5,171,537</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46,541,250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35,388,875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net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per share</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1" w:name="page102"/>
    <w:bookmarkEnd w:id="10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 — Description of the Business Combination</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October 15, 2020, FS Development entered into the Merger Agreement with Merger Sub and Gemini, pursuant to which Merger Sub will merge with and into Gemini, with Gemini as the surviving company in the Merger and, after giving effect to such Merger, Gemini shall be a wholly-owned subsidiary of FS Development. Upon the closing of the Business Combination, it is anticipated that FS Development will change its name to “Gemini Therapeutics, Inc.”</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Subject to the terms and conditions of the Merger Agreement, the consideration to be received by the Gemini Equityholders in connection with the Business Combination will be an aggregate number of shares of Combined Entity common stock up to (i) $215.0 million, divided by (ii) $10.00. In addition, immediately after the completion of the Business Combination, certain investors have agreed to subscribe for and purchase an aggregate of $95,060,000 of common stock of Combined Entity (the “PIPE Investment”).</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represents the aggregate merger consideration under the no redemption and maximum redemption scenarios: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No Redemption and</w:t>
            </w:r>
          </w:p>
        </w:tc>
      </w:tr>
      <w:tr>
        <w:trPr>
          <w:trHeight w:val="188"/>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Maximum Redemption</w:t>
            </w:r>
          </w:p>
        </w:tc>
      </w:tr>
      <w:tr>
        <w:trPr>
          <w:trHeight w:val="42"/>
        </w:trPr>
        <w:tc>
          <w:tcPr>
            <w:tcW w:w="4980" w:type="dxa"/>
            <w:vAlign w:val="bottom"/>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Shares Issued</w:t>
            </w:r>
          </w:p>
        </w:tc>
      </w:tr>
      <w:tr>
        <w:trPr>
          <w:trHeight w:val="42"/>
        </w:trPr>
        <w:tc>
          <w:tcPr>
            <w:tcW w:w="49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1"/>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consideration to Gemini</w:t>
            </w:r>
            <w:r>
              <w:rPr>
                <w:rFonts w:ascii="Times New Roman" w:cs="Times New Roman" w:eastAsia="Times New Roman" w:hAnsi="Times New Roman"/>
                <w:sz w:val="18"/>
                <w:szCs w:val="18"/>
                <w:color w:val="auto"/>
                <w:vertAlign w:val="superscript"/>
              </w:rPr>
              <w:t>(a)(b)</w:t>
            </w:r>
          </w:p>
        </w:tc>
        <w:tc>
          <w:tcPr>
            <w:tcW w:w="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6"/>
              </w:rPr>
              <w:t>215,000</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w:t>
            </w: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300" w:right="939" w:hanging="381"/>
        <w:spacing w:after="0" w:line="272" w:lineRule="auto"/>
        <w:tabs>
          <w:tab w:leader="none" w:pos="1314"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common stock issued to Gemini included in the consideration is reflected at $10 per share as defined in the Merger Agreement.</w:t>
      </w:r>
    </w:p>
    <w:p>
      <w:pPr>
        <w:jc w:val="both"/>
        <w:ind w:left="1300" w:right="939" w:hanging="381"/>
        <w:spacing w:after="0" w:line="272" w:lineRule="auto"/>
        <w:tabs>
          <w:tab w:leader="none" w:pos="1421"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of up to 21.5 million consideration shares include 17.9 million shares to be issued for all issued and outstanding Gemini common and preferred stock plus 3.6 million shares underlying unvested, unissued, and/or unexercised stock options and warrants calculated as of the Record Date, with interest accruing under the Convertible Notes through the assumed Closing Date of February 5, 2021, which final amount will be determined as described in more detail under the heading titled “</w:t>
      </w:r>
      <w:r>
        <w:rPr>
          <w:rFonts w:ascii="Times New Roman" w:cs="Times New Roman" w:eastAsia="Times New Roman" w:hAnsi="Times New Roman"/>
          <w:sz w:val="14"/>
          <w:szCs w:val="14"/>
          <w:i w:val="1"/>
          <w:iCs w:val="1"/>
          <w:color w:val="auto"/>
        </w:rPr>
        <w:t>The Business Combination Proposal — Acquisition of Gemini;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Consideration.</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As of the date of the signing of the Merger Agreement, the conversion ratio was 10.00. The closing conversion ratio will be calculated in accordance with the methodology and procedures set forth in the Merger Agreement, and FS Development will file with the SEC a Current Report on Form 8-K announcing the final conversion ratio no later than four business days prior to the special meeting of its stockholders.</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summarizes the unaudited pro form common stock shares outstanding under the no redemption and maximum redemption scenarios: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1440" w:type="dxa"/>
            <w:vAlign w:val="bottom"/>
            <w:gridSpan w:val="3"/>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8"/>
        </w:trPr>
        <w:tc>
          <w:tcPr>
            <w:tcW w:w="2860" w:type="dxa"/>
            <w:vAlign w:val="bottom"/>
          </w:tcPr>
          <w:p>
            <w:pPr>
              <w:spacing w:after="0"/>
              <w:rPr>
                <w:sz w:val="16"/>
                <w:szCs w:val="16"/>
                <w:color w:val="auto"/>
              </w:rPr>
            </w:pPr>
          </w:p>
        </w:tc>
        <w:tc>
          <w:tcPr>
            <w:tcW w:w="1440" w:type="dxa"/>
            <w:vAlign w:val="bottom"/>
            <w:gridSpan w:val="3"/>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Maximum Redemption</w:t>
            </w:r>
          </w:p>
        </w:tc>
      </w:tr>
      <w:tr>
        <w:trPr>
          <w:trHeight w:val="42"/>
        </w:trPr>
        <w:tc>
          <w:tcPr>
            <w:tcW w:w="2860" w:type="dxa"/>
            <w:vAlign w:val="bottom"/>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gridSpan w:val="4"/>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1"/>
        </w:trPr>
        <w:tc>
          <w:tcPr>
            <w:tcW w:w="2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r>
      <w:tr>
        <w:trPr>
          <w:trHeight w:val="42"/>
        </w:trPr>
        <w:tc>
          <w:tcPr>
            <w:tcW w:w="28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11"/>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FS Development public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922,625</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r>
      <w:tr>
        <w:trPr>
          <w:trHeight w:val="227"/>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FS Development Sponsor and Directors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3,460,250</w:t>
            </w:r>
          </w:p>
        </w:tc>
        <w:tc>
          <w:tcPr>
            <w:tcW w:w="3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3,460,250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r>
      <w:tr>
        <w:trPr>
          <w:trHeight w:val="24"/>
        </w:trPr>
        <w:tc>
          <w:tcPr>
            <w:tcW w:w="2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11"/>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FS Development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15,535,250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4,382,875</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r>
      <w:tr>
        <w:trPr>
          <w:trHeight w:val="251"/>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Gemini</w:t>
            </w:r>
            <w:r>
              <w:rPr>
                <w:rFonts w:ascii="Times New Roman" w:cs="Times New Roman" w:eastAsia="Times New Roman" w:hAnsi="Times New Roman"/>
                <w:sz w:val="18"/>
                <w:szCs w:val="18"/>
                <w:color w:val="auto"/>
                <w:vertAlign w:val="superscript"/>
              </w:rPr>
              <w:t>(A)</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17,877,339</w:t>
            </w:r>
          </w:p>
        </w:tc>
        <w:tc>
          <w:tcPr>
            <w:tcW w:w="34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17,877,339</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56.3%</w:t>
            </w:r>
          </w:p>
        </w:tc>
      </w:tr>
      <w:tr>
        <w:trPr>
          <w:trHeight w:val="251"/>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Shares</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9,506,000</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9,506,000</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29.9%</w:t>
            </w:r>
          </w:p>
        </w:tc>
      </w:tr>
      <w:tr>
        <w:trPr>
          <w:trHeight w:val="153"/>
        </w:trPr>
        <w:tc>
          <w:tcPr>
            <w:tcW w:w="2860" w:type="dxa"/>
            <w:vAlign w:val="bottom"/>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Total Shares at Closing (excluding</w:t>
            </w: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2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certain Gemini shares)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42,918,589</w:t>
            </w:r>
          </w:p>
        </w:tc>
        <w:tc>
          <w:tcPr>
            <w:tcW w:w="3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100%</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31,766,214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r>
      <w:tr>
        <w:trPr>
          <w:trHeight w:val="36"/>
        </w:trPr>
        <w:tc>
          <w:tcPr>
            <w:tcW w:w="2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1"/>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Gemini-Remaining Consideration Shares</w:t>
            </w:r>
            <w:r>
              <w:rPr>
                <w:rFonts w:ascii="Times New Roman" w:cs="Times New Roman" w:eastAsia="Times New Roman" w:hAnsi="Times New Roman"/>
                <w:sz w:val="18"/>
                <w:szCs w:val="18"/>
                <w:color w:val="auto"/>
                <w:vertAlign w:val="superscript"/>
              </w:rPr>
              <w:t>(A)</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3,622,661</w:t>
            </w: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3,622,661</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53"/>
        </w:trPr>
        <w:tc>
          <w:tcPr>
            <w:tcW w:w="2860" w:type="dxa"/>
            <w:vAlign w:val="bottom"/>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Total Shares at Closing (including</w:t>
            </w: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28"/>
        </w:trPr>
        <w:tc>
          <w:tcPr>
            <w:tcW w:w="2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certain Gemini shares)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46,541,250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35,388,875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jc w:val="both"/>
        <w:ind w:left="1300" w:right="939" w:hanging="381"/>
        <w:spacing w:after="0" w:line="274" w:lineRule="auto"/>
        <w:tabs>
          <w:tab w:leader="none" w:pos="1337"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consideration to be issued to Gemini is up to $215.0 million or 21.5 million shares ($10 per share price). The total shares to be issued includes Gemini common and preferred stock plus shares underlying unvested, unissued, and/or unexercised stock options and warrants. Accordingly, the consideration shares outstanding at the closing of the Business Combination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4"/>
          <w:szCs w:val="14"/>
          <w:i w:val="1"/>
          <w:iCs w:val="1"/>
          <w:color w:val="auto"/>
        </w:rPr>
        <w:t>The Business Combination Proposal — Acquisition of Gemini;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 Consideration</w:t>
      </w:r>
      <w:r>
        <w:rPr>
          <w:rFonts w:ascii="Times New Roman" w:cs="Times New Roman" w:eastAsia="Times New Roman" w:hAnsi="Times New Roman"/>
          <w:sz w:val="14"/>
          <w:szCs w:val="14"/>
          <w:color w:val="auto"/>
        </w:rPr>
        <w: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2" w:name="page103"/>
    <w:bookmarkEnd w:id="10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2 — Basis of Presentation</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w:t>
      </w:r>
    </w:p>
    <w:p>
      <w:pPr>
        <w:spacing w:after="0" w:line="10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102" w:lineRule="exact"/>
        <w:rPr>
          <w:sz w:val="20"/>
          <w:szCs w:val="20"/>
          <w:color w:val="auto"/>
        </w:rPr>
      </w:pPr>
    </w:p>
    <w:p>
      <w:pPr>
        <w:ind w:left="1680" w:right="939" w:hanging="379"/>
        <w:spacing w:after="0" w:line="280" w:lineRule="auto"/>
        <w:tabs>
          <w:tab w:leader="none" w:pos="170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pre-combination equity holders of Gemini will hold the majority of voting rights in Combined Entity;</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7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pre-combination equity holders of Gemini will have the right to appoint the majority of the directors on the Combined Entity Board;</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management of Gemini will comprise the senior management of Combined Entity;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of Gemini will comprise the ongoing operations of Combined Entity.</w:t>
      </w:r>
    </w:p>
    <w:p>
      <w:pPr>
        <w:spacing w:after="0" w:line="127"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Under the reverse recapitalization model, the Business Combination will be treated as Gemini issuing equity for the net assets of FS Development, with no goodwill or intangible assets recorded.</w:t>
      </w:r>
    </w:p>
    <w:p>
      <w:pPr>
        <w:spacing w:after="0" w:line="85"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The unaudited pro forma combined financial information has been prepared using the assumptions below with respect to the potential redemption of Public Shares into cash:</w:t>
      </w:r>
    </w:p>
    <w:p>
      <w:pPr>
        <w:spacing w:after="0" w:line="35" w:lineRule="exact"/>
        <w:rPr>
          <w:sz w:val="20"/>
          <w:szCs w:val="20"/>
          <w:color w:val="auto"/>
        </w:rPr>
      </w:pPr>
    </w:p>
    <w:p>
      <w:pPr>
        <w:ind w:left="1680" w:right="939" w:hanging="379"/>
        <w:spacing w:after="0" w:line="283" w:lineRule="auto"/>
        <w:tabs>
          <w:tab w:leader="none" w:pos="1767"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Assuming No Redemptions</w:t>
      </w:r>
      <w:r>
        <w:rPr>
          <w:rFonts w:ascii="Times New Roman" w:cs="Times New Roman" w:eastAsia="Times New Roman" w:hAnsi="Times New Roman"/>
          <w:sz w:val="16"/>
          <w:szCs w:val="16"/>
          <w:color w:val="auto"/>
        </w:rPr>
        <w:t>: This presentation assumes that no FS Development stockholders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exercise redemption rights with respect to their Public Shares; and</w:t>
      </w:r>
    </w:p>
    <w:p>
      <w:pPr>
        <w:spacing w:after="0" w:line="20" w:lineRule="exact"/>
        <w:rPr>
          <w:rFonts w:ascii="Times New Roman" w:cs="Times New Roman" w:eastAsia="Times New Roman" w:hAnsi="Times New Roman"/>
          <w:sz w:val="16"/>
          <w:szCs w:val="16"/>
          <w:color w:val="auto"/>
        </w:rPr>
      </w:pPr>
    </w:p>
    <w:p>
      <w:pPr>
        <w:jc w:val="both"/>
        <w:ind w:left="1680" w:right="939" w:hanging="379"/>
        <w:spacing w:after="0" w:line="256" w:lineRule="auto"/>
        <w:tabs>
          <w:tab w:leader="none" w:pos="1791"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Assuming Maximum Redemptions</w:t>
      </w:r>
      <w:r>
        <w:rPr>
          <w:rFonts w:ascii="Times New Roman" w:cs="Times New Roman" w:eastAsia="Times New Roman" w:hAnsi="Times New Roman"/>
          <w:sz w:val="16"/>
          <w:szCs w:val="16"/>
          <w:color w:val="auto"/>
        </w:rPr>
        <w:t>: This presentation assumes that all of FS Development’s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public stockholders exercise redemption rights with respect to their Public Shares. This scenario assumes that 11,152,375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5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If the actual facts are different than these assumptions, then the amounts and shares outstanding in the unaudited pro forma combined financial information will be different.</w:t>
      </w:r>
    </w:p>
    <w:p>
      <w:pPr>
        <w:spacing w:after="0" w:line="3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Combined Entity expects to enter into new equity awards with its employees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4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unaudited pro forma combined financial information does not reflect the income tax effects of the pro forma adjustments as any change in the deferred tax balance would be offset by an increase in the valuation allowance given Gemini incurred significant losses during the historical periods presented.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3" w:name="page104"/>
    <w:bookmarkEnd w:id="10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3 — Pro Forma Adjustments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Adjustments to the Unaudited Pro Forma Combined Balance Sheet as of September 30, 2020</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pro forma adjustments included in the unaudited pro forma combined balance sheet as of September 30,</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2020 are as follows:</w:t>
      </w:r>
    </w:p>
    <w:p>
      <w:pPr>
        <w:spacing w:after="0" w:line="120" w:lineRule="exact"/>
        <w:rPr>
          <w:sz w:val="20"/>
          <w:szCs w:val="20"/>
          <w:color w:val="auto"/>
        </w:rPr>
      </w:pPr>
    </w:p>
    <w:p>
      <w:pPr>
        <w:ind w:left="1680" w:right="939" w:hanging="379"/>
        <w:spacing w:after="0" w:line="283" w:lineRule="auto"/>
        <w:tabs>
          <w:tab w:leader="none" w:pos="1789" w:val="left"/>
        </w:tabs>
        <w:numPr>
          <w:ilvl w:val="0"/>
          <w:numId w:val="15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Cash. </w:t>
      </w:r>
      <w:r>
        <w:rPr>
          <w:rFonts w:ascii="Times New Roman" w:cs="Times New Roman" w:eastAsia="Times New Roman" w:hAnsi="Times New Roman"/>
          <w:sz w:val="16"/>
          <w:szCs w:val="16"/>
          <w:color w:val="auto"/>
        </w:rPr>
        <w:t>Represents the impact of the Business Combination and PIPE Investment on the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balance of Combined Entity.</w:t>
      </w:r>
    </w:p>
    <w:p>
      <w:pPr>
        <w:spacing w:after="0" w:line="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table below represents the sources and uses of funds as it relates to the Business Combination:</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0" w:type="dxa"/>
            <w:vAlign w:val="bottom"/>
          </w:tcPr>
          <w:p>
            <w:pPr>
              <w:spacing w:after="0"/>
              <w:rPr>
                <w:sz w:val="1"/>
                <w:szCs w:val="1"/>
                <w:color w:val="auto"/>
              </w:rPr>
            </w:pPr>
          </w:p>
        </w:tc>
      </w:tr>
      <w:tr>
        <w:trPr>
          <w:trHeight w:val="42"/>
        </w:trPr>
        <w:tc>
          <w:tcPr>
            <w:tcW w:w="42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FS Development cash held in Trust Account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Other PIPE Investors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64,460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redeeming FS Development Stockholders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(111,524)</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underwriting commissions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(4,226)</w:t>
            </w:r>
          </w:p>
        </w:tc>
        <w:tc>
          <w:tcPr>
            <w:tcW w:w="0" w:type="dxa"/>
            <w:vAlign w:val="bottom"/>
          </w:tcPr>
          <w:p>
            <w:pPr>
              <w:spacing w:after="0"/>
              <w:rPr>
                <w:sz w:val="1"/>
                <w:szCs w:val="1"/>
                <w:color w:val="auto"/>
              </w:rPr>
            </w:pPr>
          </w:p>
        </w:tc>
      </w:tr>
      <w:tr>
        <w:trPr>
          <w:trHeight w:val="36"/>
        </w:trPr>
        <w:tc>
          <w:tcPr>
            <w:tcW w:w="4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other transaction costs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(20,384)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(20,384)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Excess cash to balance sheet from Business Combination</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191,201</w:t>
            </w:r>
          </w:p>
        </w:tc>
        <w:tc>
          <w:tcPr>
            <w:tcW w:w="80" w:type="dxa"/>
            <w:vAlign w:val="bottom"/>
          </w:tcPr>
          <w:p>
            <w:pPr>
              <w:spacing w:after="0"/>
              <w:rPr>
                <w:sz w:val="18"/>
                <w:szCs w:val="18"/>
                <w:color w:val="auto"/>
              </w:rPr>
            </w:pPr>
          </w:p>
        </w:tc>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300" w:right="939" w:hanging="381"/>
        <w:spacing w:after="0" w:line="272" w:lineRule="auto"/>
        <w:tabs>
          <w:tab w:leader="none" w:pos="1378"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the restricted investments and cash held in the trust account upon consummation of the Business Combination at Closing.</w:t>
      </w:r>
    </w:p>
    <w:p>
      <w:pPr>
        <w:ind w:left="1300" w:right="939" w:hanging="381"/>
        <w:spacing w:after="0" w:line="267" w:lineRule="auto"/>
        <w:tabs>
          <w:tab w:leader="none" w:pos="1448"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issuance, in the PIPE Investment, to certain investors of 9,506,000 shares of Combined Entity common stock at a price of $10.00 per share.</w:t>
      </w:r>
    </w:p>
    <w:p>
      <w:pPr>
        <w:ind w:left="1300" w:right="939" w:hanging="381"/>
        <w:spacing w:after="0" w:line="267" w:lineRule="auto"/>
        <w:tabs>
          <w:tab w:leader="none" w:pos="1355"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paid to FS Development stockholders who are assumed to exercise redemption rights under the maximum redemption scenario.</w:t>
      </w:r>
    </w:p>
    <w:p>
      <w:pPr>
        <w:ind w:left="1300" w:hanging="381"/>
        <w:spacing w:after="0"/>
        <w:tabs>
          <w:tab w:leader="none" w:pos="13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 of deferred FS Development IPO underwriting commissions by FS Development.</w:t>
      </w:r>
    </w:p>
    <w:p>
      <w:pPr>
        <w:spacing w:after="0" w:line="18" w:lineRule="exact"/>
        <w:rPr>
          <w:rFonts w:ascii="Times New Roman" w:cs="Times New Roman" w:eastAsia="Times New Roman" w:hAnsi="Times New Roman"/>
          <w:sz w:val="14"/>
          <w:szCs w:val="14"/>
          <w:color w:val="auto"/>
        </w:rPr>
      </w:pPr>
    </w:p>
    <w:p>
      <w:pPr>
        <w:ind w:left="1300" w:hanging="381"/>
        <w:spacing w:after="0"/>
        <w:tabs>
          <w:tab w:leader="none" w:pos="13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 of other Business Combination transaction costs.</w:t>
      </w:r>
    </w:p>
    <w:p>
      <w:pPr>
        <w:spacing w:after="0" w:line="125" w:lineRule="exact"/>
        <w:rPr>
          <w:rFonts w:ascii="Times New Roman" w:cs="Times New Roman" w:eastAsia="Times New Roman" w:hAnsi="Times New Roman"/>
          <w:sz w:val="14"/>
          <w:szCs w:val="14"/>
          <w:color w:val="auto"/>
        </w:rPr>
      </w:pPr>
    </w:p>
    <w:p>
      <w:pPr>
        <w:ind w:left="1680" w:hanging="379"/>
        <w:spacing w:after="0"/>
        <w:tabs>
          <w:tab w:leader="none" w:pos="1680" w:val="left"/>
        </w:tabs>
        <w:numPr>
          <w:ilvl w:val="1"/>
          <w:numId w:val="1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Business Combination costs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i w:val="1"/>
          <w:iCs w:val="1"/>
          <w:color w:val="auto"/>
        </w:rPr>
      </w:pPr>
    </w:p>
    <w:p>
      <w:pPr>
        <w:jc w:val="both"/>
        <w:ind w:left="2060" w:right="939" w:hanging="376"/>
        <w:spacing w:after="0" w:line="259" w:lineRule="auto"/>
        <w:tabs>
          <w:tab w:leader="none" w:pos="2200"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66" w:lineRule="exact"/>
        <w:rPr>
          <w:rFonts w:ascii="Times New Roman" w:cs="Times New Roman" w:eastAsia="Times New Roman" w:hAnsi="Times New Roman"/>
          <w:sz w:val="16"/>
          <w:szCs w:val="16"/>
          <w:color w:val="auto"/>
        </w:rPr>
      </w:pPr>
    </w:p>
    <w:p>
      <w:pPr>
        <w:jc w:val="both"/>
        <w:ind w:left="2060" w:right="939" w:hanging="376"/>
        <w:spacing w:after="0" w:line="259" w:lineRule="auto"/>
        <w:tabs>
          <w:tab w:leader="none" w:pos="2207"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incremental expenses related to the Business Combination and the PIPE Investment in the amount of $20.4 million (see Note 3(a)(5)). The unaudited pro forma combined balance sheet reflects these costs as a reduction of cash, with a corresponding decrease in additional paid-in capital (see Note 3(d)).</w:t>
      </w:r>
    </w:p>
    <w:p>
      <w:pPr>
        <w:spacing w:after="0" w:line="64" w:lineRule="exact"/>
        <w:rPr>
          <w:rFonts w:ascii="Times New Roman" w:cs="Times New Roman" w:eastAsia="Times New Roman" w:hAnsi="Times New Roman"/>
          <w:sz w:val="16"/>
          <w:szCs w:val="16"/>
          <w:color w:val="auto"/>
        </w:rPr>
      </w:pPr>
    </w:p>
    <w:p>
      <w:pPr>
        <w:ind w:left="1680" w:right="939" w:hanging="379"/>
        <w:spacing w:after="0" w:line="283" w:lineRule="auto"/>
        <w:tabs>
          <w:tab w:leader="none" w:pos="1875" w:val="left"/>
        </w:tabs>
        <w:numPr>
          <w:ilvl w:val="1"/>
          <w:numId w:val="1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Trust Account</w:t>
      </w:r>
      <w:r>
        <w:rPr>
          <w:rFonts w:ascii="Times New Roman" w:cs="Times New Roman" w:eastAsia="Times New Roman" w:hAnsi="Times New Roman"/>
          <w:sz w:val="16"/>
          <w:szCs w:val="16"/>
          <w:color w:val="auto"/>
        </w:rPr>
        <w:t>. Represents release of the restricted investments and cash held in the FS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trust account upon consummation of the Business Combination (See Note 3(a)(1)).</w:t>
      </w:r>
    </w:p>
    <w:p>
      <w:pPr>
        <w:spacing w:after="0" w:line="44" w:lineRule="exact"/>
        <w:rPr>
          <w:rFonts w:ascii="Times New Roman" w:cs="Times New Roman" w:eastAsia="Times New Roman" w:hAnsi="Times New Roman"/>
          <w:sz w:val="16"/>
          <w:szCs w:val="16"/>
          <w:i w:val="1"/>
          <w:iCs w:val="1"/>
          <w:color w:val="auto"/>
        </w:rPr>
      </w:pPr>
    </w:p>
    <w:p>
      <w:pPr>
        <w:ind w:left="1680" w:right="939" w:hanging="379"/>
        <w:spacing w:after="0" w:line="283" w:lineRule="auto"/>
        <w:tabs>
          <w:tab w:leader="none" w:pos="1681" w:val="left"/>
        </w:tabs>
        <w:numPr>
          <w:ilvl w:val="1"/>
          <w:numId w:val="1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Franchise tax payable</w:t>
      </w:r>
      <w:r>
        <w:rPr>
          <w:rFonts w:ascii="Times New Roman" w:cs="Times New Roman" w:eastAsia="Times New Roman" w:hAnsi="Times New Roman"/>
          <w:sz w:val="16"/>
          <w:szCs w:val="16"/>
          <w:color w:val="auto"/>
        </w:rPr>
        <w:t>. Reflects the reclassification of FS Development’s franchise tax payable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align with the balance sheet presentation of Gemini.</w:t>
      </w:r>
    </w:p>
    <w:p>
      <w:pPr>
        <w:spacing w:after="0" w:line="44" w:lineRule="exact"/>
        <w:rPr>
          <w:rFonts w:ascii="Times New Roman" w:cs="Times New Roman" w:eastAsia="Times New Roman" w:hAnsi="Times New Roman"/>
          <w:sz w:val="16"/>
          <w:szCs w:val="16"/>
          <w:i w:val="1"/>
          <w:iCs w:val="1"/>
          <w:color w:val="auto"/>
        </w:rPr>
      </w:pPr>
    </w:p>
    <w:p>
      <w:pPr>
        <w:jc w:val="both"/>
        <w:ind w:left="1680" w:right="939" w:hanging="379"/>
        <w:spacing w:after="0" w:line="252" w:lineRule="auto"/>
        <w:tabs>
          <w:tab w:leader="none" w:pos="1708" w:val="left"/>
        </w:tabs>
        <w:numPr>
          <w:ilvl w:val="1"/>
          <w:numId w:val="1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Convertible notes</w:t>
      </w:r>
      <w:r>
        <w:rPr>
          <w:rFonts w:ascii="Times New Roman" w:cs="Times New Roman" w:eastAsia="Times New Roman" w:hAnsi="Times New Roman"/>
          <w:sz w:val="16"/>
          <w:szCs w:val="16"/>
          <w:color w:val="auto"/>
        </w:rPr>
        <w:t>. On August 21, 2020, Gemini entered into a purchase agreement with various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Principal and interest are convertible into Series B preferred stock at a per share conversion price of $1.3513 prior to the effective date of the Business Combination. The proforma disclosures have been prepared as if the Notes convert to Series B preferred stock on February 5, 2021, and a reacquisition price of $22.9 million representing the expected fair value of Series B preferred stock upon conversion. The adjustments reflect the conversion of the notes to Series B preferred stock, and the impact of conversion on additional paid-in capital and accumulated deficit.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4" w:name="page105"/>
    <w:bookmarkEnd w:id="10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1680" w:right="939" w:hanging="379"/>
        <w:spacing w:after="0" w:line="266" w:lineRule="auto"/>
        <w:tabs>
          <w:tab w:leader="none" w:pos="1776" w:val="left"/>
        </w:tabs>
        <w:numPr>
          <w:ilvl w:val="0"/>
          <w:numId w:val="15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Impact on equity</w:t>
      </w:r>
      <w:r>
        <w:rPr>
          <w:rFonts w:ascii="Times New Roman" w:cs="Times New Roman" w:eastAsia="Times New Roman" w:hAnsi="Times New Roman"/>
          <w:sz w:val="16"/>
          <w:szCs w:val="16"/>
          <w:color w:val="auto"/>
        </w:rPr>
        <w:t>. The following table represents the impact of the Business Combination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PIPE Investment on the number of shares of FS Development Class A Common Stock and represents the total equity section assuming no redemptions by FS Development stockholder:</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4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40" w:type="dxa"/>
            <w:vAlign w:val="bottom"/>
          </w:tcPr>
          <w:p>
            <w:pPr>
              <w:spacing w:after="0"/>
              <w:rPr>
                <w:sz w:val="21"/>
                <w:szCs w:val="21"/>
                <w:color w:val="auto"/>
              </w:rPr>
            </w:pPr>
          </w:p>
        </w:tc>
        <w:tc>
          <w:tcPr>
            <w:tcW w:w="6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740" w:type="dxa"/>
            <w:vAlign w:val="bottom"/>
            <w:tcBorders>
              <w:top w:val="single" w:sz="8" w:color="auto"/>
            </w:tcBorders>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720" w:type="dxa"/>
            <w:vAlign w:val="bottom"/>
            <w:tcBorders>
              <w:top w:val="single" w:sz="8" w:color="auto"/>
            </w:tcBorders>
            <w:gridSpan w:val="2"/>
          </w:tcPr>
          <w:p>
            <w:pPr>
              <w:jc w:val="center"/>
              <w:ind w:right="20"/>
              <w:spacing w:after="0" w:line="10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8"/>
                <w:szCs w:val="8"/>
                <w:color w:val="auto"/>
              </w:rPr>
            </w:pPr>
          </w:p>
        </w:tc>
        <w:tc>
          <w:tcPr>
            <w:tcW w:w="420" w:type="dxa"/>
            <w:vAlign w:val="bottom"/>
            <w:tcBorders>
              <w:top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Gemini’s</w:t>
            </w:r>
          </w:p>
        </w:tc>
        <w:tc>
          <w:tcPr>
            <w:tcW w:w="100" w:type="dxa"/>
            <w:vAlign w:val="bottom"/>
          </w:tcPr>
          <w:p>
            <w:pPr>
              <w:spacing w:after="0"/>
              <w:rPr>
                <w:sz w:val="8"/>
                <w:szCs w:val="8"/>
                <w:color w:val="auto"/>
              </w:rPr>
            </w:pPr>
          </w:p>
        </w:tc>
        <w:tc>
          <w:tcPr>
            <w:tcW w:w="56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8"/>
                <w:szCs w:val="8"/>
                <w:color w:val="auto"/>
              </w:rPr>
            </w:pPr>
          </w:p>
        </w:tc>
        <w:tc>
          <w:tcPr>
            <w:tcW w:w="760" w:type="dxa"/>
            <w:vAlign w:val="bottom"/>
            <w:gridSpan w:val="3"/>
          </w:tcPr>
          <w:p>
            <w:pPr>
              <w:jc w:val="right"/>
              <w:ind w:right="2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0" w:type="dxa"/>
            <w:vAlign w:val="bottom"/>
          </w:tcPr>
          <w:p>
            <w:pPr>
              <w:spacing w:after="0"/>
              <w:rPr>
                <w:sz w:val="1"/>
                <w:szCs w:val="1"/>
                <w:color w:val="auto"/>
              </w:rPr>
            </w:pPr>
          </w:p>
        </w:tc>
      </w:tr>
      <w:tr>
        <w:trPr>
          <w:trHeight w:val="168"/>
        </w:trPr>
        <w:tc>
          <w:tcPr>
            <w:tcW w:w="2300" w:type="dxa"/>
            <w:vAlign w:val="bottom"/>
            <w:gridSpan w:val="2"/>
            <w:vMerge w:val="continue"/>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4"/>
                <w:szCs w:val="14"/>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Pre Business Combination – FS</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stockholders</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816,967</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3,018,750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Pre Business Combination – FS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Holdings, LLC</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441,500</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30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 Business Combination – Gemini</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80,449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(98,506)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Pre Business Combination – Gemini</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promissory notes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(6,915)</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Class B common stock</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Class A common stock</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3,018,750</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(3,018,750)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of redeemable 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Class A common stock</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11,258,033</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112,579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30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Gemini Stockholders</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21,500,000</w:t>
            </w: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 Gemini Stockholders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1,560,000</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30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 FS Development Sponsor</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1,500,000</w:t>
            </w: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 Other Investors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6,446,000</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64,460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Balances after share transactions of</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Combined Entity</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46,541,250</w:t>
            </w: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103,853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214,024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(105,922)</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transaction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(20,384)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 of historical accumulated</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deficit of FS Development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Elimination of historical stock of</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Gemini</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(103,853)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103,859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Post-Business Combination</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46,541,250</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296,998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 case of maximum redemption by holders of Public Shares, the following table represents the impact of the Business Combination and PIPE Investment on the number of shares of FS Development Class A Common Stock and represents the total equity section:</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620" w:type="dxa"/>
            <w:vAlign w:val="bottom"/>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21"/>
                <w:szCs w:val="21"/>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840" w:type="dxa"/>
            <w:vAlign w:val="bottom"/>
            <w:tcBorders>
              <w:top w:val="single" w:sz="8" w:color="auto"/>
            </w:tcBorders>
            <w:gridSpan w:val="3"/>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720" w:type="dxa"/>
            <w:vAlign w:val="bottom"/>
            <w:tcBorders>
              <w:top w:val="single" w:sz="8" w:color="auto"/>
            </w:tcBorders>
            <w:gridSpan w:val="2"/>
          </w:tcPr>
          <w:p>
            <w:pPr>
              <w:jc w:val="center"/>
              <w:ind w:right="40"/>
              <w:spacing w:after="0" w:line="10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60" w:type="dxa"/>
            <w:vAlign w:val="bottom"/>
          </w:tcPr>
          <w:p>
            <w:pPr>
              <w:spacing w:after="0"/>
              <w:rPr>
                <w:sz w:val="8"/>
                <w:szCs w:val="8"/>
                <w:color w:val="auto"/>
              </w:rPr>
            </w:pPr>
          </w:p>
        </w:tc>
        <w:tc>
          <w:tcPr>
            <w:tcW w:w="420" w:type="dxa"/>
            <w:vAlign w:val="bottom"/>
            <w:tcBorders>
              <w:top w:val="single" w:sz="8" w:color="auto"/>
            </w:tcBorders>
            <w:gridSpan w:val="3"/>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40" w:type="dxa"/>
            <w:vAlign w:val="bottom"/>
            <w:gridSpan w:val="2"/>
          </w:tcPr>
          <w:p>
            <w:pPr>
              <w:spacing w:after="0"/>
              <w:rPr>
                <w:sz w:val="8"/>
                <w:szCs w:val="8"/>
                <w:color w:val="auto"/>
              </w:rPr>
            </w:pPr>
          </w:p>
        </w:tc>
        <w:tc>
          <w:tcPr>
            <w:tcW w:w="62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11"/>
                <w:szCs w:val="11"/>
                <w:b w:val="1"/>
                <w:bCs w:val="1"/>
                <w:color w:val="auto"/>
              </w:rPr>
              <w:t>Gemini’s</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76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0" w:type="dxa"/>
            <w:vAlign w:val="bottom"/>
          </w:tcPr>
          <w:p>
            <w:pPr>
              <w:spacing w:after="0"/>
              <w:rPr>
                <w:sz w:val="1"/>
                <w:szCs w:val="1"/>
                <w:color w:val="auto"/>
              </w:rPr>
            </w:pPr>
          </w:p>
        </w:tc>
      </w:tr>
      <w:tr>
        <w:trPr>
          <w:trHeight w:val="168"/>
        </w:trPr>
        <w:tc>
          <w:tcPr>
            <w:tcW w:w="2260" w:type="dxa"/>
            <w:vAlign w:val="bottom"/>
            <w:gridSpan w:val="2"/>
            <w:vMerge w:val="continue"/>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Pre Business Combination – FS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stockholders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816,967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3,018,750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Pre Business Combination – FS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Holdings, LLC</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2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 Business Combination – Gemini</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(98,506)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Pre Business Combination – Gemini</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promissory notes</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(6,915)</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Class B common stock</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Class A 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3,018,750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(3,018,750)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of redeemable stock</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Class A common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11,258,033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112,578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Redemption of redeemable</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(11,152,375)</w:t>
            </w: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(111,522)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Gemini Stockholders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2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 Gemini Stockholders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1,560,000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 FS Development Sponsor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2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 Other Investors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6,446,000</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Balances after share transactions of</w:t>
            </w: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Combined Entity</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35,388,875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103,853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(105,922)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Estimated transaction costs</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(20,384)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Elimination of historical accumulated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deficit of FS Development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 of historical stock of</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Gemini</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(103,853)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103,859</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Post-Business Combination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35,388,875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1">
            <w:col w:w="9019"/>
          </w:cols>
          <w:pgMar w:left="1440" w:top="254"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105" w:name="page106"/>
    <w:bookmarkEnd w:id="10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right="939"/>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Adjustments to the Unaudited Pro Forma Combined Statements of Operations for the Nine Months Ended September 30, 2020 and Year Ended December 31, 2019</w:t>
      </w:r>
    </w:p>
    <w:p>
      <w:pPr>
        <w:spacing w:after="0" w:line="45"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The pro forma adjustments included in the unaudited pro forma combined statement of operations for the nine months ended September 30, 2020 and for the year ended December 31, 2019 are as follows:</w:t>
      </w:r>
    </w:p>
    <w:p>
      <w:pPr>
        <w:spacing w:after="0" w:line="47" w:lineRule="exact"/>
        <w:rPr>
          <w:sz w:val="20"/>
          <w:szCs w:val="20"/>
          <w:color w:val="auto"/>
        </w:rPr>
      </w:pPr>
    </w:p>
    <w:p>
      <w:pPr>
        <w:ind w:left="1680" w:right="939" w:hanging="379"/>
        <w:spacing w:after="0" w:line="283" w:lineRule="auto"/>
        <w:tabs>
          <w:tab w:leader="none" w:pos="1725" w:val="left"/>
        </w:tabs>
        <w:numPr>
          <w:ilvl w:val="0"/>
          <w:numId w:val="1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Franchise tax expense. </w:t>
      </w:r>
      <w:r>
        <w:rPr>
          <w:rFonts w:ascii="Times New Roman" w:cs="Times New Roman" w:eastAsia="Times New Roman" w:hAnsi="Times New Roman"/>
          <w:sz w:val="16"/>
          <w:szCs w:val="16"/>
          <w:color w:val="auto"/>
        </w:rPr>
        <w:t>Reflects the reclassification of FS Development’s franchise tax expense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align with the statement of operations presentation of Gemini.</w:t>
      </w:r>
    </w:p>
    <w:p>
      <w:pPr>
        <w:spacing w:after="0" w:line="44" w:lineRule="exact"/>
        <w:rPr>
          <w:rFonts w:ascii="Times New Roman" w:cs="Times New Roman" w:eastAsia="Times New Roman" w:hAnsi="Times New Roman"/>
          <w:sz w:val="16"/>
          <w:szCs w:val="16"/>
          <w:i w:val="1"/>
          <w:iCs w:val="1"/>
          <w:color w:val="auto"/>
        </w:rPr>
      </w:pPr>
    </w:p>
    <w:p>
      <w:pPr>
        <w:jc w:val="both"/>
        <w:ind w:left="1680" w:right="939" w:hanging="379"/>
        <w:spacing w:after="0" w:line="252" w:lineRule="auto"/>
        <w:tabs>
          <w:tab w:leader="none" w:pos="1705" w:val="left"/>
        </w:tabs>
        <w:numPr>
          <w:ilvl w:val="0"/>
          <w:numId w:val="1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Interest expense and loss on extinguishment of debt. </w:t>
      </w:r>
      <w:r>
        <w:rPr>
          <w:rFonts w:ascii="Times New Roman" w:cs="Times New Roman" w:eastAsia="Times New Roman" w:hAnsi="Times New Roman"/>
          <w:sz w:val="16"/>
          <w:szCs w:val="16"/>
          <w:color w:val="auto"/>
        </w:rPr>
        <w:t>On August 21, 2020, Gemini entered into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agreement with various 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have been prepared as if the Notes convert to Series B preferred stock on February 5, 2021, and a reacquisition price of $22.9 million representing the expected fair value of Series B preferred stock upon conversion. The adjustments reflect the accretion of the BCF discount recognized as interest expense of $7.5 million, simple interest of $0.5 million and a loss on extinguishment of $0.7 million.</w:t>
      </w:r>
    </w:p>
    <w:p>
      <w:pPr>
        <w:spacing w:after="0" w:line="71" w:lineRule="exact"/>
        <w:rPr>
          <w:rFonts w:ascii="Times New Roman" w:cs="Times New Roman" w:eastAsia="Times New Roman" w:hAnsi="Times New Roman"/>
          <w:sz w:val="16"/>
          <w:szCs w:val="16"/>
          <w:i w:val="1"/>
          <w:iCs w:val="1"/>
          <w:color w:val="auto"/>
        </w:rPr>
      </w:pPr>
    </w:p>
    <w:p>
      <w:pPr>
        <w:jc w:val="both"/>
        <w:ind w:left="1680" w:right="939" w:hanging="379"/>
        <w:spacing w:after="0" w:line="257" w:lineRule="auto"/>
        <w:tabs>
          <w:tab w:leader="none" w:pos="1799" w:val="left"/>
        </w:tabs>
        <w:numPr>
          <w:ilvl w:val="0"/>
          <w:numId w:val="1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Net loss per share. </w:t>
      </w:r>
      <w:r>
        <w:rPr>
          <w:rFonts w:ascii="Times New Roman" w:cs="Times New Roman" w:eastAsia="Times New Roman" w:hAnsi="Times New Roman"/>
          <w:sz w:val="16"/>
          <w:szCs w:val="16"/>
          <w:color w:val="auto"/>
        </w:rPr>
        <w:t>Represents pro forma net loss per share based on pro forma net loss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46,541,250 and 35,388,875 total pro forma shares outstanding upon consummation of the Business Combination and PIPE Investment for no redemption and maximum redemption scenario, respectively. There are no equity instruments that are expected to have a dilutive effect on the net income per share post-Business Combination.</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4 — Loss Per Share</w:t>
      </w:r>
    </w:p>
    <w:p>
      <w:pPr>
        <w:spacing w:after="0" w:line="105"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7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has been prepared assuming two alternative levels of redemption for the year ended December 31, 2019 and for the nine months ended September 30, 2020:</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42"/>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w:t>
            </w: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88"/>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42"/>
        </w:trPr>
        <w:tc>
          <w:tcPr>
            <w:tcW w:w="29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loss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(33,938)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(33,938)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(41,400)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(41,400)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Pro forma weighted average 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outstanding-basic and diluted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35,388,875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9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loss per share-basic and diluted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Pro forma weighted average shares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outstanding-basic and diluted</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9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FS Development public stockholders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12,075,000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922,625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12,075,000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922,625</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FS Development Sponsor and Directors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3,460,250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3,460,250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3,460,250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FS Development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15,535,250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4,382,875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15,535,250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4,382,875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Gemini</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17,877,339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17,877,339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17,877,339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17,877,339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Shares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9,506,000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9,506,000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9,506,000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60" w:type="dxa"/>
            <w:vAlign w:val="bottom"/>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Pro forma weighted average shares</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outstanding-basic and diluted</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42,918,589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31,766,214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42,918,589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31,766,214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_____________</w:t>
      </w:r>
    </w:p>
    <w:p>
      <w:pPr>
        <w:spacing w:after="0" w:line="90" w:lineRule="exact"/>
        <w:rPr>
          <w:sz w:val="20"/>
          <w:szCs w:val="20"/>
          <w:color w:val="auto"/>
        </w:rPr>
      </w:pPr>
    </w:p>
    <w:p>
      <w:pPr>
        <w:jc w:val="both"/>
        <w:ind w:left="1300" w:right="939" w:hanging="381"/>
        <w:spacing w:after="0" w:line="276" w:lineRule="auto"/>
        <w:tabs>
          <w:tab w:leader="none" w:pos="1413"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3.6 million Gemini consideration shares that will be issued upon the occurrence of future events (i.e., exercise of stock options or warrants, and unissued stock options). Total consideration to be issued to Gemini is up to $215.0 million or 21.5 million shares ($10 per share price). The total shares to be issued includes all issued and outstanding Gemini common and preferred stock plus shares underlying unvested, unissued, and/or unexercised stock options. Accordingly, the weighted</w:t>
      </w:r>
    </w:p>
    <w:p>
      <w:pPr>
        <w:sectPr>
          <w:pgSz w:w="11900" w:h="16838" w:orient="portrait"/>
          <w:cols w:equalWidth="0" w:num="1">
            <w:col w:w="9019"/>
          </w:cols>
          <w:pgMar w:left="1440" w:top="254" w:right="1440"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106" w:name="page107"/>
    <w:bookmarkEnd w:id="10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71" w:lineRule="exact"/>
        <w:rPr>
          <w:sz w:val="20"/>
          <w:szCs w:val="20"/>
          <w:color w:val="auto"/>
        </w:rPr>
      </w:pPr>
    </w:p>
    <w:p>
      <w:pPr>
        <w:jc w:val="both"/>
        <w:ind w:left="1300" w:right="939"/>
        <w:spacing w:after="0" w:line="269" w:lineRule="auto"/>
        <w:rPr>
          <w:sz w:val="20"/>
          <w:szCs w:val="20"/>
          <w:color w:val="auto"/>
        </w:rPr>
      </w:pPr>
      <w:r>
        <w:rPr>
          <w:rFonts w:ascii="Times New Roman" w:cs="Times New Roman" w:eastAsia="Times New Roman" w:hAnsi="Times New Roman"/>
          <w:sz w:val="14"/>
          <w:szCs w:val="14"/>
          <w:color w:val="auto"/>
        </w:rPr>
        <w:t>average pro forma shares outstanding at close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4"/>
          <w:szCs w:val="14"/>
          <w:i w:val="1"/>
          <w:iCs w:val="1"/>
          <w:color w:val="auto"/>
        </w:rPr>
        <w:t>The Business Combination Proposal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Acquisition of Gemini; Merger Consideration</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jc w:val="both"/>
        <w:ind w:left="1300" w:right="939" w:hanging="381"/>
        <w:spacing w:after="0" w:line="274" w:lineRule="auto"/>
        <w:tabs>
          <w:tab w:leader="none" w:pos="1339"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applying the if converted method for calculating diluted earnings per share, it was assumed that all Gemini stock options and outstanding warrants are exchanged for Class A common stock. However, since this results in anti-dilution, the effect of such exchange was not included in calculation of diluted loss per share. Shares underlying these instruments include 3.6 million Gemini consideration shares for unvested, unissued, and/or unexercised stock options and warrants.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7" w:name="page108"/>
    <w:bookmarkEnd w:id="10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BUSINESS COMBINATION PROPOSAL</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 xml:space="preserve">Holders of FS Development Common Stock are being asked to approve and adopt the Merger Agreement and the transactions contemplated thereby, including the Business Combination. FS Development stockholders should read carefully this proxy statement/prospectus in its entirety for more detailed information concerning the Merger Agreement, which is attached as </w:t>
      </w:r>
      <w:r>
        <w:rPr>
          <w:rFonts w:ascii="Times New Roman" w:cs="Times New Roman" w:eastAsia="Times New Roman" w:hAnsi="Times New Roman"/>
          <w:sz w:val="16"/>
          <w:szCs w:val="16"/>
          <w:i w:val="1"/>
          <w:iCs w:val="1"/>
          <w:u w:val="single" w:color="auto"/>
          <w:color w:val="auto"/>
        </w:rPr>
        <w:t>Annex A</w:t>
      </w:r>
      <w:r>
        <w:rPr>
          <w:rFonts w:ascii="Times New Roman" w:cs="Times New Roman" w:eastAsia="Times New Roman" w:hAnsi="Times New Roman"/>
          <w:sz w:val="16"/>
          <w:szCs w:val="16"/>
          <w:color w:val="auto"/>
        </w:rPr>
        <w:t xml:space="preserve"> to this proxy statement/prospectus. Please see the section titled “</w:t>
      </w:r>
      <w:r>
        <w:rPr>
          <w:rFonts w:ascii="Times New Roman" w:cs="Times New Roman" w:eastAsia="Times New Roman" w:hAnsi="Times New Roman"/>
          <w:sz w:val="16"/>
          <w:szCs w:val="16"/>
          <w:i w:val="1"/>
          <w:iCs w:val="1"/>
          <w:color w:val="auto"/>
        </w:rPr>
        <w:t>The Business Combination Proposal</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The Merger Agreement</w:t>
      </w:r>
      <w:r>
        <w:rPr>
          <w:rFonts w:ascii="Times New Roman" w:cs="Times New Roman" w:eastAsia="Times New Roman" w:hAnsi="Times New Roman"/>
          <w:sz w:val="16"/>
          <w:szCs w:val="16"/>
          <w:color w:val="auto"/>
        </w:rPr>
        <w:t>” below, for additional information and a summary of certain terms of the Merger Agreement. You are urged to read carefully the Merger Agreement in its entirety before voting on this proposal.</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Background of the Business Combination</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terms of the Business Combination are the result of negotiations between the representatives of FS Development and Gemini. The following is a brief description of the background of these negotiations and the resulting Business Combination. The following does not purport to list every conversation among representatives of FS Development, Gemini and other parties.</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FS Development is a blank check company incorporated in Delaware on June 25, 2020 and formed for the purpose of effecting a merger, capital stock exchange, asset acquisition, stock purchase, reorganization or similar business combination with one or more businesses. FS Development was created to capitalize on the substantial deal sourcing, investing and operating expertise of our management team to identify and combine with one or more businesses with high growth potential.</w:t>
      </w:r>
    </w:p>
    <w:p>
      <w:pPr>
        <w:spacing w:after="0" w:line="9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August 14, 2020, we consummated the FS Development IPO of 12,075,000 shares of Class A Common Stock, generating total gross proceeds of $120,750,000. Substantially concurrent with the consummation of the FS Development IPO, our Sponsor purchased 441,500 shares of Class A Common Stock for an aggregate purchase price of $4,415,000, or $10.00 per share.</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Prior to the consummation of the FS Development IPO, neither FS Development, nor anyone on its behalf, engaged in any substantive discussions, directly or indirectly, with any business combination target with respect to an initial business combination with FS Development.</w:t>
      </w:r>
    </w:p>
    <w:p>
      <w:pPr>
        <w:spacing w:after="0" w:line="9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Following the FS Development IPO and up to the signing of the mutual exclusivity agreement with Gemini on September 20, 2020, our officers and directors commenced an active search for prospective businesses or assets to acquire in our initial business combination. Representatives of FS Development were contacted by, and representatives of FS Development contacted, numerous individuals, financial advisors and other entities who offered to present ideas for business combination opportunities. Our officers and directors and their affiliates also brought to our attention target business candidates.</w:t>
      </w:r>
    </w:p>
    <w:p>
      <w:pPr>
        <w:spacing w:after="0" w:line="94"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During this search process, FS Development reviewed business combination opportunities with potential target businesses in the biotechnology industry. Discussions with several of these potential target businesses progressed to discussions of material transaction terms, including valuation, and FS Development delivered non-binding indications of interest to the following five potential target businesses: Gemini, Company B, Company C, Company D and Company E.</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However, shortly after preliminary discussions and before any material discussion progressed, FS Development ceased discussions with Company B, Company C and Company D because each of these companies decided to pursue alternative strategic transactions. Further, by September 20, 2020, the date on which FS Development and Gemini reached agreement on a non-binding indication of interest and a mutual exclusivity agreement (as described below), FS Development ultimately determined to abandon its potential business combination opportunity with Company E because of, among other things: (a) the level of engagement by, and advanced negotiations and discussions with Gemini, as compared to Company E where engagement was more limited and negotiations and discussions did not progress as rapidly, although Gemini had yet to reach an agreement on key terms and conditions of a potential transaction; (b) Gemini’s willingness to enter into the non-binding indication of interest and the mutual exclusivity agreement discussed below on terms that FS Development’s directors and officers believed were attractive; and (c) the Board and FS Development officers’ belief, based on their preliminary evaluation and the terms of the non-binding indication of interest, that Gemini was the most attractive potential business combination target that met its key criteria in a target.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8" w:name="page109"/>
    <w:bookmarkEnd w:id="10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FS Development engaged White &amp; Case LLP as its counsel, Wilson Sonsini Goodrich &amp; Rosati as its intellectual property counsel and Jefferies LLC as its financial and capital markets advisor in connection with its business combination and engaged Jefferies LLC and SVB Leerink LLC as co-lead placement agents in connection with a related private placement.</w:t>
      </w:r>
    </w:p>
    <w:p>
      <w:pPr>
        <w:spacing w:after="0" w:line="100" w:lineRule="exact"/>
        <w:rPr>
          <w:sz w:val="20"/>
          <w:szCs w:val="20"/>
          <w:color w:val="auto"/>
        </w:rPr>
      </w:pPr>
    </w:p>
    <w:p>
      <w:pPr>
        <w:jc w:val="both"/>
        <w:ind w:left="920" w:right="939"/>
        <w:spacing w:after="0" w:line="260" w:lineRule="auto"/>
        <w:rPr>
          <w:sz w:val="20"/>
          <w:szCs w:val="20"/>
          <w:color w:val="auto"/>
        </w:rPr>
      </w:pPr>
      <w:r>
        <w:rPr>
          <w:rFonts w:ascii="Times New Roman" w:cs="Times New Roman" w:eastAsia="Times New Roman" w:hAnsi="Times New Roman"/>
          <w:sz w:val="16"/>
          <w:szCs w:val="16"/>
          <w:color w:val="auto"/>
        </w:rPr>
        <w:t>On August 18, 2020, Foresite Capital Fund V (“</w:t>
      </w:r>
      <w:r>
        <w:rPr>
          <w:rFonts w:ascii="Times New Roman" w:cs="Times New Roman" w:eastAsia="Times New Roman" w:hAnsi="Times New Roman"/>
          <w:sz w:val="16"/>
          <w:szCs w:val="16"/>
          <w:b w:val="1"/>
          <w:bCs w:val="1"/>
          <w:color w:val="auto"/>
        </w:rPr>
        <w:t>Fund V</w:t>
      </w:r>
      <w:r>
        <w:rPr>
          <w:rFonts w:ascii="Times New Roman" w:cs="Times New Roman" w:eastAsia="Times New Roman" w:hAnsi="Times New Roman"/>
          <w:sz w:val="16"/>
          <w:szCs w:val="16"/>
          <w:color w:val="auto"/>
        </w:rPr>
        <w:t>”), an affiliate of our Sponsor, was wall-crossed in connection with a potential private placement relating to a proposed business combination involving Gemini and Company A. Thereafter, representatives of Fund V and Gemini discussed Gemini’s business in relation to such potential private placement.</w:t>
      </w:r>
    </w:p>
    <w:p>
      <w:pPr>
        <w:spacing w:after="0" w:line="10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August 23, 2020, the Board held a special board meeting via video conference to discuss potential business combination opportunities.</w:t>
      </w:r>
    </w:p>
    <w:p>
      <w:pPr>
        <w:spacing w:after="0" w:line="7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On September 1, 2020, Gemini’s exclusivity agreement with Company A terminated, and on September 21, 2020, based on discussions of Gemini’s board of directors, Gemini terminated discussions with Company A regarding a potential business combination.</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On September 2, 2020, Gemini management contacted FS Development about its potential interest in a business combination transaction with Gemini. Thereafter, FS Development continued discussions regarding a potential business combination with Gemini and several other companies.</w:t>
      </w:r>
    </w:p>
    <w:p>
      <w:pPr>
        <w:spacing w:after="0" w:line="96"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On September 17, 2020, representatives of FS Development and Gemini held a teleconference to discuss a potential business combination. Thereafter, Jason Meyenburg, Chief Executive Officer of Gemini contacted Jim Tananbaum, Director, President and Chief Executive Officer of FS Development, and indicated that Gemini would be willing to consider a business combination at an enterprise value of at least $200 million. Thereafter, representatives of FS Development and Gemini continued to discuss the proposed valuation of Gemini. Having determined that a business combination with Gemini would be favorable for FS Development stockholders, in an industry in which FS Development was focused and possessed the growth and other financial attributes that FS Development intended to target at the time of the FS Development IPO, FS Development proposed in a non-binding indication of interest an enterprise value of Gemini of $215 million in order to secure exclusivity with Gemini. In addition, the non-binding indication of interest contained the following material terms: (1) issuance of an aggregate of 21,500,000 shares of FS Development Class A Common Stock (the “Share Cap”) at a valuation of $10.00 per share, (2) a proposed investment by an affiliate of FS Development of $45 million in a proposed private placement to close concurrently with the closing of the potential business combination, (3) disclosure of the amount in the Trust Account of approximately $121 million and (4) a proposal that the board of directors of the Combined Entity be comprised of seven (7) members to be drawn primarily from the current board of Gemini.</w:t>
      </w:r>
    </w:p>
    <w:p>
      <w:pPr>
        <w:spacing w:after="0" w:line="10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September 20, 2020, FS Development and Gemini entered into the non-binding indication of interest in the form submitted by FS Development and a mutual exclusivity agreement, and FS Development ceased contact with other potential target businesses in the biotechnology industry. On September 24, 2020, FS Development and Gemini entered into a confidentiality agreement regarding the sharing of information in order for FS Development to conduct due diligence on Gemini.</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On September 22, 2020, Gemini’s financial advisors informed potential private placement investors in connection with the potential business combination with Company A that wall-crossing restrictions were terminated.</w:t>
      </w:r>
    </w:p>
    <w:p>
      <w:pPr>
        <w:spacing w:after="0" w:line="9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Starting on September 24, 2020 until signing of the Merger Agreement, Gemini provided FS Development and its representatives with due diligence materials, including financial, clinical and regulatory information and representatives of FS Development and Gemini held telephonic conferences and virtual meetings to discuss the terms of the potential business combination, due diligence items and commercial and legal elements of Gemini’s business to assist FS Development and its advisors in assessing the enterprise valuation proposed by Gemini. During this time period, management of FS Development periodically updated members of the Board on the status and timing of discussions with Gemini, material transaction terms and due diligence items.</w:t>
      </w:r>
    </w:p>
    <w:p>
      <w:pPr>
        <w:spacing w:after="0" w:line="9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September 24, 2020, Goodwin Procter LLP, counsel to Gemini, delivered an initial draft of the Merger Agreement to White &amp; Case LLP, which provided for the repayment of the Convertible Notes by issuance of additional shares of FS Development Class A Common Stock above the Share Cap. Thereafter, the parties and their respective legal counsel negotiated the terms of the Merger Agreement and related documentation and agreements and exchanged several drafts of the Merger Agreement and related documentation and agreements.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9" w:name="page110"/>
    <w:bookmarkEnd w:id="10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parties also began preparing an investor presentation for meetings with certain targeted investors. FS Development and Gemini held investor meetings with potential investors in the PIPE Investment. All such investors were wall-crossed.</w:t>
      </w:r>
    </w:p>
    <w:p>
      <w:pPr>
        <w:spacing w:after="0" w:line="9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September 24, 2020 and September 25, 2020, representatives of FS Development held telephonic conferences with Gemini management to discuss due diligence items.</w:t>
      </w:r>
    </w:p>
    <w:p>
      <w:pPr>
        <w:spacing w:after="0" w:line="8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September 28, 2020, Dr. Tananbaum, Dr. Michael Rome, Director and Vice President of FS Development, and other members of management of FS Development met telephonically with representatives of White &amp; Case LLP to discuss material transaction terms and due diligence items. Later on September 28, 2020, Dr. Rome, Dr. Tananbaum and representatives of White &amp; Case LLP met telephonically with Gemini management and representatives of Goodwin Procter LLP to update parties on the status of the transaction.</w:t>
      </w:r>
    </w:p>
    <w:p>
      <w:pPr>
        <w:spacing w:after="0" w:line="9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September 29, 2020, management of FS Development met telephonically with management of Gemini to discuss additional clinical and regulatory due diligence items.</w:t>
      </w:r>
    </w:p>
    <w:p>
      <w:pPr>
        <w:spacing w:after="0" w:line="8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On September 29, October 1, October 6, and October 8, 2020, Dr. Rome, Dr. Tananbaum, other members of management of FS Development and representatives of Jefferies LLC and SVB Leerink LLC met telephonically with Gemini management to discuss the status of the PIPE Investment.</w:t>
      </w:r>
    </w:p>
    <w:p>
      <w:pPr>
        <w:spacing w:after="0" w:line="9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September 30, 2020, White &amp; Case LLP sent a revised draft of the Merger Agreement to Goodwin Procter LLP. The revised draft proposed, among other things, (i) changes relating to indemnification provisions, (ii) changes relating to allocation of purchase price, including repayment of the Convertible Notes out of the Share Cap, (iii) changes relating to treatment of options and warrants, and (iv) material changes to various representations, warranties and covenants.</w:t>
      </w:r>
    </w:p>
    <w:p>
      <w:pPr>
        <w:spacing w:after="0" w:line="90" w:lineRule="exact"/>
        <w:rPr>
          <w:sz w:val="20"/>
          <w:szCs w:val="20"/>
          <w:color w:val="auto"/>
        </w:rPr>
      </w:pPr>
    </w:p>
    <w:p>
      <w:pPr>
        <w:jc w:val="both"/>
        <w:ind w:left="920" w:right="939"/>
        <w:spacing w:after="0" w:line="277" w:lineRule="auto"/>
        <w:rPr>
          <w:sz w:val="20"/>
          <w:szCs w:val="20"/>
          <w:color w:val="auto"/>
        </w:rPr>
      </w:pPr>
      <w:r>
        <w:rPr>
          <w:rFonts w:ascii="Times New Roman" w:cs="Times New Roman" w:eastAsia="Times New Roman" w:hAnsi="Times New Roman"/>
          <w:sz w:val="15"/>
          <w:szCs w:val="15"/>
          <w:color w:val="auto"/>
        </w:rPr>
        <w:t>On October 3, 2020, Goodwin Procter LLP sent a revised draft of the Merger Agreement to White &amp; Case LLP. The revised draft proposed, among other things, (i) additional changes relating to indemnification provisions,</w:t>
      </w:r>
    </w:p>
    <w:p>
      <w:pPr>
        <w:spacing w:after="0" w:line="1" w:lineRule="exact"/>
        <w:rPr>
          <w:sz w:val="20"/>
          <w:szCs w:val="20"/>
          <w:color w:val="auto"/>
        </w:rPr>
      </w:pPr>
    </w:p>
    <w:p>
      <w:pPr>
        <w:jc w:val="both"/>
        <w:ind w:left="920" w:right="939" w:hanging="1"/>
        <w:spacing w:after="0" w:line="254" w:lineRule="auto"/>
        <w:tabs>
          <w:tab w:leader="none" w:pos="116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changes relating to allocation of purchase price, (iii) changes to closing conditions applicable to the parties and (iv) treating the Convertible Notes as a pre-funded investment by the holders of the Convertible Notes in the potential PIPE Investment.</w:t>
      </w:r>
    </w:p>
    <w:p>
      <w:pPr>
        <w:spacing w:after="0" w:line="10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On October 8, 2020, the Board held a special board meeting via video conference to discuss the potential business combination, commitments from investors in the potential PIPE Investment and support from existing and prospective stockholders.</w:t>
      </w:r>
    </w:p>
    <w:p>
      <w:pPr>
        <w:spacing w:after="0" w:line="9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Thereafter, final allocations for investors in the potential PIPE Investment were determined by the parties and the proposed investment by an affiliate of FS Development of $45 million was decreased to $15 million.</w:t>
      </w:r>
    </w:p>
    <w:p>
      <w:pPr>
        <w:spacing w:after="0" w:line="7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October 11, 2020, White &amp; Case LLP sent a further revised draft of the Merger Agreement to Goodwin Procter LLP. The revised draft (i) proposed, among other things, changes to closing conditions applicable to the parties and additional changes relating allocation of purchase price and (ii) reflected the agreement among the parties to repayment of the Convertible Notes out of the Share Cap and the board of directors of the Combined Entity would consist of seven (7) members, with the Sponsor entitled to nominate one such member.</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October 12, October 13, and October 14, 2020, management of FS Development met telephonically with management of Gemini to discuss clinical and other due diligence items.</w:t>
      </w:r>
    </w:p>
    <w:p>
      <w:pPr>
        <w:spacing w:after="0" w:line="8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October 12, 2020, the Board held a special board meeting via video conference to discuss the Business Combination and the terms of the definitive agreements. The Board was briefed on the terms of the Merger Agreement and related agreements and discussed the status of the proposed private placement. Following the discussions, the Board unanimously voted to approve the Business Combination with Gemini as well as the PIPE Investment. In approving the transactions, the Board determined that the aggregate fair market value of the proposed Business Combination was at least 80% of the assets held in the Trust Account (excluding the deferred underwriting commissions and taxes payable on the income earned on the Trust Account). On October 15, 2020, the Board executed a unanimous written consent approving the Merger Agreement and the transactions contemplated in the Business Combination.</w:t>
      </w:r>
    </w:p>
    <w:p>
      <w:pPr>
        <w:spacing w:after="0" w:line="9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From October 12, 2020 until the signing of the Merger Agreement, representatives of White &amp; Case LLP and Goodwin Procter LLP met telephonically to finalize the Merger Agreement and related documentation and agreements.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0" w:name="page111"/>
    <w:bookmarkEnd w:id="11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addition, prior to the signing of the Merger Agreement, FS Development held virtual meetings and follow-up phone calls with the existing stockholders of FS Development. This resulted in stockholders owning 2,742,529 shares of Class A Common Stock committing not to transfer or redeem their shares through the closing of the Business Combination. During this process, several existing investors requested the ability to purchase additional shares in the PIPE Investment.</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On October 15, 2020, the parties entered into the Merger Agreement and FS Development entered into the subscription agreements for the PIPE Investment. On October 15, 2020, the parties issued a press release announcing the Business Combination.</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Board’s Reasons for Approval of the Business Combination</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In particular, the Board considered the following positive factors, although not weighted or in any order of significance:</w:t>
      </w:r>
    </w:p>
    <w:p>
      <w:pPr>
        <w:spacing w:after="0" w:line="81" w:lineRule="exact"/>
        <w:rPr>
          <w:sz w:val="20"/>
          <w:szCs w:val="20"/>
          <w:color w:val="auto"/>
        </w:rPr>
      </w:pPr>
    </w:p>
    <w:p>
      <w:pPr>
        <w:jc w:val="both"/>
        <w:ind w:left="1680" w:right="939" w:hanging="379"/>
        <w:spacing w:after="0" w:line="253" w:lineRule="auto"/>
        <w:tabs>
          <w:tab w:leader="none" w:pos="1863"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6"/>
          <w:szCs w:val="16"/>
          <w:color w:val="auto"/>
        </w:rPr>
        <w:t>Gemini’s lead program, GEM103, targets a genetically-defined subset of age-related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macular degeneration (“</w:t>
      </w:r>
      <w:r>
        <w:rPr>
          <w:rFonts w:ascii="Times New Roman" w:cs="Times New Roman" w:eastAsia="Times New Roman" w:hAnsi="Times New Roman"/>
          <w:sz w:val="16"/>
          <w:szCs w:val="16"/>
          <w:b w:val="1"/>
          <w:bCs w:val="1"/>
          <w:color w:val="auto"/>
        </w:rPr>
        <w:t>AMD</w:t>
      </w:r>
      <w:r>
        <w:rPr>
          <w:rFonts w:ascii="Times New Roman" w:cs="Times New Roman" w:eastAsia="Times New Roman" w:hAnsi="Times New Roman"/>
          <w:sz w:val="16"/>
          <w:szCs w:val="16"/>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91" w:lineRule="exact"/>
        <w:rPr>
          <w:rFonts w:ascii="Times New Roman" w:cs="Times New Roman" w:eastAsia="Times New Roman" w:hAnsi="Times New Roman"/>
          <w:sz w:val="16"/>
          <w:szCs w:val="16"/>
          <w:color w:val="auto"/>
        </w:rPr>
      </w:pPr>
    </w:p>
    <w:p>
      <w:pPr>
        <w:jc w:val="both"/>
        <w:ind w:left="1680" w:right="939" w:hanging="379"/>
        <w:spacing w:after="0" w:line="253" w:lineRule="auto"/>
        <w:tabs>
          <w:tab w:leader="none" w:pos="1803"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Supporting Phase 1 study data in advanced dry AMD patients. </w:t>
      </w:r>
      <w:r>
        <w:rPr>
          <w:rFonts w:ascii="Times New Roman" w:cs="Times New Roman" w:eastAsia="Times New Roman" w:hAnsi="Times New Roman"/>
          <w:sz w:val="16"/>
          <w:szCs w:val="16"/>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6" w:lineRule="auto"/>
        <w:tabs>
          <w:tab w:leader="none" w:pos="1767"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Vast market opportunity in dry AMD. </w:t>
      </w:r>
      <w:r>
        <w:rPr>
          <w:rFonts w:ascii="Times New Roman" w:cs="Times New Roman" w:eastAsia="Times New Roman" w:hAnsi="Times New Roman"/>
          <w:sz w:val="16"/>
          <w:szCs w:val="16"/>
          <w:color w:val="auto"/>
        </w:rPr>
        <w:t>Third-party reports indicate there are approximately 16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01" w:lineRule="exact"/>
        <w:rPr>
          <w:rFonts w:ascii="Times New Roman" w:cs="Times New Roman" w:eastAsia="Times New Roman" w:hAnsi="Times New Roman"/>
          <w:sz w:val="16"/>
          <w:szCs w:val="16"/>
          <w:color w:val="auto"/>
        </w:rPr>
      </w:pPr>
    </w:p>
    <w:p>
      <w:pPr>
        <w:jc w:val="both"/>
        <w:ind w:left="1680" w:right="939" w:hanging="379"/>
        <w:spacing w:after="0" w:line="256" w:lineRule="auto"/>
        <w:tabs>
          <w:tab w:leader="none" w:pos="167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Potential to address an area of high unmet medical need. </w:t>
      </w:r>
      <w:r>
        <w:rPr>
          <w:rFonts w:ascii="Times New Roman" w:cs="Times New Roman" w:eastAsia="Times New Roman" w:hAnsi="Times New Roman"/>
          <w:sz w:val="16"/>
          <w:szCs w:val="16"/>
          <w:color w:val="auto"/>
        </w:rPr>
        <w:t>Dry AMD, Gemini’s lead indication,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89" w:lineRule="exact"/>
        <w:rPr>
          <w:rFonts w:ascii="Times New Roman" w:cs="Times New Roman" w:eastAsia="Times New Roman" w:hAnsi="Times New Roman"/>
          <w:sz w:val="16"/>
          <w:szCs w:val="16"/>
          <w:color w:val="auto"/>
        </w:rPr>
      </w:pPr>
    </w:p>
    <w:p>
      <w:pPr>
        <w:jc w:val="both"/>
        <w:ind w:left="1680" w:right="939" w:hanging="379"/>
        <w:spacing w:after="0" w:line="267" w:lineRule="auto"/>
        <w:tabs>
          <w:tab w:leader="none" w:pos="1815"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Proprietary screening. </w:t>
      </w:r>
      <w:r>
        <w:rPr>
          <w:rFonts w:ascii="Times New Roman" w:cs="Times New Roman" w:eastAsia="Times New Roman" w:hAnsi="Times New Roman"/>
          <w:sz w:val="16"/>
          <w:szCs w:val="16"/>
          <w:color w:val="auto"/>
        </w:rPr>
        <w:t>Gemini has a proprietary genetic screening process that enables it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identify genetically-defined dry AMD patients who may be most likely to benefit from GEM103. The Board believes this proprietary approach provides a competitive advantage to Gemini.</w:t>
      </w:r>
    </w:p>
    <w:p>
      <w:pPr>
        <w:spacing w:after="0" w:line="90" w:lineRule="exact"/>
        <w:rPr>
          <w:rFonts w:ascii="Times New Roman" w:cs="Times New Roman" w:eastAsia="Times New Roman" w:hAnsi="Times New Roman"/>
          <w:sz w:val="16"/>
          <w:szCs w:val="16"/>
          <w:color w:val="auto"/>
        </w:rPr>
      </w:pPr>
    </w:p>
    <w:p>
      <w:pPr>
        <w:jc w:val="both"/>
        <w:ind w:left="1680" w:right="939" w:hanging="379"/>
        <w:spacing w:after="0" w:line="258" w:lineRule="auto"/>
        <w:tabs>
          <w:tab w:leader="none" w:pos="1791" w:val="left"/>
        </w:tabs>
        <w:numPr>
          <w:ilvl w:val="0"/>
          <w:numId w:val="1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Multiple pipeline opportunities led by a Phase 2a clinical stage program. </w:t>
      </w:r>
      <w:r>
        <w:rPr>
          <w:rFonts w:ascii="Times New Roman" w:cs="Times New Roman" w:eastAsia="Times New Roman" w:hAnsi="Times New Roman"/>
          <w:sz w:val="16"/>
          <w:szCs w:val="16"/>
          <w:color w:val="auto"/>
        </w:rPr>
        <w:t>Gemini’s pipeline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1" w:name="page112"/>
    <w:bookmarkEnd w:id="11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spacing w:after="0" w:line="257" w:lineRule="auto"/>
        <w:rPr>
          <w:sz w:val="20"/>
          <w:szCs w:val="20"/>
          <w:color w:val="auto"/>
        </w:rPr>
      </w:pPr>
      <w:r>
        <w:rPr>
          <w:rFonts w:ascii="Times New Roman" w:cs="Times New Roman" w:eastAsia="Times New Roman" w:hAnsi="Times New Roman"/>
          <w:sz w:val="16"/>
          <w:szCs w:val="16"/>
          <w:color w:val="auto"/>
        </w:rPr>
        <w:t>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6"/>
          <w:szCs w:val="16"/>
          <w:b w:val="1"/>
          <w:bCs w:val="1"/>
          <w:color w:val="auto"/>
        </w:rPr>
        <w:t>anti-VEGF</w:t>
      </w:r>
      <w:r>
        <w:rPr>
          <w:rFonts w:ascii="Times New Roman" w:cs="Times New Roman" w:eastAsia="Times New Roman" w:hAnsi="Times New Roman"/>
          <w:sz w:val="16"/>
          <w:szCs w:val="16"/>
          <w:color w:val="auto"/>
        </w:rPr>
        <w:t>”) treated wet AMD with concomitant geographic atrophy.</w:t>
      </w:r>
    </w:p>
    <w:p>
      <w:pPr>
        <w:spacing w:after="0" w:line="98" w:lineRule="exact"/>
        <w:rPr>
          <w:sz w:val="20"/>
          <w:szCs w:val="20"/>
          <w:color w:val="auto"/>
        </w:rPr>
      </w:pPr>
    </w:p>
    <w:p>
      <w:pPr>
        <w:jc w:val="both"/>
        <w:ind w:left="1680" w:right="939" w:hanging="379"/>
        <w:spacing w:after="0" w:line="258" w:lineRule="auto"/>
        <w:tabs>
          <w:tab w:leader="none" w:pos="1755"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Diversified risk profile from multimodality approach. </w:t>
      </w:r>
      <w:r>
        <w:rPr>
          <w:rFonts w:ascii="Times New Roman" w:cs="Times New Roman" w:eastAsia="Times New Roman" w:hAnsi="Times New Roman"/>
          <w:sz w:val="16"/>
          <w:szCs w:val="16"/>
          <w:color w:val="auto"/>
        </w:rPr>
        <w:t>Gemini’s therapeutic candidates include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recombinant proteins, adeno-associated virus- (“</w:t>
      </w:r>
      <w:r>
        <w:rPr>
          <w:rFonts w:ascii="Times New Roman" w:cs="Times New Roman" w:eastAsia="Times New Roman" w:hAnsi="Times New Roman"/>
          <w:sz w:val="16"/>
          <w:szCs w:val="16"/>
          <w:b w:val="1"/>
          <w:bCs w:val="1"/>
          <w:color w:val="auto"/>
        </w:rPr>
        <w:t>AAV</w:t>
      </w:r>
      <w:r>
        <w:rPr>
          <w:rFonts w:ascii="Times New Roman" w:cs="Times New Roman" w:eastAsia="Times New Roman" w:hAnsi="Times New Roman"/>
          <w:sz w:val="16"/>
          <w:szCs w:val="16"/>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98"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67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Near-term catalysts. </w:t>
      </w:r>
      <w:r>
        <w:rPr>
          <w:rFonts w:ascii="Times New Roman" w:cs="Times New Roman" w:eastAsia="Times New Roman" w:hAnsi="Times New Roman"/>
          <w:sz w:val="16"/>
          <w:szCs w:val="16"/>
          <w:color w:val="auto"/>
        </w:rPr>
        <w:t>Gemini has initiated a Phase 2a trial of GEM103 in dry AMD and anticipates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6"/>
          <w:szCs w:val="16"/>
          <w:b w:val="1"/>
          <w:bCs w:val="1"/>
          <w:color w:val="auto"/>
        </w:rPr>
        <w:t>IND</w:t>
      </w:r>
      <w:r>
        <w:rPr>
          <w:rFonts w:ascii="Times New Roman" w:cs="Times New Roman" w:eastAsia="Times New Roman" w:hAnsi="Times New Roman"/>
          <w:sz w:val="16"/>
          <w:szCs w:val="16"/>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91" w:lineRule="exact"/>
        <w:rPr>
          <w:rFonts w:ascii="Times New Roman" w:cs="Times New Roman" w:eastAsia="Times New Roman" w:hAnsi="Times New Roman"/>
          <w:sz w:val="16"/>
          <w:szCs w:val="16"/>
          <w:color w:val="auto"/>
        </w:rPr>
      </w:pPr>
    </w:p>
    <w:p>
      <w:pPr>
        <w:ind w:left="1680" w:right="939" w:hanging="379"/>
        <w:spacing w:after="0" w:line="285" w:lineRule="auto"/>
        <w:tabs>
          <w:tab w:leader="none" w:pos="173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Experienced management team. </w:t>
      </w:r>
      <w:r>
        <w:rPr>
          <w:rFonts w:ascii="Times New Roman" w:cs="Times New Roman" w:eastAsia="Times New Roman" w:hAnsi="Times New Roman"/>
          <w:sz w:val="16"/>
          <w:szCs w:val="16"/>
          <w:color w:val="auto"/>
        </w:rPr>
        <w:t>The Board believes that Gemini has a proven and experienced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team that will effectively lead the company after the Business Combination.</w:t>
      </w:r>
    </w:p>
    <w:p>
      <w:pPr>
        <w:spacing w:after="0" w:line="76" w:lineRule="exact"/>
        <w:rPr>
          <w:rFonts w:ascii="Times New Roman" w:cs="Times New Roman" w:eastAsia="Times New Roman" w:hAnsi="Times New Roman"/>
          <w:sz w:val="16"/>
          <w:szCs w:val="16"/>
          <w:color w:val="auto"/>
        </w:rPr>
      </w:pPr>
    </w:p>
    <w:p>
      <w:pPr>
        <w:jc w:val="both"/>
        <w:ind w:left="1680" w:right="939" w:hanging="379"/>
        <w:spacing w:after="0" w:line="267" w:lineRule="auto"/>
        <w:tabs>
          <w:tab w:leader="none" w:pos="183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Backed by top-tier healthcare investors. </w:t>
      </w:r>
      <w:r>
        <w:rPr>
          <w:rFonts w:ascii="Times New Roman" w:cs="Times New Roman" w:eastAsia="Times New Roman" w:hAnsi="Times New Roman"/>
          <w:sz w:val="16"/>
          <w:szCs w:val="16"/>
          <w:color w:val="auto"/>
        </w:rPr>
        <w:t>Gemini’s existing investors include Atlas Venture,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Lightstone Ventures, OrbiMed, and Wu Capital, which the Board believes provides additional validation to Gemini’s clinical and business strategies.</w:t>
      </w:r>
    </w:p>
    <w:p>
      <w:pPr>
        <w:spacing w:after="0" w:line="90" w:lineRule="exact"/>
        <w:rPr>
          <w:rFonts w:ascii="Times New Roman" w:cs="Times New Roman" w:eastAsia="Times New Roman" w:hAnsi="Times New Roman"/>
          <w:sz w:val="16"/>
          <w:szCs w:val="16"/>
          <w:color w:val="auto"/>
        </w:rPr>
      </w:pPr>
    </w:p>
    <w:p>
      <w:pPr>
        <w:jc w:val="both"/>
        <w:ind w:left="1680" w:right="939" w:hanging="379"/>
        <w:spacing w:after="0" w:line="267" w:lineRule="auto"/>
        <w:tabs>
          <w:tab w:leader="none" w:pos="1827"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Financial analysis conducted by FS Development. </w:t>
      </w:r>
      <w:r>
        <w:rPr>
          <w:rFonts w:ascii="Times New Roman" w:cs="Times New Roman" w:eastAsia="Times New Roman" w:hAnsi="Times New Roman"/>
          <w:sz w:val="16"/>
          <w:szCs w:val="16"/>
          <w:color w:val="auto"/>
        </w:rPr>
        <w:t>The financial analysis conducted by FS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Development’s management team and reviewed by the Board supported the equity valuation of Gemini.</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Summary of FS Development Financial Analysis</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following is a summary of the material financial analyses prepared by FS Development and reviewed by the Board in connection with the valuation of Gemini. The summary set forth below does not purport to be a complete description of the financial analyses performed or factors considered by FS Development. FS Development may have deemed various assumptions more or less probable than other assumptions.</w:t>
      </w:r>
    </w:p>
    <w:p>
      <w:pPr>
        <w:spacing w:after="0" w:line="102" w:lineRule="exact"/>
        <w:rPr>
          <w:sz w:val="20"/>
          <w:szCs w:val="20"/>
          <w:color w:val="auto"/>
        </w:rPr>
      </w:pPr>
    </w:p>
    <w:p>
      <w:pPr>
        <w:jc w:val="both"/>
        <w:ind w:left="920" w:right="939"/>
        <w:spacing w:after="0" w:line="273" w:lineRule="auto"/>
        <w:rPr>
          <w:sz w:val="20"/>
          <w:szCs w:val="20"/>
          <w:color w:val="auto"/>
        </w:rPr>
      </w:pPr>
      <w:r>
        <w:rPr>
          <w:rFonts w:ascii="Times New Roman" w:cs="Times New Roman" w:eastAsia="Times New Roman" w:hAnsi="Times New Roman"/>
          <w:sz w:val="15"/>
          <w:szCs w:val="15"/>
          <w:color w:val="auto"/>
        </w:rPr>
        <w:t>None of Gemini, FS Development,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Gemini do not purport to be appraisals or reflect the prices at which Gemini shares may actually be valued or trade in the open market after the consummation of the Business Combination. Accordingly, the assumptions and estimates used in, and the results derived from, the financial analyses are inherently subject to substantial uncertainty. The following quantitative information, to the extent that it is based on market data, is not necessarily indicative of current market conditions.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Trading Comparables</w:t>
      </w:r>
    </w:p>
    <w:p>
      <w:pPr>
        <w:spacing w:after="0" w:line="141" w:lineRule="exact"/>
        <w:rPr>
          <w:sz w:val="20"/>
          <w:szCs w:val="20"/>
          <w:color w:val="auto"/>
        </w:rPr>
      </w:pPr>
    </w:p>
    <w:p>
      <w:pPr>
        <w:jc w:val="both"/>
        <w:ind w:left="920" w:right="939"/>
        <w:spacing w:after="0" w:line="282" w:lineRule="auto"/>
        <w:rPr>
          <w:sz w:val="20"/>
          <w:szCs w:val="20"/>
          <w:color w:val="auto"/>
        </w:rPr>
      </w:pPr>
      <w:r>
        <w:rPr>
          <w:rFonts w:ascii="Times New Roman" w:cs="Times New Roman" w:eastAsia="Times New Roman" w:hAnsi="Times New Roman"/>
          <w:sz w:val="15"/>
          <w:szCs w:val="15"/>
          <w:color w:val="auto"/>
        </w:rPr>
        <w:t>In connection with the valuation of Gemini, FS Development reviewed certain financial information of certain publicly traded companies selected based on the experience and the professional judgment of FS Development’s directors and officers. In connection with its analysis, FS Development reviewed certain financial information of Gemini, such as its current balance sheet, expected cash needs, financing history and equity capitalization.</w:t>
      </w:r>
    </w:p>
    <w:p>
      <w:pPr>
        <w:spacing w:after="0" w:line="7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FS Development considered certain financial and operating data of IVERIC bio and Apellis Pharmaceuticals, each a publicly traded company that is developing an injectable complement therapy for geographic atrophy (the “Trading Comparables”).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2" w:name="page113"/>
    <w:bookmarkEnd w:id="11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None of the Trading Comparables has characteristics identical to Gemini. The Trading Comparables were selected because they have a comparable drug mechanism of action, comparable structures or comparable target indications. FS Development made qualitative judgments, based on the experience and professional judgment of its directors and officers, concerning differences between the operational, business and/or financial characteristics of Gemini and the Trading Comparables.</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FS Development reviewed the market capitalization of each of the Trading Comparables, which FS Development management deemed relevant based on its professional judgment and expertise.</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Trading Comparables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1"/>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21"/>
                <w:szCs w:val="21"/>
                <w:color w:val="auto"/>
              </w:rPr>
            </w:pPr>
          </w:p>
        </w:tc>
        <w:tc>
          <w:tcPr>
            <w:tcW w:w="2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Stage of Lead Comparable Program</w:t>
            </w:r>
          </w:p>
        </w:tc>
        <w:tc>
          <w:tcPr>
            <w:tcW w:w="140" w:type="dxa"/>
            <w:vAlign w:val="bottom"/>
          </w:tcPr>
          <w:p>
            <w:pPr>
              <w:spacing w:after="0"/>
              <w:rPr>
                <w:sz w:val="21"/>
                <w:szCs w:val="21"/>
                <w:color w:val="auto"/>
              </w:rPr>
            </w:pPr>
          </w:p>
        </w:tc>
        <w:tc>
          <w:tcPr>
            <w:tcW w:w="96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Market Cap</w:t>
            </w:r>
          </w:p>
        </w:tc>
      </w:tr>
      <w:tr>
        <w:trPr>
          <w:trHeight w:val="42"/>
        </w:trPr>
        <w:tc>
          <w:tcPr>
            <w:tcW w:w="3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1"/>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IVERIC</w:t>
            </w:r>
          </w:p>
        </w:tc>
        <w:tc>
          <w:tcPr>
            <w:tcW w:w="10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Phase 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5"/>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Apellis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Phase 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r>
    </w:tbl>
    <w:p>
      <w:pPr>
        <w:spacing w:after="0" w:line="17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FS Development conducted a comparative analysis between Gemini and the Trading Comparables and determined that an implied enterprise value for Gemini of $215 million was at a discount to each of the market capitalizations of the Trading Comparables.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Other Considerations</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 addition, FS Development’s management team considered the financing that would be required in connection with the Business Combination and determined that the PIPE Investment was sized such that, together with the expected cash from FS Development’s trust account (assuming no redemptions), Gemini’s research and development programs would be expected to be funded through 2022.</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Merger Agreement</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Times New Roman" w:cs="Times New Roman" w:eastAsia="Times New Roman" w:hAnsi="Times New Roman"/>
          <w:sz w:val="16"/>
          <w:szCs w:val="16"/>
          <w:i w:val="1"/>
          <w:iCs w:val="1"/>
          <w:u w:val="single" w:color="auto"/>
          <w:color w:val="auto"/>
        </w:rPr>
        <w:t>Annex A</w:t>
      </w:r>
      <w:r>
        <w:rPr>
          <w:rFonts w:ascii="Times New Roman" w:cs="Times New Roman" w:eastAsia="Times New Roman" w:hAnsi="Times New Roman"/>
          <w:sz w:val="16"/>
          <w:szCs w:val="16"/>
          <w:color w:val="auto"/>
        </w:rPr>
        <w:t xml:space="preserve"> hereto, which is incorporated herein by reference.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10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Merger Agreement contains representations, warranties and covenants that the respective parties made to each other as of the date of the Merger Agreement or other specific dates, which may be updated prior to the Closing.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Acquisition of Gemini; Merger Consideration</w:t>
      </w:r>
    </w:p>
    <w:p>
      <w:pPr>
        <w:spacing w:after="0" w:line="141"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Upon the Closing, Merger Sub will merge with and into Gemini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with Gemini surviving the Merger as a wholly owned subsidiary of FS Development.</w:t>
      </w:r>
    </w:p>
    <w:p>
      <w:pPr>
        <w:spacing w:after="0" w:line="8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As a result of the Business Combination, subject to potential reduction for indemnification claims as described below, an aggregate number of shares equal to the Closing Payment Shares will be issued (or reserved for issuance pursuant to currently exercisable options or warrants) in respect of shares of Gemini capital stock, and options and warrants to purchase shares of Gemini capital stock, in each case, issued and outstanding immediately prior to the Closing. Each holder of Gemini Stock will receive its Pro Rata Portion of the Merger Consideration.</w:t>
      </w:r>
    </w:p>
    <w:p>
      <w:pPr>
        <w:spacing w:after="0" w:line="9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parties agreed that immediately following the closing of the Business Combination, the Combined Entity’s board of directors will consist of no more than seven directors, one of which will be designated by the Sponsor and six of which will be designated by Gemini.</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3" w:name="page114"/>
    <w:bookmarkEnd w:id="11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Stockholder Approval</w:t>
      </w:r>
    </w:p>
    <w:p>
      <w:pPr>
        <w:spacing w:after="0" w:line="13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Prior to the Closing, the affirmative vote of holders of a majority of the votes cast of FS Development Common Stock, voting together as a single class, at a stockholder’s meeting (at which there is a quorum) must approve the transactions contemplated by the Merger Agreement (the “</w:t>
      </w:r>
      <w:r>
        <w:rPr>
          <w:rFonts w:ascii="Times New Roman" w:cs="Times New Roman" w:eastAsia="Times New Roman" w:hAnsi="Times New Roman"/>
          <w:sz w:val="16"/>
          <w:szCs w:val="16"/>
          <w:b w:val="1"/>
          <w:bCs w:val="1"/>
          <w:color w:val="auto"/>
        </w:rPr>
        <w:t>Stockholder Approval</w:t>
      </w:r>
      <w:r>
        <w:rPr>
          <w:rFonts w:ascii="Times New Roman" w:cs="Times New Roman" w:eastAsia="Times New Roman" w:hAnsi="Times New Roman"/>
          <w:sz w:val="16"/>
          <w:szCs w:val="16"/>
          <w:color w:val="auto"/>
        </w:rPr>
        <w:t>”). In connection with obtaining the Stockholder Approval, FS Development must call a special meeting of its common stockholders and must prepare and file with the SEC a Proxy Statement on Schedule 14A, which will be mailed to all stockholders entitled to vote at the meeting.</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Representations and Warranties</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In the Merger Agreement, Gemini makes certain representations and warranties (with certain exceptions set forth in the disclosure schedule to the Merger Agreement) relating to, among other things:</w:t>
      </w:r>
    </w:p>
    <w:p>
      <w:pPr>
        <w:spacing w:after="0" w:line="85" w:lineRule="exact"/>
        <w:rPr>
          <w:sz w:val="20"/>
          <w:szCs w:val="20"/>
          <w:color w:val="auto"/>
        </w:rPr>
      </w:pPr>
    </w:p>
    <w:p>
      <w:pPr>
        <w:jc w:val="both"/>
        <w:ind w:left="1680" w:right="939" w:hanging="379"/>
        <w:spacing w:after="0" w:line="259" w:lineRule="auto"/>
        <w:tabs>
          <w:tab w:leader="none" w:pos="167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corporate organization, qualification to do business in each jurisdiction in which its properties are owned or leased by it or the operation of its business as currently conducted, good standing and corporate power required to own and operate its properties and assets and to carry out the business as presently conducted and as proposed to be conducted;</w:t>
      </w:r>
    </w:p>
    <w:p>
      <w:pPr>
        <w:spacing w:after="0" w:line="90"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91"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having requisite corporate authority to enter into the Merger Agreement and to complete the Business Combination;</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67"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conflicts with its organizational documents, applicable laws or certain agreements and instruments as a result of entering into the Merger Agreement or consummating the Business Combination;</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15"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required consents and approvals that Gemini must obtain for the Merger Agreement and to consummate the Business Combination;</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887"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capital structure, including with respect to (i) the duly authorized and validly issued and outstanding shares of capital stock of Gemini; (ii) common stock reserved for issuance under its outstanding unexercised options and equity incentive plans; (iii) warrants to purchase shares of Gemini Series A Preferred Stock; and (iv) additional matters with respect to its options;</w:t>
      </w:r>
    </w:p>
    <w:p>
      <w:pPr>
        <w:spacing w:after="0" w:line="10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its corporate records, including the approvals of its board of directors, including all committees thereof, stockholders, and all consents to actions taken thereby;</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has no subsidiaries;</w:t>
      </w:r>
    </w:p>
    <w:p>
      <w:pPr>
        <w:spacing w:after="0" w:line="126"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67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financial statements for the periods ended December 31, 2018, December 31, 2019 and the six month period ended June 30, 2020 fairly present, in all material respects, the financial position of Gemini as of the dates thereof and the results of operations of Gemini for the periods reflected therein, and have been prepared in conformity with U.S. GAAP applied on a consistent basis and in accordance with the requirements of the Public Company Accounting Oversight Board for public companies;</w:t>
      </w:r>
    </w:p>
    <w:p>
      <w:pPr>
        <w:spacing w:after="0" w:line="105" w:lineRule="exact"/>
        <w:rPr>
          <w:rFonts w:ascii="Times New Roman" w:cs="Times New Roman" w:eastAsia="Times New Roman" w:hAnsi="Times New Roman"/>
          <w:sz w:val="16"/>
          <w:szCs w:val="16"/>
          <w:color w:val="auto"/>
        </w:rPr>
      </w:pPr>
    </w:p>
    <w:p>
      <w:pPr>
        <w:jc w:val="both"/>
        <w:ind w:left="1680" w:right="939" w:hanging="379"/>
        <w:spacing w:after="0" w:line="252" w:lineRule="auto"/>
        <w:tabs>
          <w:tab w:leader="none" w:pos="169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its maintenance of proper financial books and records in all material respects in accordance with reasonable business practices, which accurately and fairly, in reasonable detail, reflect the transactions and dispositions of assets of and providing services by Gemini, and (ii) its proper internal controls over accounting which are sufficient to provide reasonable assurance that (A) transactions are executed in accordance with management’s general or specific authorizations; (B) transactions are recorded as necessary to permit preparation of financial statements in conformity with Gemini’s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11"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44"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each of its material contracts (i) is a valid and binding agreement, (ii) in full force and effect and (iii) enforceable by the parties thereto, and there are no known breaches of such materials contracts;</w:t>
      </w:r>
    </w:p>
    <w:p>
      <w:pPr>
        <w:spacing w:after="0" w:line="83"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3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Gemini has all material necessary permits and licenses to conduct its business (ii) all such permits are valid and in full force and effect, and (iii) additional matters relating to such permits including with respect to the absence of breaches or violations of default;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4" w:name="page115"/>
    <w:bookmarkEnd w:id="11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right="939" w:hanging="379"/>
        <w:spacing w:after="0" w:line="280" w:lineRule="auto"/>
        <w:tabs>
          <w:tab w:leader="none" w:pos="173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in compliance with all applicable laws, including, without limitation, those relating to foreign corrupt practices, sanctions, money laundering and environmental matters;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23"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pending litigation against Gemini or its officers or directors or action with any governmental authority that would challenge the Merger Agreement or the Business Combination;</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good and marketable title to the tangible assets and properties it owns or leases;</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compliance in all material respects with rules and regulations of the FDA, other regulatory matters and all applicable healthcare laws;</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9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ownership or appropriate licenses to use intellectual property used in its business, including with respect to the absence of rights of third parties to any of its intellectual property rights, and any infringement by a third party of Gemini’s intellectual property rights;</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947"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matters related to its employees as well as its compliance with applicable laws related to employment matters, proper tax withholding and employee benefit plans, including with respect to ERISA and tax matters relating thereto;</w:t>
      </w:r>
    </w:p>
    <w:p>
      <w:pPr>
        <w:spacing w:after="0" w:line="83" w:lineRule="exact"/>
        <w:rPr>
          <w:rFonts w:ascii="Times New Roman" w:cs="Times New Roman" w:eastAsia="Times New Roman" w:hAnsi="Times New Roman"/>
          <w:sz w:val="16"/>
          <w:szCs w:val="16"/>
          <w:color w:val="auto"/>
        </w:rPr>
      </w:pPr>
    </w:p>
    <w:p>
      <w:pPr>
        <w:jc w:val="both"/>
        <w:ind w:left="1680" w:right="939" w:hanging="379"/>
        <w:spacing w:after="0" w:line="267" w:lineRule="auto"/>
        <w:tabs>
          <w:tab w:leader="none" w:pos="172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various matters related to taxes, including that (i) Gemini has duly and timely filed all material tax returns, which are true, correct and complete and accurate in all material respects; (ii) there is no action with respect to taxes of Gemini in the past five years; (iii) no statute of limitations in respect of the assessment or collection of any taxes of Gemini has been waived or extended, which waiver or extension is in effect and Gemini is not presently contesting the tax liability before any taxing authority or other authority; (iv) Gemini has complied in all respects with all applicable laws relating to the reporting, payment, collection and withholding of taxes and has duly and timely withheld or collected, paid over to the applicable taxing authority and reported all taxes required to be withheld or collected by Gemini, (v) no stock transfer tax, sales tax, use tax, real estate transfer tax or other similar tax will be imposed on the transfer of the shares of Gemini common stock by Gemini Stockholders to FS Development pursuant to the Merger Agreement; (vi) there is no outstanding request for a ruling from any taxing authority, request for consent by a taxing authority for a change in a method of accounting, subpoena or request for information by any taxing authority or agreement with any taxing authority with respect to Gemini; (vii) there is no lien (other than certain permitted liens specified in the Merger Agreement) for taxes upon Gemini or any of the assets of Gemini; (viii) no claim has ever been made by a taxing authority in a jurisdiction where Gemini has not paid any tax or filed tax returns, asserting that Gemini is or may be subject to tax in such jurisdiction, Gemini is not nor has it ever been subject to tax in any country other than the country of incorporation of Gemini by virtue of having a permanent establishment or other place of business in that country, and Gemini is and has always been tax resident solely in its country of incorporation; (ix) Gemini has provided to FS Development true, complete and correct copies of all tax returns relating to, and all audit reports and correspondence relating to each proposed adjustment, if any, made by any taxing authority with respect to, any taxable period ending after December 31, 2015; (x) Gemini is not, and has never been, a party to any tax sharing, allocation, indemnification or similar contract; (xi) Gemini has not taken any action, and is not aware of any fact or circumstances, that would reasonably be expected to prevent the Business Combination from qualifying as a “reorganization” within the meaning of Section 368(a) of the Code; and (xii) Gemini is not a “United States real property holding corporation” within the meaning of Section 897(c)(2) of the Code at any time during the five-year period before the Closing Date;</w:t>
      </w:r>
    </w:p>
    <w:p>
      <w:pPr>
        <w:spacing w:after="0" w:line="303" w:lineRule="exact"/>
        <w:rPr>
          <w:rFonts w:ascii="Times New Roman" w:cs="Times New Roman" w:eastAsia="Times New Roman" w:hAnsi="Times New Roman"/>
          <w:sz w:val="15"/>
          <w:szCs w:val="15"/>
          <w:color w:val="auto"/>
        </w:rPr>
      </w:pPr>
    </w:p>
    <w:p>
      <w:pPr>
        <w:jc w:val="both"/>
        <w:ind w:left="1680" w:right="939" w:hanging="379"/>
        <w:spacing w:after="0" w:line="265" w:lineRule="auto"/>
        <w:tabs>
          <w:tab w:leader="none" w:pos="167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disclosed by Gemini, no investment banker, broker, finder or other intermediary which has been retained by or is authorized to act on behalf of Gemini and its affiliates will be entitled to any fee or commissions from Gemini upon consummation of the Business Combination;</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related party transactions other than those that Gemini has disclosed;</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maintenance of proper insurance policies;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customary representations and warranties.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5" w:name="page116"/>
    <w:bookmarkEnd w:id="11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Certain of these representations and warranties are qualified as to “materiality” or “material adverse effect”. Material Adverse Effect with respect to Gemini means a material adverse change or a material adverse effect upon the assets, liabilities, financial condition, net worth, management, earnings, cash flows, business, operations or properties of Gemini and its business, subject to customary exceptions.</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In the Merger Agreement, FS Development makes certain representations and warranties relating to, among other things:</w:t>
      </w:r>
    </w:p>
    <w:p>
      <w:pPr>
        <w:spacing w:after="0" w:line="85" w:lineRule="exact"/>
        <w:rPr>
          <w:sz w:val="20"/>
          <w:szCs w:val="20"/>
          <w:color w:val="auto"/>
        </w:rPr>
      </w:pPr>
    </w:p>
    <w:p>
      <w:pPr>
        <w:ind w:left="1680" w:hanging="379"/>
        <w:spacing w:after="0"/>
        <w:tabs>
          <w:tab w:leader="none" w:pos="16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proper corporate organization and similar corporate matters;</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authorization, execution, delivery and enforceability of the Merger Agreement and other transaction documents;</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96"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disclosed by FS Development, no investment banker, broker, finder or other intermediary which has been retained by or is authorized to act on behalf of FS Development and its affiliates will be entitled to any fee or commissions from Gemini upon consummation of the Business Combination;</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75" w:lineRule="auto"/>
        <w:tabs>
          <w:tab w:leader="none" w:pos="1672"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capital structure, including with respect to the duly authorized and validly issued and outstanding shares of capital stock of FS Development and Merger Sub; (ii) absence of any other shares of capital stock or other voting securities of FS Development that are issued, reserved for issuance or outstanding; and (iii) except as disclosed by FS Development’s organizational documents, there are no outstanding contractual obligations of FS Development to repurchase, redeem or otherwise acquire any shares of FS Development Common Stock or any capital equity of FS Development;</w:t>
      </w:r>
    </w:p>
    <w:p>
      <w:pPr>
        <w:spacing w:after="0" w:line="80" w:lineRule="exact"/>
        <w:rPr>
          <w:rFonts w:ascii="Times New Roman" w:cs="Times New Roman" w:eastAsia="Times New Roman" w:hAnsi="Times New Roman"/>
          <w:sz w:val="15"/>
          <w:szCs w:val="15"/>
          <w:color w:val="auto"/>
        </w:rPr>
      </w:pPr>
    </w:p>
    <w:p>
      <w:pPr>
        <w:ind w:left="1680" w:hanging="379"/>
        <w:spacing w:after="0"/>
        <w:tabs>
          <w:tab w:leader="none" w:pos="16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validity of its share issuance;</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trust fund amount at Closing, including the validity of the trust agreement;</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50" w:lineRule="auto"/>
        <w:tabs>
          <w:tab w:leader="none" w:pos="1791"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various matters related to taxes, including that (i) FS Development has duly and timely filed all material tax returns, which are true, correct and complete and accurate in all material respects; (ii) no statute of limitations in respect of the assessment or collection of any taxes of FS Development has been waived or extended, which waiver or extension is in effect, and FS Development is not presently contesting the tax liability before any taxing authority or other authority; (iii) there is no action with respect to taxes of FS Development in the past five years; (iv) FS Development has complied in all respects with all applicable laws relating to the reporting, payment, collection and withholding of taxes and has duly and timely withheld or collected, paid over to the applicable taxing authority and reported all taxes required to be withheld or collected by FS Development; (v) there is no lien (other than certain permitted liens specified in the Merger Agreement) for taxes upon FS Development or any of the assets of FS Development; (vi) no claim has ever been made by a taxing authority in a jurisdiction where FS Development has not paid any tax or filed tax returns, asserting that FS Development is or may be subject to tax in such jurisdiction, FS Development is not nor has it ever been subject to tax in any country other than the country of incorporation of FS Development by virtue of having a permanent establishment or other place of business in that country, and FS Development is and has always been tax resident solely in its country of incorporation; (vii) FS Development has provided to Gemini true, complete and correct copies of all tax returns (if any) relating to, and all audit reports and correspondence relating to each proposed adjustment (if any) made by any taxing authority with respect to, any taxable period ending after December 31, 2020; (viii) there is no outstanding power of attorney from FS Development authorizing anyone to act on behalf of FS Development in connection with any tax, tax return or action relating to any tax or tax return of FS Development; (ix) FS Development is not, and has never been, a party to any tax sharing, allocation, indemnification or similar contract; (x) FS Development has not taken any action, and is not aware of any fact or circumstances, that would reasonably be expected to prevent the Business Combination from qualifying as a “reorganization” within the meaning of Section 368(a) of the Code; and (xi) FS Development is not a “United States real property holding corporation” within the meaning of Section 897(c)(2) of the Code at any time during the five-year period before the Closing Date;</w:t>
      </w:r>
    </w:p>
    <w:p>
      <w:pPr>
        <w:spacing w:after="0" w:line="10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listing of FS Development Class A Common Stock, with trading ticker “FSDC”; 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6" w:name="page117"/>
    <w:bookmarkEnd w:id="11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5" w:lineRule="auto"/>
        <w:tabs>
          <w:tab w:leader="none" w:pos="1803"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filing requirements, including that FS Development has filed all forms, reports, schedules, statements and other documents, including any exhibits thereto, required to be filed or furnished by FS Development with the SEC since FS Development’s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the Merger Agreement.</w:t>
      </w:r>
    </w:p>
    <w:p>
      <w:pPr>
        <w:spacing w:after="0" w:line="106"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FS Development and Gemini,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FS Development, Gemini or any of their respective subsidiaries or affiliates. Moreover, information concerning the subject matter of the representations, warranties and covenants may change after the date of the Merger Agreement. To the extent that prior to the effective date of this proxy statement/prospectus, material information that contradicts the representations, warranties, and covenants in the Merger Agreement has come to our attention, we have provided corrective disclosure in this proxy statement/prospectus. Furthermore, if subsequent to the effective date of this proxy statement/prospectus, material information concerning the subject matter of the representations, warranties, and covenants in the Merger Agreement comes to our attention and such information has not been previously disclosed in our public filings, our public filings will be updated to include any material information necessary to provide our stockholders with a materially complete understanding of the disclosures in the Merger Agreement.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Conduct Prior to Closing; Covenants</w:t>
      </w:r>
    </w:p>
    <w:p>
      <w:pPr>
        <w:spacing w:after="0" w:line="143"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Merger Agreement contains certain customary covenants of FS Development and Gemini, including, among others, each of FS Development and Gemini having agreed to (i) operate its business in the ordinary course prior to the closing of the Business Combination (with certain exceptions) and (ii) use its commercially reasonable efforts to preserve intact its business relationships with employees, clients, suppliers, contract manufacturing organizations, contract research organizations and other third parties. Each party has also agreed not to take certain specified actions without the prior written consent of the other party.</w:t>
      </w:r>
    </w:p>
    <w:p>
      <w:pPr>
        <w:spacing w:after="0" w:line="94"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In addition, FS Development has agreed to adopt the Equity Incentive Plan as described elsewhere in this proxy statement/prospectus.</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Conditions to Closing</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General Conditions</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obligation of FS Development and Gemini to consummate the Business Combination is conditioned on, among other things, any one or more of which may be waived in writing by all of such parties, (a) the absence of any order, stay, judgment or decree by any government agency restraining or prohibiting or imposing any condition on the closing of the Business Combination; (b) all necessary governmental approvals having been obtained; (c) the absence of any litigation brought by a governmental agency seeking to enjoin or otherwise restrict the Closing; (d) FS Development shall not have redeemed Public Shares in an amount that would cause it to have net tangible assets of less than $5,000,001; (e) FS Development shall have obtained the approval of its stockholders on the Merger Agreement and the Business Combination and the proposals set forth in this proxy statement/prospectus shall have been approved at the Special Meeting, or any adjournment thereof; and (f) Gemini shall have obtained the approval of its stockholders on the Merger Agreement and the Business Combination. FS Development and Gemini have waived the condition that the bylaws of the Combined Entity be approved by the stockholders of FS Development.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7" w:name="page118"/>
    <w:bookmarkEnd w:id="11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Gemini’s Conditions to Closing</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obligations of Gemini to consummate the transactions contemplated by the Merger Agreement, in addition to the conditions described above, are conditioned upon, among other things, each of the following, any one or more of which may be waived by Gemini:</w:t>
      </w:r>
    </w:p>
    <w:p>
      <w:pPr>
        <w:spacing w:after="0" w:line="96" w:lineRule="exact"/>
        <w:rPr>
          <w:sz w:val="20"/>
          <w:szCs w:val="20"/>
          <w:color w:val="auto"/>
        </w:rPr>
      </w:pPr>
    </w:p>
    <w:p>
      <w:pPr>
        <w:jc w:val="both"/>
        <w:ind w:left="1680" w:right="939" w:hanging="379"/>
        <w:spacing w:after="0" w:line="259" w:lineRule="auto"/>
        <w:tabs>
          <w:tab w:leader="none" w:pos="1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and Merger Sub shall each have duly performed or complied with, in all material respects, all of its respective obligations under the Merger Agreement required to be performed or complied with (without giving effect to any materiality or similar qualifiers contained therein) by FS Development or Merger Sub, as applicable, at or prior to the Closing Date.</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70" w:lineRule="auto"/>
        <w:tabs>
          <w:tab w:leader="none" w:pos="1767"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FS Development and Merger Sub contained in the Merger Agreement (disregarding all qualifications contained therein relating to materiality or Material Adverse Effect (as defined in the Merger Agreement)), other than the representations and warranties of FS Development and Merger Sub regarding corporate existence and power, authorization and finder’s fees, shall have been true and correct as of the date of the Merger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FS Development or on FS Development’s ability to consummate the transactions contemplated by the Merger Agreement and other specified agreements.</w:t>
      </w:r>
    </w:p>
    <w:p>
      <w:pPr>
        <w:spacing w:after="0" w:line="88" w:lineRule="exact"/>
        <w:rPr>
          <w:rFonts w:ascii="Times New Roman" w:cs="Times New Roman" w:eastAsia="Times New Roman" w:hAnsi="Times New Roman"/>
          <w:sz w:val="15"/>
          <w:szCs w:val="15"/>
          <w:color w:val="auto"/>
        </w:rPr>
      </w:pPr>
    </w:p>
    <w:p>
      <w:pPr>
        <w:jc w:val="both"/>
        <w:ind w:left="1680" w:right="939" w:hanging="379"/>
        <w:spacing w:after="0" w:line="254" w:lineRule="auto"/>
        <w:tabs>
          <w:tab w:leader="none" w:pos="1899"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FS Development and Merger Sub regarding corporate existence and power, authorization and finder’s fees (disregarding all qualifications and exceptions contained therein relating to materiality or Material Adverse Effect) shall have been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0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Charter shall have been filed with, and declared effective by, the Delaware Secretary of State.</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composition of the post-Closing board of directors shall have been appointed as set forth in Section 2.7 of the Merger Agreement.</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03"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Transaction Proceeds (as defined in the Merger Agreement) shall be equal to or greater than $170,000,000.</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887"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Development’s initial listing application with Nasdaq in connection with the transactions contemplated by the Merger Agreement shall have been conditionally approved and, immediately following the Effective Time, FS Development shall satisfy any applicable initial and continuing listing requirements of Nasdaq, and FS Development shall not have received any notice of non-compliance therewith, and the Closing Payment Shares (as defined in the Merger Agreement) shall have been approved for listing on Nasdaq.</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FS Development’s Conditions to Closing</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obligations of FS Development to consummate the transactions contemplated by the Merger Agreement, in addition to the conditions described above in the first paragraph of this section, are conditioned upon, among other things, each of the following, any one or more of which may be waived by FS Development:</w:t>
      </w:r>
    </w:p>
    <w:p>
      <w:pPr>
        <w:spacing w:after="0" w:line="84" w:lineRule="exact"/>
        <w:rPr>
          <w:sz w:val="20"/>
          <w:szCs w:val="20"/>
          <w:color w:val="auto"/>
        </w:rPr>
      </w:pPr>
    </w:p>
    <w:p>
      <w:pPr>
        <w:jc w:val="both"/>
        <w:ind w:left="1680" w:right="939" w:hanging="379"/>
        <w:spacing w:after="0" w:line="265" w:lineRule="auto"/>
        <w:tabs>
          <w:tab w:leader="none" w:pos="1744"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shall have duly performed or complied with, in all material respects, all of its obligations under the Merger Agreement required to be performed or complied with (without giving effect to any materiality or similar qualifiers contained therein) by Gemini at or prior to the Closing Date.</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08"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Gemini contained in the Merger Agreement (disregarding all qualifications and exceptions contained therein relating to materiality or Material Adverse Effect), other than the representations and warranties of Gemini regarding corporate existence and power, authorization and finder’s fees, shall be true and correct in all respects at and as of the date of the Merger Agreement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8" w:name="page119"/>
    <w:bookmarkEnd w:id="11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spacing w:after="0" w:line="254" w:lineRule="auto"/>
        <w:rPr>
          <w:sz w:val="20"/>
          <w:szCs w:val="20"/>
          <w:color w:val="auto"/>
        </w:rPr>
      </w:pPr>
      <w:r>
        <w:rPr>
          <w:rFonts w:ascii="Times New Roman" w:cs="Times New Roman" w:eastAsia="Times New Roman" w:hAnsi="Times New Roman"/>
          <w:sz w:val="16"/>
          <w:szCs w:val="16"/>
          <w:color w:val="auto"/>
        </w:rPr>
        <w:t>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07" w:lineRule="exact"/>
        <w:rPr>
          <w:sz w:val="20"/>
          <w:szCs w:val="20"/>
          <w:color w:val="auto"/>
        </w:rPr>
      </w:pPr>
    </w:p>
    <w:p>
      <w:pPr>
        <w:jc w:val="both"/>
        <w:ind w:left="1680" w:right="939" w:hanging="379"/>
        <w:spacing w:after="0" w:line="254" w:lineRule="auto"/>
        <w:tabs>
          <w:tab w:leader="none" w:pos="2042"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Gemini regarding corporate existence and power, authorization and finder’s fees, (disregarding all qualifications and exceptions contained therein relating to materiality or Material Adverse Effect)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0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63"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 Material Adverse Effect of Gemini since the date of the Merger Agreement that is continuing.</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5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three percent (3%) of the issued and outstanding shares of Gemini common stock (including shares of Gemini common stock issuable upon conversion of Gemini preferred stock) shall continue Dissenting Shares (as defined in the Merger Agreement).</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shall have obtained specified consents from third parties.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863"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shall have obtained the consent of the holders of outstanding awards under Gemini’s existing equity incentive plans, to ensure that no more than five percent (5%) of the outstanding equity and equity-based awards under Gemini’s existing equity incentive plans accelerate in connection with the consummation of the Merger or otherwise as a result of the transactions contemplated by the Merger Agreement.</w:t>
      </w:r>
    </w:p>
    <w:p>
      <w:pPr>
        <w:spacing w:after="0" w:line="90"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79"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shall have delivered to FS Development copies of a lockup agreement duly executed by specified persons.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3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From and after the Closing, holders of shares of Gemini capital stock (collectively, the “</w:t>
      </w:r>
      <w:r>
        <w:rPr>
          <w:rFonts w:ascii="Times New Roman" w:cs="Times New Roman" w:eastAsia="Times New Roman" w:hAnsi="Times New Roman"/>
          <w:sz w:val="16"/>
          <w:szCs w:val="16"/>
          <w:b w:val="1"/>
          <w:bCs w:val="1"/>
          <w:color w:val="auto"/>
        </w:rPr>
        <w:t>Escrow Participants</w:t>
      </w:r>
      <w:r>
        <w:rPr>
          <w:rFonts w:ascii="Times New Roman" w:cs="Times New Roman" w:eastAsia="Times New Roman" w:hAnsi="Times New Roman"/>
          <w:sz w:val="16"/>
          <w:szCs w:val="16"/>
          <w:color w:val="auto"/>
        </w:rPr>
        <w:t>”) have agreed to indemnify and hold harmless FS Development, its officers, directors and affiliates and their respective successors and permitted assigns against and in respect of any and all out-of-pocket losses incurred or sustained by FS Development as a result of: (a) any breach or inaccuracy of any of the representations, warranties set forth in Article V of the Merger Agreement (as modified by the schedules to the Merger Agreement) or in a specified certificate delivered by Gemini to FS Development at closing, in each case as of the Closing Date or such other date as expressly set forth in such representation or warranty, and (b) any breach or nonfulfillment of any covenants of Gemini contained in the Merger Agreement to be performed at or prior to the Closing Date.</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Two Million One Hundred Fifty Thousand (2,150,000) of the shares of FS Development Class A Common Stock otherwise issuable to (or reserved for issuance for) the Escrow Participants at the Closing shall be deposited into a third party escrow account (the “</w:t>
      </w:r>
      <w:r>
        <w:rPr>
          <w:rFonts w:ascii="Times New Roman" w:cs="Times New Roman" w:eastAsia="Times New Roman" w:hAnsi="Times New Roman"/>
          <w:sz w:val="16"/>
          <w:szCs w:val="16"/>
          <w:b w:val="1"/>
          <w:bCs w:val="1"/>
          <w:color w:val="auto"/>
        </w:rPr>
        <w:t>Escrow Shares</w:t>
      </w:r>
      <w:r>
        <w:rPr>
          <w:rFonts w:ascii="Times New Roman" w:cs="Times New Roman" w:eastAsia="Times New Roman" w:hAnsi="Times New Roman"/>
          <w:sz w:val="16"/>
          <w:szCs w:val="16"/>
          <w:color w:val="auto"/>
        </w:rPr>
        <w:t>”). FS Development’s sole and exclusive remedy for such losses under the Merger Agreement shall be the recovery of a number of Escrow Shares from the then remaining Escrow Shares having a value equal to the losses that have been finally determined to be owing to FS Development in accordance with Article XI of the Merger Agreement (at an assumed value equal to the greater of: (a) $10.00 per share and (b) the volume weighted average price of the FS Development Class A Common Stock for the ten (10) trading days ending on the trading day immediately preceding the Closing Date (the “</w:t>
      </w:r>
      <w:r>
        <w:rPr>
          <w:rFonts w:ascii="Times New Roman" w:cs="Times New Roman" w:eastAsia="Times New Roman" w:hAnsi="Times New Roman"/>
          <w:sz w:val="16"/>
          <w:szCs w:val="16"/>
          <w:b w:val="1"/>
          <w:bCs w:val="1"/>
          <w:color w:val="auto"/>
        </w:rPr>
        <w:t>Escrow Share Value</w:t>
      </w:r>
      <w:r>
        <w:rPr>
          <w:rFonts w:ascii="Times New Roman" w:cs="Times New Roman" w:eastAsia="Times New Roman" w:hAnsi="Times New Roman"/>
          <w:sz w:val="16"/>
          <w:szCs w:val="16"/>
          <w:color w:val="auto"/>
        </w:rPr>
        <w:t>”)), in each case, subject to the limitations set forth in Article XI of the Merger Agreement, including the Indemnifiable Loss Limit (as defined below).</w:t>
      </w:r>
    </w:p>
    <w:p>
      <w:pPr>
        <w:spacing w:after="0" w:line="1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 addition:</w:t>
      </w:r>
    </w:p>
    <w:p>
      <w:pPr>
        <w:spacing w:after="0" w:line="139" w:lineRule="exact"/>
        <w:rPr>
          <w:sz w:val="20"/>
          <w:szCs w:val="20"/>
          <w:color w:val="auto"/>
        </w:rPr>
      </w:pPr>
    </w:p>
    <w:p>
      <w:pPr>
        <w:jc w:val="both"/>
        <w:ind w:left="1680" w:right="939" w:hanging="379"/>
        <w:spacing w:after="0" w:line="259" w:lineRule="auto"/>
        <w:tabs>
          <w:tab w:leader="none" w:pos="1791"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liability of the Escrow Participants under the Merger Agreement or otherwise in connection with the transactions contemplated by the Merger Agreement shall in no event exceed an amount equal to: (i) the Escrow Share Value, multiplied by (ii) the Escrow Shares (the “</w:t>
      </w:r>
      <w:r>
        <w:rPr>
          <w:rFonts w:ascii="Times New Roman" w:cs="Times New Roman" w:eastAsia="Times New Roman" w:hAnsi="Times New Roman"/>
          <w:sz w:val="16"/>
          <w:szCs w:val="16"/>
          <w:b w:val="1"/>
          <w:bCs w:val="1"/>
          <w:color w:val="auto"/>
        </w:rPr>
        <w:t>Indemnifiable Loss Limit</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9" w:name="page120"/>
    <w:bookmarkEnd w:id="11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7" w:lineRule="auto"/>
        <w:tabs>
          <w:tab w:leader="none" w:pos="179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shall not be entitled to indemnification pursuant to Section 11.1 of the Merger Agreement unless and until the aggregate amount of losses to FS Development equal at least $1,612,500 (the “</w:t>
      </w:r>
      <w:r>
        <w:rPr>
          <w:rFonts w:ascii="Times New Roman" w:cs="Times New Roman" w:eastAsia="Times New Roman" w:hAnsi="Times New Roman"/>
          <w:sz w:val="16"/>
          <w:szCs w:val="16"/>
          <w:b w:val="1"/>
          <w:bCs w:val="1"/>
          <w:color w:val="auto"/>
        </w:rPr>
        <w:t>Basket</w:t>
      </w:r>
      <w:r>
        <w:rPr>
          <w:rFonts w:ascii="Times New Roman" w:cs="Times New Roman" w:eastAsia="Times New Roman" w:hAnsi="Times New Roman"/>
          <w:sz w:val="16"/>
          <w:szCs w:val="16"/>
          <w:color w:val="auto"/>
        </w:rPr>
        <w:t>”), at which time, subject to the other limitations set forth in the Merger Agreement, FS Development shall be entitled to indemnification for any losses above the Basket, subject to the Indemnifiable Loss Limit.</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4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Escrow Participants shall have no liability or obligation to indemnify FS Development under the Merger Agreement with respect to the breach or inaccuracy of any representation or warranty based on any matter, fact or circumstance known by FS Development as of the date of the Merger Agreement.</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32"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the Merger Agreement will (i) limit the parties’ rights to seek injunctive relief or other equitable remedies, (ii) prevent FS Development from bringing an action for fraud (with scienter) against the Person who committed such fraud (with scienter) or (iii) limit the right of any person or entity to pursue remedies under any other agreement entered into in connection with the transactions contemplated by the Merger Agreement against the parties thereto.</w:t>
      </w:r>
    </w:p>
    <w:p>
      <w:pPr>
        <w:spacing w:after="0" w:line="9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indemnification to which FS Development is entitled from the Escrow Participants pursuant to Section 11.1 of the Merger Agreement for losses shall be effective so long as it is asserted prior to the expiration of the twelve (12) month anniversary of the Closing date (the “</w:t>
      </w:r>
      <w:r>
        <w:rPr>
          <w:rFonts w:ascii="Times New Roman" w:cs="Times New Roman" w:eastAsia="Times New Roman" w:hAnsi="Times New Roman"/>
          <w:sz w:val="16"/>
          <w:szCs w:val="16"/>
          <w:b w:val="1"/>
          <w:bCs w:val="1"/>
          <w:color w:val="auto"/>
        </w:rPr>
        <w:t>Survival Period</w:t>
      </w:r>
      <w:r>
        <w:rPr>
          <w:rFonts w:ascii="Times New Roman" w:cs="Times New Roman" w:eastAsia="Times New Roman" w:hAnsi="Times New Roman"/>
          <w:sz w:val="16"/>
          <w:szCs w:val="16"/>
          <w:color w:val="auto"/>
        </w:rPr>
        <w:t>”); provided, that in the event that any indemnification notice shall have been given by FS Development in accordance with the provisions of the Merger Agreement (each, an “</w:t>
      </w:r>
      <w:r>
        <w:rPr>
          <w:rFonts w:ascii="Times New Roman" w:cs="Times New Roman" w:eastAsia="Times New Roman" w:hAnsi="Times New Roman"/>
          <w:sz w:val="16"/>
          <w:szCs w:val="16"/>
          <w:b w:val="1"/>
          <w:bCs w:val="1"/>
          <w:color w:val="auto"/>
        </w:rPr>
        <w:t>Indemnification Notice</w:t>
      </w:r>
      <w:r>
        <w:rPr>
          <w:rFonts w:ascii="Times New Roman" w:cs="Times New Roman" w:eastAsia="Times New Roman" w:hAnsi="Times New Roman"/>
          <w:sz w:val="16"/>
          <w:szCs w:val="16"/>
          <w:color w:val="auto"/>
        </w:rPr>
        <w:t>”) prior to the expiration of the Survival Period and such claim has not been finally resolved by the expiration of the Survival Period, the representations, warranties, covenants, agreements or obligations that are the subject of such Indemnification Notice shall survive solely for purposes of resolving such claim until such matters are finally resolved.</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Termination</w:t>
      </w:r>
    </w:p>
    <w:p>
      <w:pPr>
        <w:spacing w:after="0" w:line="1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Closing by:</w:t>
      </w:r>
    </w:p>
    <w:p>
      <w:pPr>
        <w:spacing w:after="0" w:line="139" w:lineRule="exact"/>
        <w:rPr>
          <w:sz w:val="20"/>
          <w:szCs w:val="20"/>
          <w:color w:val="auto"/>
        </w:rPr>
      </w:pPr>
    </w:p>
    <w:p>
      <w:pPr>
        <w:jc w:val="both"/>
        <w:ind w:left="1680" w:right="939" w:hanging="379"/>
        <w:spacing w:after="0" w:line="259" w:lineRule="auto"/>
        <w:tabs>
          <w:tab w:leader="none" w:pos="1767"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or Gemini, in the event (i) a governmental authority shall have issued an order, having the effect of permanently restraining, enjoining or otherwise prohibiting the Merger, which order is final and non-appealable or (ii) any applicable law is in effect making the consummation of the Merger illegal.</w:t>
      </w:r>
    </w:p>
    <w:p>
      <w:pPr>
        <w:spacing w:after="0" w:line="90"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81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or Gemini, if the Closing has not occurred on or prior to April 15, 2021 (the “</w:t>
      </w:r>
      <w:r>
        <w:rPr>
          <w:rFonts w:ascii="Times New Roman" w:cs="Times New Roman" w:eastAsia="Times New Roman" w:hAnsi="Times New Roman"/>
          <w:sz w:val="16"/>
          <w:szCs w:val="16"/>
          <w:b w:val="1"/>
          <w:bCs w:val="1"/>
          <w:color w:val="auto"/>
        </w:rPr>
        <w:t>Outside Closing Date</w:t>
      </w:r>
      <w:r>
        <w:rPr>
          <w:rFonts w:ascii="Times New Roman" w:cs="Times New Roman" w:eastAsia="Times New Roman" w:hAnsi="Times New Roman"/>
          <w:sz w:val="16"/>
          <w:szCs w:val="16"/>
          <w:color w:val="auto"/>
        </w:rPr>
        <w:t>”); provided, that if the SEC has not declared FS Development’s proxy statement effective on or prior to January 15, 2021, the Outside Closing Date shall be automatically extended to May 15, 2021; provided, further, that FS Development or Gemini, as applicable, is not in material breach of any of its obligations under the Merger Agreement; or</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803"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if: (i) Gemini shall have breached any representation, warranty, agreement or covenant contained in the Merger Agreement to be performed on or prior to the Closing Date, which has rendered or would render the satisfaction of any of the conditions set forth in Section 10.2 of the Merger Agreement impossible; and (ii) such breach cannot be cured or is not cured by the earlier of the Outside Closing Date and thirty (30) days following receipt by the breaching party of a written notice from the non-breaching party describing in reasonable detail the nature of such breach.</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5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if: Gemini has not delivered evidence of the Gemini stockholders’ approval by written consent of the Merger Agreement and the transactions contemplated thereby to FS Development by no later than two business days following the effective date of this proxy statement (the “</w:t>
      </w:r>
      <w:r>
        <w:rPr>
          <w:rFonts w:ascii="Times New Roman" w:cs="Times New Roman" w:eastAsia="Times New Roman" w:hAnsi="Times New Roman"/>
          <w:sz w:val="16"/>
          <w:szCs w:val="16"/>
          <w:b w:val="1"/>
          <w:bCs w:val="1"/>
          <w:color w:val="auto"/>
        </w:rPr>
        <w:t>Gemini Stockholder Approval Termination Right</w:t>
      </w:r>
      <w:r>
        <w:rPr>
          <w:rFonts w:ascii="Times New Roman" w:cs="Times New Roman" w:eastAsia="Times New Roman" w:hAnsi="Times New Roman"/>
          <w:sz w:val="16"/>
          <w:szCs w:val="16"/>
          <w:color w:val="auto"/>
        </w:rPr>
        <w:t>”); provided, that FS Development shall not be permitted to terminate the Merger Agreement pursuant to the Gemini Stockholder Approval Right at any time (A) prior to two business days following the effective date of this proxy statement or (B) after such evidence has been delivered to FS Development.</w:t>
      </w:r>
    </w:p>
    <w:p>
      <w:pPr>
        <w:spacing w:after="0" w:line="94"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803"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if: (i) FS Development shall have breached any representation, warranty, agreement or covenant contained in the Merger Agreement to be performed on or prior to the Closing Date, which has rendered or would render the satisfaction of any of the conditions set forth in Section 10.3 of the Merger Agreement impossible; and (ii) such breach cannot be cured or is not cured by the earlier of the Outside Closing Date and thirty (30) days following receipt by FS Development of a written notice from Gemini describing in reasonable detail the nature of such breach.</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0" w:name="page121"/>
    <w:bookmarkEnd w:id="12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Ancillary Agreements Related to the Business Combination</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Subscription Agreements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FS Development entered into the Subscription Agreements with certain investors, including an affiliate of our Sponsor, pursuant to which, among other things, such investors have agreed to purchase immediately prior to the Closing, an aggregate of 9,506,000 shares of Class A Common Stock at a purchase price of $10.00 per share, for aggregate gross proceeds of $95,060,000. The affiliate of our Sponsor has assigned to the Sponsor its obligation to purchase its shares under the subscription agreement so that our Sponsor will purchase 1,500,000 of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obligations to consummate the subscriptions are conditioned upon, among other things, customary closing conditions.</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Non-Redemption Agreements</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 connection with the execution of the Merger Agreement, certain public stockholders of FS Development entered into non-redemption letter agreements with FS Development,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Gemini Support Agreements</w:t>
      </w:r>
    </w:p>
    <w:p>
      <w:pPr>
        <w:spacing w:after="0" w:line="13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In connection with the execution of the Merger Agreement, certain Gemini stockholders (the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Supporting Stockholders</w:t>
      </w:r>
      <w:r>
        <w:rPr>
          <w:rFonts w:ascii="Times New Roman" w:cs="Times New Roman" w:eastAsia="Times New Roman" w:hAnsi="Times New Roman"/>
          <w:sz w:val="16"/>
          <w:szCs w:val="16"/>
          <w:color w:val="auto"/>
        </w:rPr>
        <w:t>”) entered into support agreements with FS Development (the “</w:t>
      </w:r>
      <w:r>
        <w:rPr>
          <w:rFonts w:ascii="Times New Roman" w:cs="Times New Roman" w:eastAsia="Times New Roman" w:hAnsi="Times New Roman"/>
          <w:sz w:val="16"/>
          <w:szCs w:val="16"/>
          <w:b w:val="1"/>
          <w:bCs w:val="1"/>
          <w:color w:val="auto"/>
        </w:rPr>
        <w:t>Gemini Support Agreements</w:t>
      </w:r>
      <w:r>
        <w:rPr>
          <w:rFonts w:ascii="Times New Roman" w:cs="Times New Roman" w:eastAsia="Times New Roman" w:hAnsi="Times New Roman"/>
          <w:sz w:val="16"/>
          <w:szCs w:val="16"/>
          <w:color w:val="auto"/>
        </w:rPr>
        <w:t>”). Under the Gemini Support Agreements, each Gemini Supporting Stockholder agreed,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promptly as reasonably practicable (and in any event within two (2) business days) following the SEC declaring this proxy statement/prospectus effective, to execute and deliver a written consent with respect to the outstanding shares of the Gemini Stock held by such Gemini Supporting Stockholder (the “</w:t>
      </w:r>
      <w:r>
        <w:rPr>
          <w:rFonts w:ascii="Times New Roman" w:cs="Times New Roman" w:eastAsia="Times New Roman" w:hAnsi="Times New Roman"/>
          <w:sz w:val="16"/>
          <w:szCs w:val="16"/>
          <w:b w:val="1"/>
          <w:bCs w:val="1"/>
          <w:color w:val="auto"/>
        </w:rPr>
        <w:t>Subject 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approving the Merger Agreement and the transactions contemplated thereby. In addition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Business Combination (ii) against any alternative transaction; and</w:t>
      </w:r>
    </w:p>
    <w:p>
      <w:pPr>
        <w:spacing w:after="0" w:line="5" w:lineRule="exact"/>
        <w:rPr>
          <w:sz w:val="20"/>
          <w:szCs w:val="20"/>
          <w:color w:val="auto"/>
        </w:rPr>
      </w:pPr>
    </w:p>
    <w:p>
      <w:pPr>
        <w:jc w:val="both"/>
        <w:ind w:left="920" w:right="939" w:hanging="1"/>
        <w:spacing w:after="0" w:line="250" w:lineRule="auto"/>
        <w:tabs>
          <w:tab w:leader="none" w:pos="1229"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(including any provisions of any such agreement that, by its terms, survive such termination), effective as of, and subject to and condition upon the occurrence of, the Closing. The Subject Gemini Shares owned by the Gemini Supporting Stockholders and subject to the Gemini Support Agreements represent over 90.5% of the outstanding voting power of Gemini Stock. In addition, the Gemini Support Agreements prohibit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foregoing.</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FS Development Support Agreements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execution of the Merger Agreement, certain stockholders of FS Development including the Initial Stockholders (the “</w:t>
      </w:r>
      <w:r>
        <w:rPr>
          <w:rFonts w:ascii="Times New Roman" w:cs="Times New Roman" w:eastAsia="Times New Roman" w:hAnsi="Times New Roman"/>
          <w:sz w:val="16"/>
          <w:szCs w:val="16"/>
          <w:b w:val="1"/>
          <w:bCs w:val="1"/>
          <w:color w:val="auto"/>
        </w:rPr>
        <w:t>FS Development Supporting Stockholders</w:t>
      </w:r>
      <w:r>
        <w:rPr>
          <w:rFonts w:ascii="Times New Roman" w:cs="Times New Roman" w:eastAsia="Times New Roman" w:hAnsi="Times New Roman"/>
          <w:sz w:val="16"/>
          <w:szCs w:val="16"/>
          <w:color w:val="auto"/>
        </w:rPr>
        <w:t>”) entered into support agreements with FS Development, Gemini and the Sponsor (the “</w:t>
      </w:r>
      <w:r>
        <w:rPr>
          <w:rFonts w:ascii="Times New Roman" w:cs="Times New Roman" w:eastAsia="Times New Roman" w:hAnsi="Times New Roman"/>
          <w:sz w:val="16"/>
          <w:szCs w:val="16"/>
          <w:b w:val="1"/>
          <w:bCs w:val="1"/>
          <w:color w:val="auto"/>
        </w:rPr>
        <w:t>FS Development Support Agreements</w:t>
      </w:r>
      <w:r>
        <w:rPr>
          <w:rFonts w:ascii="Times New Roman" w:cs="Times New Roman" w:eastAsia="Times New Roman" w:hAnsi="Times New Roman"/>
          <w:sz w:val="16"/>
          <w:szCs w:val="16"/>
          <w:color w:val="auto"/>
        </w:rPr>
        <w:t>”). Under FS Development Support Agreements, each FS Development Supporting Stockholder agreed to vote, at any meeting of the stockholders of FS Development, and in any action by written consent of the stockholders of FS Development, all of such FS Development Supporting Stockholder’s FS Development Common Stock (i) in favor of the Merger Agreement, certain proposals requiring approval by the stockholders of FS Development in connection with Business Combination and the transactions contemplated by the Merger Agreement and FS Development Support Agreement, and (ii) in favor of any other matter reasonably necessary to the consummation of the transactions contemplated by the Merger Agreement and the approval of the Parent Proposals (as defined in the Merger Agreement). The shares of FS Development Common Stock owned by the FS Development Supporting Stockholders and subject to the FS Development Support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1" w:name="page122"/>
    <w:bookmarkEnd w:id="12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Agreements represent over 22.3% of the outstanding voting power of FS Development Common Stock. In addition, FS Development Support Agreements prohibit FS Development Supporting Stockholders from, among other things, selling, assigning or transferring any FS Development Common Stock of FS Development held by FS Development Supporting Stockholders or taking any action that would prevent or disable FS Development Support Stockholders from performing its obligations thereunder.</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Registration Rights Agreement</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Closing, the Initial Stockholders and certain other stockholders will enter into a registration rights agreement with FS Development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 The presence of these additional shares of common stock trading in the public market may have an adverse effect on the market price of the Combined Entity’s securities.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Voting Agreement</w:t>
      </w:r>
    </w:p>
    <w:p>
      <w:pPr>
        <w:spacing w:after="0" w:line="141"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In connection with the Closing, the Sponsor, FS Development, certain stockholders of FS Development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anniversary of the date of the voting agreement, subject to certain terms and holding requirements set forth therein.</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Lockup Agreement</w:t>
      </w:r>
    </w:p>
    <w:p>
      <w:pPr>
        <w:spacing w:after="0" w:line="129" w:lineRule="exact"/>
        <w:rPr>
          <w:sz w:val="20"/>
          <w:szCs w:val="20"/>
          <w:color w:val="auto"/>
        </w:rPr>
      </w:pPr>
    </w:p>
    <w:p>
      <w:pPr>
        <w:jc w:val="both"/>
        <w:ind w:left="920" w:right="939"/>
        <w:spacing w:after="0" w:line="278" w:lineRule="auto"/>
        <w:rPr>
          <w:sz w:val="20"/>
          <w:szCs w:val="20"/>
          <w:color w:val="auto"/>
        </w:rPr>
      </w:pPr>
      <w:r>
        <w:rPr>
          <w:rFonts w:ascii="Times New Roman" w:cs="Times New Roman" w:eastAsia="Times New Roman" w:hAnsi="Times New Roman"/>
          <w:sz w:val="15"/>
          <w:szCs w:val="15"/>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Classified Board of Directors</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02" w:lineRule="exact"/>
        <w:rPr>
          <w:sz w:val="20"/>
          <w:szCs w:val="20"/>
          <w:color w:val="auto"/>
        </w:rPr>
      </w:pPr>
    </w:p>
    <w:p>
      <w:pPr>
        <w:ind w:left="1680" w:right="939" w:hanging="379"/>
        <w:spacing w:after="0" w:line="280" w:lineRule="auto"/>
        <w:tabs>
          <w:tab w:leader="none" w:pos="169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will be Jean George and Carl Gordon, and their terms will expire at the annual meeting of stockholders to be held in 2021;</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will be David Lubner, Dr. Tuyen Ong, and Jason Rhodes, and their terms will expire at the annual meeting of stockholders to be held in 2022; and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2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will be Jason Meyenburg and Jim Tananbaum, and their terms will expire at the annual meeting of stockholders to be held in 2023.</w:t>
      </w:r>
    </w:p>
    <w:p>
      <w:pPr>
        <w:spacing w:after="0" w:line="8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2" w:name="page123"/>
    <w:bookmarkEnd w:id="12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Satisfaction of 80% Test</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Board concluded that the Business Combination met all of the requirements disclosed in the prospectus for the FS Development IPO with respect to FS Development’s initial business combination, including that the Business Combination had a fair market value of at least 80% of the balance of the funds in the Trust Account (excluding the deferred underwriting commissions and taxes payable on the income earned on the Trust Account) at the time of execution of the Merger Agreement.</w:t>
      </w:r>
    </w:p>
    <w:p>
      <w:pPr>
        <w:spacing w:after="0" w:line="102"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As of the date of the execution of the Merger Agreement, the balance of funds in the Trust Account was approximately $120,751,489, 80% thereof represents approximately $96,601,191. In reaching its conclusion that the business combination meets the 80% test, the Board used as a fair market value the enterprise value of approximately $215 million, which was implied based on the terms of the transactions agreed to by the parties in negotiating the Merger Agreement. In determining whether the purchase price represents the fair market value of Gemini, the Board considered all of the factors described in the section entitled “The Business Combination Proposal — Board’s Reasons for Approval of the Business Combination,” and the fact that the purchase price for Gemini was the result of an arm’s length negotiation. As a result, the Board concluded that the fair market value of the businesses acquired was significantly in excess of 80% of the assets held in the Trust Account. In light of the financial background and experience of the members of our management team and the Board in valuing companies in the biotechnology industry, the Board believes that the members of our management team and the Board are qualified to determine whether the business combination meets the 80% test. The Board did not seek or obtain an opinion of an outside fairness or valuation advisor as to whether the 80% test has been met.</w:t>
      </w:r>
    </w:p>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Interests of FS Development’s Directors and Officers and Others in the Business Combination</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When you consider the recommendation of the Board in favor of approval of the Business Combination Proposal and the other proposals, you should keep in mind that the Sponsor and FS Development’s directors and officers, have interests in such proposals that are different from, or in addition to, your interests as a stockholder. These interests include, among other things:</w:t>
      </w:r>
    </w:p>
    <w:p>
      <w:pPr>
        <w:spacing w:after="0" w:line="90" w:lineRule="exact"/>
        <w:rPr>
          <w:sz w:val="20"/>
          <w:szCs w:val="20"/>
          <w:color w:val="auto"/>
        </w:rPr>
      </w:pPr>
    </w:p>
    <w:p>
      <w:pPr>
        <w:jc w:val="both"/>
        <w:ind w:left="1680" w:right="939" w:hanging="379"/>
        <w:spacing w:after="0" w:line="252" w:lineRule="auto"/>
        <w:tabs>
          <w:tab w:leader="none" w:pos="168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complete our initial business combination by August 14,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the Board, liquidate and dissolve, subject in each case to our obligations under Delaware law to provide for claims of creditors and the requirements of other applicable law.</w:t>
      </w:r>
    </w:p>
    <w:p>
      <w:pPr>
        <w:spacing w:after="0" w:line="109"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815"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 Upon the Closing, such Founders Shares will convert into 2,928,750 shares of Class A Common Stock.</w:t>
      </w:r>
    </w:p>
    <w:p>
      <w:pPr>
        <w:spacing w:after="0" w:line="105"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55"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Simultaneously with the closing of the FS Development IPO, FS Development consummated the sale of 441,500 Private Placement Shares at a price of $10.00 per share in a private placement to the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90"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815"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and our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3" w:name="page124"/>
    <w:bookmarkEnd w:id="12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4" w:lineRule="auto"/>
        <w:tabs>
          <w:tab w:leader="none" w:pos="1887"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9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92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71"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67"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82"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708"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93"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we will continue to indemnify our existing directors and officers and will maintain a directors’ and officers’ liability insurance policy.</w:t>
      </w:r>
    </w:p>
    <w:p>
      <w:pPr>
        <w:spacing w:after="0" w:line="60"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4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Closing, subject to the terms and conditions of the Merger Agreement, the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Total Company Shares to be Issued in the Business Combination</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It is anticipated that, upon completion of the Business Combination, the Company’s public stockholders (other than investors in the PIPE Investment) will retain an ownership interest of approximately 26% in the Combined Entity, the PIPE Investment investors will own approximately 21% of the outstanding common stock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This ownership interest assumes that no shares are elected to be redeemed.</w:t>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for the Business Combination</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tables summarizes the sources and uses for funding the Business Combination based on (i) the assumption that there will be no redemptions and (ii) the assumption that there will be maximum redemptions.</w:t>
      </w:r>
    </w:p>
    <w:p>
      <w:pPr>
        <w:spacing w:after="0" w:line="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 No redemptions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80" w:type="dxa"/>
            <w:vAlign w:val="bottom"/>
          </w:tcPr>
          <w:p>
            <w:pPr>
              <w:ind w:left="1240"/>
              <w:spacing w:after="0"/>
              <w:rPr>
                <w:sz w:val="20"/>
                <w:szCs w:val="20"/>
                <w:color w:val="auto"/>
              </w:rPr>
            </w:pPr>
            <w:r>
              <w:rPr>
                <w:rFonts w:ascii="Times New Roman" w:cs="Times New Roman" w:eastAsia="Times New Roman" w:hAnsi="Times New Roman"/>
                <w:sz w:val="13"/>
                <w:szCs w:val="13"/>
                <w:b w:val="1"/>
                <w:bCs w:val="1"/>
                <w:color w:val="auto"/>
              </w:rPr>
              <w:t>Sources of Funds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Uses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Cash in Trust Account</w:t>
            </w: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120,751</w:t>
            </w: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Gemini Equityholders’ Retained Equity Value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PIPE Investment</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95,060</w:t>
            </w: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Remaining Cash on Balance Sheet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191,201</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Gemini Equityholders’ Retained Equity Value</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215,000</w:t>
            </w: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FS Development Estimated Transaction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Total Sources</w:t>
            </w: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430,811</w:t>
            </w:r>
          </w:p>
        </w:tc>
        <w:tc>
          <w:tcPr>
            <w:tcW w:w="40" w:type="dxa"/>
            <w:vAlign w:val="bottom"/>
          </w:tcPr>
          <w:p>
            <w:pPr>
              <w:spacing w:after="0"/>
              <w:rPr>
                <w:sz w:val="18"/>
                <w:szCs w:val="18"/>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Uses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4" w:name="page125"/>
    <w:bookmarkEnd w:id="12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(ii) Maximum redemptions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800" w:type="dxa"/>
            <w:vAlign w:val="bottom"/>
          </w:tcPr>
          <w:p>
            <w:pPr>
              <w:ind w:left="1260"/>
              <w:spacing w:after="0"/>
              <w:rPr>
                <w:sz w:val="20"/>
                <w:szCs w:val="20"/>
                <w:color w:val="auto"/>
              </w:rPr>
            </w:pPr>
            <w:r>
              <w:rPr>
                <w:rFonts w:ascii="Times New Roman" w:cs="Times New Roman" w:eastAsia="Times New Roman" w:hAnsi="Times New Roman"/>
                <w:sz w:val="13"/>
                <w:szCs w:val="13"/>
                <w:b w:val="1"/>
                <w:bCs w:val="1"/>
                <w:color w:val="auto"/>
              </w:rPr>
              <w:t>Sources of Funds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Uses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
        </w:trPr>
        <w:tc>
          <w:tcPr>
            <w:tcW w:w="2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223"/>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Cash in Trust Account</w:t>
            </w: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5,001</w:t>
            </w: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Gemini Equityholders’ Retained Equity Value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w:t>
            </w:r>
          </w:p>
        </w:tc>
      </w:tr>
      <w:tr>
        <w:trPr>
          <w:trHeight w:val="209"/>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PIPE Investment</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95,060</w:t>
            </w: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Remaining Cash on Balance Sheet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75,451</w:t>
            </w:r>
          </w:p>
        </w:tc>
      </w:tr>
      <w:tr>
        <w:trPr>
          <w:trHeight w:val="42"/>
        </w:trPr>
        <w:tc>
          <w:tcPr>
            <w:tcW w:w="2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51"/>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Gemini Equityholders’ Retained Equity Value</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215,000</w:t>
            </w: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FS Development Estimated Transaction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24,610</w:t>
            </w:r>
          </w:p>
        </w:tc>
      </w:tr>
      <w:tr>
        <w:trPr>
          <w:trHeight w:val="21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Total Sources</w:t>
            </w: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315,061</w:t>
            </w:r>
          </w:p>
        </w:tc>
        <w:tc>
          <w:tcPr>
            <w:tcW w:w="40" w:type="dxa"/>
            <w:vAlign w:val="bottom"/>
          </w:tcPr>
          <w:p>
            <w:pPr>
              <w:spacing w:after="0"/>
              <w:rPr>
                <w:sz w:val="18"/>
                <w:szCs w:val="18"/>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Uses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315,061</w:t>
            </w: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Certificate of Incorporation; By-laws</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Pursuant to the Merger Agreement, upon the closing of the Business Combination, FS Development’s Current Charter and Current By-laws will be amended and restated as set forth in the Proposed Charter and Amended By-laws. See section titled “</w:t>
      </w:r>
      <w:r>
        <w:rPr>
          <w:rFonts w:ascii="Times New Roman" w:cs="Times New Roman" w:eastAsia="Times New Roman" w:hAnsi="Times New Roman"/>
          <w:sz w:val="16"/>
          <w:szCs w:val="16"/>
          <w:i w:val="1"/>
          <w:iCs w:val="1"/>
          <w:color w:val="auto"/>
        </w:rPr>
        <w:t>The Charter Amendment Proposal</w:t>
      </w:r>
      <w:r>
        <w:rPr>
          <w:rFonts w:ascii="Times New Roman" w:cs="Times New Roman" w:eastAsia="Times New Roman" w:hAnsi="Times New Roman"/>
          <w:sz w:val="16"/>
          <w:szCs w:val="16"/>
          <w:color w:val="auto"/>
        </w:rPr>
        <w:t>,” for more information regarding the proposed amendments to the Current Charter.</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Name; Headquarters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name of the Combined Entity will be Gemini Therapeutics, Inc. and its headquarters will be located at One Kendall Square, Cambridge, Massachusetts.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Certain Material U.S. Federal Income Tax Considerations of the Redemption</w:t>
      </w:r>
    </w:p>
    <w:p>
      <w:pPr>
        <w:spacing w:after="0" w:line="141"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The following discussion is a summary of certain material U.S. federal income tax considerations for holders of our Common Stock that elect to have their Common Stock redeemed pursuant to the Current Charter, which is referred to as the “</w:t>
      </w:r>
      <w:r>
        <w:rPr>
          <w:rFonts w:ascii="Times New Roman" w:cs="Times New Roman" w:eastAsia="Times New Roman" w:hAnsi="Times New Roman"/>
          <w:sz w:val="16"/>
          <w:szCs w:val="16"/>
          <w:b w:val="1"/>
          <w:bCs w:val="1"/>
          <w:color w:val="auto"/>
        </w:rPr>
        <w:t>Redemption.</w:t>
      </w:r>
      <w:r>
        <w:rPr>
          <w:rFonts w:ascii="Times New Roman" w:cs="Times New Roman" w:eastAsia="Times New Roman" w:hAnsi="Times New Roman"/>
          <w:sz w:val="16"/>
          <w:szCs w:val="16"/>
          <w:color w:val="auto"/>
        </w:rPr>
        <w:t>”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our Common Stock as part of a “straddle,” “hedge,” “conversion transaction,” “synthetic security,” “constructive ownership transaction,” “constructive sale,” or other integrated transaction for U.S. federal income tax purposes, U.S. Holders (as defined below) that have a functional currency other than the U.S. dollar, certain former U.S. citizens or long-term residents, investors that directly, indirectly, or constructively own 5 percent or more (by vote or value) of our Common Stock, “specified foreign corporations” (including “controlled foreign corporations”), “passive foreign investment companies” and corporations that accumulate earnings to avoid U.S. federal income tax, governments or agencies or instrumentalities thereof, persons who received their shares of our Common Stock pursuant to an exercise of employee share options, in connection with employee share incentive plans or otherwise as compensation, and Non-U.S.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investors that hold our Common Stock as “capital assets” under the Code (generally, property held for investment).</w:t>
      </w:r>
    </w:p>
    <w:p>
      <w:pPr>
        <w:spacing w:after="0" w:line="10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If a partnership (including an entity or arrangement treated as a partnership for U.S. federal income tax purposes) holds our Common Stock, the U.S. federal income tax treatment of a partner in such partnership will generally depend upon the status of the partner, the activities of the partnership and certain determinations made at the partner level. If you are a partnership or a partner of a partnership holding our Common Stock, you are urged to consult your tax advisor regarding the tax consequences of a Redemption.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5" w:name="page126"/>
    <w:bookmarkEnd w:id="12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spacing w:after="0" w:line="260" w:lineRule="auto"/>
        <w:rPr>
          <w:sz w:val="20"/>
          <w:szCs w:val="20"/>
          <w:color w:val="auto"/>
        </w:rPr>
      </w:pPr>
      <w:r>
        <w:rPr>
          <w:rFonts w:ascii="Times New Roman" w:cs="Times New Roman" w:eastAsia="Times New Roman" w:hAnsi="Times New Roman"/>
          <w:sz w:val="16"/>
          <w:szCs w:val="16"/>
          <w:b w:val="1"/>
          <w:bCs w:val="1"/>
          <w:color w:val="auto"/>
        </w:rPr>
        <w:t>WE URGE HOLDERS OF OUR COMMON STOCK CONTEMPLATING EXERCISE OF THEIR REDEMPTION RIGHTS TO CONSULT THEIR OWN TAX ADVISORS CONCERNING THE U.S. FEDERAL, STATE, LOCAL AND NON-U.S. INCOME AND OTHER TAX CONSEQUENCES THEREOF.</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U.S. Federal Income Tax Considerations to U.S. Holders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This section is addressed to U.S. Holders of our Common Stock that elect to have their Common Stock redeemed pursuant to the Redemption. For purposes of this discussion, a “U.S. Holder” is a beneficial owner of our Common Stock who or that is, for U.S. federal income tax purposes:</w:t>
      </w:r>
    </w:p>
    <w:p>
      <w:pPr>
        <w:spacing w:after="0" w:line="96" w:lineRule="exact"/>
        <w:rPr>
          <w:sz w:val="20"/>
          <w:szCs w:val="20"/>
          <w:color w:val="auto"/>
        </w:rPr>
      </w:pPr>
    </w:p>
    <w:p>
      <w:pPr>
        <w:ind w:left="1680" w:hanging="379"/>
        <w:spacing w:after="0"/>
        <w:tabs>
          <w:tab w:leader="none" w:pos="168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26"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79"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(including an entity treated as a corporation for U.S. federal income tax purposes) created or organized in or under the laws of the United States, any state thereof or the District of Columbia;</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9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Redemption of Common Stock</w:t>
      </w:r>
    </w:p>
    <w:p>
      <w:pPr>
        <w:spacing w:after="0" w:line="13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the event that a U.S. Holder’s Common Stock is redeemed pursuant to the Redemption,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both before and after the Redemption (including any stock constructively owned by the U.S. Holder as a result of owning warrants and stock ownership attributed to such U.S. Holder under applicable attribution rules)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1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determining whether any of the foregoing tests are satisfied, a U.S. Holder takes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warrants. Moreover, any of our stock that a U.S. Holder directly or constructively acquires pursuant to the Business Combination or the PIPE Investment generally should be included in determining the U.S. federal income tax treatment of the Redemption.</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order to meet the substantially disproportionate test, the percentage of our outstanding voting stock actually and constructively owned by the U.S. Holder immediately following the Redemption must, among other requirements, be less than 80% of the percentage of our outstanding voting stock actually and constructively owned by the U.S. Holder immediately before the Redemption (taking into account both redemptions by other holders of Common Stock and the Common Stock to be issued pursuant to the Business Combination or the PIPE Investment).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holder as a result of owning warrants). The Redemption will be not essentially equivalent to a dividend if a U.S. Holder’s Redemption results in a “meaningful reduction” of the U.S. Holder’s proportionate interest in us. Whether the Redemption will result in a meaningful reduction in a U.S. Holder’s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6" w:name="page127"/>
    <w:bookmarkEnd w:id="12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proportionate interest in us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If none of the foregoing tests are satisfied, then the Redemption will be treated as a distribution and the tax effects will be as described below under “</w:t>
      </w:r>
      <w:r>
        <w:rPr>
          <w:rFonts w:ascii="Times New Roman" w:cs="Times New Roman" w:eastAsia="Times New Roman" w:hAnsi="Times New Roman"/>
          <w:sz w:val="16"/>
          <w:szCs w:val="16"/>
          <w:i w:val="1"/>
          <w:iCs w:val="1"/>
          <w:color w:val="auto"/>
        </w:rPr>
        <w:t>U.S. Federal Income Tax Considerations to U.S. Holders — Taxation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Distributions</w:t>
      </w:r>
      <w:r>
        <w:rPr>
          <w:rFonts w:ascii="Times New Roman" w:cs="Times New Roman" w:eastAsia="Times New Roman" w:hAnsi="Times New Roman"/>
          <w:sz w:val="16"/>
          <w:szCs w:val="16"/>
          <w:color w:val="auto"/>
        </w:rPr>
        <w:t>.” U.S. Holders of our Common Stock considering exercising their redemption rights should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consult their own tax advisors as to whether the Redemption will be treated as a sale or as a distribution under the Code.</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Gain or Loss on Sale, Taxable Exchange, or Other Taxable Disposition of Common Stock</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If the Redemption qualifies as a sale of Common Stock, generally, a U.S. Holder will recognize gain or loss in an amount equal to the difference between (i) the sum of cash and the fair market value of any property received in such disposition and (ii) the U.S. Holder’s adjusted tax basis in its Common Stock so disposed of.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statement/prospectus may suspend the running of the applicable holding period for this purpose. A U.S. Holder’s adjusted tax basis in its Common Stock generally will equal the U.S. Holder’s acquisition cost less any prior distributions treated as a return of capital. Long-term capital gain recognized by a non-corporate U.S. Holder generally will be taxable at a reduced rate. The deduction of capital losses is subject to limitations.</w:t>
      </w:r>
    </w:p>
    <w:p>
      <w:pPr>
        <w:spacing w:after="0" w:line="10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Taxation of Distributions</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6"/>
          <w:szCs w:val="16"/>
          <w:i w:val="1"/>
          <w:iCs w:val="1"/>
          <w:color w:val="auto"/>
        </w:rPr>
        <w:t>U.S. Federal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Considerations to FS Development U.S. Holders — Gain or Loss on Sale, Taxable Exchange or Other Taxable Disposition of Common Stock</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taxable at a reduced rate. It is unclear whether the redemption rights with respect to the Common Stock described in this proxy statement/prospectus may prevent a U.S. Holder from satisfying the applicable holding period requirements with respect to the dividends received deduction or the preferential tax rate on qualified dividend income, as the case may be.</w:t>
      </w:r>
    </w:p>
    <w:p>
      <w:pPr>
        <w:spacing w:after="0" w:line="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U.S. Federal Income Tax Considerations to Non-U.S. Holders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This section is addressed to Non-U.S. Holders of our Common Stock that elect to have their Common Stock redeemed pursuant to the Redemption. For purposes of this discussion, a “Non-U.S. Holder” is a beneficial owner of our Common Stock (other than a partnership) that is not a U.S. Holder. The characterization for U.S. federal income tax purposes of the Redemption generally will correspond to the U.S. federal income tax characterization of the Redemption as described under “</w:t>
      </w:r>
      <w:r>
        <w:rPr>
          <w:rFonts w:ascii="Times New Roman" w:cs="Times New Roman" w:eastAsia="Times New Roman" w:hAnsi="Times New Roman"/>
          <w:sz w:val="16"/>
          <w:szCs w:val="16"/>
          <w:i w:val="1"/>
          <w:iCs w:val="1"/>
          <w:color w:val="auto"/>
        </w:rPr>
        <w:t>U.S. Federal Income Tax Considerations to 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Holders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Non-U.S. Holders of our Common Stock considering exercising their redemption rights should consult their own tax advisors as to whether the Redemption will be treated as a sale or as a distribution under the Code.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7" w:name="page128"/>
    <w:bookmarkEnd w:id="12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Gain on Sale, Taxable Exchange or Other Taxable Disposition of Common Stock</w:t>
      </w:r>
    </w:p>
    <w:p>
      <w:pPr>
        <w:spacing w:after="0" w:line="13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the redemption qualifies as a sale of Common Stock, subject to the discussions of FATCA (as defined below) and backup withholding below, a Non-U.S. Holder generally will not be subject to U.S. federal income or withholding tax in respect of gain recognized on a sale of its Common Stock, unless:</w:t>
      </w:r>
    </w:p>
    <w:p>
      <w:pPr>
        <w:spacing w:after="0" w:line="96" w:lineRule="exact"/>
        <w:rPr>
          <w:sz w:val="20"/>
          <w:szCs w:val="20"/>
          <w:color w:val="auto"/>
        </w:rPr>
      </w:pPr>
    </w:p>
    <w:p>
      <w:pPr>
        <w:jc w:val="both"/>
        <w:ind w:left="1680" w:right="939" w:hanging="379"/>
        <w:spacing w:after="0" w:line="254" w:lineRule="auto"/>
        <w:tabs>
          <w:tab w:leader="none" w:pos="1767"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unless an applicable income tax treaty provides otherwise, the Non-U.S. Holder will generally be subject to the same treatment as a U.S. Holder with respect to the Redemption, and a corporate Non-U.S. Holder may be subject to an additional branch profits tax at a 30% rate (or lower rate as may be specified by an applicable income tax treaty);</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672"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(including any gain realized in connection with the Redemption) for the year (which gain may be offset by certain U.S.-source capital losses), even though the Non-U.S. Holder is not considered a resident of the United States; or</w:t>
      </w:r>
    </w:p>
    <w:p>
      <w:pPr>
        <w:spacing w:after="0" w:line="93" w:lineRule="exact"/>
        <w:rPr>
          <w:rFonts w:ascii="Times New Roman" w:cs="Times New Roman" w:eastAsia="Times New Roman" w:hAnsi="Times New Roman"/>
          <w:sz w:val="16"/>
          <w:szCs w:val="16"/>
          <w:color w:val="auto"/>
        </w:rPr>
      </w:pPr>
    </w:p>
    <w:p>
      <w:pPr>
        <w:jc w:val="both"/>
        <w:ind w:left="1680" w:right="939" w:hanging="379"/>
        <w:spacing w:after="0" w:line="251" w:lineRule="auto"/>
        <w:tabs>
          <w:tab w:leader="none" w:pos="1684"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in which case, gain recognized by such holder in connection with the Redemption will be subject to tax at generally applicable U.S. federal income tax rates. In addition, we may be required to withhold U.S. federal income tax at a rate of 15% of the amount realized upon such Redemption. There can be no assurance that our Common Stock is or has been treated as regularly traded on an established securities market for this purpose.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Taxation of Distributions</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Any distribution not constituting a dividend will be treated first as reducing (but not below zero) the Non-U.S. Holder’s adjusted tax basis in its shares of our Common Stock redeemed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6"/>
          <w:szCs w:val="16"/>
          <w:i w:val="1"/>
          <w:iCs w:val="1"/>
          <w:color w:val="auto"/>
        </w:rPr>
        <w:t>U.S. Federal Income Tax Considerations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to Non-U.S. Holders — Gain on Sale, Taxable Exchange or Other Taxable Disposition of Common Stock</w:t>
      </w:r>
      <w:r>
        <w:rPr>
          <w:rFonts w:ascii="Times New Roman" w:cs="Times New Roman" w:eastAsia="Times New Roman" w:hAnsi="Times New Roman"/>
          <w:sz w:val="16"/>
          <w:szCs w:val="16"/>
          <w:color w:val="auto"/>
        </w:rPr>
        <w:t>.” If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cannot be determined at the time a distribution 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timely provides proper certification of its eligibility for such reduced rate (usually on an IRS Form W-8BEN or W-8BEN-E).</w:t>
      </w:r>
    </w:p>
    <w:p>
      <w:pPr>
        <w:spacing w:after="0" w:line="10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Because (i) it may not be certain at the time a Non-U.S. Holder is redeemed whether such Non-U.S. Holder’s Redemption will be treated as a sale of shares or a distribution constituting a dividend, (ii) such determination will depend in part on a Non-U.S. Holder’s particular circumstances, and (iii) we generally cannot determine at the time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8" w:name="page129"/>
    <w:bookmarkEnd w:id="12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we make a distribution whether or not the distribution will exceed our current and accumulated earnings and profits, we or the applicable withholding agent generally will withhold tax on the entire amount of any distribution at the 30% rate (subject to reduction by an applicable income tax treaty). However, if we or an applicable withholding agent withhold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0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Dividends we pay to a Non-U.S. Holder that are effectively connected with such Non-U.S. Holder’s conduct of a trade or business within the 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Backup withholding is not an additional tax. The amount of any backup withholding from a payment to a holder may be allowed as a credit against such holder’s U.S. federal income tax liability and may entitle such holder to a refund, provided that an appropriate claim for refund is timely filed with the IRS and the required information is timely furnished to the IRS.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FATCA</w:t>
      </w:r>
    </w:p>
    <w:p>
      <w:pPr>
        <w:spacing w:after="0" w:line="129"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Sections 1471 through 1474 of the Code and the Treasury regulations and administrative guidance promulgated thereunder (commonly referred to as the “Foreign Account Tax Compliance Act” or “FATCA”) generally impose a 30% withholding tax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and complies with,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Thirty percent (30%) withholding under FATCA was scheduled to apply to the gross proceeds of a disposition of any stock, debt instrument, or other property that can produce U.S.-source dividends or interest beginning on January 1, 2019, but on December 13, 2018, the IRS released proposed regulations that, if finalized in their proposed form, would eliminate the obligation to withhold on gross proceeds. Although these proposed Treasury Regulations are not final, taxpayers generally may rely on them until final Treasury Regulations are issued.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179"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b w:val="1"/>
          <w:bCs w:val="1"/>
          <w:color w:val="auto"/>
        </w:rPr>
        <w:t>Certain Material U.S. Federal Income Tax Considerations of the Business Combination to Gemini Equityholders</w:t>
      </w:r>
    </w:p>
    <w:p>
      <w:pPr>
        <w:spacing w:after="0" w:line="8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following discussion is a summary of certain material U.S. federal income tax considerations of the Business Combination for U.S. Gemini Holders (as defined below) and Non-U.S. Gemini Holders (as defined below, and together, the “Gemini Holders”) who exchange their Gemini Stock for the Merger Consideration in the Business Combination. This summary is based upon the Code, the regulations promulgated by the U.S. Treasury Department,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9" w:name="page130"/>
    <w:bookmarkEnd w:id="12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w:t>
      </w:r>
    </w:p>
    <w:p>
      <w:pPr>
        <w:spacing w:after="0" w:line="102"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Gemini Stock as part of a “straddle,” “hedge,” “conversion transaction,” “synthetic security,” “constructive ownership transaction,” “constructive sale,” or other integrated transaction for U.S. federal income tax purposes, U.S. Gemini Holders (as defined below) that have a functional currency other than the U.S. dollar, certain former U.S. citizens or long-term residents, investors that directly, indirectly or constructively own 5 percent or more (by vote or value) of the Gemini Stock, “specified foreign corporations” (including “controlled foreign corporations”), “passive foreign investment companies” and corporations that accumulate earnings to avoid U.S. federal income tax, governments or agencies or instrumentalities thereof, persons who received their Gemini Stock pursuant to an exercise of employee share options, in connection with employee share incentive plans or otherwise as compensation, and Non-U.S. Gemini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Gemini Holders that hold Gemini Stock as “capital assets” under the Code (generally, property held for investment).</w:t>
      </w:r>
    </w:p>
    <w:p>
      <w:pPr>
        <w:spacing w:after="0" w:line="12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For purposes of this discussion, a “U.S. Gemini Holder” is a beneficial owner of Gemini Stock who or that is, for U.S. federal income tax purposes:</w:t>
      </w:r>
    </w:p>
    <w:p>
      <w:pPr>
        <w:spacing w:after="0" w:line="73" w:lineRule="exact"/>
        <w:rPr>
          <w:sz w:val="20"/>
          <w:szCs w:val="20"/>
          <w:color w:val="auto"/>
        </w:rPr>
      </w:pPr>
    </w:p>
    <w:p>
      <w:pPr>
        <w:ind w:left="1680" w:hanging="379"/>
        <w:spacing w:after="0"/>
        <w:tabs>
          <w:tab w:leader="none" w:pos="168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79"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(including an entity treated as a corporation for U.S. federal income tax purposes) created or organized in or under the laws of the United States, any state thereof or the District of Columbia;</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96"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For purposes of this discussion, a “Non-U.S. Gemini Holder” is a beneficial owner of Gemini Stock (other than a partnership) that is not a U.S. Gemini Holder.</w:t>
      </w:r>
    </w:p>
    <w:p>
      <w:pPr>
        <w:spacing w:after="0" w:line="8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If a partnership (including an entity or arrangement treated as a partnership for U.S. federal income tax purposes) holds Gemini Stock, the U.S. federal income tax treatment of a partner in such partnership will generally depend upon the status of the partner, the activities of the partnership and certain determinations made at the partner level. If you are a partnership or a partner of a partnership holding Gemini Stock, you are urged to consult your tax advisor regarding the tax consequences of the Business Combination.</w:t>
      </w:r>
    </w:p>
    <w:p>
      <w:pPr>
        <w:spacing w:after="0" w:line="9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WE URGE GEMINI HOLDERS TO CONSULT THEIR OWN TAX ADVISORS CONCERNING THE U.S. FEDERAL, STATE, LOCAL AND NON-U.S. INCOME AND OTHER TAX CONSEQUENCES OF THE BUSINESS COMBINATION.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0" w:name="page131"/>
    <w:bookmarkEnd w:id="13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Tax Consequences if the Business Combination Qualifies as a Reorganization</w:t>
      </w:r>
    </w:p>
    <w:p>
      <w:pPr>
        <w:spacing w:after="0" w:line="13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Subject to the qualifications and assumptions described in this proxy statement/prospectus, FS Development and Gemini intend for the Business Combination to be treated for U.S. federal income tax purposes as a reorganization within the meaning of Section 368(a) of the Code. Nevertheless, the parties’ intentions and this proxy statement/prospectus are not binding on the IRS, and the IRS or a U.S. court could disagree with one or more of the positions discussed in this proxy statement/prospectus. Indeed, the IRS has announced that it will not issue favorable reorganization rulings with respect to escrow stock arrangements unless such arrangements comply with certain requirements. Neither FS Development nor Gemini has requested an opinion from U.S. tax counsel or a ruling from the IRS regarding the U.S. federal income tax consequences arising from and relating to the Business Combination. For a discussion of the U.S. federal income tax consequences if the Business Combination fails to qualify as a reorganization within the meaning of Section 368(a) of the Code, see “— </w:t>
      </w:r>
      <w:r>
        <w:rPr>
          <w:rFonts w:ascii="Times New Roman" w:cs="Times New Roman" w:eastAsia="Times New Roman" w:hAnsi="Times New Roman"/>
          <w:sz w:val="16"/>
          <w:szCs w:val="16"/>
          <w:i w:val="1"/>
          <w:iCs w:val="1"/>
          <w:color w:val="auto"/>
        </w:rPr>
        <w:t>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Consequences if the Business Combination Fails to Qualify as a Reorganization</w:t>
      </w:r>
      <w:r>
        <w:rPr>
          <w:rFonts w:ascii="Times New Roman" w:cs="Times New Roman" w:eastAsia="Times New Roman" w:hAnsi="Times New Roman"/>
          <w:sz w:val="16"/>
          <w:szCs w:val="16"/>
          <w:color w:val="auto"/>
        </w:rPr>
        <w:t>” below. The remainder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discussion “— </w:t>
      </w:r>
      <w:r>
        <w:rPr>
          <w:rFonts w:ascii="Times New Roman" w:cs="Times New Roman" w:eastAsia="Times New Roman" w:hAnsi="Times New Roman"/>
          <w:sz w:val="16"/>
          <w:szCs w:val="16"/>
          <w:i w:val="1"/>
          <w:iCs w:val="1"/>
          <w:color w:val="auto"/>
        </w:rPr>
        <w:t>Tax Consequences if the Business Combination Qualifies as a Reorganization</w:t>
      </w:r>
      <w:r>
        <w:rPr>
          <w:rFonts w:ascii="Times New Roman" w:cs="Times New Roman" w:eastAsia="Times New Roman" w:hAnsi="Times New Roman"/>
          <w:sz w:val="16"/>
          <w:szCs w:val="16"/>
          <w:color w:val="auto"/>
        </w:rPr>
        <w:t>” summarizes certain material U.S. federal income tax consequences of the Business Combination to Gemini Holders assuming that the Business Combination qualifies as a reorganization within the meaning of Section 368(a) of the Code. In addition, the discussion below assumes that the Escrow Shares in the Escrow Fund will be treated as having been received by the Gemini Holders at the time of the Business Combination.</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Exchange for FS Development Common Stock</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Provided that the Business Combination qualifies as a reorganization within the meaning of Section 368(a) of the Code, in general, the following U.S. federal income tax consequences would result to Gemini Holders who exchange shares of Gemini Stock for FS Development Common Stock:</w:t>
      </w:r>
    </w:p>
    <w:p>
      <w:pPr>
        <w:spacing w:after="0" w:line="96" w:lineRule="exact"/>
        <w:rPr>
          <w:sz w:val="20"/>
          <w:szCs w:val="20"/>
          <w:color w:val="auto"/>
        </w:rPr>
      </w:pPr>
    </w:p>
    <w:p>
      <w:pPr>
        <w:jc w:val="both"/>
        <w:ind w:left="1680" w:right="939" w:hanging="379"/>
        <w:spacing w:after="0" w:line="265" w:lineRule="auto"/>
        <w:tabs>
          <w:tab w:leader="none" w:pos="173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Holders will not recognize gain or loss on the exchange of Gemini Stock for shares of FS Development Common Stock (including FS Development Common Stock held in the Escrow Fund) in the Business Combination.</w:t>
      </w:r>
    </w:p>
    <w:p>
      <w:pPr>
        <w:spacing w:after="0" w:line="83"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51"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tax basis in shares of FS Development Common Stock received (including FS Development Common Stock held in the Escrow Fund) in the Business Combination will be equal to the aggregate tax basis of the Gemini Stock exchanged in the Business Combination.</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63"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period of FS Development Common Stock received (including FS Development Common Stock held in the Escrow Fund) in the Business Combination by a Gemini Holder will include the holding period of the Gemini Stock that it surrendered in exchange therefor.</w:t>
      </w:r>
    </w:p>
    <w:p>
      <w:pPr>
        <w:spacing w:after="0" w:line="96" w:lineRule="exact"/>
        <w:rPr>
          <w:sz w:val="20"/>
          <w:szCs w:val="20"/>
          <w:color w:val="auto"/>
        </w:rPr>
      </w:pPr>
    </w:p>
    <w:p>
      <w:pPr>
        <w:jc w:val="both"/>
        <w:ind w:left="920" w:right="939"/>
        <w:spacing w:after="0" w:line="270" w:lineRule="auto"/>
        <w:rPr>
          <w:sz w:val="20"/>
          <w:szCs w:val="20"/>
          <w:color w:val="auto"/>
        </w:rPr>
      </w:pPr>
      <w:r>
        <w:rPr>
          <w:rFonts w:ascii="Times New Roman" w:cs="Times New Roman" w:eastAsia="Times New Roman" w:hAnsi="Times New Roman"/>
          <w:sz w:val="15"/>
          <w:szCs w:val="15"/>
          <w:color w:val="auto"/>
        </w:rPr>
        <w:t>Until the Escrow Shares are released to the Gemini Holders, the interim basis of the FS Development Stock received by Gemini Holders pursuant to the Business Combination will be determined by treating the Escrow Shares as having been received by the Gemini Holders. No gain or loss will be recognized and no amount will be included in the income of the Gemini Holders by reason of the release of Escrow Shares to the Gemini Holders (although, for the avoidance of doubt, the amount of any dividends or other taxable distributions made in respect of the Escrow Shares will be includable in the income of the Gemini Holders prior to the release of such amounts to the Gemini Holders). In the event that any Escrow Shares are not released to Gemini Holders, the interim basis allocated to such Escrow Shares will be reallocated to the Gemini Holders’ remaining FS Development Common Stock received pursuant to the Business Combination, if any, or may result in recognition of capital loss in the event the Gemini Holder no longer holds any FS Development Common Stock. Gemini Holders should consult their tax advisors regarding the manner in which the above rules apply in light of the contingent right to receive Escrow Shares and the tax consequences of the release of Escrow Shares.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Tax Consequences if the Business Combination Fails to Qualify as a Reorganization</w:t>
      </w:r>
    </w:p>
    <w:p>
      <w:pPr>
        <w:spacing w:after="0" w:line="13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If the Business Combination fails to qualify as a reorganization under Section 368(a) of the Code, the Business Combination will be a fully taxable transaction to each Gemini Holder. In such case, each U.S. Gemini Holder will recognize gain or loss measured by the difference between the fair market value of the Merger Consideration received in the Business Combination and the U.S. Gemini Holder’s tax basis in the shares of Gemini Stock surrendered in the Business Combination. The aggregate tax basis in the FS Development Common Stock (including the Escrow Shares) received pursuant to the Business Combination will be equal to the fair market value of such FS Development Common Stock (including the Escrow Shares) as of date received (including in the Escrow Fund). The holding period of such</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1" w:name="page132"/>
    <w:bookmarkEnd w:id="13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FS Development Common Stock (including the Escrow Shares) will begin on the date immediately following the date received. Gain or loss recognized will generally be capital gain or loss and will be a long-term capital gain or loss if the U.S. Gemini Holder will have held the Gemini Stock for more than one year at the Effective Time. Long-term capital gains of U.S. Gemini Holders that are non-corporate taxpayers are currently taxed at preferential U.S. federal income tax rates. Short-term capital gains are taxed at ordinary income tax rates. The deductibility of capital losses is generally subject to limitations. Gain or loss must be calculated separately for each block of Gemini Stock acquired at the same time in a single transaction. U.S. Gemini Holders are urged to consult with their tax advisors regarding the manner in which gain or loss should be calculated among different blocks of Gemini Stock surrendered in the Business Combination.</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tax consequences to a Non-U.S. Gemini Holder if the Business Combination is treated as a taxable transaction generally will be the same as described above under the section titled “</w:t>
      </w:r>
      <w:r>
        <w:rPr>
          <w:rFonts w:ascii="Times New Roman" w:cs="Times New Roman" w:eastAsia="Times New Roman" w:hAnsi="Times New Roman"/>
          <w:sz w:val="16"/>
          <w:szCs w:val="16"/>
          <w:i w:val="1"/>
          <w:iCs w:val="1"/>
          <w:color w:val="auto"/>
        </w:rPr>
        <w:t>Certain Material 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Federal Income Tax Considerations of the Redemption — U.S. Federal Income Tax Considerations to Non-U.S. Holders — Gain on Sale, Taxable Exchange or Other Taxable Disposition of Common Stock</w:t>
      </w:r>
      <w:r>
        <w:rPr>
          <w:rFonts w:ascii="Times New Roman" w:cs="Times New Roman" w:eastAsia="Times New Roman" w:hAnsi="Times New Roman"/>
          <w:sz w:val="16"/>
          <w:szCs w:val="16"/>
          <w:color w:val="auto"/>
        </w:rPr>
        <w:t>” as if the Non-U.S.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Gemini Holder exchanging its Gemini Stock for FS Development Common Stock were a Non-U.S. Holder (as defined therein) selling its Common Stock for property. The Merger Agreement obligates Gemini to deliver a certificate to FS Development on or prior to the Closing Date that as of the date of the certificate, Gemini is not a United States real property holding corporation.</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 U.S. Gemini Holder may be subject to information reporting and backup withholding unless the U.S Gemini Holder is an exempt recipient. Backup withholding may apply to such payments if the U.S. Gemini Holder fails to furnish a correct taxpayer identification number, a certification of exempt status or has been notified by the IRS that it is subject to backup withholding (and such notification has not been withdrawn). Each U.S. Gemini Holder should properly complete and sign, and deliver, an IRS Form W-9 in order to provide the information and certification necessary to avoid backup withholding, or otherwise establish an applicable exemption in a manner acceptable to the paying agent. U.S. Gemini Holders should consult their tax advisors regarding their qualification for an exemption from backup withholding and the procedures for obtaining such an exemption.</w:t>
      </w:r>
    </w:p>
    <w:p>
      <w:pPr>
        <w:spacing w:after="0" w:line="9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 Non-U.S. Gemini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9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Backup withholding is not an additional tax. Any amounts withheld will be allowed as a credit against a Gemini Holder’s federal income tax liability and may entitle such holder to a refund, provided the required information is timely furnished to the IRS. Gemini Holders should consult their tax advisors regarding their qualification for an exemption from backup withholding and the procedures for obtaining such an exemption.</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 Gemini Holder that receives FS Development Common Stock as a result of the Business Combination should retain records pertaining to the Business Combination, including records relating to the number of shares and the tax basis of such holder’s Gemini Stock. Each Gemini Holder that is required to file a U.S. federal income tax return and that is a “significant holder” that receives FS Development Common Stock in the Business Combination will be required to file a statement with such U.S. federal income tax return in accordance with Treasury regulations Section 1.368-3 setting forth such holder’s tax basis in the Gemini Stock surrendered, the fair market value of the FS Development Common Stock received in the Business Combination, and certain other information.</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Accounting Treatment</w:t>
      </w:r>
    </w:p>
    <w:p>
      <w:pPr>
        <w:spacing w:after="0" w:line="13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stockholders comprising a relative majority of the voting power of the Combined Entity, Gemini’s operations prior to the acquisition comprising the only ongoing operations of Combined Entity, and Gemini’s senior management comprising the senior management of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2" w:name="page133"/>
    <w:bookmarkEnd w:id="13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This Business Combination Proposal (and consequently, the Merger Agreement and the transactions contemplated thereby, including the Business Combination) will be approved and adopted only with the affirmative vote of at least a majority of the votes cast by FS Development stockholders present in person (which would include presence at a virtual meeting) or represented by proxy at the Special Meeting and entitled to vote thereon, voting together as a single class. The Business Combination is conditioned upon the approval of the Business Combination Proposal, subject to the terms of the Merger Agreement. If the Business Combination Proposal is not approved, the other Proposals (except the Adjournment Proposal, as described below) will not be presented to the stockholders for a vote. Abstentions and broker non-votes will have no effect on the outcome of the vote on the Business Combination Proposal.</w:t>
      </w:r>
    </w:p>
    <w:p>
      <w:pPr>
        <w:spacing w:after="0" w:line="107"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Approval of the Nasdaq Stock Issuance Proposal, the Charter Amendment Proposal, and the Incentive Plan Proposal are conditioned on the approval of the Business Combination Proposal at the Special Meeting.</w:t>
      </w:r>
    </w:p>
    <w:p>
      <w:pPr>
        <w:spacing w:after="0" w:line="8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As of the Record Date, FS Development’s Sponsor, directors and officers have agreed to vote any shares of Common Stock owned by them in favor of the Business Combination. As of the date hereof, the Sponsor, directors and officers have not purchased any Public Shares.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OUR BOARD UNANIMOUSLY RECOMMENDS THAT OUR STOCKHOLDERS VOTE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APPROVAL OF THE BUSINESS COMBINATION PROPOSAL.</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3" w:name="page134"/>
    <w:bookmarkEnd w:id="13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NASDAQ STOCK ISSUANCE PROPOSAL</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Background and Overview</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Assuming the Business Combination Proposal is approved, FS Development’s stockholders are also being asked to approve (a) the issuance of up to 21,500,000 newly issued shares of FS Development Common Stock in the Business Combination,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 and (b) the issuance of 9,506,000 newly issued shares of FS Development Common Stock in the PIPE Investment for the purposes of complying with the applicable provisions of the Nasdaq Stock Exchange Listing Rules (each, a “</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Listing Rule</w:t>
      </w:r>
      <w:r>
        <w:rPr>
          <w:rFonts w:ascii="Times New Roman" w:cs="Times New Roman" w:eastAsia="Times New Roman" w:hAnsi="Times New Roman"/>
          <w:sz w:val="16"/>
          <w:szCs w:val="16"/>
          <w:color w:val="auto"/>
        </w:rPr>
        <w:t>”) 5635(a), (b) and (d), to the extent such issuance would require a stockholder vote under Nasdaq</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Listing Rule 5635(a), (b), or (d).</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Approval for Purposes of Nasdaq Listing Rule 5635</w:t>
      </w:r>
    </w:p>
    <w:p>
      <w:pPr>
        <w:spacing w:after="0" w:line="14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 If the Business Combination is completed pursuant to the Merger Agreement, FS Development currently expects to issue an estimated 31,006,000 shares of FS Development Class A Common Stock (assuming that none of FS Development’s outstanding Public Shares are redeemed) in connection with the Business Combination and the PIPE Investment.</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Additionally, pursuant to Nasdaq Listing Rule 5635(a)(2), when a Nasdaq-listed company proposes to issue securities in connection with the acquisition of the stock or assets of another company, stockholder approval is required if any director, officer or substantial stockholder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FS Development’s Common Stock, Sponsor is considered a substantial stockholder of FS Development under Nasdaq Listing Rule 5635(e)(3). In connection with the PIPE Investment, Sponsor is expected to be issued 1,500,000 shares of FS Development Class A Common Stock.</w:t>
      </w:r>
    </w:p>
    <w:p>
      <w:pPr>
        <w:spacing w:after="0" w:line="9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the event that this proposal is not approved by FS Development stockholders, the Business Combination cannot be consummated. In the event that this proposal is approved by FS Development stockholders, but the Merger Agreement is terminated (without the Business Combination being consummated) prior to the issuance of shares of FS Development Class A Common Stock pursuant to the Merger Agreement, FS Development will not issue such shares of FS Development Class A Common Stock.</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We currently have 15,535,250 shares of FS Development Common Stock outstanding. Pursuant to the Business Combination and the Subscription Agreements, we will issue 31,006,000 shares of FS Development Class A Common Stock, representing 200% of our outstanding shares of FS Development Common Stock prior to such issuance, at a price less than the greater of the book value or market of the shares. The FS Development Class A Common Stock had a book value of $0.32 and market value of $11.20 on September 30, 2020. Accordingly, we need stockholder approval of the issuance of more than 20% of our issued and outstanding FS Development Common Stock at a price that may be less than the greater of book or market value of FS Development’s Class A Common Stock as of September 30, 2020.</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4" w:name="page135"/>
    <w:bookmarkEnd w:id="13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Effect of Proposal on Current Stockholders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If the Nasdaq Stock Issuance Proposal is adopted, up to an aggregate of 31,006,000 shares of FS Development Class A Common Stock may be issued in connection with the Business Combination and the PIPE Investment, representing up to 200% of the shares of FS Development Class A Common Stock outstanding on the date hereof. The issuance of such shares would result in significant dilution to our stockholders, and result in our stockholders having a smaller percentage interest in the voting power, liquidation value and aggregate book value of FS Development.</w:t>
      </w:r>
    </w:p>
    <w:p>
      <w:pPr>
        <w:spacing w:after="0" w:line="1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Approval of the Nasdaq Stock Issuance Proposal, the Charter Amendment Proposal, and the Incentive Plan Proposal are conditioned on the approval of the Business Combination Proposal at the Special Meeting.</w:t>
      </w:r>
    </w:p>
    <w:p>
      <w:pPr>
        <w:spacing w:after="0" w:line="8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Approval of the Nasdaq Stock Issuance Proposal requires the affirmative vote of a majority of the votes cast by the stockholders represented in person or by proxy and entitled to vote thereon at the Special Meeting, voting together as a single class, assuming that a quorum is present. Failure to vote by proxy or to vote online at the special meeting or an abstention from voting will have no effect on the outcome of the vote on the Nasdaq Stock Issuance Proposal.</w:t>
      </w:r>
    </w:p>
    <w:p>
      <w:pPr>
        <w:spacing w:after="0" w:line="1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198" w:lineRule="exact"/>
        <w:rPr>
          <w:sz w:val="20"/>
          <w:szCs w:val="20"/>
          <w:color w:val="auto"/>
        </w:rPr>
      </w:pPr>
    </w:p>
    <w:p>
      <w:pPr>
        <w:ind w:left="1740" w:right="1439" w:hanging="351"/>
        <w:spacing w:after="0" w:line="318" w:lineRule="auto"/>
        <w:rPr>
          <w:sz w:val="20"/>
          <w:szCs w:val="20"/>
          <w:color w:val="auto"/>
        </w:rPr>
      </w:pPr>
      <w:r>
        <w:rPr>
          <w:rFonts w:ascii="Times New Roman" w:cs="Times New Roman" w:eastAsia="Times New Roman" w:hAnsi="Times New Roman"/>
          <w:sz w:val="15"/>
          <w:szCs w:val="15"/>
          <w:b w:val="1"/>
          <w:bCs w:val="1"/>
          <w:color w:val="auto"/>
        </w:rPr>
        <w:t>OUR BOARD UNANIMOUSLY RECOMMENDS THAT OUR STOCKHOLDERS VOTE “FOR” THE APPROVAL OF THE NASDAQ STOCK ISSUANCE PROPOSAL.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5" w:name="page136"/>
    <w:bookmarkEnd w:id="13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CHARTER AMENDMENT PROPOSAL</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Times New Roman" w:cs="Times New Roman" w:eastAsia="Times New Roman" w:hAnsi="Times New Roman"/>
          <w:sz w:val="16"/>
          <w:szCs w:val="16"/>
          <w:i w:val="1"/>
          <w:iCs w:val="1"/>
          <w:u w:val="single" w:color="auto"/>
          <w:color w:val="auto"/>
        </w:rPr>
        <w:t>Annex B</w:t>
      </w:r>
      <w:r>
        <w:rPr>
          <w:rFonts w:ascii="Times New Roman" w:cs="Times New Roman" w:eastAsia="Times New Roman" w:hAnsi="Times New Roman"/>
          <w:sz w:val="16"/>
          <w:szCs w:val="16"/>
          <w:color w:val="auto"/>
        </w:rPr>
        <w:t>. All stockholders are encouraged to read the Proposed Charter in its entirety for a more complete description of its terms.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Current Charter</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Proposed Charter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Classified Board</w:t>
            </w:r>
          </w:p>
        </w:tc>
        <w:tc>
          <w:tcPr>
            <w:tcW w:w="2580" w:type="dxa"/>
            <w:vAlign w:val="bottom"/>
            <w:tcBorders>
              <w:bottom w:val="single" w:sz="8" w:color="auto"/>
            </w:tcBorders>
            <w:gridSpan w:val="4"/>
          </w:tcPr>
          <w:p>
            <w:pPr>
              <w:spacing w:after="0"/>
              <w:rPr>
                <w:sz w:val="3"/>
                <w:szCs w:val="3"/>
                <w:color w:val="auto"/>
              </w:rPr>
            </w:pPr>
          </w:p>
        </w:tc>
        <w:tc>
          <w:tcPr>
            <w:tcW w:w="80" w:type="dxa"/>
            <w:vAlign w:val="bottom"/>
            <w:vMerge w:val="restart"/>
          </w:tcPr>
          <w:p>
            <w:pPr>
              <w:spacing w:after="0"/>
              <w:rPr>
                <w:sz w:val="3"/>
                <w:szCs w:val="3"/>
                <w:color w:val="auto"/>
              </w:rPr>
            </w:pPr>
          </w:p>
        </w:tc>
        <w:tc>
          <w:tcPr>
            <w:tcW w:w="26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5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The Current Charter divides the board</w:t>
            </w:r>
          </w:p>
        </w:tc>
        <w:tc>
          <w:tcPr>
            <w:tcW w:w="80" w:type="dxa"/>
            <w:vAlign w:val="bottom"/>
            <w:vMerge w:val="continue"/>
          </w:tcPr>
          <w:p>
            <w:pPr>
              <w:spacing w:after="0"/>
              <w:rPr>
                <w:sz w:val="14"/>
                <w:szCs w:val="14"/>
                <w:color w:val="auto"/>
              </w:rPr>
            </w:pPr>
          </w:p>
        </w:tc>
        <w:tc>
          <w:tcPr>
            <w:tcW w:w="266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The Proposed Charter divides the board</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of  directors  into  three  classes  with</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of directors of the Combined Entity into</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staggered three-year terms.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three classes with staggered three-year</w:t>
            </w: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terms.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Charter Amendment</w:t>
            </w: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Current Charter is silent on the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Proposed Charter any will require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issue of minimum voting requirements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the affirmative vote of the majority of the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for  amending  the  Current  Charter,</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outstanding  shares  of  capital  stock</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provided that provisions in the Current</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entitled  to  vote  on  such  amendment,</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Charter  related  to  (i)  the  rights,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provided that provisions in the Proposed</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preferences  and</w:t>
            </w: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privileges  of  the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Charter   in   Article   V   (covering</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Class B Common Stock may only be</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w w:val="99"/>
              </w:rPr>
              <w:t>stockholder</w:t>
            </w: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actions),</w:t>
            </w:r>
          </w:p>
        </w:tc>
        <w:tc>
          <w:tcPr>
            <w:tcW w:w="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Article</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5"/>
              </w:rPr>
              <w:t>VI,</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amended  with  the  approval  of  the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3 (covering classified board of</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holders of at least a majority of the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directors), Article VI, Section 5 (removal</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then-outstanding  shares  of  Class  B</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of  directors),  Article  VII,  Section  3</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and (ii) the provisions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(limitation  on  director  liability)  and</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set  forth  in  Article  IX  (provisions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Article VIII (amendment of by-laws) will</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related to a blank check company) may</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require approval of the holders of at least</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only be amended with the approval of</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66⅔% of the Combined Entity’s then-</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holders of at least 65% of the then</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outstanding  shares  of  capital  stock</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issued  and  outstanding  shares  of</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entitled to vote generally at an election of</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voting together as a</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single class.</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 203</w:t>
            </w: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Current Charter does not provide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Proposed Charter provides that the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for the opt out of Section 203 of the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Combined Entity opts out of Section 203</w:t>
            </w: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w w:val="96"/>
              </w:rPr>
              <w:t>DGCL.</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the DGCL.</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Act Disputes</w:t>
            </w: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Current Charter provides the U.S.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Proposed Charter is silent as to the</w:t>
            </w:r>
          </w:p>
        </w:tc>
        <w:tc>
          <w:tcPr>
            <w:tcW w:w="0" w:type="dxa"/>
            <w:vAlign w:val="bottom"/>
          </w:tcPr>
          <w:p>
            <w:pPr>
              <w:spacing w:after="0"/>
              <w:rPr>
                <w:sz w:val="1"/>
                <w:szCs w:val="1"/>
                <w:color w:val="auto"/>
              </w:rPr>
            </w:pPr>
          </w:p>
        </w:tc>
      </w:tr>
      <w:tr>
        <w:trPr>
          <w:trHeight w:val="193"/>
        </w:trPr>
        <w:tc>
          <w:tcPr>
            <w:tcW w:w="18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Forum</w:t>
            </w: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federal district courts have exclusive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forum for causes of actions arising under</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jurisdiction over causes of action arising</w:t>
            </w: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Securities Act.</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under the Securities Act.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 Removal</w:t>
            </w: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Current Charter has a provision</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Under the Proposed Charter, a director</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providing for the removal of a director</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can only be removed for clause by the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for cause only with the approval of the</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approval of the holders of at least 66⅔%</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holders of a majority of the capital stock</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of   the   Combined   Entity’s   then-</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then issued and outstanding.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outstanding  shares  of  capital  stock</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entitled to vote generally at an election of</w:t>
            </w: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Change</w:t>
            </w: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FS Development’s current name is FS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Under   the   Proposed   Charter,   the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Development Corp.</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Combined Entity’s name will be Gemini</w:t>
            </w: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Therapeutics, Inc.</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The</w:t>
            </w:r>
          </w:p>
        </w:tc>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Current</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Charter</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authorizes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Proposed  Charter  will  authorize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110,000,000 shares of Common Stock,</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250,000,000 shares of Common Stock.</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including  (i)  100,000,000  shares  of</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Class  A  Common  Stock  and  (ii)</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10,000,000 shares of Class B Common</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The</w:t>
            </w:r>
          </w:p>
        </w:tc>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Current</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Charter</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authorizes</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Proposed Charter will authorize the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1,000,0000  shares  of  “blank  check”</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issuance of 10,000,000 shares of “blank</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preferred  stock,  that  the  board  of</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8"/>
              </w:rPr>
              <w:t>check” preferred stock that the Combined</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directors could issue to discourage a</w:t>
            </w: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Entity’s board of directors could issue to</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takeover attempt.</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increase  the  number  of  outstanding</w:t>
            </w: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shares to discourage a takeover attempt.</w:t>
            </w:r>
          </w:p>
        </w:tc>
        <w:tc>
          <w:tcPr>
            <w:tcW w:w="0" w:type="dxa"/>
            <w:vAlign w:val="bottom"/>
          </w:tcPr>
          <w:p>
            <w:pPr>
              <w:spacing w:after="0"/>
              <w:rPr>
                <w:sz w:val="1"/>
                <w:szCs w:val="1"/>
                <w:color w:val="auto"/>
              </w:rPr>
            </w:pPr>
          </w:p>
        </w:tc>
      </w:tr>
      <w:tr>
        <w:trPr>
          <w:trHeight w:val="394"/>
        </w:trPr>
        <w:tc>
          <w:tcPr>
            <w:tcW w:w="1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136" w:name="page137"/>
    <w:bookmarkEnd w:id="13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1" w:lineRule="exact"/>
        <w:rPr>
          <w:sz w:val="20"/>
          <w:szCs w:val="20"/>
          <w:color w:val="auto"/>
        </w:rPr>
      </w:pPr>
    </w:p>
    <w:p>
      <w:pPr>
        <w:jc w:val="right"/>
        <w:ind w:right="1719"/>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Current Charter</w:t>
      </w:r>
      <w:r>
        <w:rPr>
          <w:sz w:val="20"/>
          <w:szCs w:val="20"/>
          <w:color w:val="auto"/>
        </w:rPr>
        <w:tab/>
      </w:r>
      <w:r>
        <w:rPr>
          <w:rFonts w:ascii="Times New Roman" w:cs="Times New Roman" w:eastAsia="Times New Roman" w:hAnsi="Times New Roman"/>
          <w:sz w:val="14"/>
          <w:szCs w:val="14"/>
          <w:b w:val="1"/>
          <w:bCs w:val="1"/>
          <w:color w:val="auto"/>
        </w:rPr>
        <w:t>Proposed Charter</w:t>
      </w:r>
    </w:p>
    <w:p>
      <w:pPr>
        <w:sectPr>
          <w:pgSz w:w="11900" w:h="16838" w:orient="portrait"/>
          <w:cols w:equalWidth="0" w:num="1">
            <w:col w:w="9019"/>
          </w:cols>
          <w:pgMar w:left="1440" w:top="254" w:right="1440" w:bottom="1440" w:gutter="0" w:footer="0" w:header="0"/>
        </w:sectPr>
      </w:pPr>
    </w:p>
    <w:p>
      <w:pPr>
        <w:spacing w:after="0" w:line="50" w:lineRule="exact"/>
        <w:rPr>
          <w:sz w:val="20"/>
          <w:szCs w:val="20"/>
          <w:color w:val="auto"/>
        </w:rPr>
      </w:pPr>
    </w:p>
    <w:p>
      <w:pPr>
        <w:ind w:left="1080" w:hanging="158"/>
        <w:spacing w:after="0" w:line="318" w:lineRule="auto"/>
        <w:rPr>
          <w:sz w:val="20"/>
          <w:szCs w:val="20"/>
          <w:color w:val="auto"/>
        </w:rPr>
      </w:pPr>
      <w:r>
        <w:rPr>
          <w:rFonts w:ascii="Times New Roman" w:cs="Times New Roman" w:eastAsia="Times New Roman" w:hAnsi="Times New Roman"/>
          <w:sz w:val="15"/>
          <w:szCs w:val="15"/>
          <w:b w:val="1"/>
          <w:bCs w:val="1"/>
          <w:color w:val="auto"/>
        </w:rPr>
        <w:t>Provisions Specific to a Blank Check Company</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Under the Current Charter, Article NINTH sets forth various provisions related to its operations as a blank check company prior to the consummation of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-612775</wp:posOffset>
            </wp:positionV>
            <wp:extent cx="16389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6"/>
          <w:szCs w:val="16"/>
          <w:color w:val="auto"/>
        </w:rPr>
        <w:t>Furthermore, FS Development corporate is required to be dissolved and liquidated 24 months following the closing of its initial public offering.</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939"/>
        <w:spacing w:after="0" w:line="269" w:lineRule="auto"/>
        <w:rPr>
          <w:sz w:val="20"/>
          <w:szCs w:val="20"/>
          <w:color w:val="auto"/>
        </w:rPr>
      </w:pPr>
      <w:r>
        <w:rPr>
          <w:rFonts w:ascii="Times New Roman" w:cs="Times New Roman" w:eastAsia="Times New Roman" w:hAnsi="Times New Roman"/>
          <w:sz w:val="15"/>
          <w:szCs w:val="15"/>
          <w:color w:val="auto"/>
        </w:rPr>
        <w:t>The p Proposed Charter does not include these blank check company provisions because, upon Closing, FS Development will cease to be a blank check company. In addition, the provisions requiring that the proceeds from its initial public offering be held in a trust account until a business combination or liquidation of FS Development and the terms governing FS Development’s consummation of a proposed business combination will not be applicable following Closing. The Combined Company will have a perpetual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-1715135</wp:posOffset>
            </wp:positionV>
            <wp:extent cx="169227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92275" cy="762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3">
            <w:col w:w="2660" w:space="100"/>
            <w:col w:w="2580" w:space="80"/>
            <w:col w:w="3599"/>
          </w:cols>
          <w:pgMar w:left="1440" w:top="254"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Charter Amendments</w:t>
      </w:r>
    </w:p>
    <w:p>
      <w:pPr>
        <w:spacing w:after="0" w:line="1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Charter Amendment</w:t>
      </w:r>
    </w:p>
    <w:p>
      <w:pPr>
        <w:spacing w:after="0" w:line="13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Requiring the approval by affirmative vote of holders of at least 66⅔%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Section 203</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Opting out of Section 203 of the DGCL allows the Combined Entity to establish its own rules governing business combinations with interested parties.</w:t>
      </w:r>
    </w:p>
    <w:p>
      <w:pPr>
        <w:spacing w:after="0" w:line="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43"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06"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4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137" w:name="page138"/>
    <w:bookmarkEnd w:id="13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Provisions Specific to a Blank Check Company</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This Charter Amendment Proposal will be approved and adopted in its entirety only if the holders of at least a majority of the outstanding shares of FS Development Common Stock, voting together as a single class vote “FOR” Charter Amendment Proposal. Failure to vote by proxy or to vote online at the Special Meeting or an abstention from voting will have the same effect as a vote “AGAINST” the Charter Amendment Proposal.</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Approval of the Charter Amendment Proposal, the Nasdaq Stock Issuance Proposal, and the Incentive Plan Proposal are conditioned on the approval of the Business Combination Proposal at the Special Meeting.</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198" w:lineRule="exact"/>
        <w:rPr>
          <w:sz w:val="20"/>
          <w:szCs w:val="20"/>
          <w:color w:val="auto"/>
        </w:rPr>
      </w:pPr>
    </w:p>
    <w:p>
      <w:pPr>
        <w:jc w:val="center"/>
        <w:ind w:left="920" w:right="959"/>
        <w:spacing w:after="0" w:line="266" w:lineRule="auto"/>
        <w:rPr>
          <w:sz w:val="20"/>
          <w:szCs w:val="20"/>
          <w:color w:val="auto"/>
        </w:rPr>
      </w:pPr>
      <w:r>
        <w:rPr>
          <w:rFonts w:ascii="Times New Roman" w:cs="Times New Roman" w:eastAsia="Times New Roman" w:hAnsi="Times New Roman"/>
          <w:sz w:val="16"/>
          <w:szCs w:val="16"/>
          <w:b w:val="1"/>
          <w:bCs w:val="1"/>
          <w:color w:val="auto"/>
        </w:rPr>
        <w:t>OUR BOARD UNANIMOUSLY RECOMMENDS THAT OUR STOCKHOLDERS VOTE “FOR” THE APPROVAL OF THE CHARTER AMENDMENT PROPOSAL AND THE PROPOSED CHARTER.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8" w:name="page139"/>
    <w:bookmarkEnd w:id="13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CHARTER AMENDMENT ADVISORY PROPOSALS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FS Development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FS Development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FS Development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1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6"/>
          <w:szCs w:val="16"/>
          <w:b w:val="1"/>
          <w:bCs w:val="1"/>
          <w:color w:val="auto"/>
        </w:rPr>
        <w:t>Advisory Charter Proposals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left="1680" w:right="939" w:hanging="379"/>
        <w:spacing w:after="0" w:line="283" w:lineRule="auto"/>
        <w:tabs>
          <w:tab w:leader="none" w:pos="1721"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A </w:t>
      </w:r>
      <w:r>
        <w:rPr>
          <w:rFonts w:ascii="Times New Roman" w:cs="Times New Roman" w:eastAsia="Times New Roman" w:hAnsi="Times New Roman"/>
          <w:sz w:val="16"/>
          <w:szCs w:val="16"/>
          <w:color w:val="auto"/>
        </w:rPr>
        <w:t>— to increase the authorized shares of Class A Common Stock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250,000,000 shares;</w:t>
      </w:r>
    </w:p>
    <w:p>
      <w:pPr>
        <w:spacing w:after="0" w:line="67" w:lineRule="exact"/>
        <w:rPr>
          <w:rFonts w:ascii="Times New Roman" w:cs="Times New Roman" w:eastAsia="Times New Roman" w:hAnsi="Times New Roman"/>
          <w:sz w:val="16"/>
          <w:szCs w:val="16"/>
          <w:color w:val="auto"/>
        </w:rPr>
      </w:pPr>
    </w:p>
    <w:p>
      <w:pPr>
        <w:jc w:val="both"/>
        <w:ind w:left="1680" w:right="939" w:hanging="379"/>
        <w:spacing w:after="0" w:line="266" w:lineRule="auto"/>
        <w:tabs>
          <w:tab w:leader="none" w:pos="1642"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B </w:t>
      </w:r>
      <w:r>
        <w:rPr>
          <w:rFonts w:ascii="Times New Roman" w:cs="Times New Roman" w:eastAsia="Times New Roman" w:hAnsi="Times New Roman"/>
          <w:sz w:val="16"/>
          <w:szCs w:val="16"/>
          <w:color w:val="auto"/>
        </w:rPr>
        <w:t>— to increase the authorized shares of “blank check” preferred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the Combined Entity’s board of directors could issue to discourage a takeover attempt to 10,000,000 shares;</w:t>
      </w:r>
    </w:p>
    <w:p>
      <w:pPr>
        <w:spacing w:after="0" w:line="93" w:lineRule="exact"/>
        <w:rPr>
          <w:rFonts w:ascii="Times New Roman" w:cs="Times New Roman" w:eastAsia="Times New Roman" w:hAnsi="Times New Roman"/>
          <w:sz w:val="16"/>
          <w:szCs w:val="16"/>
          <w:color w:val="auto"/>
        </w:rPr>
      </w:pPr>
    </w:p>
    <w:p>
      <w:pPr>
        <w:jc w:val="both"/>
        <w:ind w:left="1680" w:right="939" w:hanging="379"/>
        <w:spacing w:after="0" w:line="251" w:lineRule="auto"/>
        <w:tabs>
          <w:tab w:leader="none" w:pos="167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C </w:t>
      </w:r>
      <w:r>
        <w:rPr>
          <w:rFonts w:ascii="Times New Roman" w:cs="Times New Roman" w:eastAsia="Times New Roman" w:hAnsi="Times New Roman"/>
          <w:sz w:val="16"/>
          <w:szCs w:val="16"/>
          <w:color w:val="auto"/>
        </w:rPr>
        <w:t>— to provide that certain amendments to provisions of the Proposed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Charter will require the approval of at least 66</w:t>
      </w:r>
      <w:r>
        <w:rPr>
          <w:rFonts w:ascii="Times New Roman" w:cs="Times New Roman" w:eastAsia="Times New Roman" w:hAnsi="Times New Roman"/>
          <w:sz w:val="18"/>
          <w:szCs w:val="18"/>
          <w:color w:val="auto"/>
          <w:vertAlign w:val="superscript"/>
        </w:rPr>
        <w:t>2/3</w:t>
      </w:r>
      <w:r>
        <w:rPr>
          <w:rFonts w:ascii="Times New Roman" w:cs="Times New Roman" w:eastAsia="Times New Roman" w:hAnsi="Times New Roman"/>
          <w:sz w:val="16"/>
          <w:szCs w:val="16"/>
          <w:color w:val="auto"/>
        </w:rPr>
        <w:t>% of the Combined Entity’s then-outstanding shares of capital stock entitled to vote on such amendment;</w:t>
      </w:r>
    </w:p>
    <w:p>
      <w:pPr>
        <w:spacing w:after="0" w:line="103"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666"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D — </w:t>
      </w:r>
      <w:r>
        <w:rPr>
          <w:rFonts w:ascii="Times New Roman" w:cs="Times New Roman" w:eastAsia="Times New Roman" w:hAnsi="Times New Roman"/>
          <w:sz w:val="16"/>
          <w:szCs w:val="16"/>
          <w:color w:val="auto"/>
        </w:rPr>
        <w:t>to make the Combined Entity’s corporate existence perpetual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0" w:lineRule="exact"/>
        <w:rPr>
          <w:rFonts w:ascii="Times New Roman" w:cs="Times New Roman" w:eastAsia="Times New Roman" w:hAnsi="Times New Roman"/>
          <w:sz w:val="16"/>
          <w:szCs w:val="16"/>
          <w:color w:val="auto"/>
        </w:rPr>
      </w:pPr>
    </w:p>
    <w:p>
      <w:pPr>
        <w:jc w:val="both"/>
        <w:ind w:left="1680" w:right="939" w:hanging="379"/>
        <w:spacing w:after="0" w:line="249" w:lineRule="auto"/>
        <w:tabs>
          <w:tab w:leader="none" w:pos="1745"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Advisory Charter Proposal E </w:t>
      </w:r>
      <w:r>
        <w:rPr>
          <w:rFonts w:ascii="Times New Roman" w:cs="Times New Roman" w:eastAsia="Times New Roman" w:hAnsi="Times New Roman"/>
          <w:sz w:val="16"/>
          <w:szCs w:val="16"/>
          <w:color w:val="auto"/>
        </w:rPr>
        <w:t>— to provide that any amendment to the Amended By-laws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 the approval of at least 66</w:t>
      </w:r>
      <w:r>
        <w:rPr>
          <w:rFonts w:ascii="Times New Roman" w:cs="Times New Roman" w:eastAsia="Times New Roman" w:hAnsi="Times New Roman"/>
          <w:sz w:val="18"/>
          <w:szCs w:val="18"/>
          <w:color w:val="auto"/>
          <w:vertAlign w:val="superscript"/>
        </w:rPr>
        <w:t>2/3</w:t>
      </w:r>
      <w:r>
        <w:rPr>
          <w:rFonts w:ascii="Times New Roman" w:cs="Times New Roman" w:eastAsia="Times New Roman" w:hAnsi="Times New Roman"/>
          <w:sz w:val="16"/>
          <w:szCs w:val="16"/>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Charter Amendments</w:t>
      </w:r>
    </w:p>
    <w:p>
      <w:pPr>
        <w:spacing w:after="0" w:line="1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Charter Amendment</w:t>
      </w:r>
    </w:p>
    <w:p>
      <w:pPr>
        <w:spacing w:after="0" w:line="143"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Requiring the approval by affirmative vote of holders of at least 66</w:t>
      </w:r>
      <w:r>
        <w:rPr>
          <w:rFonts w:ascii="Times New Roman" w:cs="Times New Roman" w:eastAsia="Times New Roman" w:hAnsi="Times New Roman"/>
          <w:sz w:val="18"/>
          <w:szCs w:val="18"/>
          <w:color w:val="auto"/>
          <w:vertAlign w:val="superscript"/>
        </w:rPr>
        <w:t>2/3</w:t>
      </w:r>
      <w:r>
        <w:rPr>
          <w:rFonts w:ascii="Times New Roman" w:cs="Times New Roman" w:eastAsia="Times New Roman" w:hAnsi="Times New Roman"/>
          <w:sz w:val="16"/>
          <w:szCs w:val="16"/>
          <w:color w:val="auto"/>
        </w:rPr>
        <w:t>%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Section 203</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Opting out of Section 203 of the Delaware General Corporation Law allows the Proposed Charter to establish its own rules governing business combinations with interested parties.</w:t>
      </w:r>
    </w:p>
    <w:p>
      <w:pPr>
        <w:spacing w:after="0" w:line="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3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9" w:name="page140"/>
    <w:bookmarkEnd w:id="13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4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96"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Provisions Specific to a Blank Check Company</w:t>
      </w:r>
    </w:p>
    <w:p>
      <w:pPr>
        <w:spacing w:after="0" w:line="13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the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Approval of each of the Advisory Charter Proposals, each of which is a non-binding vote, requires the affirmative vote of a majority of the votes cast by FS Development stockholders present in person (which would include presence at a virtual meeting) or represented by proxy at the Special Meeting and entitled to vote thereon, voting together as a single class. Abstentions and broker non-votes have no effect on the outcome of the Advisory Charter Proposals.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139" w:lineRule="exact"/>
        <w:rPr>
          <w:sz w:val="20"/>
          <w:szCs w:val="20"/>
          <w:color w:val="auto"/>
        </w:rPr>
      </w:pPr>
    </w:p>
    <w:p>
      <w:pPr>
        <w:ind w:left="1540" w:right="1439" w:hanging="145"/>
        <w:spacing w:after="0" w:line="318" w:lineRule="auto"/>
        <w:rPr>
          <w:sz w:val="20"/>
          <w:szCs w:val="20"/>
          <w:color w:val="auto"/>
        </w:rPr>
      </w:pPr>
      <w:r>
        <w:rPr>
          <w:rFonts w:ascii="Times New Roman" w:cs="Times New Roman" w:eastAsia="Times New Roman" w:hAnsi="Times New Roman"/>
          <w:sz w:val="15"/>
          <w:szCs w:val="15"/>
          <w:b w:val="1"/>
          <w:bCs w:val="1"/>
          <w:color w:val="auto"/>
        </w:rPr>
        <w:t>OUR BOARD UNANIMOUSLY RECOMMENDS THAT OUR STOCKHOLDERS VOTE “FOR” THE APPROVAL OF EACH OF THE ADVISORY CHARTER PROPOSALS.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0" w:name="page141"/>
    <w:bookmarkEnd w:id="14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INCENTIVE PLAN PROPOSAL</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The following is a summary description of the Equity Incentive Plan as proposed to be adopted by FS Development in connection with the Business Combination. This summary is not a complete statement of the Equity Incentive Plan and is qualified in its entirety by reference to the complete text of the Equity Incentive Plan, a copy of which is attached hereto as </w:t>
      </w:r>
      <w:r>
        <w:rPr>
          <w:rFonts w:ascii="Times New Roman" w:cs="Times New Roman" w:eastAsia="Times New Roman" w:hAnsi="Times New Roman"/>
          <w:sz w:val="16"/>
          <w:szCs w:val="16"/>
          <w:i w:val="1"/>
          <w:iCs w:val="1"/>
          <w:u w:val="single" w:color="auto"/>
          <w:color w:val="auto"/>
        </w:rPr>
        <w:t>Annex D</w:t>
      </w:r>
      <w:r>
        <w:rPr>
          <w:rFonts w:ascii="Times New Roman" w:cs="Times New Roman" w:eastAsia="Times New Roman" w:hAnsi="Times New Roman"/>
          <w:sz w:val="16"/>
          <w:szCs w:val="16"/>
          <w:color w:val="auto"/>
        </w:rPr>
        <w:t xml:space="preserve">. FS Development stockholders should refer to the Equity Incentive Plan for more complete and detailed information about the terms and conditions of the Equity Incentive Plan. </w:t>
      </w:r>
      <w:r>
        <w:rPr>
          <w:rFonts w:ascii="Times New Roman" w:cs="Times New Roman" w:eastAsia="Times New Roman" w:hAnsi="Times New Roman"/>
          <w:sz w:val="16"/>
          <w:szCs w:val="16"/>
          <w:i w:val="1"/>
          <w:iCs w:val="1"/>
          <w:color w:val="auto"/>
        </w:rPr>
        <w:t>Unless the context otherwise requires, references in this summary description to “we”, “us”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“our” generally refer to FS Development in the present tense or the Combined Entity from and after the Business Combination.</w:t>
      </w:r>
    </w:p>
    <w:p>
      <w:pPr>
        <w:spacing w:after="0" w:line="10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purpose of the Equity Incentive Plan is to provide a means whereby the Combined Entity can align the long-term financial interests of its employees, consultants, and directors with the financial interests of its stockholders. In addition, the Board believes that the ability to grant options and other equity-based awards will help the Combined Entity to attract, retain, and motivate employees, consultants, and directors and encourages them to devote their best efforts to the Combined Entity’s business and financial success.</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Approval of the Equity Incentive Plan by FS Development stockholders is required, among other things, in order to: (i) comply with Nasdaq Listing Rules requiring stockholder approval of equity compensation plans and (ii) allow the grant of incentive stock options to participants in the Equity Incentive Plan.</w:t>
      </w:r>
    </w:p>
    <w:p>
      <w:pPr>
        <w:spacing w:after="0" w:line="84"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If this Incentive Plan Proposal is approved by FS Development stockholders, the Equity Incentive Plan will become effective as of the date immediately preceding the date of the Closing. While the Combined Entity may assume outstanding equity awards under the Gemini Therapeutics, Inc., 2017 Stock Option and Grant Plan (the “</w:t>
      </w:r>
      <w:r>
        <w:rPr>
          <w:rFonts w:ascii="Times New Roman" w:cs="Times New Roman" w:eastAsia="Times New Roman" w:hAnsi="Times New Roman"/>
          <w:sz w:val="16"/>
          <w:szCs w:val="16"/>
          <w:b w:val="1"/>
          <w:bCs w:val="1"/>
          <w:color w:val="auto"/>
        </w:rPr>
        <w:t>2017 Plan</w:t>
      </w:r>
      <w:r>
        <w:rPr>
          <w:rFonts w:ascii="Times New Roman" w:cs="Times New Roman" w:eastAsia="Times New Roman" w:hAnsi="Times New Roman"/>
          <w:sz w:val="16"/>
          <w:szCs w:val="16"/>
          <w:color w:val="auto"/>
        </w:rPr>
        <w:t>”) and the Gemini Therapeutics, Inc. 2015 Employee, Director and Consultant Stock Option Plan (the “</w:t>
      </w:r>
      <w:r>
        <w:rPr>
          <w:rFonts w:ascii="Times New Roman" w:cs="Times New Roman" w:eastAsia="Times New Roman" w:hAnsi="Times New Roman"/>
          <w:sz w:val="16"/>
          <w:szCs w:val="16"/>
          <w:b w:val="1"/>
          <w:bCs w:val="1"/>
          <w:color w:val="auto"/>
        </w:rPr>
        <w:t>2015 Plan</w:t>
      </w:r>
      <w:r>
        <w:rPr>
          <w:rFonts w:ascii="Times New Roman" w:cs="Times New Roman" w:eastAsia="Times New Roman" w:hAnsi="Times New Roman"/>
          <w:sz w:val="16"/>
          <w:szCs w:val="16"/>
          <w:color w:val="auto"/>
        </w:rPr>
        <w:t>” and, together with the 2017 Plan, the (“</w:t>
      </w:r>
      <w:r>
        <w:rPr>
          <w:rFonts w:ascii="Times New Roman" w:cs="Times New Roman" w:eastAsia="Times New Roman" w:hAnsi="Times New Roman"/>
          <w:sz w:val="16"/>
          <w:szCs w:val="16"/>
          <w:b w:val="1"/>
          <w:bCs w:val="1"/>
          <w:color w:val="auto"/>
        </w:rPr>
        <w:t>Gemini Plans</w:t>
      </w:r>
      <w:r>
        <w:rPr>
          <w:rFonts w:ascii="Times New Roman" w:cs="Times New Roman" w:eastAsia="Times New Roman" w:hAnsi="Times New Roman"/>
          <w:sz w:val="16"/>
          <w:szCs w:val="16"/>
          <w:color w:val="auto"/>
        </w:rPr>
        <w:t>”), following the Closing (and such assumed awards will not count against the share reserve under the Equity Incentive Plan), no further grants will be made under the Gemini Plans. Approval of the Equity Incentive Plan by FS Development stockholders will allow the Combined Entity to grant stock options, restricted stock unit awards and other awards at levels determined appropriate by its board of directors or compensation committee following the closing of the Business Combination. The Equity Incentive Plan will also allow the Combined Entity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14" w:lineRule="exact"/>
        <w:rPr>
          <w:sz w:val="20"/>
          <w:szCs w:val="20"/>
          <w:color w:val="auto"/>
        </w:rPr>
      </w:pPr>
    </w:p>
    <w:p>
      <w:pPr>
        <w:jc w:val="both"/>
        <w:ind w:left="920" w:right="939"/>
        <w:spacing w:after="0" w:line="275" w:lineRule="auto"/>
        <w:rPr>
          <w:sz w:val="20"/>
          <w:szCs w:val="20"/>
          <w:color w:val="auto"/>
        </w:rPr>
      </w:pPr>
      <w:r>
        <w:rPr>
          <w:rFonts w:ascii="Times New Roman" w:cs="Times New Roman" w:eastAsia="Times New Roman" w:hAnsi="Times New Roman"/>
          <w:sz w:val="15"/>
          <w:szCs w:val="15"/>
          <w:color w:val="auto"/>
        </w:rPr>
        <w:t>The Combined Entity’s employee equity compensation program, as implemented under the Equity Incentive Plan, will allow the Combined Entity to remain competitive with comparable companies in its industry by giving it the resources to attract and retain talented individuals to achieve its business objectives and build stockholder value. Approval of the Equity Incentive Plan will provide the Combined Entity with the flexibility it needs to use equity compensation and other incentive awards to attract, retain and motivate talented employees, directors and consultants who are important to the Combined Entity’s long-term growth and success.</w:t>
      </w:r>
    </w:p>
    <w:p>
      <w:pPr>
        <w:spacing w:after="0" w:line="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Summary of Material Features of the Equity Incentive Plan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material features of the Equity Incentive Plan include:</w:t>
      </w:r>
    </w:p>
    <w:p>
      <w:pPr>
        <w:spacing w:after="0" w:line="139" w:lineRule="exact"/>
        <w:rPr>
          <w:sz w:val="20"/>
          <w:szCs w:val="20"/>
          <w:color w:val="auto"/>
        </w:rPr>
      </w:pPr>
    </w:p>
    <w:p>
      <w:pPr>
        <w:jc w:val="both"/>
        <w:ind w:left="1680" w:right="939" w:hanging="379"/>
        <w:spacing w:after="0" w:line="255" w:lineRule="auto"/>
        <w:tabs>
          <w:tab w:leader="none" w:pos="1767"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Initially, the maximum number of shares of Common Stock that may be issued under the Equity Incentive Plan is 4,264,341 shares.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69"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67"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 of stock options (both incentive and non-qualified options), stock appreciation rights, restricted stock, restricted stock units, unrestricted stock, cash-based awards, and dividend equivalent rights is permitted;</w:t>
      </w:r>
    </w:p>
    <w:p>
      <w:pPr>
        <w:spacing w:after="0" w:line="59"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and stock appreciation rights will not be repriced in any manner without stockholder approval;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1" w:name="page142"/>
    <w:bookmarkEnd w:id="14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03" w:lineRule="exact"/>
        <w:rPr>
          <w:sz w:val="20"/>
          <w:szCs w:val="20"/>
          <w:color w:val="auto"/>
        </w:rPr>
      </w:pPr>
    </w:p>
    <w:p>
      <w:pPr>
        <w:jc w:val="both"/>
        <w:ind w:left="1680" w:right="939" w:hanging="379"/>
        <w:spacing w:after="0" w:line="259" w:lineRule="auto"/>
        <w:tabs>
          <w:tab w:leader="none" w:pos="1732"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all awards awarded under the Equity Incentive Plan and all other cash compensation paid by us to any non-employee director in any calendar year may not exceed $750,000 or $1,000,000 for the year in which a non-employee director is first appointed or elected to the Combined Entity’s board of directors;</w:t>
      </w:r>
    </w:p>
    <w:p>
      <w:pPr>
        <w:spacing w:after="0" w:line="90"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amendments to the Equity Incentive Plan are subject to approval by our stockholders; and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Equity Incentive Plan will expire on the tenth anniversary of the effective date of the Equity Incentive Plan is approved by the board of directors of FS Development.</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Information Regarding Equity Incentive Program</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It is critical to the Combined Entity’s long-term success that the interests of its employees, directors and consultants are tied to its success as “owners” of the business. Approval of the Equity Incentive Plan will allow the Combined Entity to grant stock options and other equity awards at levels it determines to be appropriate in order to attract new employees and directors, retain existing employees and directors and to provide incentives for such persons to exert maximum efforts for the Combined Entity’s success and ultimately increase stockholder value. The Equity Incentive Plan allows the Combined Entity to utilize a broad array of equity incentives with flexibility in designing equity incentives, including stock option grants, stock appreciation rights, restricted stock awards, restricted stock unit awards, unrestricted stock awards and dividend equivalent rights to offer competitive equity compensation packages in order to retain and motivate the talent necessary for the Combined Entity.</w:t>
      </w:r>
    </w:p>
    <w:p>
      <w:pPr>
        <w:spacing w:after="0" w:line="10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If FS Development’s request to approve the Equity Incentive Plan is approved by FS Development stockholders, the Combined Entity will initially have 49,566,431 shares, subject to adjustment for specified changes in the Combined Entity’s capitalization, available for grant under the Equity Incentive Plan as of the effective time of the closing of the Business Combination. In addition, as further described below under section titled “</w:t>
      </w:r>
      <w:r>
        <w:rPr>
          <w:rFonts w:ascii="Times New Roman" w:cs="Times New Roman" w:eastAsia="Times New Roman" w:hAnsi="Times New Roman"/>
          <w:sz w:val="16"/>
          <w:szCs w:val="16"/>
          <w:i w:val="1"/>
          <w:iCs w:val="1"/>
          <w:color w:val="auto"/>
        </w:rPr>
        <w:t>— Description of the Equity Incentive Plan — Shares Available for Awards</w:t>
      </w:r>
      <w:r>
        <w:rPr>
          <w:rFonts w:ascii="Times New Roman" w:cs="Times New Roman" w:eastAsia="Times New Roman" w:hAnsi="Times New Roman"/>
          <w:sz w:val="16"/>
          <w:szCs w:val="16"/>
          <w:color w:val="auto"/>
        </w:rPr>
        <w:t>,” the share reserve is subject to annual increases each January 1 beginning on January 1, 2022 of 4% of the number of shares of the Combined Entity’s Common Stock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Description of the Equity Incentive Plan</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Equity Incentive Plan was adopted by the Board on October 15, 2020 and will become effective, subject to stockholder approval, on the date immediately preceding the Closing. The Equity Incentive Plan will replace the 2017 Plan as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the Combined Entity will assure a closer alignment of the interests of such individuals with those of the Combined Entity and its stockholders, thereby stimulating their efforts on the Combined Entity’s behalf and strengthening their desire to remain with the Combined Entity.</w:t>
      </w:r>
    </w:p>
    <w:p>
      <w:pPr>
        <w:spacing w:after="0" w:line="107"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We have initially reserved shares of Common Stock (the “</w:t>
      </w:r>
      <w:r>
        <w:rPr>
          <w:rFonts w:ascii="Times New Roman" w:cs="Times New Roman" w:eastAsia="Times New Roman" w:hAnsi="Times New Roman"/>
          <w:sz w:val="16"/>
          <w:szCs w:val="16"/>
          <w:b w:val="1"/>
          <w:bCs w:val="1"/>
          <w:color w:val="auto"/>
        </w:rPr>
        <w:t>Initial Limit</w:t>
      </w:r>
      <w:r>
        <w:rPr>
          <w:rFonts w:ascii="Times New Roman" w:cs="Times New Roman" w:eastAsia="Times New Roman" w:hAnsi="Times New Roman"/>
          <w:sz w:val="16"/>
          <w:szCs w:val="16"/>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9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 issued under the Equity Incentive Plan as of the Closing is $42,643,410.</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2" w:name="page143"/>
    <w:bookmarkEnd w:id="14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02"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07" w:lineRule="exact"/>
        <w:rPr>
          <w:sz w:val="20"/>
          <w:szCs w:val="20"/>
          <w:color w:val="auto"/>
        </w:rPr>
      </w:pPr>
    </w:p>
    <w:p>
      <w:pPr>
        <w:jc w:val="both"/>
        <w:ind w:left="920" w:right="939"/>
        <w:spacing w:after="0" w:line="278" w:lineRule="auto"/>
        <w:rPr>
          <w:sz w:val="20"/>
          <w:szCs w:val="20"/>
          <w:color w:val="auto"/>
        </w:rPr>
      </w:pPr>
      <w:r>
        <w:rPr>
          <w:rFonts w:ascii="Times New Roman" w:cs="Times New Roman" w:eastAsia="Times New Roman" w:hAnsi="Times New Roman"/>
          <w:sz w:val="15"/>
          <w:szCs w:val="15"/>
          <w:color w:val="auto"/>
        </w:rPr>
        <w:t>Persons eligible to participate in our Equity Incentive Plan will be those full or part-time officers, employees, non-employee directors, and consultants of the Combined Entity as selected from time to time by our compensation committee in its discretion. As of the date of this proxy statement/prospectus, following the Closing, approximately 42 individuals will be eligible to participate in the Equity Incentive Plan, which includes approximately 5 officers, 26 employees who are not officers, 6 non-employee directors, and consultants.</w:t>
      </w:r>
    </w:p>
    <w:p>
      <w:pPr>
        <w:spacing w:after="0" w:line="7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0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94"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07"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Our compensation committee may grant cash bonuses under our Equity Incentive Plan to participants, subject to the achievement of certain performance goals.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3" w:name="page144"/>
    <w:bookmarkEnd w:id="14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the Combined Entity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The Combined Entity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1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Form S-8</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U.S. Federal Income Tax Consequences</w:t>
      </w:r>
    </w:p>
    <w:p>
      <w:pPr>
        <w:spacing w:after="0" w:line="14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1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i w:val="1"/>
          <w:iCs w:val="1"/>
          <w:color w:val="auto"/>
        </w:rPr>
        <w:t>Incentive Stock Options</w:t>
      </w:r>
      <w:r>
        <w:rPr>
          <w:rFonts w:ascii="Times New Roman" w:cs="Times New Roman" w:eastAsia="Times New Roman" w:hAnsi="Times New Roman"/>
          <w:sz w:val="16"/>
          <w:szCs w:val="16"/>
          <w:color w:val="auto"/>
        </w:rPr>
        <w:t>. No taxable income is generally realized by the optionee upon the grant or exercise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4" w:name="page145"/>
    <w:bookmarkEnd w:id="14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0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0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Non-Qualified Options. </w:t>
      </w:r>
      <w:r>
        <w:rPr>
          <w:rFonts w:ascii="Times New Roman" w:cs="Times New Roman" w:eastAsia="Times New Roman" w:hAnsi="Times New Roman"/>
          <w:sz w:val="16"/>
          <w:szCs w:val="16"/>
          <w:color w:val="auto"/>
        </w:rPr>
        <w:t>No income is generally realized by the optionee at the time a non-qualified option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9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Other Awards. </w:t>
      </w:r>
      <w:r>
        <w:rPr>
          <w:rFonts w:ascii="Times New Roman" w:cs="Times New Roman" w:eastAsia="Times New Roman" w:hAnsi="Times New Roman"/>
          <w:sz w:val="16"/>
          <w:szCs w:val="16"/>
          <w:color w:val="auto"/>
        </w:rPr>
        <w:t>the Combined Entity generally will be entitled to a tax deduction in connection with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awards 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02"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i w:val="1"/>
          <w:iCs w:val="1"/>
          <w:color w:val="auto"/>
        </w:rPr>
        <w:t>Parachute Payments</w:t>
      </w:r>
      <w:r>
        <w:rPr>
          <w:rFonts w:ascii="Times New Roman" w:cs="Times New Roman" w:eastAsia="Times New Roman" w:hAnsi="Times New Roman"/>
          <w:sz w:val="16"/>
          <w:szCs w:val="16"/>
          <w:color w:val="auto"/>
        </w:rPr>
        <w:t>. The vesting of any portion of an award that is accelerated due to the occurrence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 in control (such as a sale event) may cause all or a portion of the payments with respect to such accelerated awards to be treated as “parachute payments” as defined in the Code. Any such parachute payments may be non-deductible to the Combined Entity, in whole or in part, and may subject the recipient to a non-deductible 20% federal excise tax on all or a portion of such payment (in addition to other taxes ordinarily payable).</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New Plan Benefits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approval of the Incentive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Incentive Plan Proposal. Broker non-votes will have no effect with respect to the approval of this proposal.</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Approval of the Incentive Plan Proposal, the Nasdaq Stock Issuance Proposal, and the Charter Amendment Proposal are conditioned on the approval of the Business Combination Proposal at the Special Meeting.</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OUR BOARD UNANIMOUSLY RECOMMENDS THAT OUR STOCKHOLDERS VOTE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APPROVAL OF THE INCENTIVE PLAN PROPOSAL.</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5" w:name="page146"/>
    <w:bookmarkEnd w:id="14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ADJOURNMENT PROPOSAL</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Adjournment Proposal, if adopted, will allow the Board to adjourn the Special Meeting to a later date or dates to permit further solicitation of proxies. The Adjournment Proposal will only be presented to FS Development’s stockholders in the event that based upon the tabulated vote at the time of the Special Meeting there are insufficient votes for, or otherwise in connection with, the approval of the Business Combination Proposal, the Nasdaq Stock Issuance Proposal, the Charter Amendment Proposal, or the Incentive Plan Proposal, or we determine that one or more of the closing conditions under the Business Combination is not satisfied or waived. In no event will the Board adjourn the Special Meeting or consummate the Business Combination beyond the date by which it may properly do so under its Current Charter and Delaware law.</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Consequences if the Adjournment Proposal is Not Approved</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the Adjournment Proposal is not approved by FS Development’s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approval of the Adjournment Proposal requires the affirmative vote of holders of a majority of the shares of FS Development Common Stock represented in person or by proxy and entitled to vote thereon at the Special Meeting, voting together as a single class. Broker non-votes and abstentions will have no effect with respect to the approval of this proposal.</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OUR BOARD UNANIMOUSLY RECOMMENDS THAT OUR STOCKHOLDERS VOTE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APPROVAL OF THE ADJOURNMENT PROPOSAL.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6" w:name="page147"/>
    <w:bookmarkEnd w:id="14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ABOUT FS DEVELOPMENT</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FS Development is a blank check company incorporated as a Delaware corporation on June 25, 2020. We were formed for the purpose of entering into a merger, share exchange, asset acquisition, stock purchase, recapitalization, reorganization or other similar business combination, which we refer to as a business combination, with one or more businesses or entities.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Significant Activities Since Inception</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August 14, 2020, FS Development consummated the FS Development IPO of 12,075,000 shares of its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the Company of $120,750,000.</w:t>
      </w:r>
    </w:p>
    <w:p>
      <w:pPr>
        <w:spacing w:after="0" w:line="102"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Substantially concurrently with the closing of the FS Development IPO, FS Development completed the private sale of 441,500 Private Placement Shares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95" w:lineRule="exact"/>
        <w:rPr>
          <w:sz w:val="20"/>
          <w:szCs w:val="20"/>
          <w:color w:val="auto"/>
        </w:rPr>
      </w:pPr>
    </w:p>
    <w:p>
      <w:pPr>
        <w:jc w:val="both"/>
        <w:ind w:left="920" w:right="939"/>
        <w:spacing w:after="0" w:line="274" w:lineRule="auto"/>
        <w:rPr>
          <w:sz w:val="20"/>
          <w:szCs w:val="20"/>
          <w:color w:val="auto"/>
        </w:rPr>
      </w:pPr>
      <w:r>
        <w:rPr>
          <w:rFonts w:ascii="Times New Roman" w:cs="Times New Roman" w:eastAsia="Times New Roman" w:hAnsi="Times New Roman"/>
          <w:sz w:val="15"/>
          <w:szCs w:val="15"/>
          <w:color w:val="auto"/>
        </w:rPr>
        <w:t>In addition, the Sponsor has agreed to waive its redemption rights with respect to the Private Placement Shares in connection with (i) the consummation of FS Development’s initial business combination, or (ii) a stockholder vote to approve an amendment to the Company’s amended and restated certificate of incorporation to modify the substance or timing of FS Development’s obligation to redeem 100% of the shares of FS Development Class A Common Stock sold in the FS Development IPO if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9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FS Development IPO will not be released from the trust account until the earliest to occur of: (i) the completion of the FS Development’s initial business combination, (ii) the redemption of the Public Shares if FS Development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 Development does not complete its initial business combination by August 14, 2022 or with respect to any other provisions relating to stockholders’ rights or pre-initial business combination activity.</w:t>
      </w:r>
    </w:p>
    <w:p>
      <w:pPr>
        <w:spacing w:after="0" w:line="11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October 15, 2020, FS Development announced that it had entered into the Merger Agreement and certain related agreements. See the section titled “</w:t>
      </w:r>
      <w:r>
        <w:rPr>
          <w:rFonts w:ascii="Times New Roman" w:cs="Times New Roman" w:eastAsia="Times New Roman" w:hAnsi="Times New Roman"/>
          <w:sz w:val="16"/>
          <w:szCs w:val="16"/>
          <w:i w:val="1"/>
          <w:iCs w:val="1"/>
          <w:color w:val="auto"/>
        </w:rPr>
        <w:t>The Business Combination Proposal — The Merger Agreement</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Effecting a Business Combination</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FS Development is not presently engaged in, and will not engage in, any operations until after a business combination. FS Development intends to effect a business combination using cash held in the Trust Account and, if needed, funds from any additional private equity financings.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7" w:name="page148"/>
    <w:bookmarkEnd w:id="14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Selection of a Target Business and Structuring of the Initial Business Combination</w:t>
      </w:r>
    </w:p>
    <w:p>
      <w:pPr>
        <w:spacing w:after="0" w:line="12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Under Nasdaq Listing Rules, an initial business combination must occur with one or more target businesses that together have a fair market value of at least 80% of FS Development’s assets held in the Trust Account (excluding the deferred underwriting commissions and taxes payable on the income earned on the Trust Account) at the time of the agreement to enter into the initial business combination. The fair market value of the target or targets will be determined by the Board based upon one or more standards generally accepted by the financial community, such as discounted cash flow valuation or value of comparable businesses. Subject to this requirement, FS Development’s management has had virtually unrestricted flexibility in identifying and selecting one or more prospective target businesses, although FS Development was not permitted to effectuate an initial business combination with another blank check company or a similar company with nominal operations. In any case, FS Development determined that it would only complete an initial business combination in which it acquired 50% or more of the outstanding voting securities of the target or were otherwise not required to register as an investment company under the Investment Company Act of 1940, as amended (the “</w:t>
      </w:r>
      <w:r>
        <w:rPr>
          <w:rFonts w:ascii="Times New Roman" w:cs="Times New Roman" w:eastAsia="Times New Roman" w:hAnsi="Times New Roman"/>
          <w:sz w:val="16"/>
          <w:szCs w:val="16"/>
          <w:b w:val="1"/>
          <w:bCs w:val="1"/>
          <w:color w:val="auto"/>
        </w:rPr>
        <w:t>Investment Company Act</w:t>
      </w:r>
      <w:r>
        <w:rPr>
          <w:rFonts w:ascii="Times New Roman" w:cs="Times New Roman" w:eastAsia="Times New Roman" w:hAnsi="Times New Roman"/>
          <w:sz w:val="16"/>
          <w:szCs w:val="16"/>
          <w:color w:val="auto"/>
        </w:rPr>
        <w:t>”). Our Board has determined that the Business Combination meets the 80% test.</w:t>
      </w:r>
    </w:p>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Redemption Rights for Holders of Public Shares</w:t>
      </w:r>
    </w:p>
    <w:p>
      <w:pPr>
        <w:spacing w:after="0" w:line="14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FS Development is providing its public stockholders with the opportunity to redeem their Public Shares for cash equal to a pro rata share of the aggregate amount then on deposit in the Trust Account, including interest earned on the funds held in the Trust Account and not previously released to it to pay FS Development’s franchise and income taxes, divided by the number of then outstanding Public Shares, upon the Closing, subject to the limitations described herein. For illustrative purposes, based on the balance of the Trust Account of $120,751,489 as of September 30, 2020, the estimated per share redemption price would have been approximately $10.73. </w:t>
      </w:r>
      <w:r>
        <w:rPr>
          <w:rFonts w:ascii="Times New Roman" w:cs="Times New Roman" w:eastAsia="Times New Roman" w:hAnsi="Times New Roman"/>
          <w:sz w:val="16"/>
          <w:szCs w:val="16"/>
          <w:b w:val="1"/>
          <w:bCs w:val="1"/>
          <w:color w:val="auto"/>
        </w:rPr>
        <w:t>Public stockholders may elect to redeem their shares even if they vote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Any request to redeem Public Shares, once made, may be withdrawn at any time until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deadline for 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$170 million. The Sponsor and FS Development’s officers and directors have agreed to waive their redemption rights with respect to the Founders Shares and any Public Shares they may hold in connection with the Closing. The Founders Shares will be excluded from the pro rata calculation used to determine the per-share redemption price.</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6"/>
          <w:szCs w:val="16"/>
          <w:b w:val="1"/>
          <w:bCs w:val="1"/>
          <w:color w:val="auto"/>
        </w:rPr>
        <w:t>ubmission of Our Initial Business Combination to a Stockholder Vote</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FS Development is providing its public stockholders with redemption rights upon Closing. Public stockholders electing to exercise their redemption rights will be entitled to receive the cash amount specified above, provided that such stockholders follow the specific procedures for redemption set forth in this proxy statement/prospectus relating to the stockholder vote on the Business Combination. FS Development’s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w:t>
      </w:r>
    </w:p>
    <w:p>
      <w:pPr>
        <w:spacing w:after="0" w:line="9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holders of the Founders Shares have agreed to vote such FS Development Common Stock owned by them in favor of the Business Combination. In addition, the Sponsor and FS Development’s officers and directors have agreed to waive their redemption rights with respect to any capital stock they may hold in connection with the Closing.</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Limitation on Redemption Rights</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Notwithstanding the foregoing, the Current Charter provides that a public stockholder, together with any affiliate of such stockholder or any other person with whom such stockholder is acting in concert or as a “group” (as defined under Section 13 of the Exchange Act), will be restricted from seeking redemptions with respect to more than 20% of the shares issued in the FS Development IPO.</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8" w:name="page149"/>
    <w:bookmarkEnd w:id="14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FS Development currently has three executive officers. These individuals are not obligated to devote any specific number of hours to our matters but they intend to devote as much of their time as they deem necessary to FS Development’s affairs until FS Development has completed its initial business combination. The amount of time they devote in any time period varies based on the stage of the business combination process FS Development is in. FS Development does not intend to have any full time employees prior to the consummation of an initial business combination.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FS Development maintains its principal executive offices at 600 Montgomery Street, Suite 4500, San Francisco, CA 94111. FS Development pays the Sponsor $10,000 per month for office space, secretarial and administrative services provided to members of its management team pursuant to the terms of an administrative services agreement between FS Development and the Sponsor. Upon completion of our initial business combination or FS Development’s liquidation, FS Development will cease paying these monthly fees. FS Development considers its current office space adequate for its current operations,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To the knowledge of FS Development’s management, there are no legal proceedings pending against FS Development.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9" w:name="page150"/>
    <w:bookmarkEnd w:id="14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OFFICERS AND DIRECTORS OF FS DEVELOPMENT</w:t>
      </w:r>
    </w:p>
    <w:p>
      <w:pPr>
        <w:spacing w:after="0" w:line="127"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i w:val="1"/>
          <w:iCs w:val="1"/>
          <w:color w:val="auto"/>
        </w:rPr>
        <w:t>Unless otherwise indicated or the context otherwise requires, references in this section to “we,” “our,” “us” and other similar terms refer to FS Development before the Business Combination</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directors and executive officers of FS Development are as follows as of the date of this proxy statement/prospectus: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5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2"/>
        </w:trPr>
        <w:tc>
          <w:tcPr>
            <w:tcW w:w="2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11"/>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Jim Tananbaum</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8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15"/>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Dennis Ryan</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6"/>
        </w:trPr>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580" w:type="dxa"/>
            <w:vAlign w:val="bottom"/>
          </w:tcPr>
          <w:p>
            <w:pPr>
              <w:spacing w:after="0"/>
              <w:rPr>
                <w:sz w:val="3"/>
                <w:szCs w:val="3"/>
                <w:color w:val="auto"/>
              </w:rPr>
            </w:pPr>
          </w:p>
        </w:tc>
      </w:tr>
      <w:tr>
        <w:trPr>
          <w:trHeight w:val="231"/>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Rome</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46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Vice President and Director</w:t>
            </w:r>
          </w:p>
        </w:tc>
      </w:tr>
      <w:tr>
        <w:trPr>
          <w:trHeight w:val="215"/>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Vikram Bajaj</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36"/>
        </w:trPr>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580" w:type="dxa"/>
            <w:vAlign w:val="bottom"/>
          </w:tcPr>
          <w:p>
            <w:pPr>
              <w:spacing w:after="0"/>
              <w:rPr>
                <w:sz w:val="3"/>
                <w:szCs w:val="3"/>
                <w:color w:val="auto"/>
              </w:rPr>
            </w:pPr>
          </w:p>
        </w:tc>
      </w:tr>
      <w:tr>
        <w:trPr>
          <w:trHeight w:val="231"/>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Carey</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46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215"/>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Daniel Dubin</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36"/>
        </w:trPr>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580" w:type="dxa"/>
            <w:vAlign w:val="bottom"/>
          </w:tcPr>
          <w:p>
            <w:pPr>
              <w:spacing w:after="0"/>
              <w:rPr>
                <w:sz w:val="3"/>
                <w:szCs w:val="3"/>
                <w:color w:val="auto"/>
              </w:rPr>
            </w:pPr>
          </w:p>
        </w:tc>
      </w:tr>
      <w:tr>
        <w:trPr>
          <w:trHeight w:val="215"/>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Deepa Pakianathan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4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36"/>
        </w:trPr>
        <w:tc>
          <w:tcPr>
            <w:tcW w:w="2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r>
    </w:tbl>
    <w:p>
      <w:pPr>
        <w:spacing w:after="0" w:line="13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Jim Tananbaum </w:t>
      </w:r>
      <w:r>
        <w:rPr>
          <w:rFonts w:ascii="Times New Roman" w:cs="Times New Roman" w:eastAsia="Times New Roman" w:hAnsi="Times New Roman"/>
          <w:sz w:val="16"/>
          <w:szCs w:val="16"/>
          <w:color w:val="auto"/>
        </w:rPr>
        <w:t>has been our President, Chief Executive Officer and a director since June 2020.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08"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Dennis Ryan </w:t>
      </w:r>
      <w:r>
        <w:rPr>
          <w:rFonts w:ascii="Times New Roman" w:cs="Times New Roman" w:eastAsia="Times New Roman" w:hAnsi="Times New Roman"/>
          <w:sz w:val="16"/>
          <w:szCs w:val="16"/>
          <w:color w:val="auto"/>
        </w:rPr>
        <w:t>has been our Chief Financial Officer since June 2020. Since 2011, Mr. Ryan has also led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Michael Rome </w:t>
      </w:r>
      <w:r>
        <w:rPr>
          <w:rFonts w:ascii="Times New Roman" w:cs="Times New Roman" w:eastAsia="Times New Roman" w:hAnsi="Times New Roman"/>
          <w:sz w:val="16"/>
          <w:szCs w:val="16"/>
          <w:color w:val="auto"/>
        </w:rPr>
        <w:t>has been our Vice President and Director since June 2020. Dr. Rome also serves as Managing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98"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Vikram Bajaj </w:t>
      </w:r>
      <w:r>
        <w:rPr>
          <w:rFonts w:ascii="Times New Roman" w:cs="Times New Roman" w:eastAsia="Times New Roman" w:hAnsi="Times New Roman"/>
          <w:sz w:val="16"/>
          <w:szCs w:val="16"/>
          <w:color w:val="auto"/>
        </w:rPr>
        <w:t>has been a director on our board of directors since June 2020. Dr. Bajaj currently serves as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0" w:name="page151"/>
    <w:bookmarkEnd w:id="15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Robert Carey </w:t>
      </w:r>
      <w:r>
        <w:rPr>
          <w:rFonts w:ascii="Times New Roman" w:cs="Times New Roman" w:eastAsia="Times New Roman" w:hAnsi="Times New Roman"/>
          <w:sz w:val="16"/>
          <w:szCs w:val="16"/>
          <w:color w:val="auto"/>
        </w:rPr>
        <w:t>has been a member of our board of directors since August 2020. Mr. Carey served as Executive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04"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Dan Dubin </w:t>
      </w:r>
      <w:r>
        <w:rPr>
          <w:rFonts w:ascii="Times New Roman" w:cs="Times New Roman" w:eastAsia="Times New Roman" w:hAnsi="Times New Roman"/>
          <w:sz w:val="16"/>
          <w:szCs w:val="16"/>
          <w:color w:val="auto"/>
        </w:rPr>
        <w:t>has been a member of our board of directors since August 2020. Dr. Dubin is also the 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Deepa Pakianathan </w:t>
      </w:r>
      <w:r>
        <w:rPr>
          <w:rFonts w:ascii="Times New Roman" w:cs="Times New Roman" w:eastAsia="Times New Roman" w:hAnsi="Times New Roman"/>
          <w:sz w:val="16"/>
          <w:szCs w:val="16"/>
          <w:color w:val="auto"/>
        </w:rPr>
        <w:t>has been a member of our board of directors since August 2020. Since 2001,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Compensation</w:t>
      </w:r>
    </w:p>
    <w:p>
      <w:pPr>
        <w:spacing w:after="0" w:line="14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In July 2020, the Sponsor transferred 30,000 Founders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the Sponsor $10,000 per month for office space, secretarial and administrative services provided to members of our management team.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the Sponsor, executive officers and directors, or any of their respective affiliates, prior to completion of our initial business combination.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1" w:name="page152"/>
    <w:bookmarkEnd w:id="15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Independence</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Nasdaq listing standards require that a majority of our board of directors be independent within one year of our initial public offering. The Board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Conflicts of Interest</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In general, officers and directors of a corporation incorporated under the laws of the State of Delaware are required to present business opportunities to a corporation if:</w:t>
      </w:r>
    </w:p>
    <w:p>
      <w:pPr>
        <w:spacing w:after="0" w:line="85" w:lineRule="exact"/>
        <w:rPr>
          <w:sz w:val="20"/>
          <w:szCs w:val="20"/>
          <w:color w:val="auto"/>
        </w:rPr>
      </w:pPr>
    </w:p>
    <w:p>
      <w:pPr>
        <w:ind w:left="1680" w:hanging="379"/>
        <w:spacing w:after="0"/>
        <w:tabs>
          <w:tab w:leader="none" w:pos="168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could financially undertake the opportunity;</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opportunity is within the corporation’s line of business; and</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would not be fair to our company and its stockholders for the opportunity not to be brought to the attention of the corporation.</w:t>
      </w:r>
    </w:p>
    <w:p>
      <w:pPr>
        <w:spacing w:after="0" w:line="8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The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2" w:name="page153"/>
    <w:bookmarkEnd w:id="15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20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Affiliation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2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Jim Tananbaum</w:t>
            </w:r>
          </w:p>
        </w:tc>
        <w:tc>
          <w:tcPr>
            <w:tcW w:w="80" w:type="dxa"/>
            <w:vAlign w:val="bottom"/>
            <w:vMerge w:val="continue"/>
          </w:tcPr>
          <w:p>
            <w:pPr>
              <w:spacing w:after="0"/>
              <w:rPr>
                <w:sz w:val="14"/>
                <w:szCs w:val="14"/>
                <w:color w:val="auto"/>
              </w:rPr>
            </w:pPr>
          </w:p>
        </w:tc>
        <w:tc>
          <w:tcPr>
            <w:tcW w:w="18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Foresite Capital</w:t>
            </w:r>
          </w:p>
        </w:tc>
        <w:tc>
          <w:tcPr>
            <w:tcW w:w="80" w:type="dxa"/>
            <w:vAlign w:val="bottom"/>
            <w:vMerge w:val="continue"/>
          </w:tcPr>
          <w:p>
            <w:pPr>
              <w:spacing w:after="0"/>
              <w:rPr>
                <w:sz w:val="14"/>
                <w:szCs w:val="14"/>
                <w:color w:val="auto"/>
              </w:rPr>
            </w:pPr>
          </w:p>
        </w:tc>
        <w:tc>
          <w:tcPr>
            <w:tcW w:w="18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Venture capital/private</w:t>
            </w:r>
          </w:p>
        </w:tc>
        <w:tc>
          <w:tcPr>
            <w:tcW w:w="80" w:type="dxa"/>
            <w:vAlign w:val="bottom"/>
            <w:vMerge w:val="continue"/>
          </w:tcPr>
          <w:p>
            <w:pPr>
              <w:spacing w:after="0"/>
              <w:rPr>
                <w:sz w:val="14"/>
                <w:szCs w:val="14"/>
                <w:color w:val="auto"/>
              </w:rPr>
            </w:pPr>
          </w:p>
        </w:tc>
        <w:tc>
          <w:tcPr>
            <w:tcW w:w="20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Foresite Capital</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Venture capital/private</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Managing Member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V, LLC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DNA Nexus,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Data science cloud platform</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Eikon Therapeutics,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Biopharmaceutical</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Element Biosciences,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Evonetix, Ltd.</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F-Metabolic,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Fabric Genomics,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Genomics PLC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Healthverity,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Healthcare data 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platform</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Homodeus,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Kinnate Biopharma,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Biopharmaceutical</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Mindstrong,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Neuropsychiatric healthcare</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software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Sestina, LLC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 incubator</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5"/>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Dennis Ryan</w:t>
            </w: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Foresite Capital</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Venture capital/private</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Managing Director</w:t>
            </w:r>
          </w:p>
        </w:tc>
        <w:tc>
          <w:tcPr>
            <w:tcW w:w="0" w:type="dxa"/>
            <w:vAlign w:val="bottom"/>
          </w:tcPr>
          <w:p>
            <w:pPr>
              <w:spacing w:after="0"/>
              <w:rPr>
                <w:sz w:val="1"/>
                <w:szCs w:val="1"/>
                <w:color w:val="auto"/>
              </w:rPr>
            </w:pPr>
          </w:p>
        </w:tc>
      </w:tr>
      <w:tr>
        <w:trPr>
          <w:trHeight w:val="461"/>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Michael Rome</w:t>
            </w: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Foresite Capital</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Venture capital/private</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Managing 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Kinnate Biopharma,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Biopharmaceutical</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Pharvaris BV</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Biopharmaceutical</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5"/>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Vikram Bajaj</w:t>
            </w: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Foresite Capital</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Venture capital/private</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Managing 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Foresite Labs</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Healthcare and data science</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incubator</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Stanford University School</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Medical school</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Associate Professor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Medicine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(Consulting)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Lawrence Berkeley</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Scientific research</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Affiliate Scientist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National Laboratory</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Robert Carey</w:t>
            </w:r>
          </w:p>
        </w:tc>
        <w:tc>
          <w:tcPr>
            <w:tcW w:w="38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Sangamo Therapeutics, Inc. 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Beyond Air,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5"/>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Daniel Dubin</w:t>
            </w: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SVB Leerink</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 bank</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Vice Chairman and Head of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w w:val="98"/>
              </w:rPr>
              <w:t>Biopharma Investment Banking</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Olivo Laboratories LLC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502"/>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Deepa Pakianathan</w:t>
            </w: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Delphi Ventures</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Venture capital</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Managing Member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Redd Pharmaceuticals,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Calithera Biosciences, Inc.</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Karyopharm Therapeutics,</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Mereo Biopharma Group</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plc</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Theravance Biopharma,</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Biotechnology</w:t>
            </w:r>
          </w:p>
        </w:tc>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1">
            <w:col w:w="9019"/>
          </w:cols>
          <w:pgMar w:left="1440" w:top="254"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153" w:name="page154"/>
    <w:bookmarkEnd w:id="15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Potential investors should also be aware of the following other potential conflicts of interest:</w:t>
      </w:r>
    </w:p>
    <w:p>
      <w:pPr>
        <w:spacing w:after="0" w:line="139" w:lineRule="exact"/>
        <w:rPr>
          <w:sz w:val="20"/>
          <w:szCs w:val="20"/>
          <w:color w:val="auto"/>
        </w:rPr>
      </w:pPr>
    </w:p>
    <w:p>
      <w:pPr>
        <w:jc w:val="both"/>
        <w:ind w:left="1680" w:right="939" w:hanging="379"/>
        <w:spacing w:after="0" w:line="254" w:lineRule="auto"/>
        <w:tabs>
          <w:tab w:leader="none" w:pos="17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0" w:lineRule="auto"/>
        <w:tabs>
          <w:tab w:leader="none" w:pos="1744"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Initial Stockholders purchased Founders Shares prior to the date of the FS Development IPO and purchased Private Placement Shares in a transaction that closed simultaneously with the FS Development IPO. Our Initial Stockholders have entered into agreements with us, pursuant to which they have agreed to waive their redemption rights with respect to their Founders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connection with the Business Combination. Additionally, our Initial Stockholders have agreed to waive their rights to liquidating distributions from the trust account with respect to their Founders Shares and Private Placement Shares if we fail to complete our initial business combination within the prescribed time frame or during any extension period. Furthermore, our Initial Stockholders have agreed not to transfer, assign or sell any of their Founders Shares or Private Placement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Founders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08"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9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We are not prohibited from pursuing an initial business combination with a business combination target that is affiliated with the Sponsor, officers or directors or completing the business combination through a joint venture or other form of shared ownership with the Sponsor, officers or directors. In the event we seek to complete our initial business combination with an business combination target that is affiliated with the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the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the Sponsor $10,000 per month for office space, secretarial and administrative services provided to members of our management team.</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We cannot assure you that any of the above mentioned conflicts will be resolved in our favor.</w:t>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Our Initial Stockholders have agreed to vote their Founders Shares in favor of the Business Combination.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4" w:name="page155"/>
    <w:bookmarkEnd w:id="15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Limitation on Liability and Indemnification of Officers and Directors</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Current Charter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We have entered into agreements with our officers and directors to provide contractual indemnification in addition to the indemnification provided for in our amended and restated certificate of incorporation. The Current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the FS Development IPO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08"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9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We believe that these provisions, the directors’ and officers’ liability insurance and the indemnity agreements are necessary to attract and retain talented and experienced officers and directors.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55" w:name="page156"/>
    <w:bookmarkEnd w:id="15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SELECTED FINANCIAL AND OTHER DATA OF FS DEVELOPMENT</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 FS Development’s unaudited interim condensed financial statements were prepared on a basis consistent with its audited financial statements and include, in management’s opinion, all adjustments, consisting only of normal recurring adjustments, that FS Development considers necessary for a fair presentation of the financial information set forth in those statements included elsewhere in this proxy statement/prospectus. FS Development’s historical results are not necessarily indicative of the results that may be expected in any future period, and interim financial results are not necessarily indicative of the results that may be expected for the full year.</w:t>
      </w:r>
    </w:p>
    <w:p>
      <w:pPr>
        <w:spacing w:after="0" w:line="112" w:lineRule="exact"/>
        <w:rPr>
          <w:sz w:val="20"/>
          <w:szCs w:val="20"/>
          <w:color w:val="auto"/>
        </w:rPr>
      </w:pPr>
    </w:p>
    <w:p>
      <w:pPr>
        <w:jc w:val="both"/>
        <w:ind w:left="920" w:right="939"/>
        <w:spacing w:after="0" w:line="290" w:lineRule="auto"/>
        <w:rPr>
          <w:sz w:val="20"/>
          <w:szCs w:val="20"/>
          <w:color w:val="auto"/>
        </w:rPr>
      </w:pPr>
      <w:r>
        <w:rPr>
          <w:rFonts w:ascii="Times New Roman" w:cs="Times New Roman" w:eastAsia="Times New Roman" w:hAnsi="Times New Roman"/>
          <w:sz w:val="15"/>
          <w:szCs w:val="15"/>
          <w:color w:val="auto"/>
        </w:rPr>
        <w:t>This information is only a summary and should be read in conjunction with FS Development’s financial statements and related notes included elsewhere in this proxy statement/prospectus and the section titled “</w:t>
      </w:r>
      <w:r>
        <w:rPr>
          <w:rFonts w:ascii="Times New Roman" w:cs="Times New Roman" w:eastAsia="Times New Roman" w:hAnsi="Times New Roman"/>
          <w:sz w:val="15"/>
          <w:szCs w:val="15"/>
          <w:i w:val="1"/>
          <w:iCs w:val="1"/>
          <w:color w:val="auto"/>
        </w:rPr>
        <w:t>Management’s Discussion and Analysis of Financial Condition and Results of Operations of FS Development</w:t>
      </w:r>
      <w:r>
        <w:rPr>
          <w:rFonts w:ascii="Times New Roman" w:cs="Times New Roman" w:eastAsia="Times New Roman" w:hAnsi="Times New Roman"/>
          <w:sz w:val="15"/>
          <w:szCs w:val="15"/>
          <w:color w:val="auto"/>
        </w:rPr>
        <w:t>.”</w:t>
      </w:r>
    </w:p>
    <w:p>
      <w:pPr>
        <w:spacing w:after="0" w:line="10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5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79"/>
        </w:trPr>
        <w:tc>
          <w:tcPr>
            <w:tcW w:w="5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79"/>
        </w:trPr>
        <w:tc>
          <w:tcPr>
            <w:tcW w:w="5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June 25, 2020</w:t>
            </w:r>
          </w:p>
        </w:tc>
      </w:tr>
      <w:tr>
        <w:trPr>
          <w:trHeight w:val="179"/>
        </w:trPr>
        <w:tc>
          <w:tcPr>
            <w:tcW w:w="5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(inception)</w:t>
            </w:r>
          </w:p>
        </w:tc>
      </w:tr>
      <w:tr>
        <w:trPr>
          <w:trHeight w:val="179"/>
        </w:trPr>
        <w:tc>
          <w:tcPr>
            <w:tcW w:w="5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through</w:t>
            </w:r>
          </w:p>
        </w:tc>
      </w:tr>
      <w:tr>
        <w:trPr>
          <w:trHeight w:val="179"/>
        </w:trPr>
        <w:tc>
          <w:tcPr>
            <w:tcW w:w="5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5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42"/>
        </w:trPr>
        <w:tc>
          <w:tcPr>
            <w:tcW w:w="56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452,486</w:t>
            </w:r>
          </w:p>
        </w:tc>
      </w:tr>
      <w:tr>
        <w:trPr>
          <w:trHeight w:val="36"/>
        </w:trPr>
        <w:tc>
          <w:tcPr>
            <w:tcW w:w="5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49,914</w:t>
            </w: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(502,400)</w:t>
            </w:r>
          </w:p>
        </w:tc>
      </w:tr>
      <w:tr>
        <w:trPr>
          <w:trHeight w:val="36"/>
        </w:trPr>
        <w:tc>
          <w:tcPr>
            <w:tcW w:w="5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 interest earned on Trust Account</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1,489</w:t>
            </w: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(500,911)</w:t>
            </w:r>
          </w:p>
        </w:tc>
      </w:tr>
      <w:tr>
        <w:trPr>
          <w:trHeight w:val="36"/>
        </w:trPr>
        <w:tc>
          <w:tcPr>
            <w:tcW w:w="5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weighted average shares outstanding of Class A common stock</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12,516,500</w:t>
            </w: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income per share, Class A</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5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weighted average shares outstanding of Class B common stock</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3,018,750</w:t>
            </w: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 Class B</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368"/>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5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42"/>
        </w:trPr>
        <w:tc>
          <w:tcPr>
            <w:tcW w:w="56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122,358,987</w:t>
            </w:r>
          </w:p>
        </w:tc>
      </w:tr>
      <w:tr>
        <w:trPr>
          <w:trHeight w:val="36"/>
        </w:trPr>
        <w:tc>
          <w:tcPr>
            <w:tcW w:w="5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4,778,652</w:t>
            </w: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Value of Class A Common Stock subject to possible redemption</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112,580,330</w:t>
            </w:r>
          </w:p>
        </w:tc>
      </w:tr>
      <w:tr>
        <w:trPr>
          <w:trHeight w:val="36"/>
        </w:trPr>
        <w:tc>
          <w:tcPr>
            <w:tcW w:w="5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5,000,005</w:t>
            </w:r>
          </w:p>
        </w:tc>
      </w:tr>
      <w:tr>
        <w:trPr>
          <w:trHeight w:val="347"/>
        </w:trPr>
        <w:tc>
          <w:tcPr>
            <w:tcW w:w="5620" w:type="dxa"/>
            <w:vAlign w:val="bottom"/>
            <w:tcBorders>
              <w:bottom w:val="single" w:sz="8" w:color="auto"/>
            </w:tcBorders>
          </w:tcPr>
          <w:p>
            <w:pPr>
              <w:ind w:left="3460"/>
              <w:spacing w:after="0"/>
              <w:rPr>
                <w:sz w:val="20"/>
                <w:szCs w:val="20"/>
                <w:color w:val="auto"/>
              </w:rPr>
            </w:pPr>
            <w:r>
              <w:rPr>
                <w:rFonts w:ascii="Times New Roman" w:cs="Times New Roman" w:eastAsia="Times New Roman" w:hAnsi="Times New Roman"/>
                <w:sz w:val="16"/>
                <w:szCs w:val="16"/>
                <w:color w:val="auto"/>
              </w:rPr>
              <w:t>146</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4" w:right="1440" w:bottom="1440" w:gutter="0" w:footer="0" w:header="0"/>
        </w:sectPr>
      </w:pPr>
    </w:p>
    <w:bookmarkStart w:id="156" w:name="page157"/>
    <w:bookmarkEnd w:id="15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RESULTS OF FINANCIAL CONDITION AND</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RESULTS OF OPERATIONS OF FS DEVELOPMENT</w:t>
      </w:r>
    </w:p>
    <w:p>
      <w:pPr>
        <w:spacing w:after="0" w:line="108"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i w:val="1"/>
          <w:iCs w:val="1"/>
          <w:color w:val="auto"/>
        </w:rPr>
        <w:t>The following discussion of FS Development’s financial condition and results of operations should be read in conjunction with FS Development’s financial statements and notes to those statements included in this proxy statement/prospectus. This discussion contains forward-looking statements that involve risks and uncertainties. Please see “Cautionary Note Regarding Forward-Looking Statements” and “Risk Factors” in this proxy statement/prospectus. Unless otherwise indicated or the context otherwise requires, references in this section to “we,” “our,” “us” and other similar terms refer to FS Development before the Business Combination.</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w:t>
      </w:r>
    </w:p>
    <w:p>
      <w:pPr>
        <w:spacing w:after="0" w:line="9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August 14, 2020, we consummated the FS Development IPO of 12,075,000 shares of FS Development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FS Development of $120,750,000.</w:t>
      </w:r>
    </w:p>
    <w:p>
      <w:pPr>
        <w:spacing w:after="0" w:line="9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Substantially concurrently with the closing of the FS Development IPO, we completed the private sale of the 441,500 Private Placement Shares at a purchase price of $10.00 per Private Placement Share, to the Sponsor (the “</w:t>
      </w:r>
      <w:r>
        <w:rPr>
          <w:rFonts w:ascii="Times New Roman" w:cs="Times New Roman" w:eastAsia="Times New Roman" w:hAnsi="Times New Roman"/>
          <w:sz w:val="16"/>
          <w:szCs w:val="16"/>
          <w:b w:val="1"/>
          <w:bCs w:val="1"/>
          <w:color w:val="auto"/>
        </w:rPr>
        <w:t>Private Placement</w:t>
      </w:r>
      <w:r>
        <w:rPr>
          <w:rFonts w:ascii="Times New Roman" w:cs="Times New Roman" w:eastAsia="Times New Roman" w:hAnsi="Times New Roman"/>
          <w:sz w:val="16"/>
          <w:szCs w:val="16"/>
          <w:color w:val="auto"/>
        </w:rPr>
        <w:t>”),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0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In addition, the Sponsor has agreed to waive its redemption rights with respect to the Private Placement Shares in connection with (i) the consummation of the FS Development’s initial business combination, or (ii) a stockholder vote to approve an amendment to Current Charter to modify the substance or timing of the FS Development’s obligation to redeem 100% of the shares of FS Development Class A Common Stock issued in the FS Development IPO if the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Upon the closing of the FS Development IPO and the Private Placement, approximately $120.8 million ($10.00 per share) of the net proceeds of the sale of the Public Shares in the FS Development IPO and of the Private Placement Shares in the Private Placement were placed in the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If we are unable to complete a business combination within 24 months from the closing of the FS Development IPO, or August 14, 2022 (the “</w:t>
      </w:r>
      <w:r>
        <w:rPr>
          <w:rFonts w:ascii="Times New Roman" w:cs="Times New Roman" w:eastAsia="Times New Roman" w:hAnsi="Times New Roman"/>
          <w:sz w:val="16"/>
          <w:szCs w:val="16"/>
          <w:b w:val="1"/>
          <w:bCs w:val="1"/>
          <w:color w:val="auto"/>
        </w:rPr>
        <w:t>Combination Period</w:t>
      </w:r>
      <w:r>
        <w:rPr>
          <w:rFonts w:ascii="Times New Roman" w:cs="Times New Roman" w:eastAsia="Times New Roman" w:hAnsi="Times New Roman"/>
          <w:sz w:val="16"/>
          <w:szCs w:val="16"/>
          <w:color w:val="auto"/>
        </w:rPr>
        <w: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7" w:name="page158"/>
    <w:bookmarkEnd w:id="15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Proposed Business Combination</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 xml:space="preserve">On October 15, 2020, we entered into a Merger Agreement by and among FS Development, Merger Sub, Gemini and Shareholders Representative. A copy of the Merger Agreement is attached to this proxy statement/prospectus as </w:t>
      </w:r>
      <w:r>
        <w:rPr>
          <w:rFonts w:ascii="Times New Roman" w:cs="Times New Roman" w:eastAsia="Times New Roman" w:hAnsi="Times New Roman"/>
          <w:sz w:val="16"/>
          <w:szCs w:val="16"/>
          <w:i w:val="1"/>
          <w:iCs w:val="1"/>
          <w:u w:val="single" w:color="auto"/>
          <w:color w:val="auto"/>
        </w:rPr>
        <w:t>Annex A</w:t>
      </w:r>
      <w:r>
        <w:rPr>
          <w:rFonts w:ascii="Times New Roman" w:cs="Times New Roman" w:eastAsia="Times New Roman" w:hAnsi="Times New Roman"/>
          <w:sz w:val="16"/>
          <w:szCs w:val="16"/>
          <w:color w:val="auto"/>
        </w:rPr>
        <w:t>. The Merger Agreement calls for additional agreements, including, among others, Subscription Agreements, Non-Redemption Letter Agreements, and Gemini Support Agreements. Parent Support Agreements, Registration Rights Agreement, Lock-Up Agreement and Voting Agreement. See the section titled “</w:t>
      </w:r>
      <w:r>
        <w:rPr>
          <w:rFonts w:ascii="Times New Roman" w:cs="Times New Roman" w:eastAsia="Times New Roman" w:hAnsi="Times New Roman"/>
          <w:sz w:val="16"/>
          <w:szCs w:val="16"/>
          <w:i w:val="1"/>
          <w:iCs w:val="1"/>
          <w:color w:val="auto"/>
        </w:rPr>
        <w:t>The Business Combination Proposal — Ancillary Agreements Related to the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Combination.”</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Merger Agreement</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October 15, 2020, FS Development entered into the Merger Agreement by and among the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Upon the Closing, it is anticipated that FS Development will change its name to “Gemini Therapeutics, Inc.”</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Under the Merger Agreement, FS Development has agreed to acquire all of the outstanding equity interests of Gemini in exchange for up to 21,500,000 shares of FS Development Class A Common Stock, subject to adjustments as described in more detail in the accompanying proxy statement/prospectus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 to be paid at the Effective Time.</w:t>
      </w:r>
    </w:p>
    <w:p>
      <w:pPr>
        <w:spacing w:after="0" w:line="9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shares of FS Development Class A Common Stock to be placed into escrow for indemnification purposes, as further described in the Merger Agreement.</w:t>
      </w:r>
    </w:p>
    <w:p>
      <w:pPr>
        <w:spacing w:after="0" w:line="10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For additional information and a summary of the terms of the Merger Agreement and the other agreements executed, or to be executed, in connection with the Business Combination, see the section titled “</w:t>
      </w:r>
      <w:r>
        <w:rPr>
          <w:rFonts w:ascii="Times New Roman" w:cs="Times New Roman" w:eastAsia="Times New Roman" w:hAnsi="Times New Roman"/>
          <w:sz w:val="16"/>
          <w:szCs w:val="16"/>
          <w:i w:val="1"/>
          <w:iCs w:val="1"/>
          <w:color w:val="auto"/>
        </w:rPr>
        <w:t>The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Combination Proposal — The Merger Agreement</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Results of Operations and Known Trends or Future Events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Our entire activity since inception through September 30, 2020 related to our formation, the preparation for the FS Development IPO, and since the closing of the FS Development IPO, the search for a prospective initial business combination and activities in connection with the proposed Business Combination with Gemini.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0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For the three months ended September 30, 2020, we had net loss of approximately $499,000, which consisted of approximately $451,000 in general and administrative costs and $50,000 of franchise tax expense, which was partially offset by approximately $1,000 gain on the investments held in the Trust Account.</w:t>
      </w:r>
    </w:p>
    <w:p>
      <w:pPr>
        <w:spacing w:after="0" w:line="9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For the period from June 25, 2020 (inception) through September 30, 2020, we had net loss of approximately $501,000, which consisted of approximately $452,000 in general and administrative costs and $50,000 of franchise tax expense, which was partially offset by approximately $1,000 gain on the investments held in the Trust Account.</w:t>
      </w:r>
    </w:p>
    <w:p>
      <w:pPr>
        <w:spacing w:after="0" w:line="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As of September 30, 2020, we had $1.4 million in our operating bank account, working capital of approximately $1.1 million and cash equivalents held in the Trust Account of approximately $120.8 million. Interest income on the balance in the Trust Account may be used by us to pay franchise and income tax obligations. Through September 30, 2020, we have not withdrawn any interest earned on the Trust Account to pay franchise and income tax obligations. We intend to use substantially all of the funds held in the Trust Account to complete the initial business combination and to pay our expenses relating thereto. To the extent that our capital stock or debt is used, in whole or in part, as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58" w:name="page159"/>
    <w:bookmarkEnd w:id="15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Our liquidity needs to date have been satisfied through the $25,000 capital contribution to purchase Founders Shares by our Sponsor, the loan proceeds under the promissory note of $200,000 from our Sponsor (the “</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to cover our offering costs in connection with the FS Development IPO, and the net proceeds from the consummation of the Private Placement not held in the Trust Account. The Note was fully repaid on August 14, 2020. In addition, in order to finance transaction costs in connection with a business combination, our Sponsor or an affiliate of our Sponsor, or certain of our officers and directors may, but are not obligated to, provide working capital loans. As of September 30, 2020, there were no amounts outstanding under any working capital loans.</w:t>
      </w:r>
    </w:p>
    <w:p>
      <w:pPr>
        <w:spacing w:after="0" w:line="10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Based on the foregoing, the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9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We do not have any long-term debt obligations, capital lease obligations, operating lease obligations, purchase obligations or long-term liabilities, other than an agreement to pay administrative services agreement fees to our Sponsor that total $10,000 per month for office space, secretarial and administrative services provided to members of our management team. As of September 30, 2020, we paid $20,000 to our Sponsor as part of the administrative services agreement and recognized $20,000 in the statement of operations for the three months ended September 30, 2020 and for the period from June 25, 2020 (inception) through September 30, 2020.</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Class A Common Stock Subject to Possible Redemption</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Class A Common Stock subject to mandatory redemption (if any) is classified as a liability instrument and is measured at fair value. Conditionally redeemable Class A Common Stock (including Class A Common Stock that features redemption rights that are either within the control of the holder or subject to redemption upon the occurrence of uncertain events not solely within FS Development’s control) is classified as temporary equity. At all other times, Class A Common Stock is classified as stockholders’ equity. Our Class A Common Stock features certain redemption rights that are considered to be outside of our control and subject to the occurrence of uncertain future events. Accordingly, at September 30, 2020, 11,258,033 shares of Class A Common Stock subject to possible redemption are presented as temporary equity, outside of the stockholders’ equity section of our unaudited condensed balance sheet.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9" w:name="page160"/>
    <w:bookmarkEnd w:id="15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Net Income (Loss) Per Common Share</w:t>
      </w:r>
    </w:p>
    <w:p>
      <w:pPr>
        <w:spacing w:after="0" w:line="12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Net income (loss) per share is computed by dividing net income (loss) by the weighted-average number of common stock outstanding during the periods. Our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Our management does not believe that any recently issued, but not yet effective, accounting standards if currently adopted would have a material effect on the accompanying financial statements.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As of September 30, 2020, we did not have any off-balance sheet arrangements as defined in Item 303(a)(4)(ii) of Regulation S-K.</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Inflation</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We do not believe that inflation had a material impact on our business, revenues or operating results during the period presented.</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FS Development IPO or until we are no longer an “emerging growth company,” whichever is earlier.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0" w:name="page161"/>
    <w:bookmarkEnd w:id="16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ABOUT GEMINI</w:t>
      </w:r>
    </w:p>
    <w:p>
      <w:pPr>
        <w:spacing w:after="0" w:line="127" w:lineRule="exact"/>
        <w:rPr>
          <w:sz w:val="20"/>
          <w:szCs w:val="20"/>
          <w:color w:val="auto"/>
        </w:rPr>
      </w:pPr>
    </w:p>
    <w:p>
      <w:pPr>
        <w:jc w:val="both"/>
        <w:ind w:left="920" w:right="939"/>
        <w:spacing w:after="0" w:line="266" w:lineRule="auto"/>
        <w:rPr>
          <w:sz w:val="20"/>
          <w:szCs w:val="20"/>
          <w:color w:val="auto"/>
        </w:rPr>
      </w:pPr>
      <w:r>
        <w:rPr>
          <w:rFonts w:ascii="Times New Roman" w:cs="Times New Roman" w:eastAsia="Times New Roman" w:hAnsi="Times New Roman"/>
          <w:sz w:val="16"/>
          <w:szCs w:val="16"/>
          <w:i w:val="1"/>
          <w:iCs w:val="1"/>
          <w:color w:val="auto"/>
        </w:rPr>
        <w:t>In this section, unless otherwise stated or the context requires otherwise, the terms “Gemini,” “we,” “us,” and “our” refer to Gemini Therapeutics, Inc. and its subsidiaries prior to the Closing, which will be the business of the Combined Entity and its subsidiaries following the Closing.</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0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w:t>
      </w:r>
    </w:p>
    <w:p>
      <w:pPr>
        <w:spacing w:after="0" w:line="9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1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0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1" w:name="page162"/>
    <w:bookmarkEnd w:id="16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1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Since our inception, Gemini Therapeutics has raised a total of $78 million in funding, led by leading biotechnology investors including Atlas Venture, Lightstone Ventures, OrbiMed Advisors and Wu Capital.</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Pipeline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Below is summary of our product candidate pipeline as of 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90805</wp:posOffset>
            </wp:positionV>
            <wp:extent cx="4385945" cy="12065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85945" cy="120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GEM103</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02"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We also plan to advance GEM103 through studies in a selected population of patients suffering from wet AMD who have been treated with an anti-VEGF therapy approved by the U.S. Food and Drug Administration (FDA), to evaluate the impact on VEGF-inhibition-related macular atrophy. We plan to update our IND to include a Phase 1/2a clinical trial in this population for alignment with the FDA by the end of 2020 and expect to have topline safety and tolerability data from this trial in the second half of 2021.</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62" w:name="page163"/>
    <w:bookmarkEnd w:id="16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37" w:lineRule="exact"/>
        <w:rPr>
          <w:sz w:val="20"/>
          <w:szCs w:val="20"/>
          <w:color w:val="auto"/>
        </w:rPr>
      </w:pPr>
    </w:p>
    <w:p>
      <w:pPr>
        <w:jc w:val="both"/>
        <w:ind w:left="1680" w:right="939" w:hanging="379"/>
        <w:spacing w:after="0" w:line="253" w:lineRule="auto"/>
        <w:tabs>
          <w:tab w:leader="none" w:pos="168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6"/>
          <w:szCs w:val="16"/>
          <w:color w:val="auto"/>
        </w:rPr>
        <w:t>We believe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differentiated approach focused on complement regulation through the administration of GEM103 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73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6"/>
          <w:szCs w:val="16"/>
          <w:color w:val="auto"/>
        </w:rPr>
        <w:t>Our philosophy is that the best way to identify drug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89" w:lineRule="exact"/>
        <w:rPr>
          <w:rFonts w:ascii="Times New Roman" w:cs="Times New Roman" w:eastAsia="Times New Roman" w:hAnsi="Times New Roman"/>
          <w:sz w:val="16"/>
          <w:szCs w:val="16"/>
          <w:color w:val="auto"/>
        </w:rPr>
      </w:pPr>
    </w:p>
    <w:p>
      <w:pPr>
        <w:jc w:val="both"/>
        <w:ind w:left="1680" w:right="939" w:hanging="379"/>
        <w:spacing w:after="0" w:line="252" w:lineRule="auto"/>
        <w:tabs>
          <w:tab w:leader="none" w:pos="1815"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6"/>
          <w:szCs w:val="16"/>
          <w:color w:val="auto"/>
        </w:rPr>
        <w:t>Dry AMD, which often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ultimately leads to blindness and for which there are no currently 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07"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69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6"/>
          <w:szCs w:val="16"/>
          <w:color w:val="auto"/>
        </w:rPr>
        <w:t>We believe that our differentiated approach holds the potential to target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Introduction to AMD</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9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3" w:name="page164"/>
    <w:bookmarkEnd w:id="16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96"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Approach</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CLARITY Natural History Studies</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 xml:space="preserve">In December 2018 we initiated CLARITY, a set of natural history studies designed to observe and help better understand how specific genetic variants affect the development of dry AMD. CLARITY combined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 xml:space="preserve">in vitro </w:t>
      </w:r>
      <w:r>
        <w:rPr>
          <w:rFonts w:ascii="Times New Roman" w:cs="Times New Roman" w:eastAsia="Times New Roman" w:hAnsi="Times New Roman"/>
          <w:sz w:val="16"/>
          <w:szCs w:val="16"/>
          <w:color w:val="auto"/>
        </w:rPr>
        <w:t>experiments to aid in identification of therapeutic candidates for indications within AMD and linked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diseases. CLARITY was the largest study, to date, that screened dry AMD patients for high-risk genotypes to gain longitudinal clinical information.</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4" w:name="page165"/>
    <w:bookmarkEnd w:id="16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CFH, Complement and the Ocular Compartment</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Clinical Development Program</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GEM103</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Preclinical and Clinical Development</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5" w:name="page166"/>
    <w:bookmarkEnd w:id="16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 xml:space="preserve">Actions of endogenous CFH include inhibition of the complement activation cascade while permitting clearance of foreign material, cellular debris and pathogens in the eye. In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0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94"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00" w:lineRule="exact"/>
        <w:rPr>
          <w:sz w:val="20"/>
          <w:szCs w:val="20"/>
          <w:color w:val="auto"/>
        </w:rPr>
      </w:pPr>
    </w:p>
    <w:p>
      <w:pPr>
        <w:jc w:val="both"/>
        <w:ind w:left="1680" w:right="939" w:hanging="379"/>
        <w:spacing w:after="0" w:line="256" w:lineRule="auto"/>
        <w:tabs>
          <w:tab w:leader="none" w:pos="1672"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Pharmacokinetics: </w:t>
      </w:r>
      <w:r>
        <w:rPr>
          <w:rFonts w:ascii="Times New Roman" w:cs="Times New Roman" w:eastAsia="Times New Roman" w:hAnsi="Times New Roman"/>
          <w:sz w:val="16"/>
          <w:szCs w:val="16"/>
          <w:color w:val="auto"/>
        </w:rPr>
        <w:t>Aqueous humor sampling showed sustained supraphysiological levels of CFH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 all doses tested at one week post 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89"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72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Pharmacodynamics: </w:t>
      </w:r>
      <w:r>
        <w:rPr>
          <w:rFonts w:ascii="Times New Roman" w:cs="Times New Roman" w:eastAsia="Times New Roman" w:hAnsi="Times New Roman"/>
          <w:sz w:val="16"/>
          <w:szCs w:val="16"/>
          <w:color w:val="auto"/>
        </w:rPr>
        <w:t>Aqueous humor samples were tested for specific biomarkers including Ba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marker of the amplification loop) and C3a (a 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01"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779"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Clinical effect: </w:t>
      </w:r>
      <w:r>
        <w:rPr>
          <w:rFonts w:ascii="Times New Roman" w:cs="Times New Roman" w:eastAsia="Times New Roman" w:hAnsi="Times New Roman"/>
          <w:sz w:val="16"/>
          <w:szCs w:val="16"/>
          <w:color w:val="auto"/>
        </w:rPr>
        <w:t>Observation of subjects in Phase 1 clinical trial was of short duration and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powered for efficacy. In line with tolerability, visual 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6" w:name="page167"/>
    <w:bookmarkEnd w:id="16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9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Additional Programs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Factor H Potentiating Antibody</w:t>
      </w:r>
    </w:p>
    <w:p>
      <w:pPr>
        <w:spacing w:after="0" w:line="11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1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9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7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process for manufacturing GEM103 consists of a cell line, and associated cell culture and purification processes to achieve stringent purity criteria in line with a product candidate dosed intravitreally.</w:t>
      </w:r>
    </w:p>
    <w:p>
      <w:pPr>
        <w:spacing w:after="0" w:line="6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We hold worldwide commercialization rights to each of our product candidates.</w:t>
      </w:r>
    </w:p>
    <w:p>
      <w:pPr>
        <w:spacing w:after="0" w:line="11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78"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Research Collaboration and License Agreement</w:t>
      </w:r>
    </w:p>
    <w:p>
      <w:pPr>
        <w:spacing w:after="0" w:line="14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April 1, 2017, we entered into a Research Collaboration and License Agreement with Sanquin Blood Supply Foundation (“</w:t>
      </w:r>
      <w:r>
        <w:rPr>
          <w:rFonts w:ascii="Times New Roman" w:cs="Times New Roman" w:eastAsia="Times New Roman" w:hAnsi="Times New Roman"/>
          <w:sz w:val="16"/>
          <w:szCs w:val="16"/>
          <w:b w:val="1"/>
          <w:bCs w:val="1"/>
          <w:color w:val="auto"/>
        </w:rPr>
        <w:t>Sanquin</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2017 License Agreement</w:t>
      </w:r>
      <w:r>
        <w:rPr>
          <w:rFonts w:ascii="Times New Roman" w:cs="Times New Roman" w:eastAsia="Times New Roman" w:hAnsi="Times New Roman"/>
          <w:sz w:val="16"/>
          <w:szCs w:val="16"/>
          <w:color w:val="auto"/>
        </w:rPr>
        <w:t>”) to develop antibodies that bind and enhance the activity of CFH. From the effective date of the 2017 License Agreement until the end of April 2019, the parties engaged in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67" w:name="page168"/>
    <w:bookmarkEnd w:id="16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10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97" w:lineRule="exact"/>
        <w:rPr>
          <w:sz w:val="20"/>
          <w:szCs w:val="20"/>
          <w:color w:val="auto"/>
        </w:rPr>
      </w:pPr>
    </w:p>
    <w:p>
      <w:pPr>
        <w:jc w:val="both"/>
        <w:ind w:left="920" w:right="939"/>
        <w:spacing w:after="0" w:line="277" w:lineRule="auto"/>
        <w:rPr>
          <w:sz w:val="20"/>
          <w:szCs w:val="20"/>
          <w:color w:val="auto"/>
        </w:rPr>
      </w:pPr>
      <w:r>
        <w:rPr>
          <w:rFonts w:ascii="Times New Roman" w:cs="Times New Roman" w:eastAsia="Times New Roman" w:hAnsi="Times New Roman"/>
          <w:sz w:val="15"/>
          <w:szCs w:val="15"/>
          <w:color w:val="auto"/>
        </w:rPr>
        <w:t>The 2017 License Agreement shall terminate on a country-by-country and licensed product-by-licensed product basis upon the latest of (i) expiration of the last valid claim of a Saquin patent that covers such licensed product,</w:t>
      </w:r>
    </w:p>
    <w:p>
      <w:pPr>
        <w:spacing w:after="0" w:line="1" w:lineRule="exact"/>
        <w:rPr>
          <w:sz w:val="20"/>
          <w:szCs w:val="20"/>
          <w:color w:val="auto"/>
        </w:rPr>
      </w:pPr>
    </w:p>
    <w:p>
      <w:pPr>
        <w:jc w:val="both"/>
        <w:ind w:left="920" w:right="939" w:hanging="1"/>
        <w:spacing w:after="0" w:line="250" w:lineRule="auto"/>
        <w:tabs>
          <w:tab w:leader="none" w:pos="116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1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As of November 30, 2020, we own or exclusively license approximately 43 patents and pending patent applications in the U.S. and foreign jurisdictions, including two granted U.S. and foreign patents, and 39 pending U.S. and foreign patent applications and two pending U.S. provisional patent applications.</w:t>
      </w:r>
    </w:p>
    <w:p>
      <w:pPr>
        <w:spacing w:after="0" w:line="84"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 issuing from this family is 2041. The other provisional patent application is directed to the GEM103 composition and methods of manufacturing it. The statutory expiration for any U.S. and foreign patents issuing from this family is 2041.</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8" w:name="page169"/>
    <w:bookmarkEnd w:id="16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and pending patent applications in Australia, Brazil, Canada, China, Israel, Japan, the Republic of Korea and Mexico. The European patent covers our current product candidate and is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10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Times New Roman" w:cs="Times New Roman" w:eastAsia="Times New Roman" w:hAnsi="Times New Roman"/>
          <w:sz w:val="16"/>
          <w:szCs w:val="16"/>
          <w:i w:val="1"/>
          <w:iCs w:val="1"/>
          <w:color w:val="auto"/>
        </w:rPr>
        <w:t>Risk factors — Risks related to our intellectual property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95"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0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9" w:name="page170"/>
    <w:bookmarkEnd w:id="16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process required by the FDA before our product candidates are approved for therapeutic indications and may be marketed in the United States generally involves the following:</w:t>
      </w:r>
    </w:p>
    <w:p>
      <w:pPr>
        <w:spacing w:after="0" w:line="85" w:lineRule="exact"/>
        <w:rPr>
          <w:sz w:val="20"/>
          <w:szCs w:val="20"/>
          <w:color w:val="auto"/>
        </w:rPr>
      </w:pPr>
    </w:p>
    <w:p>
      <w:pPr>
        <w:ind w:left="1680" w:right="939" w:hanging="379"/>
        <w:spacing w:after="0" w:line="280" w:lineRule="auto"/>
        <w:tabs>
          <w:tab w:leader="none" w:pos="1815"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extensive preclinical studies in accordance with applicable regulations, including studies conducted in accordance with Good Laboratory Practice, or GLP, requirements;</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79"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investigational new drug application, or IND, which must become effective before clinical trials may begin and must be updated annually or when significant changes are made;</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Institutional Review Board, or IRB, or independent ethics committee at each clinical trial site before each trial may be initiated;</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75"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83"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35"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and submission to the FDA of a Biologics License Application, or BLA, after completion of all pivotal trials;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determination by the FDA within 60 days of its receipt of a BLA to file the application for review;</w:t>
      </w:r>
    </w:p>
    <w:p>
      <w:pPr>
        <w:spacing w:after="0" w:line="150" w:lineRule="exact"/>
        <w:rPr>
          <w:rFonts w:ascii="Times New Roman" w:cs="Times New Roman" w:eastAsia="Times New Roman" w:hAnsi="Times New Roman"/>
          <w:sz w:val="15"/>
          <w:szCs w:val="15"/>
          <w:color w:val="auto"/>
        </w:rPr>
      </w:pPr>
    </w:p>
    <w:p>
      <w:pPr>
        <w:jc w:val="both"/>
        <w:ind w:left="1680" w:right="939" w:hanging="379"/>
        <w:spacing w:after="0" w:line="259" w:lineRule="auto"/>
        <w:tabs>
          <w:tab w:leader="none" w:pos="1708"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90"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FDA audit of the clinical trial sites that generated the data in support of the BLA;</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user fees for FDA review of the BLA; and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3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BLA, including consideration of the views of any FDA advisory committee, prior to any commercial marketing or sale of the biologic in the United States.</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Preclinical and clinical trials for biologics</w:t>
      </w:r>
    </w:p>
    <w:p>
      <w:pPr>
        <w:spacing w:after="0" w:line="13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0" w:name="page171"/>
    <w:bookmarkEnd w:id="17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Times New Roman" w:cs="Times New Roman" w:eastAsia="Times New Roman" w:hAnsi="Times New Roman"/>
          <w:sz w:val="16"/>
          <w:szCs w:val="16"/>
          <w:i w:val="1"/>
          <w:iCs w:val="1"/>
          <w:color w:val="auto"/>
        </w:rPr>
        <w:t xml:space="preserve">www.clinicaltrials.gov </w:t>
      </w:r>
      <w:r>
        <w:rPr>
          <w:rFonts w:ascii="Times New Roman" w:cs="Times New Roman" w:eastAsia="Times New Roman" w:hAnsi="Times New Roman"/>
          <w:sz w:val="16"/>
          <w:szCs w:val="16"/>
          <w:color w:val="auto"/>
        </w:rPr>
        <w:t>website.</w:t>
      </w:r>
    </w:p>
    <w:p>
      <w:pPr>
        <w:spacing w:after="0" w:line="12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Clinical trials to evaluate therapeutic indications to support BLAs for marketing approval are typically conducted in three sequential phases, which may overlap.</w:t>
      </w:r>
    </w:p>
    <w:p>
      <w:pPr>
        <w:spacing w:after="0" w:line="71" w:lineRule="exact"/>
        <w:rPr>
          <w:sz w:val="20"/>
          <w:szCs w:val="20"/>
          <w:color w:val="auto"/>
        </w:rPr>
      </w:pPr>
    </w:p>
    <w:p>
      <w:pPr>
        <w:jc w:val="both"/>
        <w:ind w:left="1680" w:right="939" w:hanging="379"/>
        <w:spacing w:after="0" w:line="257" w:lineRule="auto"/>
        <w:tabs>
          <w:tab w:leader="none" w:pos="1803"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1 </w:t>
      </w:r>
      <w:r>
        <w:rPr>
          <w:rFonts w:ascii="Times New Roman" w:cs="Times New Roman" w:eastAsia="Times New Roman" w:hAnsi="Times New Roman"/>
          <w:sz w:val="16"/>
          <w:szCs w:val="16"/>
          <w:color w:val="auto"/>
        </w:rPr>
        <w:t>— Phase 1 clinical trials involve initial introduction of the investigational product into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684"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2 </w:t>
      </w:r>
      <w:r>
        <w:rPr>
          <w:rFonts w:ascii="Times New Roman" w:cs="Times New Roman" w:eastAsia="Times New Roman" w:hAnsi="Times New Roman"/>
          <w:sz w:val="16"/>
          <w:szCs w:val="16"/>
          <w:color w:val="auto"/>
        </w:rPr>
        <w:t>— Phase 2 clinical trials typically involve administration of the investigational product 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72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3 </w:t>
      </w:r>
      <w:r>
        <w:rPr>
          <w:rFonts w:ascii="Times New Roman" w:cs="Times New Roman" w:eastAsia="Times New Roman" w:hAnsi="Times New Roman"/>
          <w:sz w:val="16"/>
          <w:szCs w:val="16"/>
          <w:color w:val="auto"/>
        </w:rPr>
        <w:t>— Phase 3 clinical trials typically involve administration of the investigational product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9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testing that suggest a significant risk for human participants exposed to the biologic and any clinically important increase in the rate of a serious suspected adverse reaction over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1" w:name="page172"/>
    <w:bookmarkEnd w:id="17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BLA Submission and Review by the FDA</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94"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1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2" w:name="page173"/>
    <w:bookmarkEnd w:id="17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90" w:lineRule="exact"/>
        <w:rPr>
          <w:sz w:val="20"/>
          <w:szCs w:val="20"/>
          <w:color w:val="auto"/>
        </w:rPr>
      </w:pPr>
    </w:p>
    <w:p>
      <w:pPr>
        <w:jc w:val="both"/>
        <w:ind w:left="920" w:right="939"/>
        <w:spacing w:after="0" w:line="270" w:lineRule="auto"/>
        <w:rPr>
          <w:sz w:val="20"/>
          <w:szCs w:val="20"/>
          <w:color w:val="auto"/>
        </w:rPr>
      </w:pPr>
      <w:r>
        <w:rPr>
          <w:rFonts w:ascii="Times New Roman" w:cs="Times New Roman" w:eastAsia="Times New Roman" w:hAnsi="Times New Roman"/>
          <w:sz w:val="15"/>
          <w:szCs w:val="15"/>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94"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 for biologics</w:t>
      </w:r>
    </w:p>
    <w:p>
      <w:pPr>
        <w:spacing w:after="0" w:line="14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9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3" w:name="page174"/>
    <w:bookmarkEnd w:id="17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0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0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94"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0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 for biologics</w:t>
      </w:r>
    </w:p>
    <w:p>
      <w:pPr>
        <w:spacing w:after="0" w:line="143"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4" w:name="page175"/>
    <w:bookmarkEnd w:id="17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9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5" w:lineRule="exact"/>
        <w:rPr>
          <w:sz w:val="20"/>
          <w:szCs w:val="20"/>
          <w:color w:val="auto"/>
        </w:rPr>
      </w:pPr>
    </w:p>
    <w:p>
      <w:pPr>
        <w:ind w:left="1680" w:right="939" w:hanging="379"/>
        <w:spacing w:after="0" w:line="280" w:lineRule="auto"/>
        <w:tabs>
          <w:tab w:leader="none" w:pos="1732"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alerts, Dear Healthcare Provider letters, press releases or other communications containing warnings or other safety information about the product;</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2018"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mandated modification of promotional materials and labeling and issuance of corrective information;</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untitled letters;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holds on clinical trials;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applications or supplements to approved applications, or suspension or revocation of product approvals;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 and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9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decrees, corporate integrity agreements, debarment or exclusion from federal healthcare programs.</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Orphan Designation and Exclusivity</w:t>
      </w:r>
    </w:p>
    <w:p>
      <w:pPr>
        <w:spacing w:after="0" w:line="13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0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5" w:name="page176"/>
    <w:bookmarkEnd w:id="17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0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Biosimilars and Exclusivity</w:t>
      </w:r>
    </w:p>
    <w:p>
      <w:pPr>
        <w:spacing w:after="0" w:line="143"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12"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Other regulatory matters</w:t>
      </w:r>
    </w:p>
    <w:p>
      <w:pPr>
        <w:spacing w:after="0" w:line="13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76" w:name="page177"/>
    <w:bookmarkEnd w:id="17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As of November 30, 2020, we had 29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Our facilities consist of office space of approximately 11,894 square feet in Cambridge, Massachusetts under a lease that expires in lease that expires in May 2023, subject to the right to extend the term for one additional three (3) year term. We believe that our current facilities are sufficient for our current needs.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We are not currently subject to any material legal proceedings.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7" w:name="page178"/>
    <w:bookmarkEnd w:id="17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OFFICERS AND DIRECTORS OF GEMINI</w:t>
      </w:r>
    </w:p>
    <w:p>
      <w:pPr>
        <w:spacing w:after="0" w:line="127"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i w:val="1"/>
          <w:iCs w:val="1"/>
          <w:color w:val="auto"/>
        </w:rPr>
        <w:t>In this section, unless otherwise stated or the context requires otherwise, the terms “Gemini,” “we,” “us,” and “our” refer to Gemini Therapeutics, Inc.</w:t>
      </w:r>
    </w:p>
    <w:p>
      <w:pPr>
        <w:spacing w:after="0" w:line="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Our directors and executive officers are as follows as of the date of this proxy statement/prospectus: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 w:type="dxa"/>
            <w:vAlign w:val="bottom"/>
          </w:tcPr>
          <w:p>
            <w:pPr>
              <w:spacing w:after="0"/>
              <w:rPr>
                <w:sz w:val="16"/>
                <w:szCs w:val="16"/>
                <w:color w:val="auto"/>
              </w:rPr>
            </w:pPr>
          </w:p>
        </w:tc>
        <w:tc>
          <w:tcPr>
            <w:tcW w:w="386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2"/>
        </w:trPr>
        <w:tc>
          <w:tcPr>
            <w:tcW w:w="2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211"/>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Meyenburg</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tcBorders>
              <w:bottom w:val="single" w:sz="8" w:color="CCEEFF"/>
            </w:tcBorders>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1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Gregg Beloff</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6"/>
        </w:trPr>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60" w:type="dxa"/>
            <w:vAlign w:val="bottom"/>
          </w:tcPr>
          <w:p>
            <w:pPr>
              <w:spacing w:after="0"/>
              <w:rPr>
                <w:sz w:val="3"/>
                <w:szCs w:val="3"/>
                <w:color w:val="auto"/>
              </w:rPr>
            </w:pPr>
          </w:p>
        </w:tc>
      </w:tr>
      <w:tr>
        <w:trPr>
          <w:trHeight w:val="231"/>
        </w:trPr>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Lauder, Ph.D.</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3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21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 Uknis, M.D.</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36"/>
        </w:trPr>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60" w:type="dxa"/>
            <w:vAlign w:val="bottom"/>
          </w:tcPr>
          <w:p>
            <w:pPr>
              <w:spacing w:after="0"/>
              <w:rPr>
                <w:sz w:val="3"/>
                <w:szCs w:val="3"/>
                <w:color w:val="auto"/>
              </w:rPr>
            </w:pPr>
          </w:p>
        </w:tc>
      </w:tr>
      <w:tr>
        <w:trPr>
          <w:trHeight w:val="231"/>
        </w:trPr>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Hannah Han-Chun Chang, Ph.D., M.D.</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3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21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Jean George</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36"/>
        </w:trPr>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60" w:type="dxa"/>
            <w:vAlign w:val="bottom"/>
          </w:tcPr>
          <w:p>
            <w:pPr>
              <w:spacing w:after="0"/>
              <w:rPr>
                <w:sz w:val="3"/>
                <w:szCs w:val="3"/>
                <w:color w:val="auto"/>
              </w:rPr>
            </w:pPr>
          </w:p>
        </w:tc>
      </w:tr>
      <w:tr>
        <w:trPr>
          <w:trHeight w:val="231"/>
        </w:trPr>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Carl Gordon, Ph.D., CFA</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3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21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Lubner</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36"/>
        </w:trPr>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60" w:type="dxa"/>
            <w:vAlign w:val="bottom"/>
          </w:tcPr>
          <w:p>
            <w:pPr>
              <w:spacing w:after="0"/>
              <w:rPr>
                <w:sz w:val="3"/>
                <w:szCs w:val="3"/>
                <w:color w:val="auto"/>
              </w:rPr>
            </w:pPr>
          </w:p>
        </w:tc>
      </w:tr>
      <w:tr>
        <w:trPr>
          <w:trHeight w:val="231"/>
        </w:trPr>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Tuyen Ong, M.D., MRCOphth</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3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21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Jason Rhodes</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36"/>
        </w:trPr>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60" w:type="dxa"/>
            <w:vAlign w:val="bottom"/>
          </w:tcPr>
          <w:p>
            <w:pPr>
              <w:spacing w:after="0"/>
              <w:rPr>
                <w:sz w:val="3"/>
                <w:szCs w:val="3"/>
                <w:color w:val="auto"/>
              </w:rPr>
            </w:pPr>
          </w:p>
        </w:tc>
      </w:tr>
      <w:tr>
        <w:trPr>
          <w:trHeight w:val="231"/>
        </w:trPr>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Phillip R. Reilly, J.D., M.D.</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c>
          <w:tcPr>
            <w:tcW w:w="3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21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Stephen Squinto, Ph.D.</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Chairman of the Board</w:t>
            </w:r>
          </w:p>
        </w:tc>
      </w:tr>
    </w:tbl>
    <w:p>
      <w:pPr>
        <w:spacing w:after="0" w:line="184"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Jason Meyenburg </w:t>
      </w:r>
      <w:r>
        <w:rPr>
          <w:rFonts w:ascii="Times New Roman" w:cs="Times New Roman" w:eastAsia="Times New Roman" w:hAnsi="Times New Roman"/>
          <w:sz w:val="16"/>
          <w:szCs w:val="16"/>
          <w:color w:val="auto"/>
        </w:rPr>
        <w:t>has served as our Chief Executive Officer since September 2019. Previously,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March 2018 to September 2019, Mr. Meyenburg 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98"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Gregg D. Beloff </w:t>
      </w:r>
      <w:r>
        <w:rPr>
          <w:rFonts w:ascii="Times New Roman" w:cs="Times New Roman" w:eastAsia="Times New Roman" w:hAnsi="Times New Roman"/>
          <w:sz w:val="16"/>
          <w:szCs w:val="16"/>
          <w:color w:val="auto"/>
        </w:rPr>
        <w:t>has served as our Interim Chief Financial Officer since 2020. Mr. Beloff is the co-founder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Managing Director of Danforth Advisors, a 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03"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Scott Lauder, Ph.D. </w:t>
      </w:r>
      <w:r>
        <w:rPr>
          <w:rFonts w:ascii="Times New Roman" w:cs="Times New Roman" w:eastAsia="Times New Roman" w:hAnsi="Times New Roman"/>
          <w:sz w:val="16"/>
          <w:szCs w:val="16"/>
          <w:color w:val="auto"/>
        </w:rPr>
        <w:t>has served as our Chief Technology Officer since November 2017. Previously,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October 2016 to October 2017, Dr. Lauder 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0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Marc Uknis, M.D. </w:t>
      </w:r>
      <w:r>
        <w:rPr>
          <w:rFonts w:ascii="Times New Roman" w:cs="Times New Roman" w:eastAsia="Times New Roman" w:hAnsi="Times New Roman"/>
          <w:sz w:val="16"/>
          <w:szCs w:val="16"/>
          <w:color w:val="auto"/>
        </w:rPr>
        <w:t>has served as our Chief Medical Officer since March 2020. Previously, in 2020, Dr. Uknis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as Vice President and Head of Clinical 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8" w:name="page179"/>
    <w:bookmarkEnd w:id="17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Hannah Han-Chun Chang, Ph.D., M.D. </w:t>
      </w:r>
      <w:r>
        <w:rPr>
          <w:rFonts w:ascii="Times New Roman" w:cs="Times New Roman" w:eastAsia="Times New Roman" w:hAnsi="Times New Roman"/>
          <w:sz w:val="16"/>
          <w:szCs w:val="16"/>
          <w:color w:val="auto"/>
        </w:rPr>
        <w:t>has served as a member of our Board since September 2019.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July 2020, Dr. Chang has been a Managing Director at Wu Capital, a global single family office. Previously, Dr. Chang served as an Investment Director at Wu Capital from July 2017 to July 2020. Prior to that, from June 2014 to June 2017, Dr. Chang served as an associate at 5AM Ventures, a life sciences venture capital fund. Dr. Chang holds an M.D. from Harvard Medical School, a Ph.D. in biophysics from the Harvard University and a B.A. in chemistry from Princeton University. We believe that Dr. Chang is qualified to serve on our board of directors due to her scientific expertise and experience in venture capital and the life science industry.</w:t>
      </w:r>
    </w:p>
    <w:p>
      <w:pPr>
        <w:spacing w:after="0" w:line="10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Jean George </w:t>
      </w:r>
      <w:r>
        <w:rPr>
          <w:rFonts w:ascii="Times New Roman" w:cs="Times New Roman" w:eastAsia="Times New Roman" w:hAnsi="Times New Roman"/>
          <w:sz w:val="16"/>
          <w:szCs w:val="16"/>
          <w:color w:val="auto"/>
        </w:rPr>
        <w:t>has served as a member of our Board since April 2016. Since February 2002, she has been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Managing Director at Advanced Technology 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Carl L. Gordon, Ph.D., CFA </w:t>
      </w:r>
      <w:r>
        <w:rPr>
          <w:rFonts w:ascii="Times New Roman" w:cs="Times New Roman" w:eastAsia="Times New Roman" w:hAnsi="Times New Roman"/>
          <w:sz w:val="16"/>
          <w:szCs w:val="16"/>
          <w:color w:val="auto"/>
        </w:rPr>
        <w:t>has served as a member of our board of directors since April 2016. Dr. Gordon is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founding member, Managing Partner, 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96"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David C. Lubner </w:t>
      </w:r>
      <w:r>
        <w:rPr>
          <w:rFonts w:ascii="Times New Roman" w:cs="Times New Roman" w:eastAsia="Times New Roman" w:hAnsi="Times New Roman"/>
          <w:sz w:val="16"/>
          <w:szCs w:val="16"/>
          <w:color w:val="auto"/>
        </w:rPr>
        <w:t>has been a member of our Board since April 2020. From January 2016, until its acquisition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UCB S.A. in April 2020, Mr. Lubner 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0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i w:val="1"/>
          <w:iCs w:val="1"/>
          <w:color w:val="auto"/>
        </w:rPr>
        <w:t>Tuyen Ong, M.D., MRCOphth</w:t>
      </w:r>
      <w:r>
        <w:rPr>
          <w:rFonts w:ascii="Times New Roman" w:cs="Times New Roman" w:eastAsia="Times New Roman" w:hAnsi="Times New Roman"/>
          <w:sz w:val="16"/>
          <w:szCs w:val="16"/>
          <w:color w:val="auto"/>
        </w:rPr>
        <w:t>., has served as a member of our Board since August 2020. Dr. Ong is a board-certified ophthalmologist and 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9" w:name="page180"/>
    <w:bookmarkEnd w:id="17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(acquired by Valeant Pharmaceuticals International, Inc.), and Pfizer. Dr. Ong holds an M.D. from the University College London and an M.B.A. from New York University Stern School of Business. He is a member of the Royal College of Ophthalmologists and a Churchill Fellow.</w:t>
      </w:r>
    </w:p>
    <w:p>
      <w:pPr>
        <w:spacing w:after="0" w:line="94"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Philip R. Reilly, M.D. </w:t>
      </w:r>
      <w:r>
        <w:rPr>
          <w:rFonts w:ascii="Times New Roman" w:cs="Times New Roman" w:eastAsia="Times New Roman" w:hAnsi="Times New Roman"/>
          <w:sz w:val="16"/>
          <w:szCs w:val="16"/>
          <w:color w:val="auto"/>
        </w:rPr>
        <w:t>has served as a member of our board of directors since June 2016. Since 2008, Dr. Reilly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served as a Venture Partner at Third Rock Ventures LLC, an investment firm. Dr. Reilly holds a B.A. in Government from Cornell University, an M.D. from Yale University, and a J.D. from Columbia University. We believe that Dr. Reilly is qualified to serve on our board of directors due to his scientific expertise, extensive business experience, and experience in venture capital and the life science industry.</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Jason Rhodes </w:t>
      </w:r>
      <w:r>
        <w:rPr>
          <w:rFonts w:ascii="Times New Roman" w:cs="Times New Roman" w:eastAsia="Times New Roman" w:hAnsi="Times New Roman"/>
          <w:sz w:val="16"/>
          <w:szCs w:val="16"/>
          <w:color w:val="auto"/>
        </w:rPr>
        <w:t>has been a member of our Board since April 2016 and a partner at Atlas Ventures since 2014.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Rhodes also served as the founding 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9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i w:val="1"/>
          <w:iCs w:val="1"/>
          <w:color w:val="auto"/>
        </w:rPr>
        <w:t>Stephen Squinto, Ph.D.</w:t>
      </w:r>
      <w:r>
        <w:rPr>
          <w:rFonts w:ascii="Times New Roman" w:cs="Times New Roman" w:eastAsia="Times New Roman" w:hAnsi="Times New Roman"/>
          <w:sz w:val="16"/>
          <w:szCs w:val="16"/>
          <w:color w:val="auto"/>
        </w:rPr>
        <w:t>, has served as a member of our Board since April 2016. Dr. Squinto has been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Partner at OrbiMed Advisors LLC since January 2015. Previously, Dr. Squinto co-founded Alexion Pharmaceuticals, Inc. and served as its Executive Vice President and Chief Global Operations Officer from 2012 to January 2015 and as its Global Head of Research and Development from 2007 to 2012. Dr. Squinto has served as Acting Head of Research and Development of Passage Bio, Inc. since January 2020, and prior to that served as interim Chief Executive Officer of Passage Bio from September 2018 to January 2020. Dr. Squinto also has served as a member of Passage’s board of directors since September 2018. Dr. Squinto also previously served as a member of the board of directors of Arvinas, Inc. from October 2015 to September 2018 and Audentes Therapeutics, Inc. from April 2015 to January 2018. Dr. Squinto holds a Ph.D. in biochemistry and biophysics and a B.A. in chemistry from Loyola University of Chicago. We believe that Dr. Squinto is qualified to serve on our board of directors based on his experience in the biopharmaceutical industry, including his operational experience in drug discovery and development.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0" w:name="page181"/>
    <w:bookmarkEnd w:id="18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COMPENSATION OF GEMINI</w:t>
      </w:r>
    </w:p>
    <w:p>
      <w:pPr>
        <w:spacing w:after="0" w:line="127"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i w:val="1"/>
          <w:iCs w:val="1"/>
          <w:color w:val="auto"/>
        </w:rPr>
        <w:t>In this section, unless otherwise stated or the context requires otherwise, the terms “Gemini,” “we,” “us,” and “our” refer to Gemini Therapeutics, Inc.</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Executive compensation overview</w:t>
      </w:r>
    </w:p>
    <w:p>
      <w:pPr>
        <w:spacing w:after="0" w:line="129" w:lineRule="exact"/>
        <w:rPr>
          <w:sz w:val="20"/>
          <w:szCs w:val="20"/>
          <w:color w:val="auto"/>
        </w:rPr>
      </w:pPr>
    </w:p>
    <w:p>
      <w:pPr>
        <w:jc w:val="both"/>
        <w:ind w:left="920" w:right="939"/>
        <w:spacing w:after="0" w:line="270" w:lineRule="auto"/>
        <w:rPr>
          <w:sz w:val="20"/>
          <w:szCs w:val="20"/>
          <w:color w:val="auto"/>
        </w:rPr>
      </w:pPr>
      <w:r>
        <w:rPr>
          <w:rFonts w:ascii="Times New Roman" w:cs="Times New Roman" w:eastAsia="Times New Roman" w:hAnsi="Times New Roman"/>
          <w:sz w:val="15"/>
          <w:szCs w:val="15"/>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7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Gemini’s named executive officers are Jason Meyenburg, its President and Chief Executive Officer, Dr. Scott Lauder, its Chief Technology Officer, and Dr. Marc Uknis, its Chief Medical Officer, each of whom will become an executive officer of the Combined Entity. The following table presents information regarding the total compensation awarded to, earned by, and paid to our named executive officers for services rendered to us in all capacities for 2020.</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5"/>
                <w:szCs w:val="15"/>
                <w:color w:val="auto"/>
              </w:rPr>
            </w:pPr>
          </w:p>
        </w:tc>
      </w:tr>
      <w:tr>
        <w:trPr>
          <w:trHeight w:val="179"/>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5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w:t>
            </w:r>
            <w:r>
              <w:rPr>
                <w:rFonts w:ascii="Times New Roman" w:cs="Times New Roman" w:eastAsia="Times New Roman" w:hAnsi="Times New Roman"/>
                <w:sz w:val="16"/>
                <w:szCs w:val="16"/>
                <w:b w:val="1"/>
                <w:bCs w:val="1"/>
                <w:color w:val="auto"/>
                <w:w w:val="90"/>
                <w:vertAlign w:val="superscript"/>
              </w:rPr>
              <w:t>(2)</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76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5"/>
        </w:trPr>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Meyenburg</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437,800</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1,539,362</w:t>
            </w: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49,992</w:t>
            </w:r>
            <w:r>
              <w:rPr>
                <w:rFonts w:ascii="Times New Roman" w:cs="Times New Roman" w:eastAsia="Times New Roman" w:hAnsi="Times New Roman"/>
                <w:sz w:val="18"/>
                <w:szCs w:val="18"/>
                <w:color w:val="auto"/>
                <w:vertAlign w:val="superscript"/>
              </w:rPr>
              <w:t>(3)</w:t>
            </w:r>
          </w:p>
        </w:tc>
        <w:tc>
          <w:tcPr>
            <w:tcW w:w="1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2,069,654</w:t>
            </w:r>
          </w:p>
        </w:tc>
      </w:tr>
      <w:tr>
        <w:trPr>
          <w:trHeight w:val="175"/>
        </w:trPr>
        <w:tc>
          <w:tcPr>
            <w:tcW w:w="17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4"/>
        </w:trPr>
        <w:tc>
          <w:tcPr>
            <w:tcW w:w="1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and President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Dr. Marc Uknis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328,542</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1,223,507</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1,555,193</w:t>
            </w:r>
          </w:p>
        </w:tc>
      </w:tr>
      <w:tr>
        <w:trPr>
          <w:trHeight w:val="208"/>
        </w:trPr>
        <w:tc>
          <w:tcPr>
            <w:tcW w:w="1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Medical Officer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51"/>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 Scott Lauder</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355,000</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117,800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136,382</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r>
              <w:rPr>
                <w:rFonts w:ascii="Times New Roman" w:cs="Times New Roman" w:eastAsia="Times New Roman" w:hAnsi="Times New Roman"/>
                <w:sz w:val="18"/>
                <w:szCs w:val="18"/>
                <w:color w:val="auto"/>
                <w:vertAlign w:val="superscript"/>
              </w:rPr>
              <w:t>(4)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616,682</w:t>
            </w:r>
          </w:p>
        </w:tc>
      </w:tr>
      <w:tr>
        <w:trPr>
          <w:trHeight w:val="175"/>
        </w:trPr>
        <w:tc>
          <w:tcPr>
            <w:tcW w:w="17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Chief Technology</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8"/>
        </w:trPr>
        <w:tc>
          <w:tcPr>
            <w:tcW w:w="1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Officer</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36"/>
        </w:trPr>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300" w:right="939" w:hanging="381"/>
        <w:spacing w:after="0" w:line="272" w:lineRule="auto"/>
        <w:tabs>
          <w:tab w:leader="none" w:pos="138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annual payments made to our named executive officers in cash in March 2020 for performance in 2019.</w:t>
      </w:r>
    </w:p>
    <w:p>
      <w:pPr>
        <w:jc w:val="both"/>
        <w:ind w:left="1300" w:right="939" w:hanging="381"/>
        <w:spacing w:after="0" w:line="267" w:lineRule="auto"/>
        <w:tabs>
          <w:tab w:leader="none" w:pos="138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“Option Awards” column reflect the aggregate grant date fair value of stock options awarded during 2020 computed in accordance with the provisions of Financial Accounting Standards Board Accounting Standards Codification Topic 718. See Note 10 to Gemini’s financial statements appearing elsewhere in this proxy statement/prospectus regarding assumptions underlying the valuation of equity awards.</w:t>
      </w:r>
    </w:p>
    <w:p>
      <w:pPr>
        <w:ind w:left="1300" w:right="939" w:hanging="381"/>
        <w:spacing w:after="0" w:line="267" w:lineRule="auto"/>
        <w:tabs>
          <w:tab w:leader="none" w:pos="1493"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payment for a living expense allowance to facilitate Mr. Meyenburg’s relocation to Cambridge, Massachusetts pursuant to the term of his offer letter agreement with Gemini.</w:t>
      </w:r>
    </w:p>
    <w:p>
      <w:pPr>
        <w:ind w:left="1300" w:hanging="381"/>
        <w:spacing w:after="0"/>
        <w:tabs>
          <w:tab w:leader="none" w:pos="13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Gemini’s portion of the executive’s 401k plan contribution.</w:t>
      </w:r>
    </w:p>
    <w:p>
      <w:pPr>
        <w:spacing w:after="0" w:line="1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Narrative to summary compensation table</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Base salaries</w:t>
      </w:r>
    </w:p>
    <w:p>
      <w:pPr>
        <w:spacing w:after="0" w:line="11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the year ended December 31, 2020, the annual base salaries for each of Mr. Meyenburg, Dr. Uknis and Dr. Lauder were $437,800 $415,000 and $355,000, respectively.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81" w:name="page182"/>
    <w:bookmarkEnd w:id="18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Bonuses</w:t>
      </w:r>
    </w:p>
    <w:p>
      <w:pPr>
        <w:spacing w:after="0" w:line="13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We pay cash bonuses to reward our executives for their performance over the fiscal year, based on goals established by our board of directors. For 2020, the target bonus for Mr. Meyenburg was equal to 40% percent of his base salary. The target bonus for Dr. Lauder for 2020 was 35% percent of his base salary. The target bonus for Dr. Uknis for 2020 was 35% percent of his base salary, prorated from his start date with Gemini.</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2020, we granted options to purchase shares of our common stock to Mr. Meyenburg, Dr. Uknis and Dr. Lauder, as described in more detail in the “Outstanding equity awards at 2020 fiscal year-end” table.</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Employment arrangements and severance agreements with our named executive officers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We entered into offer letter agreements with each of our named executive officers in connection with the commencement of their employment with us, the material terms of which summarized below.</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Employment agreement with Mr. Meyenburg</w:t>
      </w:r>
    </w:p>
    <w:p>
      <w:pPr>
        <w:spacing w:after="0" w:line="13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We entered into an offer letter agreement with Mr. Meyenburg, dated August 27, 2019, pursuant to which we employ Mr. Meyenburg as our President and Chief Executive Officer. The offer letter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02"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Mr. Meyenburg’s current annual base salary is $437,800, which is subject to periodic review and adjustment. Pursuant to the offer letter agreement, Mr. Meyenburg is eligible to receive to an annual bonus targeted at 40% of his annual base salary, which amount may be adjusted by Gemini at its sole discretion. The actual amount of the bonus is determined by the board of directors based on its assessment of the performance of Mr. Meyenburg and that of the Company against pre-established goals determined by our board of directors. Under the offer letter agreement, we also paid Mr. Meyenburg a signing bonus of $25,000, which was subject to repayment in full in the event that Mr. Meyenburg resigned without “good reason” (as such term is defined in his offer letter agreement) or we terminated Mr. Meyenburg’s employment for “cause” (as such term is defined in his offer letter agreement) in either case within one year of his start date. Mr. Meyenburg was required relocate his primary residence to Cambridge, Massachusetts within one year of his start date. To facilitate such relocation and transition, we provided Mr. Meyenburg with a living expense allowance equal to $4,166 per month until he was able to relocate to Cambridge Massachusetts for up to a maximum of twelve months following his start date. The board of directors extended the time period during which Mr. Meyenburg may be required to relocate to the Boston area until following the easing of the COVID-19 pandemic and upon the request of either the compensation committee or the board of directors. The $4,166 per month living allowance was also extended for the same period of time.</w:t>
      </w:r>
    </w:p>
    <w:p>
      <w:pPr>
        <w:spacing w:after="0" w:line="112" w:lineRule="exact"/>
        <w:rPr>
          <w:sz w:val="20"/>
          <w:szCs w:val="20"/>
          <w:color w:val="auto"/>
        </w:rPr>
      </w:pPr>
    </w:p>
    <w:p>
      <w:pPr>
        <w:jc w:val="both"/>
        <w:ind w:left="920" w:right="939"/>
        <w:spacing w:after="0" w:line="269" w:lineRule="auto"/>
        <w:rPr>
          <w:sz w:val="20"/>
          <w:szCs w:val="20"/>
          <w:color w:val="auto"/>
        </w:rPr>
      </w:pPr>
      <w:r>
        <w:rPr>
          <w:rFonts w:ascii="Times New Roman" w:cs="Times New Roman" w:eastAsia="Times New Roman" w:hAnsi="Times New Roman"/>
          <w:sz w:val="15"/>
          <w:szCs w:val="15"/>
          <w:color w:val="auto"/>
        </w:rPr>
        <w:t>In the event Mr. Meyenburg’s employment is terminated without cause or he resigns for good reason, in either event within the twelve month period immediate following a “sale event” (as such term is defined in the 2017 Plan), any then outstanding time-based equity awards shall accelerate and become fully vested as of the date of termination. 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(i) the end of the Salary Continuation Period;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2" w:name="page183"/>
    <w:bookmarkEnd w:id="18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hanging="1"/>
        <w:spacing w:after="0" w:line="259" w:lineRule="auto"/>
        <w:tabs>
          <w:tab w:leader="none" w:pos="118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Mr. Meyenburg becomes eligible for health insurance through another employer or otherwise becomes ineligible for COBRA. Payment of the severance payments under the offer letter agreement shall cease in the event that Mr. Meyenburg breaches his obligations under the Employee Confidentiality, Assignment and Noncompetition Agreement entered into with us.</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Employment Agreement with Dr. Uknis</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We entered into an offer letter agreement with Dr. Uknis dated February 20, 2020. The employment of Dr. Uknis is “at will” and the agreement endures until terminated by either party. Dr. Uknis’s current annual base salary is $415,000, which is subject to periodic review and adjustment. Under the terms of the offer letter agreement, Dr. Uknis is eligible to participate in any annual bonus programs as may be established from time to time by our board of directors. Under such bonus programs, Dr. Uknis is eligible to receive an annual bonus targeted at 35% of his annual base salary. Dr. Uknis is required to relocate his primary residence to Cambridge, Massachusetts within one year of his start date. The board of directors extended the time period during which Dr. Uknis may be required to relocate to the Boston area until following the easing of the COVID-19 pandemic and upon the request of either the compensation committee or the board of directors. Once Dr. Uknis is required to relocate to the Boston area, the board of directors or the compensation committee may agree to an interim living allowance.</w:t>
      </w:r>
    </w:p>
    <w:p>
      <w:pPr>
        <w:spacing w:after="0" w:line="98"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In the event Dr. Uknis’s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Uknis is entitled to the following: (a) continuation of base salary for nine months, which we refer to as the Salary Continuation Period; and (b) monthly COBRA premiums paid by us until the earlier of: (i) the end of the Salary Continuation Period; or (ii) the date Dr. Uknis becomes eligible for health insurance through another employer.</w:t>
      </w:r>
    </w:p>
    <w:p>
      <w:pPr>
        <w:spacing w:after="0" w:line="10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Dr. Uknis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Employment agreement with Dr. Lauder</w:t>
      </w:r>
    </w:p>
    <w:p>
      <w:pPr>
        <w:spacing w:after="0" w:line="143"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We entered into an offer letter agreement with Dr. Lauder dated September 12, 2016. The employment of Dr. Lauder is “at will” and the agreement endures until terminated by either party. Dr. Lauder’s current annual base salary is $355,000, which is subject to periodic review and adjustment. Under the terms of the offer letter agreement, Dr. Lauder is eligible to participate in any annual bonus programs as may be established from time to time by our board of directors. Under such bonus programs, Dr. Lauder is eligible to receive an annual bonus targeted at 35% of his annual base salary.</w:t>
      </w:r>
    </w:p>
    <w:p>
      <w:pPr>
        <w:spacing w:after="0" w:line="94" w:lineRule="exact"/>
        <w:rPr>
          <w:sz w:val="20"/>
          <w:szCs w:val="20"/>
          <w:color w:val="auto"/>
        </w:rPr>
      </w:pPr>
    </w:p>
    <w:p>
      <w:pPr>
        <w:jc w:val="both"/>
        <w:ind w:left="920" w:right="939"/>
        <w:spacing w:after="0" w:line="274" w:lineRule="auto"/>
        <w:rPr>
          <w:sz w:val="20"/>
          <w:szCs w:val="20"/>
          <w:color w:val="auto"/>
        </w:rPr>
      </w:pPr>
      <w:r>
        <w:rPr>
          <w:rFonts w:ascii="Times New Roman" w:cs="Times New Roman" w:eastAsia="Times New Roman" w:hAnsi="Times New Roman"/>
          <w:sz w:val="15"/>
          <w:szCs w:val="15"/>
          <w:color w:val="auto"/>
        </w:rPr>
        <w:t>In the event Dr. Lauder’s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Lauder is entitled to the following: (a) continuation of base salary for twelve months, which we refer to as the Salary Continuation Period; and (b) monthly COBRA premiums paid by us until the earlier of: (i) the end of the Salary Continuation Period; or (ii) the date Dr. Lauder becomes eligible for health insurance through another employer.</w:t>
      </w:r>
    </w:p>
    <w:p>
      <w:pPr>
        <w:spacing w:after="0" w:line="9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3" w:name="page184"/>
    <w:bookmarkEnd w:id="18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Outstanding equity awards at 2020 fiscal year-end</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following table sets forth information concerning outstanding equity awards held by each of our named executive officers as of December 31, 2020. Unless otherwise noted, all equity awards set forth in the table below were granted under our 2017 Plan.</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42"/>
        </w:trPr>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units</w:t>
            </w:r>
          </w:p>
        </w:tc>
        <w:tc>
          <w:tcPr>
            <w:tcW w:w="8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stock</w:t>
            </w:r>
          </w:p>
        </w:tc>
        <w:tc>
          <w:tcPr>
            <w:tcW w:w="8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w:t>
            </w:r>
          </w:p>
        </w:tc>
        <w:tc>
          <w:tcPr>
            <w:tcW w:w="8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8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2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gridSpan w:val="2"/>
          </w:tcPr>
          <w:p>
            <w:pPr>
              <w:jc w:val="center"/>
              <w:ind w:left="40"/>
              <w:spacing w:after="0" w:line="230" w:lineRule="exact"/>
              <w:rPr>
                <w:sz w:val="20"/>
                <w:szCs w:val="20"/>
                <w:color w:val="auto"/>
              </w:rPr>
            </w:pPr>
            <w:r>
              <w:rPr>
                <w:rFonts w:ascii="Times New Roman" w:cs="Times New Roman" w:eastAsia="Times New Roman" w:hAnsi="Times New Roman"/>
                <w:sz w:val="26"/>
                <w:szCs w:val="26"/>
                <w:b w:val="1"/>
                <w:bCs w:val="1"/>
                <w:color w:val="auto"/>
                <w:w w:val="87"/>
                <w:vertAlign w:val="subscript"/>
              </w:rPr>
              <w:t>($)</w:t>
            </w:r>
            <w:r>
              <w:rPr>
                <w:rFonts w:ascii="Times New Roman" w:cs="Times New Roman" w:eastAsia="Times New Roman" w:hAnsi="Times New Roman"/>
                <w:sz w:val="8"/>
                <w:szCs w:val="8"/>
                <w:b w:val="1"/>
                <w:bCs w:val="1"/>
                <w:color w:val="auto"/>
                <w:w w:val="87"/>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Meyenburg</w:t>
            </w:r>
          </w:p>
        </w:tc>
        <w:tc>
          <w:tcPr>
            <w:tcW w:w="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9/23/2019</w:t>
            </w:r>
            <w:r>
              <w:rPr>
                <w:rFonts w:ascii="Times New Roman" w:cs="Times New Roman" w:eastAsia="Times New Roman" w:hAnsi="Times New Roman"/>
                <w:sz w:val="18"/>
                <w:szCs w:val="18"/>
                <w:color w:val="auto"/>
                <w:vertAlign w:val="superscript"/>
              </w:rPr>
              <w:t>(2)</w:t>
            </w: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840,698</w:t>
            </w:r>
          </w:p>
        </w:tc>
        <w:tc>
          <w:tcPr>
            <w:tcW w:w="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1,849,541</w:t>
            </w: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11/12/2029</w:t>
            </w: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3/11/2020</w:t>
            </w:r>
            <w:r>
              <w:rPr>
                <w:rFonts w:ascii="Times New Roman" w:cs="Times New Roman" w:eastAsia="Times New Roman" w:hAnsi="Times New Roman"/>
                <w:sz w:val="18"/>
                <w:szCs w:val="18"/>
                <w:color w:val="auto"/>
                <w:vertAlign w:val="superscript"/>
              </w:rPr>
              <w:t>(2)</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575,700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3/11/2030</w:t>
            </w:r>
          </w:p>
        </w:tc>
        <w:tc>
          <w:tcPr>
            <w:tcW w:w="6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10/16/2020</w:t>
            </w:r>
            <w:r>
              <w:rPr>
                <w:rFonts w:ascii="Times New Roman" w:cs="Times New Roman" w:eastAsia="Times New Roman" w:hAnsi="Times New Roman"/>
                <w:sz w:val="18"/>
                <w:szCs w:val="18"/>
                <w:color w:val="auto"/>
                <w:vertAlign w:val="superscript"/>
              </w:rPr>
              <w:t>(2)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1,178,043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10/16/2030</w:t>
            </w:r>
          </w:p>
        </w:tc>
        <w:tc>
          <w:tcPr>
            <w:tcW w:w="6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Marc Uknis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10/16/2020</w:t>
            </w:r>
            <w:r>
              <w:rPr>
                <w:rFonts w:ascii="Times New Roman" w:cs="Times New Roman" w:eastAsia="Times New Roman" w:hAnsi="Times New Roman"/>
                <w:sz w:val="18"/>
                <w:szCs w:val="18"/>
                <w:color w:val="auto"/>
                <w:vertAlign w:val="superscript"/>
              </w:rPr>
              <w:t>(2)</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1,093,980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10/16/2030</w:t>
            </w:r>
          </w:p>
        </w:tc>
        <w:tc>
          <w:tcPr>
            <w:tcW w:w="6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Scott Lauder</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11/5/2017</w:t>
            </w:r>
            <w:r>
              <w:rPr>
                <w:rFonts w:ascii="Times New Roman" w:cs="Times New Roman" w:eastAsia="Times New Roman" w:hAnsi="Times New Roman"/>
                <w:sz w:val="18"/>
                <w:szCs w:val="18"/>
                <w:color w:val="auto"/>
                <w:vertAlign w:val="superscript"/>
              </w:rPr>
              <w:t>(3)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235,206</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78,400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0.28</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8/28/2028</w:t>
            </w:r>
          </w:p>
        </w:tc>
        <w:tc>
          <w:tcPr>
            <w:tcW w:w="6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3/11/2020</w:t>
            </w:r>
            <w:r>
              <w:rPr>
                <w:rFonts w:ascii="Times New Roman" w:cs="Times New Roman" w:eastAsia="Times New Roman" w:hAnsi="Times New Roman"/>
                <w:sz w:val="18"/>
                <w:szCs w:val="18"/>
                <w:color w:val="auto"/>
                <w:vertAlign w:val="superscript"/>
              </w:rPr>
              <w:t>(2)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75,000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0.55</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3/11/2030</w:t>
            </w: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10/16/2020</w:t>
            </w:r>
            <w:r>
              <w:rPr>
                <w:rFonts w:ascii="Times New Roman" w:cs="Times New Roman" w:eastAsia="Times New Roman" w:hAnsi="Times New Roman"/>
                <w:sz w:val="18"/>
                <w:szCs w:val="18"/>
                <w:color w:val="auto"/>
                <w:vertAlign w:val="superscript"/>
              </w:rPr>
              <w:t>(2)</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96,971</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10/16/2030</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46,250</w:t>
            </w:r>
            <w:r>
              <w:rPr>
                <w:rFonts w:ascii="Times New Roman" w:cs="Times New Roman" w:eastAsia="Times New Roman" w:hAnsi="Times New Roman"/>
                <w:sz w:val="18"/>
                <w:szCs w:val="18"/>
                <w:color w:val="auto"/>
                <w:w w:val="99"/>
                <w:vertAlign w:val="superscript"/>
              </w:rPr>
              <w:t>(4)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ind w:left="1300" w:right="939" w:hanging="381"/>
        <w:spacing w:after="0" w:line="272" w:lineRule="auto"/>
        <w:tabs>
          <w:tab w:leader="none" w:pos="1319"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fair market value of our common stock as of December 31, 2020 of $1.66 as determined by the Gemini board of directors, after consideration of relevant factors, including third-party valuation report.</w:t>
      </w:r>
    </w:p>
    <w:p>
      <w:pPr>
        <w:jc w:val="both"/>
        <w:ind w:left="1300" w:right="939" w:hanging="381"/>
        <w:spacing w:after="0" w:line="267" w:lineRule="auto"/>
        <w:tabs>
          <w:tab w:leader="none" w:pos="1306"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 In the event that the executive’s employment is terminated without cause or he resigns for good reason within 12 months following a “sale event” (as such term is defined in the 2017 Plan), the vesting of this stock option will fully accelerate.</w:t>
      </w:r>
    </w:p>
    <w:p>
      <w:pPr>
        <w:ind w:left="1300" w:right="939" w:hanging="381"/>
        <w:spacing w:after="0" w:line="267" w:lineRule="auto"/>
        <w:tabs>
          <w:tab w:leader="none" w:pos="1335"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stock option vest in 16 equal quarterly installments over the four years following vesting commencement date, subject to Dr. Lauder’s continued service, subject to full acceleration on a change of control.</w:t>
      </w:r>
    </w:p>
    <w:p>
      <w:pPr>
        <w:jc w:val="both"/>
        <w:ind w:left="1300" w:right="939" w:hanging="381"/>
        <w:spacing w:after="0" w:line="280" w:lineRule="auto"/>
        <w:tabs>
          <w:tab w:leader="none" w:pos="1346"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restricted stock award granted on October 26, 2016 for a total of 480,000 shares under our 2015 Plan. The remaining unvested shares vest in two quarterly installments of 23,125 through May 16, 2021, subject to full acceleration on a change of control.</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Employee benefit and equity compensation plans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2017 Stock Option and Grant Plan</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is a summary of our 2017 Plan, which as noted in this summary, will terminate at or prior to the Effective Time and contingent on the Closing and no further awards will be granted under our 2017 Plan.</w:t>
      </w:r>
    </w:p>
    <w:p>
      <w:pPr>
        <w:spacing w:after="0" w:line="8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Our 2017 Plan was initially approved by our board of directors and our stockholders on May 24, 2017 and most recently amended in September 2019 to increase the number of shares available for issuance under the 2017 Plan. Under our 2017 Plan, we have reserved for issuance an aggregate of 11,834,347 shares of our common stock, which number is subject to adjustment in the event of a reorganization, recapitalization, stock dividend, stock split or other similar change in our capital stock.</w:t>
      </w:r>
    </w:p>
    <w:p>
      <w:pPr>
        <w:spacing w:after="0" w:line="9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shares we issue under our 2017 Plan are authorized but unissued shares or shares we reacquire. The shares of common stock underlying any awards under the 2017 Plan and the 2015 Plan that are forfeited, cancelled, reacquired by us prior to vesting, satisfied without the issuance of common stock or otherwise terminated (other than by exercise) and shares of common stock withheld upon exercise or settlement of an award to cover the exercise price or tax withholding under our 2017 Plan and our 2015 Plan are added back to the shares of common stock available for issuance under our 2017 Plan.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84" w:name="page185"/>
    <w:bookmarkEnd w:id="18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Our board of directors has acted as administrator of our 2017 Plan. The administrator has full power to select, from among the individuals eligible for awards, the individuals to whom awards will be granted, and to determine the specific terms and conditions of each award, subject to the provisions of our 2017 Plan. Persons eligible to participate in our 2017 Plan are our full or part time officers, employees, directors, consultants and other key persons as selected from time to time by the administrator in its discretion.</w:t>
      </w:r>
    </w:p>
    <w:p>
      <w:pPr>
        <w:spacing w:after="0" w:line="102"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Our 2017 Plan permits the granting of (1) options to purchase common stock intended to qualify as incentive stock options under Section 422 of the Code and (2) options that do not so qualify. The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2017 Plan permits the granting of restricted shares of common stock, restricted stock units and unrestricted stock.</w:t>
      </w:r>
    </w:p>
    <w:p>
      <w:pPr>
        <w:spacing w:after="0" w:line="10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Our 2017 Plan provides that upon the occurrence of a “sale event,” as defined in our 2017 Plan, all outstanding stock options will terminate at the effective time of such sale event, unless the parties to the sale event agree that such awards will be assumed or continued by the successor entity. In the event of a termination of our 2017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 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0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Our board of directors may amend or discontinue the 2017 Plan at any time, subject to stockholder approval where such approval is required by applicable law. The administrator of the 2017 Plan may also amend or cancel any outstanding award, provided that no such amendment or cancellation of an award may adversely affect a participant’s rights without his or her consent. The administrator of the 2017 Plan is specifically authorized to exercise its discretion to reduce the exercise price of outstanding stock options or effect the repricing of such awards through cancellation and re-grants.</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No awards may be granted under our 2017 Plan after the date that is ten years from the date our 2017 Plan was adopted by the board of directors. As of September 30, 2020, options to purchase shares of common stock were outstanding under the 2017 Plan. Our 2017 Plan will terminate at or prior to the Effective Time and contingent on the Closing.</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2015 Employee, Director and Consultant Stock Option Plan</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is a summary of our 2015 Plan, which as noted in this summary, will terminate at or prior to the Effective Time and contingent on the Closing and no further awards will be granted under our 2015 Plan.</w:t>
      </w:r>
    </w:p>
    <w:p>
      <w:pPr>
        <w:spacing w:after="0" w:line="7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Our 2015 Plan was approved and adopted by our board of directors and stockholders in August 2015. Under the 2015 Plan, we have reserved for issuance an aggregate of 1,350,000 shares of our common stock for the issuance. This number of shares of common stock reserved for issuance is subject to adjustment in the event of a stock split, stock dividend or other change in our capitalization. As of September 30, 2020, options to purchase 905,000 shares of common stock were outstanding under the 2015 Plan. Following the adoption of the 2017 Stock Plan no further awards were made under the 2015 Plan. All outstanding awards under the 2015 Plan continue to be governed by the 2015 Plan.</w:t>
      </w:r>
    </w:p>
    <w:p>
      <w:pPr>
        <w:spacing w:after="0" w:line="10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2015 Plan are added back to the shares of common stock available for issuance under the 2017 Plan.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5" w:name="page186"/>
    <w:bookmarkEnd w:id="18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Our board of directors has acted as administrator of the 2015 Plan. The administrator had full power to select, from among the individuals eligible for awards, the individuals to whom awards will be granted, to make any combination of awards to participants, and to determine the specific terms and conditions of each award, subject to the provisions of our 2015 Plan. Persons eligible to participate in our 2015 Plan were those full or part-time officers, employees, non-employee directors, and consultants as selected from time to time by the administrator in its discretion.</w:t>
      </w:r>
    </w:p>
    <w:p>
      <w:pPr>
        <w:spacing w:after="0" w:line="10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Our 2015 Plan permitted the granting of both options to purchase common stock intended to qualify as incentive stock options under Section 422 of the Code and options that do not so qualify. The option exercise price of each option was determined by our board of directors but could not be less than 100% of the fair market value of our common stock on the date of grant. The term of each option was fixed by our board of directors and could not exceed ten years from the date of grant. Our board of directors determined at what time or times each option could be exercised. In addition, our 2015 Plan permitted awards of common stock and stock rights, in each case subject to such conditions and restrictions as determined by our board of directors in its discretion. These conditions and restrictions could have included the achievement of certain performance goals and/or continued employment with us through a specified vesting period.</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Our 2015 Plan provides that upon the effectiveness of a “corporate transaction” (as defined in our 2015 Plan), the board of directors shall: (i) make appropriate provision for the continuation of stock options by substituting on an equitable basis for the shares then subject to such options either the consideration payable with respect to the outstanding shares of common stock in connection with the corporate transaction or securities of any successor or acquiring entity; (ii) upon written notice to the participants, provide that stock options must be exercised (either (A) to the extent then exercisable or, (B) at the discretion of the board of directors, in full or in part), within a specified number of days of the date of such notice, at the end of which period such options that have not been exercised shall terminate; or (iii) terminate options in exchange for payment of an amount equal to the consideration payable upon consummation of such corporate transaction to a holder of the number of shares of common stock for which such option was exercisable (either (A) to the extent then exercisable or, (B) at the discretion of the Administrator, in full or in part) less the aggregate exercise price thereof.</w:t>
      </w:r>
    </w:p>
    <w:p>
      <w:pPr>
        <w:spacing w:after="0" w:line="98"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Our board of directors or stockholders may amend our 2015 Plan and, our board of directors may discontinue the 2015 Plan. Our board of directors may amend outstanding award agreements under the 2015 Plan, but no such action may adversely affect a participant’s rights under an award without his or her consent. Our board of directors is specifically authorized to exercise its discretion to reduce the exercise price of outstanding stock options under the 2015 Plan. Certain amendments to our 2015 Plan require the approval of our stockholders.</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Our 2015 Plan provides that no awards may be granted under our 2015 Plan after the date that is ten years from the date the board approved our 2015 Plan. However, following adoption of the 2017 Stock Plan, our board of directors determined not to make any further awards under our 2015 Plan.</w:t>
      </w:r>
    </w:p>
    <w:p>
      <w:pPr>
        <w:spacing w:after="0" w:line="9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Our 2015 Plan will terminate at or prior to the Effective Time and contingent on the Closing and no further awards will be granted under our 2015 Plan.</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401(k) Plan</w:t>
      </w:r>
    </w:p>
    <w:p>
      <w:pPr>
        <w:spacing w:after="0" w:line="13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We maintain a tax-qualified retirement plan, or the 401(k) Plan, that provides eligible U.S. employees with an opportunity to save for retirement on a tax advantaged basis.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6" w:name="page187"/>
    <w:bookmarkEnd w:id="18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following table presents the total compensation for each person (i) who served as a non-employee member of our board of directors during 2020, (ii) who will serve as a director of the Combined Entity following the Closing, and (iii) received compensation for such service during the fiscal year ended December 31, 2020. Other than as set forth in the table and described more fully below, we did not pay any compensation, make any equity awards to, or pay any other compensation to any of the non-employee members of our board of directors who will serve as a director of the Combined Entity following the Closing. Jason Meyenburg, our President and Chief Executive Officer, did not receive any compensation for his service as a member of our board of directors during 2020. Mr. Meyenburg’s compensation for service as an employee for fiscal year 2020 is presented in “Executive compensation — 2020 Summary compensation table.”</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Director compensation table — 2020</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80" w:type="dxa"/>
            <w:vAlign w:val="bottom"/>
          </w:tcPr>
          <w:p>
            <w:pPr>
              <w:spacing w:after="0"/>
              <w:rPr>
                <w:sz w:val="15"/>
                <w:szCs w:val="15"/>
                <w:color w:val="auto"/>
              </w:rPr>
            </w:pPr>
          </w:p>
        </w:tc>
        <w:tc>
          <w:tcPr>
            <w:tcW w:w="82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80" w:type="dxa"/>
            <w:vAlign w:val="bottom"/>
          </w:tcPr>
          <w:p>
            <w:pPr>
              <w:spacing w:after="0"/>
              <w:rPr>
                <w:sz w:val="15"/>
                <w:szCs w:val="15"/>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9"/>
                <w:szCs w:val="19"/>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w:t>
            </w:r>
            <w:r>
              <w:rPr>
                <w:rFonts w:ascii="Times New Roman" w:cs="Times New Roman" w:eastAsia="Times New Roman" w:hAnsi="Times New Roman"/>
                <w:sz w:val="16"/>
                <w:szCs w:val="16"/>
                <w:b w:val="1"/>
                <w:bCs w:val="1"/>
                <w:color w:val="auto"/>
                <w:w w:val="97"/>
                <w:vertAlign w:val="superscript"/>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5"/>
        </w:trPr>
        <w:tc>
          <w:tcPr>
            <w:tcW w:w="3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Lubner</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282,671</w:t>
            </w:r>
          </w:p>
        </w:tc>
      </w:tr>
      <w:tr>
        <w:trPr>
          <w:trHeight w:val="215"/>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Tuyen Ong</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11,358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269,654</w:t>
            </w:r>
          </w:p>
        </w:tc>
      </w:tr>
    </w:tbl>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jc w:val="both"/>
        <w:ind w:left="1300" w:right="939" w:hanging="381"/>
        <w:spacing w:after="0" w:line="278" w:lineRule="auto"/>
        <w:tabs>
          <w:tab w:leader="none" w:pos="1394"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“Option Awards” column reflect the aggregate grant date fair value of share- based compensation awarded during the year computed in accordance with the provisions of Financial Accounting Standards Board Accounting Standards Codification, or ASC, Topic 718. See Note 10 to Gemini’s consolidated financial statements appearing at the end of this prospectus regarding assumptions underlying the valuation of equity awards.</w:t>
      </w:r>
    </w:p>
    <w:p>
      <w:pPr>
        <w:spacing w:after="0" w:line="3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Non-Employee director compensation policy</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Prior to the Closing, our board of directors plans to adopt a non-employee director compensation policy, that is designed to enable us to attract and retain, on a long-term basis, highly qualified non-employee directors. Under the policy, each director who is not an employee will be paid cash compensation following the Closing, as set forth below:</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Annual</w:t>
            </w:r>
          </w:p>
        </w:tc>
      </w:tr>
      <w:tr>
        <w:trPr>
          <w:trHeight w:val="188"/>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Retainer</w:t>
            </w:r>
          </w:p>
        </w:tc>
      </w:tr>
      <w:tr>
        <w:trPr>
          <w:trHeight w:val="42"/>
        </w:trPr>
        <w:tc>
          <w:tcPr>
            <w:tcW w:w="6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of Directors</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Board of Directors Chair</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r>
      <w:tr>
        <w:trPr>
          <w:trHeight w:val="36"/>
        </w:trPr>
        <w:tc>
          <w:tcPr>
            <w:tcW w:w="6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Committee Chair</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Audit Committee Member</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36"/>
        </w:trPr>
        <w:tc>
          <w:tcPr>
            <w:tcW w:w="6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Committee Chair</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36"/>
        </w:trPr>
        <w:tc>
          <w:tcPr>
            <w:tcW w:w="6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Nominating and Corporate Governance Committee Chair</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bl>
    <w:p>
      <w:pPr>
        <w:spacing w:after="0" w:line="18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each non-employee elected or appointed to our board of directors following the closing of the Business Combination will be granted a one-time stock option award to purchase a number of shares of Common Stock equal to 0.8% of the total shares outstanding on the date of such director’s election or appointment to the board of directors,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0.4% of the total shares outstanding, which will vest in full of the earlier to occur of the first anniversary of the date of grant or the next annual meeting, subject to continued service as a director through such vesting date.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7" w:name="page188"/>
    <w:bookmarkEnd w:id="18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 AFTER THE BUSINESS COMBINATION</w:t>
      </w:r>
    </w:p>
    <w:p>
      <w:pPr>
        <w:spacing w:after="0" w:line="198"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i w:val="1"/>
          <w:iCs w:val="1"/>
          <w:color w:val="auto"/>
        </w:rPr>
        <w:t>Unless the context otherwise requires, references in this subsection to “we”, “us” and “our” generally refer to FS Development in the present tense or the Combined Entity from and after the Business Combination</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Management and Board of Directors</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following persons are expected to serve as executive officers and directors following the Business Combination. For biographical information concerning the Gemini executive officers and Gemini designees to the board of directors, see “</w:t>
      </w:r>
      <w:r>
        <w:rPr>
          <w:rFonts w:ascii="Times New Roman" w:cs="Times New Roman" w:eastAsia="Times New Roman" w:hAnsi="Times New Roman"/>
          <w:sz w:val="16"/>
          <w:szCs w:val="16"/>
          <w:i w:val="1"/>
          <w:iCs w:val="1"/>
          <w:color w:val="auto"/>
        </w:rPr>
        <w:t>Executive Officers and Directors of Gemini</w:t>
      </w:r>
      <w:r>
        <w:rPr>
          <w:rFonts w:ascii="Times New Roman" w:cs="Times New Roman" w:eastAsia="Times New Roman" w:hAnsi="Times New Roman"/>
          <w:sz w:val="16"/>
          <w:szCs w:val="16"/>
          <w:color w:val="auto"/>
        </w:rPr>
        <w:t>.” For biographical information concerning the FS Development designee to the board of directors see “</w:t>
      </w:r>
      <w:r>
        <w:rPr>
          <w:rFonts w:ascii="Times New Roman" w:cs="Times New Roman" w:eastAsia="Times New Roman" w:hAnsi="Times New Roman"/>
          <w:sz w:val="16"/>
          <w:szCs w:val="16"/>
          <w:i w:val="1"/>
          <w:iCs w:val="1"/>
          <w:color w:val="auto"/>
        </w:rPr>
        <w:t>Executive Officers and Directors of FS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Development</w:t>
      </w:r>
      <w:r>
        <w:rPr>
          <w:rFonts w:ascii="Times New Roman" w:cs="Times New Roman" w:eastAsia="Times New Roman" w:hAnsi="Times New Roman"/>
          <w:sz w:val="16"/>
          <w:szCs w:val="16"/>
          <w:color w:val="auto"/>
        </w:rPr>
        <w:t>.”</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3900" w:type="dxa"/>
            <w:vAlign w:val="bottom"/>
          </w:tcPr>
          <w:p>
            <w:pPr>
              <w:ind w:left="17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211"/>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Meyenburg</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tcBorders>
              <w:bottom w:val="single" w:sz="8" w:color="CCEEFF"/>
            </w:tcBorders>
            <w:shd w:val="clear" w:color="auto" w:fill="CCEEFF"/>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15"/>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Gregg Beloff</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6"/>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00" w:type="dxa"/>
            <w:vAlign w:val="bottom"/>
          </w:tcPr>
          <w:p>
            <w:pPr>
              <w:spacing w:after="0"/>
              <w:rPr>
                <w:sz w:val="3"/>
                <w:szCs w:val="3"/>
                <w:color w:val="auto"/>
              </w:rPr>
            </w:pPr>
          </w:p>
        </w:tc>
      </w:tr>
      <w:tr>
        <w:trPr>
          <w:trHeight w:val="231"/>
        </w:trPr>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Lauder,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215"/>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 Uknis, M.D.</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36"/>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00" w:type="dxa"/>
            <w:vAlign w:val="bottom"/>
          </w:tcPr>
          <w:p>
            <w:pPr>
              <w:spacing w:after="0"/>
              <w:rPr>
                <w:sz w:val="3"/>
                <w:szCs w:val="3"/>
                <w:color w:val="auto"/>
              </w:rPr>
            </w:pPr>
          </w:p>
        </w:tc>
      </w:tr>
      <w:tr>
        <w:trPr>
          <w:trHeight w:val="251"/>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Jean George</w:t>
            </w:r>
            <w:r>
              <w:rPr>
                <w:rFonts w:ascii="Times New Roman" w:cs="Times New Roman" w:eastAsia="Times New Roman" w:hAnsi="Times New Roman"/>
                <w:sz w:val="18"/>
                <w:szCs w:val="18"/>
                <w:color w:val="auto"/>
                <w:vertAlign w:val="superscript"/>
              </w:rPr>
              <w:t>(1)</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8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5"/>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Carl Gordon, Ph.D., CFA</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36"/>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00" w:type="dxa"/>
            <w:vAlign w:val="bottom"/>
          </w:tcPr>
          <w:p>
            <w:pPr>
              <w:spacing w:after="0"/>
              <w:rPr>
                <w:sz w:val="3"/>
                <w:szCs w:val="3"/>
                <w:color w:val="auto"/>
              </w:rPr>
            </w:pPr>
          </w:p>
        </w:tc>
      </w:tr>
      <w:tr>
        <w:trPr>
          <w:trHeight w:val="251"/>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Lubner</w:t>
            </w:r>
            <w:r>
              <w:rPr>
                <w:rFonts w:ascii="Times New Roman" w:cs="Times New Roman" w:eastAsia="Times New Roman" w:hAnsi="Times New Roman"/>
                <w:sz w:val="18"/>
                <w:szCs w:val="18"/>
                <w:color w:val="auto"/>
                <w:vertAlign w:val="superscript"/>
              </w:rPr>
              <w:t>(1)</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8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51"/>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Tuyen Ong, M.D., MRCOphth</w:t>
            </w:r>
            <w:r>
              <w:rPr>
                <w:rFonts w:ascii="Times New Roman" w:cs="Times New Roman" w:eastAsia="Times New Roman" w:hAnsi="Times New Roman"/>
                <w:sz w:val="18"/>
                <w:szCs w:val="18"/>
                <w:color w:val="auto"/>
                <w:vertAlign w:val="superscript"/>
              </w:rPr>
              <w:t>(1)</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51"/>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Rhodes</w:t>
            </w:r>
            <w:r>
              <w:rPr>
                <w:rFonts w:ascii="Times New Roman" w:cs="Times New Roman" w:eastAsia="Times New Roman" w:hAnsi="Times New Roman"/>
                <w:sz w:val="18"/>
                <w:szCs w:val="18"/>
                <w:color w:val="auto"/>
                <w:vertAlign w:val="superscript"/>
              </w:rPr>
              <w:t>(1)</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8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59"/>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Jim Tananbaum</w:t>
            </w:r>
            <w:r>
              <w:rPr>
                <w:rFonts w:ascii="Times New Roman" w:cs="Times New Roman" w:eastAsia="Times New Roman" w:hAnsi="Times New Roman"/>
                <w:sz w:val="18"/>
                <w:szCs w:val="18"/>
                <w:color w:val="auto"/>
                <w:vertAlign w:val="superscript"/>
              </w:rPr>
              <w:t>(2)</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8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ind w:left="1300" w:hanging="381"/>
        <w:spacing w:after="0"/>
        <w:tabs>
          <w:tab w:leader="none" w:pos="13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Gemini Designee</w:t>
      </w:r>
    </w:p>
    <w:p>
      <w:pPr>
        <w:spacing w:after="0" w:line="24" w:lineRule="exact"/>
        <w:rPr>
          <w:rFonts w:ascii="Times New Roman" w:cs="Times New Roman" w:eastAsia="Times New Roman" w:hAnsi="Times New Roman"/>
          <w:sz w:val="14"/>
          <w:szCs w:val="14"/>
          <w:color w:val="auto"/>
        </w:rPr>
      </w:pPr>
    </w:p>
    <w:p>
      <w:pPr>
        <w:ind w:left="1300" w:hanging="381"/>
        <w:spacing w:after="0"/>
        <w:tabs>
          <w:tab w:leader="none" w:pos="13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Development Designee</w:t>
      </w:r>
    </w:p>
    <w:p>
      <w:pPr>
        <w:spacing w:after="0" w:line="1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Classified Board of Directors</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Combined Entity’s board of directors will consist of seven members upon the closing of the Business Combination.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78" w:lineRule="exact"/>
        <w:rPr>
          <w:sz w:val="20"/>
          <w:szCs w:val="20"/>
          <w:color w:val="auto"/>
        </w:rPr>
      </w:pPr>
    </w:p>
    <w:p>
      <w:pPr>
        <w:ind w:left="1680" w:right="939" w:hanging="379"/>
        <w:spacing w:after="0" w:line="280" w:lineRule="auto"/>
        <w:tabs>
          <w:tab w:leader="none" w:pos="172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will be Jean George and Dr. Carl Gordon their terms will expire at the annual meeting of stockholders to be held in 2021;</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will be David Lubner, Dr. Tuyen Ong, and Jason Rhodes, and their terms will expire at the annual meeting of stockholders to be held in 2022; and</w:t>
      </w:r>
    </w:p>
    <w:p>
      <w:pPr>
        <w:spacing w:after="0" w:line="60"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9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will be Jason Meyenburg and Dr. Jim Tananbaum, and their terms will expire at the annual meeting of stockholders to be held in 2023.</w:t>
      </w:r>
    </w:p>
    <w:p>
      <w:pPr>
        <w:spacing w:after="0" w:line="8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The Combined Entity’s board of directors will have the authority to appoint committees to perform certain management and administration functions. FS Development’s current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Gemini’s website at </w:t>
      </w:r>
      <w:r>
        <w:rPr>
          <w:rFonts w:ascii="Times New Roman" w:cs="Times New Roman" w:eastAsia="Times New Roman" w:hAnsi="Times New Roman"/>
          <w:sz w:val="16"/>
          <w:szCs w:val="16"/>
          <w:i w:val="1"/>
          <w:iCs w:val="1"/>
          <w:color w:val="auto"/>
        </w:rPr>
        <w:t>www.geminitherapeutics.com</w:t>
      </w:r>
      <w:r>
        <w:rPr>
          <w:rFonts w:ascii="Times New Roman" w:cs="Times New Roman" w:eastAsia="Times New Roman" w:hAnsi="Times New Roman"/>
          <w:sz w:val="16"/>
          <w:szCs w:val="16"/>
          <w:color w:val="auto"/>
        </w:rPr>
        <w:t>. Information contained on or accessible through Gemini’s website is not a part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proxy statement/prospectus, and the inclusion of such website address in this proxy statement/prospectus is an inactive textual reference only.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8" w:name="page189"/>
    <w:bookmarkEnd w:id="18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3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Combined Entity’s audit committee is expected to consist of Dr. Carl Gordon, David Lubner and Jason Rhodes. The Board has determined each proposed member of the audit committee is independent under the listing standards of the Nasdaq Stock Market, or the Listing Standards, and Rule 10A-3(b)(1) of the Exchange Act. The chairperson of the audit committee is expected to be David Lubner. The Board has determined that David Lubner is an “audit committee financial expert” within the meaning of SEC regulations. The Board has also determined that each member of the proposed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0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96" w:lineRule="exact"/>
        <w:rPr>
          <w:sz w:val="20"/>
          <w:szCs w:val="20"/>
          <w:color w:val="auto"/>
        </w:rPr>
      </w:pPr>
    </w:p>
    <w:p>
      <w:pPr>
        <w:ind w:left="1680" w:right="939" w:hanging="379"/>
        <w:spacing w:after="0" w:line="280" w:lineRule="auto"/>
        <w:tabs>
          <w:tab w:leader="none" w:pos="172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 qualified firm to serve as the independent registered public accounting firm to audit the Combined Entity’s financial statements;</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71"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helping to ensure the independence and performance of the independent registered public accounting firm;</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684"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scope and results of the audit with the independent registered public accounting firm, and reviewing, with management and the independent accountants, our interim and year-end operating results;</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71"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procedures for employees to submit concerns anonymously about questionable accounting or audit matters;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policies on risk assessment and risk management;</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related party transactions;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827"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the Combined Entity’s internal quality-control procedures, any material issues with such procedures, and any steps taken to deal with such issues when required by applicable law; and</w:t>
      </w:r>
    </w:p>
    <w:p>
      <w:pPr>
        <w:spacing w:after="0" w:line="90"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03"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(or, as permitted, pre-approving) all audit and all permissible non-audit service to be performed by the independent registered public accounting firm.</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43"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The compensation committee is expected to consist of Jean George, Dr. Tuyen Ong, and Dr. Jim Tananbaum. The Board has determined each proposed member is a “non-employee director” as defined in Rule 16b-3 promulgated under the Exchange Act and an “outside director” as that term is defined in Section 162(m) of the Internal Revenue Code of 1986, as amended, or the Code. The Board has determined each proposed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expected to be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Specific responsibilities of the compensation committee will include:</w:t>
      </w:r>
    </w:p>
    <w:p>
      <w:pPr>
        <w:spacing w:after="0" w:line="127" w:lineRule="exact"/>
        <w:rPr>
          <w:sz w:val="20"/>
          <w:szCs w:val="20"/>
          <w:color w:val="auto"/>
        </w:rPr>
      </w:pPr>
    </w:p>
    <w:p>
      <w:pPr>
        <w:ind w:left="1680" w:right="939" w:hanging="379"/>
        <w:spacing w:after="0" w:line="280" w:lineRule="auto"/>
        <w:tabs>
          <w:tab w:leader="none" w:pos="1732"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that our board of directors approve, the compensation of our executive officers;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our board of directors the compensation of our directors;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9" w:name="page190"/>
    <w:bookmarkEnd w:id="18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right="939" w:hanging="379"/>
        <w:spacing w:after="0" w:line="280" w:lineRule="auto"/>
        <w:tabs>
          <w:tab w:leader="none" w:pos="186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that our board of directors approve, the terms of compensatory arrangements with our executive officers;</w:t>
      </w:r>
    </w:p>
    <w:p>
      <w:pPr>
        <w:spacing w:after="0" w:line="4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stock and equity incentive plans;</w:t>
      </w:r>
    </w:p>
    <w:p>
      <w:pPr>
        <w:spacing w:after="0" w:line="10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79"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independent compensation consultants and assessing whether there are any conflicts of interest with any of the committee’s compensation advisors;</w:t>
      </w:r>
    </w:p>
    <w:p>
      <w:pPr>
        <w:spacing w:after="0" w:line="48" w:lineRule="exact"/>
        <w:rPr>
          <w:rFonts w:ascii="Times New Roman" w:cs="Times New Roman" w:eastAsia="Times New Roman" w:hAnsi="Times New Roman"/>
          <w:sz w:val="16"/>
          <w:szCs w:val="16"/>
          <w:color w:val="auto"/>
        </w:rPr>
      </w:pPr>
    </w:p>
    <w:p>
      <w:pPr>
        <w:jc w:val="both"/>
        <w:ind w:left="1680" w:right="939" w:hanging="379"/>
        <w:spacing w:after="0" w:line="290" w:lineRule="auto"/>
        <w:tabs>
          <w:tab w:leader="none" w:pos="1959"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43" w:lineRule="exact"/>
        <w:rPr>
          <w:rFonts w:ascii="Times New Roman" w:cs="Times New Roman" w:eastAsia="Times New Roman" w:hAnsi="Times New Roman"/>
          <w:sz w:val="15"/>
          <w:szCs w:val="15"/>
          <w:color w:val="auto"/>
        </w:rPr>
      </w:pPr>
    </w:p>
    <w:p>
      <w:pPr>
        <w:ind w:left="1680" w:right="939" w:hanging="379"/>
        <w:spacing w:after="0" w:line="280" w:lineRule="auto"/>
        <w:tabs>
          <w:tab w:leader="none" w:pos="1684"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general policies relating to compensation and benefits of our employees; and</w:t>
      </w:r>
    </w:p>
    <w:p>
      <w:pPr>
        <w:spacing w:after="0" w:line="4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overall compensation philosophy.</w:t>
      </w:r>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Our nominating and corporate governance committee is expected to consist of Jean George, Jason Rhodes and Dr. Jim Tananbaum. The Board has determined each proposed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 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expected to be Jean George.</w:t>
      </w:r>
    </w:p>
    <w:p>
      <w:pPr>
        <w:spacing w:after="0" w:line="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Specific responsibilities of our nominating and corporate governance committee include:</w:t>
      </w:r>
    </w:p>
    <w:p>
      <w:pPr>
        <w:spacing w:after="0" w:line="127" w:lineRule="exact"/>
        <w:rPr>
          <w:sz w:val="20"/>
          <w:szCs w:val="20"/>
          <w:color w:val="auto"/>
        </w:rPr>
      </w:pPr>
    </w:p>
    <w:p>
      <w:pPr>
        <w:ind w:left="1680" w:right="939" w:hanging="379"/>
        <w:spacing w:after="0" w:line="280" w:lineRule="auto"/>
        <w:tabs>
          <w:tab w:leader="none" w:pos="1911"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evaluating and selecting, or recommending that our board of directors approve, nominees for election to our board of directors;</w:t>
      </w:r>
    </w:p>
    <w:p>
      <w:pPr>
        <w:spacing w:after="0" w:line="60"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our board of directors and of individual directors;</w:t>
      </w:r>
    </w:p>
    <w:p>
      <w:pPr>
        <w:spacing w:after="0" w:line="11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developments in corporate governance practices;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adequacy of our corporate governance practices and reporting;</w:t>
      </w:r>
    </w:p>
    <w:p>
      <w:pPr>
        <w:spacing w:after="0" w:line="11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management succession plans; and</w:t>
      </w:r>
    </w:p>
    <w:p>
      <w:pPr>
        <w:spacing w:after="0" w:line="11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08"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making recommendations to our board of directors regarding corporate governance guidelines and matters.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The Combined Entity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Gemini’s website at </w:t>
      </w:r>
      <w:r>
        <w:rPr>
          <w:rFonts w:ascii="Times New Roman" w:cs="Times New Roman" w:eastAsia="Times New Roman" w:hAnsi="Times New Roman"/>
          <w:sz w:val="16"/>
          <w:szCs w:val="16"/>
          <w:i w:val="1"/>
          <w:iCs w:val="1"/>
          <w:color w:val="auto"/>
        </w:rPr>
        <w:t>www.geminitherapeutics.com</w:t>
      </w:r>
      <w:r>
        <w:rPr>
          <w:rFonts w:ascii="Times New Roman" w:cs="Times New Roman" w:eastAsia="Times New Roman" w:hAnsi="Times New Roman"/>
          <w:sz w:val="16"/>
          <w:szCs w:val="16"/>
          <w:color w:val="auto"/>
        </w:rPr>
        <w:t>. Information contained on or accessible through such website is not a part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proxy statement/prospectus, and the inclusion of the website address in this proxy statement/prospectus is an inactive textual reference only. The Combined Entity intends to disclose any amendments to the Code of Business Conduct and Ethics, or any waivers of its requirements, on its website to the extent required by the applicable rules and exchange requirements.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No member of the Combined Entity’s compensation committee has ever been an officer or employee of either company. None of the Combined Entity’s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0" w:name="page191"/>
    <w:bookmarkEnd w:id="19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SELECTED FINANCIAL AND OTHER DATA OF GEMINI</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following tables summarize Gemini’s financial and other data. Gemini has derived the selected statements of operations data for the years ended December 31, 2018 and 2019 and the selected balance sheet data as of December 31, 2019 from its audited financial statements included elsewhere in this proxy statement/prospectus. The selected statements of operations data for the six months ended September 30, 2019 and 2020 and the selected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08"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You should read this data together with Gemini’s financial statements and related notes included elsewhere in this proxy statement/prospectus and the section titled “</w:t>
      </w:r>
      <w:r>
        <w:rPr>
          <w:rFonts w:ascii="Times New Roman" w:cs="Times New Roman" w:eastAsia="Times New Roman" w:hAnsi="Times New Roman"/>
          <w:sz w:val="16"/>
          <w:szCs w:val="16"/>
          <w:i w:val="1"/>
          <w:iCs w:val="1"/>
          <w:color w:val="auto"/>
        </w:rPr>
        <w:t>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Condition and Results of Operations of Gemini</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Statements of Operations and Comprehensive Loss Data:</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6"/>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14,651</w:t>
            </w:r>
          </w:p>
        </w:tc>
        <w:tc>
          <w:tcPr>
            <w:tcW w:w="220" w:type="dxa"/>
            <w:vAlign w:val="bottom"/>
            <w:gridSpan w:val="3"/>
          </w:tcPr>
          <w:p>
            <w:pPr>
              <w:jc w:val="center"/>
              <w:ind w:lef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26,673</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20,472</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41,225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24,246</w:t>
            </w:r>
          </w:p>
        </w:tc>
        <w:tc>
          <w:tcPr>
            <w:tcW w:w="0" w:type="dxa"/>
            <w:vAlign w:val="bottom"/>
          </w:tcPr>
          <w:p>
            <w:pPr>
              <w:spacing w:after="0"/>
              <w:rPr>
                <w:sz w:val="1"/>
                <w:szCs w:val="1"/>
                <w:color w:val="auto"/>
              </w:rPr>
            </w:pPr>
          </w:p>
        </w:tc>
      </w:tr>
      <w:tr>
        <w:trPr>
          <w:trHeight w:val="24"/>
        </w:trPr>
        <w:tc>
          <w:tcPr>
            <w:tcW w:w="3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3"/>
        </w:trPr>
        <w:tc>
          <w:tcPr>
            <w:tcW w:w="3360" w:type="dxa"/>
            <w:vAlign w:val="bottom"/>
            <w:gridSpan w:val="2"/>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80" w:type="dxa"/>
            <w:vAlign w:val="bottom"/>
            <w:vMerge w:val="continue"/>
          </w:tcPr>
          <w:p>
            <w:pPr>
              <w:spacing w:after="0"/>
              <w:rPr>
                <w:sz w:val="22"/>
                <w:szCs w:val="22"/>
                <w:color w:val="auto"/>
              </w:rPr>
            </w:pPr>
          </w:p>
        </w:tc>
        <w:tc>
          <w:tcPr>
            <w:tcW w:w="120" w:type="dxa"/>
            <w:vAlign w:val="bottom"/>
            <w:gridSpan w:val="2"/>
          </w:tcPr>
          <w:p>
            <w:pPr>
              <w:spacing w:after="0"/>
              <w:rPr>
                <w:sz w:val="22"/>
                <w:szCs w:val="22"/>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(41,400</w:t>
            </w:r>
          </w:p>
        </w:tc>
        <w:tc>
          <w:tcPr>
            <w:tcW w:w="120" w:type="dxa"/>
            <w:vAlign w:val="bottom"/>
            <w:vMerge w:val="continue"/>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(31,733</w:t>
            </w:r>
          </w:p>
        </w:tc>
        <w:tc>
          <w:tcPr>
            <w:tcW w:w="80" w:type="dxa"/>
            <w:vAlign w:val="bottom"/>
            <w:vMerge w:val="continue"/>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20" w:type="dxa"/>
            <w:vAlign w:val="bottom"/>
            <w:gridSpan w:val="3"/>
          </w:tcPr>
          <w:p>
            <w:pPr>
              <w:jc w:val="center"/>
              <w:ind w:left="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3"/>
              </w:rPr>
              <w:t>(8.01)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4,811,641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5,171,537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5,133,773</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5,507,900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Statements of Balance Sheet Data:</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4"/>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18,528</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 carrying value</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 and discount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7,411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16,576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4"/>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60,365</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(71,984)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36"/>
        </w:trPr>
        <w:tc>
          <w:tcPr>
            <w:tcW w:w="3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5"/>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(70,797)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(88,727)</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1"/>
              </w:rPr>
              <w:t>181</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191" w:name="page192"/>
    <w:bookmarkEnd w:id="19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 CONDITION AND RESULTS OF</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OPERATIONS OF GEMINI</w:t>
      </w:r>
    </w:p>
    <w:p>
      <w:pPr>
        <w:spacing w:after="0" w:line="108"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Gemini’s financial condition and results of operations should be read in conjunction with its financial statements and related notes that appear elsewhere in this proxy statement/prospectus.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w:t>
      </w:r>
      <w:r>
        <w:rPr>
          <w:rFonts w:ascii="Times New Roman" w:cs="Times New Roman" w:eastAsia="Times New Roman" w:hAnsi="Times New Roman"/>
          <w:sz w:val="16"/>
          <w:szCs w:val="16"/>
          <w:color w:val="auto"/>
        </w:rPr>
        <w:t>Cautionary Note Regarding Forward-Looking Statements</w:t>
      </w:r>
      <w:r>
        <w:rPr>
          <w:rFonts w:ascii="Times New Roman" w:cs="Times New Roman" w:eastAsia="Times New Roman" w:hAnsi="Times New Roman"/>
          <w:sz w:val="16"/>
          <w:szCs w:val="16"/>
          <w:i w:val="1"/>
          <w:iCs w:val="1"/>
          <w:color w:val="auto"/>
        </w:rPr>
        <w:t>” included elsewhere in this proxy statement/prospectus.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8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is seeking to complete a merger with FS Development, which would result in FS Development acquiring 100% of the Company’s issued and outstanding securities. Together with FS Development’s cash resources, additional funding for Gemini’s operations would be provided through a Private Investment in Public Equity (“PIPE”) offering to be completed concurrently with the merger. In the event a merger is not consummated, Gemini may be required to obtain additional funding whether through future collaboration agreements, private or public offerings, debt or a combination thereof and such additional funding may not be available on terms Gemini finds acceptable or favorable. There is inherent uncertainty associated with these fundraising activities and they are not considered probable. If Gemini is unable to obtain sufficient capital to continue to advance its programs, Gemini would be forced to delay, reduce or eliminate its research and development programs and any future commercialization efforts. Accordingly, substantial doubt is deemed to exist about Gemini’s ability to continue as a going concern within 12 months following the date its audited financial statements for December 31, 2019 were issued.</w:t>
      </w:r>
    </w:p>
    <w:p>
      <w:pPr>
        <w:spacing w:after="0" w:line="84"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9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September 30, 2020, Gemini had received gross proceeds of $76.0 million from the sale of its preferred stock, gross proceeds of $16.9 million from borrowings under convertible promissory notes and $10.0 million from its term loan facility with Silicon Valley Bank, or SVB.</w:t>
      </w:r>
    </w:p>
    <w:p>
      <w:pPr>
        <w:spacing w:after="0" w:line="8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$31.7 million and $26.5 million for the nine months ended September 30, 2019 and 2020, respectively. As of December 31, 2019 and September 30, 2020, Gemini had an accumulated deficit of $72.0 million and $98.5 million, respectively. Gemini expects that its expenses and capital requirements will increase substantially in connection with its ongoing development activities, particularly if and as it:</w:t>
      </w:r>
    </w:p>
    <w:p>
      <w:pPr>
        <w:spacing w:after="0" w:line="86" w:lineRule="exact"/>
        <w:rPr>
          <w:sz w:val="20"/>
          <w:szCs w:val="20"/>
          <w:color w:val="auto"/>
        </w:rPr>
      </w:pPr>
    </w:p>
    <w:p>
      <w:pPr>
        <w:ind w:left="1680" w:right="939" w:hanging="379"/>
        <w:spacing w:after="0" w:line="280" w:lineRule="auto"/>
        <w:tabs>
          <w:tab w:leader="none" w:pos="1696"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continues preclinical studies and continues existing and initiates new clinical trials for GEM103, its lead product candidate being tested in AMD;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2" w:name="page193"/>
    <w:bookmarkEnd w:id="19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65" w:lineRule="auto"/>
        <w:tabs>
          <w:tab w:leader="none" w:pos="1744"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advances the development of its product candidate pipeline of other product candidates, including through business development efforts to invest in or in-license other technologies or product candidates;</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maintains, expands and protects its intellectual property portfolio;</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96"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hires additional clinical, quality control, medical, scientific and other technical personnel to support Gemini’s clinical operations;</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seeks regulatory approvals for any product candidates that successfully complete clinical trials;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87"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undertakes any pre-commercialization activities to establish sales, marketing and distribution capabilities for any product candidates for which Gemini may receive regulatory approval;</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expands its infrastructure and facilities to accommodate its growing employee base; and</w:t>
      </w:r>
    </w:p>
    <w:p>
      <w:pPr>
        <w:spacing w:after="0" w:line="126"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672"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Furthermore, upon the Closing, Gemini expects to incur additional costs associated with operating as a public company, including significant legal, accounting, investor relations and other expenses that it did not incur as a private company.</w:t>
      </w:r>
    </w:p>
    <w:p>
      <w:pPr>
        <w:spacing w:after="0" w:line="96"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10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 xml:space="preserve">Gemini has incurred significant operating losses since its inception and as of September 30, 2020, had an accumulated deficit of $98.5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its cash resources will not be sufficient to allow Gemini to fund current planned operations beyond the next twelve months from the date of this proxy statement/prospectus without additional capital. Gemini believes, however, that the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Times New Roman" w:cs="Times New Roman" w:eastAsia="Times New Roman" w:hAnsi="Times New Roman"/>
          <w:sz w:val="16"/>
          <w:szCs w:val="16"/>
          <w:i w:val="1"/>
          <w:iCs w:val="1"/>
          <w:color w:val="auto"/>
        </w:rPr>
        <w:t>Liquidity and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resources</w:t>
      </w:r>
      <w:r>
        <w:rPr>
          <w:rFonts w:ascii="Times New Roman" w:cs="Times New Roman" w:eastAsia="Times New Roman" w:hAnsi="Times New Roman"/>
          <w:sz w:val="16"/>
          <w:szCs w:val="16"/>
          <w:color w:val="auto"/>
        </w:rPr>
        <w:t>.” Gemini’s future viability beyond that point is dependent on its ability to raise additional capital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finance its operations.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93" w:name="page194"/>
    <w:bookmarkEnd w:id="19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COVID-19 pandemic</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Convertible promissory notes</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Gemini and FS Development.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Proposed Business Combination Transaction</w:t>
      </w:r>
    </w:p>
    <w:p>
      <w:pPr>
        <w:spacing w:after="0" w:line="141"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On October 15, 2020, FS Development executed a definitive merger agreement among it, Merger Sub, Gemini and the Shareholders Representative. As a result of the proposed Business Combination, FS Development will be renamed to Gemini Therapeutics, Inc., or the Combined Entity, and Gemini will become a wholly-owned subsidiary of the Combined Entity. In connection with the Business Combination, the stockholders of Gemini will exchange their interests in Gemini for shares of FS Development Class A Common Stock. In addition, Gemini’s existing equity incentive plan will be terminated; awards issued under Gemini’s existing equity incentive plan will be exchanged for awards issued under a new equity incentive plan to be adopted by the Combined Entity. Lastly, in connection with the Business Combination, certain investors have agreed to subscribe for and purchase an aggregate of $95,060,000 of FS Development Class A Common Stock. The Combined Entity is expected to receive net proceeds of approximately $191.2 million at the Closing (assuming no redemptions are effected by stockholders of FS Development) and will continue to operate under the Gemini management team, led by chief executive officer Jason Meyenburg. The boards of directors of both FS Development and Gemini have approved the proposed transaction. Completion of the transaction, which is expected by the first quarter of 2021, is subject to approval of FS Development stockholders and the satisfaction or waiver of certain other customary closing conditions.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Components of Gemini’s Operating Results</w:t>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4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4" w:name="page195"/>
    <w:bookmarkEnd w:id="19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Research and development expenses consist primarily of costs incurred for research activities, including drug discovery efforts and the development of Gemini’s product candidates. Gemini expenses research and development costs as incurred, which include:</w:t>
      </w:r>
    </w:p>
    <w:p>
      <w:pPr>
        <w:spacing w:after="0" w:line="96" w:lineRule="exact"/>
        <w:rPr>
          <w:sz w:val="20"/>
          <w:szCs w:val="20"/>
          <w:color w:val="auto"/>
        </w:rPr>
      </w:pPr>
    </w:p>
    <w:p>
      <w:pPr>
        <w:ind w:left="1680" w:right="939" w:hanging="379"/>
        <w:spacing w:after="0" w:line="280" w:lineRule="auto"/>
        <w:tabs>
          <w:tab w:leader="none" w:pos="173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to conduct the necessary preclinical studies and clinical trials required to obtain regulatory approval;</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91"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73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10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39"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made in cash or equity securities under third-party licensing, acquisition and option agreements;</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79"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and benefits, travel and stock-based compensation expense for employees engaged in research and development functions;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compliance with regulatory requirements;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allocated facilities-related costs, depreciation and other expenses, which include rent and utilities.</w:t>
      </w:r>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12" w:lineRule="exact"/>
        <w:rPr>
          <w:sz w:val="20"/>
          <w:szCs w:val="20"/>
          <w:color w:val="auto"/>
        </w:rPr>
      </w:pPr>
    </w:p>
    <w:p>
      <w:pPr>
        <w:jc w:val="both"/>
        <w:ind w:left="920" w:right="939"/>
        <w:spacing w:after="0" w:line="272" w:lineRule="auto"/>
        <w:rPr>
          <w:sz w:val="20"/>
          <w:szCs w:val="20"/>
          <w:color w:val="auto"/>
        </w:rPr>
      </w:pPr>
      <w:r>
        <w:rPr>
          <w:rFonts w:ascii="Times New Roman" w:cs="Times New Roman" w:eastAsia="Times New Roman" w:hAnsi="Times New Roman"/>
          <w:sz w:val="15"/>
          <w:szCs w:val="15"/>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9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5" w:name="page196"/>
    <w:bookmarkEnd w:id="19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06" w:lineRule="exact"/>
        <w:rPr>
          <w:sz w:val="20"/>
          <w:szCs w:val="20"/>
          <w:color w:val="auto"/>
        </w:rPr>
      </w:pPr>
    </w:p>
    <w:p>
      <w:pPr>
        <w:ind w:left="1680" w:right="939" w:hanging="379"/>
        <w:spacing w:after="0" w:line="280" w:lineRule="auto"/>
        <w:tabs>
          <w:tab w:leader="none" w:pos="1744"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outcome and costs of its preclinical development activities, clinical trials and other research and development activities;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 appropriate safety and efficacy profile with IND enabling studies;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patient enrollment in and the initiation and completion of clinical trials;</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0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receipt and terms of any marketing approvals from applicable regulatory authorities including the FDA and non-U.S. regulators;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8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of any required post-marketing approval commitments to applicable regulatory authorities;</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684"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clinical and commercial manufacturing capabilities or making arrangements with third-party manufacturers in order to ensure that it or its third-party manufacturers are able to make product successfully;</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84"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and timely delivery of clinical-grade and commercial-grade drug formulations that can be used in its clinical trials and for commercial launch;</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maintaining, defending and enforcing patent claims and other intellectual property rights;</w:t>
      </w:r>
    </w:p>
    <w:p>
      <w:pPr>
        <w:spacing w:after="0" w:line="138" w:lineRule="exact"/>
        <w:rPr>
          <w:rFonts w:ascii="Times New Roman" w:cs="Times New Roman" w:eastAsia="Times New Roman" w:hAnsi="Times New Roman"/>
          <w:sz w:val="15"/>
          <w:szCs w:val="15"/>
          <w:color w:val="auto"/>
        </w:rPr>
      </w:pPr>
    </w:p>
    <w:p>
      <w:pPr>
        <w:ind w:left="1680" w:hanging="379"/>
        <w:spacing w:after="0"/>
        <w:tabs>
          <w:tab w:leader="none" w:pos="168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and changing government regulation;</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67"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commercial sales of its product candidates, if and when approved, whether alone or in collaboration with others; and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67"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continued acceptable safety profile of its product candidates following approval, if any, of its product candidates.</w:t>
      </w:r>
    </w:p>
    <w:p>
      <w:pPr>
        <w:spacing w:after="0" w:line="7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6" w:name="page197"/>
    <w:bookmarkEnd w:id="19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Interest expense consists of interest accrued on Gemini’s term loan entered into on February 8, 2019 and its convertible notes entered into on August 21, 2020.</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Interest income consists of income earned on its cash, cash equivalents and restricted cash.</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Change in fair value of warrant liability</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4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96"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September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7" w:name="page198"/>
    <w:bookmarkEnd w:id="19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nine months ended September 30, 2019 and 2020</w:t>
      </w:r>
    </w:p>
    <w:p>
      <w:pPr>
        <w:spacing w:after="0" w:line="13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table summarizes Gemini’s results of operations for the nine months ended September 30, 2019 and 2020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2"/>
        </w:trPr>
        <w:tc>
          <w:tcPr>
            <w:tcW w:w="38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26,673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8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(6,201)</w:t>
            </w: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07"/>
        </w:trPr>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vMerge w:val="continue"/>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(31,733</w:t>
            </w:r>
          </w:p>
        </w:tc>
        <w:tc>
          <w:tcPr>
            <w:tcW w:w="120" w:type="dxa"/>
            <w:vAlign w:val="bottom"/>
            <w:vMerge w:val="continue"/>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Research and development expenses were $26.7 million for the nine months ended September 30, 2019, compared to $20.5 million for the nine months ended September 30, 2020. The decrease of $6.2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General and administrative expenses were $5.0 million for the nine months ended September 30, 2019, compared to $3.8 million for the nine months ended September 30, 2020. The decrease of $1.2 million was primarily because of a reduction in employee headcount period over period and related expenses such as travel and benefits due to the impact of COVID-19.</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Interest expense was $0.2 million for the nine months ended September 30, 2019, compared to $2.3 million for the nine months ended September 30, 2020. The increase of $2.1 million is primarily due to the interest expense recognized on the $14.0 million Notes, which includes $1.8 million from the accretion of the beneficial conversion feature discount recognized on the issuance date of the Notes.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Interest income was $0.2 million for the nine months ended September 30, 2019, compared to less than $0.1 million for the nine months ended September 30, 2020. The decrease in interest income primarily relates to lower cash balances during the nine months ended September 30, 2020 compared to the same period in the prior year.</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Change in fair value of warrant liability</w:t>
      </w:r>
    </w:p>
    <w:p>
      <w:pPr>
        <w:spacing w:after="0" w:line="139" w:lineRule="exact"/>
        <w:rPr>
          <w:sz w:val="20"/>
          <w:szCs w:val="20"/>
          <w:color w:val="auto"/>
        </w:rPr>
      </w:pPr>
    </w:p>
    <w:p>
      <w:pPr>
        <w:jc w:val="both"/>
        <w:ind w:left="920" w:right="939"/>
        <w:spacing w:after="0" w:line="283" w:lineRule="auto"/>
        <w:rPr>
          <w:sz w:val="20"/>
          <w:szCs w:val="20"/>
          <w:color w:val="auto"/>
        </w:rPr>
      </w:pPr>
      <w:r>
        <w:rPr>
          <w:rFonts w:ascii="Times New Roman" w:cs="Times New Roman" w:eastAsia="Times New Roman" w:hAnsi="Times New Roman"/>
          <w:sz w:val="16"/>
          <w:szCs w:val="16"/>
          <w:color w:val="auto"/>
        </w:rPr>
        <w:t xml:space="preserve">The change in fair value of warrant liability reflects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reduction of the fair value of the Series A preferred stock warrant.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8" w:name="page199"/>
    <w:bookmarkEnd w:id="19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2018 and 2019</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following table summarizes Gemini’s results of operations for the years ended December 31, 2018 and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2019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2"/>
        </w:trPr>
        <w:tc>
          <w:tcPr>
            <w:tcW w:w="38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14,651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34,472</w:t>
            </w:r>
          </w:p>
        </w:tc>
        <w:tc>
          <w:tcPr>
            <w:tcW w:w="8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(21,034)</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3"/>
        </w:trPr>
        <w:tc>
          <w:tcPr>
            <w:tcW w:w="38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120" w:type="dxa"/>
            <w:vAlign w:val="bottom"/>
            <w:vMerge w:val="continue"/>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(41,400</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(21,233</w:t>
            </w:r>
          </w:p>
        </w:tc>
        <w:tc>
          <w:tcPr>
            <w:tcW w:w="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Interest expense was zero for the year ended December 31, 2018, compared to $0.4 million for the year ended December 31, 2019. The increase was due to the new term loan entered into in February 2019.</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Change in fair value of derivative liabilities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change in fair value of warrant liability was zero for the year ended December 31, 2018, compared to less than $0.1 million for the year ended December 31, 2019. The warrants were issued in February 2019.</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9" w:name="page200"/>
    <w:bookmarkEnd w:id="19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 and capital</w:t>
      </w:r>
    </w:p>
    <w:p>
      <w:pPr>
        <w:spacing w:after="0" w:line="13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September 30, 2020, Gemini had received gross cash proceeds of $76.0 million from sales of its preferred stock, gross cash proceeds of $16.9 million from borrowings under convertible promissory notes and $10.0 million of cash proceeds from its term loan with SVB.</w:t>
      </w:r>
    </w:p>
    <w:p>
      <w:pPr>
        <w:spacing w:after="0" w:line="10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As of September 30, 2020, Gemini had cash and cash equivalents of $13.2 million. Gemini has incurred operating losses and experienced negative operating cash flows since inception, and it anticipates that it will continue to incur losses for at least the foreseeable future. Its net losses totaled $31.7 million and $26.5 million for the nine months ended September 30, 2019 and 2020, respectively. Its net losses totaled $20.2 million and $41.4 million for the years ended December 31, 2018 and 2019, respectively. As of September 30, 2020, Gemini had an accumulated deficit of $98.5 million.</w:t>
      </w:r>
    </w:p>
    <w:p>
      <w:pPr>
        <w:spacing w:after="0" w:line="10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following table summarizes Gemini’s cash flows for each of the periods presented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42"/>
        </w:trPr>
        <w:tc>
          <w:tcPr>
            <w:tcW w:w="2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01"/>
        </w:trPr>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r>
      <w:tr>
        <w:trPr>
          <w:trHeight w:val="42"/>
        </w:trPr>
        <w:tc>
          <w:tcPr>
            <w:tcW w:w="2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11"/>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(38,530)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(27,175)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(23,855)</w:t>
            </w:r>
          </w:p>
        </w:tc>
      </w:tr>
      <w:tr>
        <w:trPr>
          <w:trHeight w:val="215"/>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36"/>
        </w:trPr>
        <w:tc>
          <w:tcPr>
            <w:tcW w:w="2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55"/>
        </w:trPr>
        <w:tc>
          <w:tcPr>
            <w:tcW w:w="2900" w:type="dxa"/>
            <w:vAlign w:val="bottom"/>
          </w:tcPr>
          <w:p>
            <w:pPr>
              <w:ind w:left="160"/>
              <w:spacing w:after="0" w:line="155" w:lineRule="exact"/>
              <w:rPr>
                <w:sz w:val="20"/>
                <w:szCs w:val="20"/>
                <w:color w:val="auto"/>
              </w:rPr>
            </w:pPr>
            <w:r>
              <w:rPr>
                <w:rFonts w:ascii="Times New Roman" w:cs="Times New Roman" w:eastAsia="Times New Roman" w:hAnsi="Times New Roman"/>
                <w:sz w:val="16"/>
                <w:szCs w:val="16"/>
                <w:color w:val="auto"/>
              </w:rPr>
              <w:t>Net increase (decrease) in cash, cash</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6"/>
        </w:trPr>
        <w:tc>
          <w:tcPr>
            <w:tcW w:w="2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equivalents and restricted cash</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11,728</w:t>
            </w:r>
          </w:p>
        </w:tc>
        <w:tc>
          <w:tcPr>
            <w:tcW w:w="14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(15,542)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(7,750)</w:t>
            </w:r>
          </w:p>
        </w:tc>
        <w:tc>
          <w:tcPr>
            <w:tcW w:w="80" w:type="dxa"/>
            <w:vAlign w:val="bottom"/>
          </w:tcPr>
          <w:p>
            <w:pPr>
              <w:spacing w:after="0"/>
              <w:rPr>
                <w:sz w:val="19"/>
                <w:szCs w:val="19"/>
                <w:color w:val="auto"/>
              </w:rPr>
            </w:pP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nine months ended September 30, 2019, Gemini used cash in operating activities of $27.2 million, primarily resulting from its net loss of $31.7 million, partially offset by increases in accounts payable and accrued expenses and other liabilities.</w:t>
      </w:r>
    </w:p>
    <w:p>
      <w:pPr>
        <w:spacing w:after="0" w:line="8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nine months ended September 30, 2020, Gemini used cash in operating activities of $23.9 million, primarily resulting from its net loss of $26.5 million and a decrease in accounts payable, partially offset by a decrease in prepaid expenses and other assets.</w:t>
      </w:r>
    </w:p>
    <w:p>
      <w:pPr>
        <w:spacing w:after="0" w:line="9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Changes in accounts payable and accrued expenses in all periods were generally due to growth in its business, the advancement of its product candidates, and the timing of vendor invoicing and payments.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0" w:name="page201"/>
    <w:bookmarkEnd w:id="20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2018, Gemini used cash in investing activities of $0.4 million, consisting primarily of purchases of laboratory equipment.</w:t>
      </w:r>
    </w:p>
    <w:p>
      <w:pPr>
        <w:spacing w:after="0" w:line="8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2019, Gemini used cash in investing activities of $0.2 million, consisting primarily of purchases of laboratory equipment.</w:t>
      </w:r>
    </w:p>
    <w:p>
      <w:pPr>
        <w:spacing w:after="0" w:line="8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During the nine months ended September 30, 2019, Gemini used cash in investing activities of $0.2 million, consisting primarily of purchases of laboratory equipment.</w:t>
      </w:r>
    </w:p>
    <w:p>
      <w:pPr>
        <w:spacing w:after="0" w:line="7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During the nine months ended September 30, 2020, Gemini used cash in investing activities of less than $0.1 million, consisting of purchases of laboratory equipment.</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2018, net cash provided by financing activities was $30.5 million, consisting primarily of proceeds from the issuance of Gemini’s Series A preferred stock.</w:t>
      </w:r>
    </w:p>
    <w:p>
      <w:pPr>
        <w:spacing w:after="0" w:line="8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8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nine months ended September 30, 2019, net cash provided by financing activities was $19.6 million, consisting primarily of $12.2 million of proceeds from the issuance of Gemini’s Series B preferred stock and $7.5 million of gross proceeds from its term loan.</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nine months ended September 30, 2020, net cash provided by financing activities was $34.1 million, consisting primarily of $20.1 million of proceeds from the issuance of Gemini’s Series B preferred stock and $14.0 million of proceeds from the issuance of its convertible promissory notes.</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Funding requirements</w:t>
      </w:r>
    </w:p>
    <w:p>
      <w:pPr>
        <w:spacing w:after="0" w:line="143" w:lineRule="exact"/>
        <w:rPr>
          <w:sz w:val="20"/>
          <w:szCs w:val="20"/>
          <w:color w:val="auto"/>
        </w:rPr>
      </w:pPr>
    </w:p>
    <w:p>
      <w:pPr>
        <w:jc w:val="both"/>
        <w:ind w:left="920" w:right="939"/>
        <w:spacing w:after="0" w:line="290" w:lineRule="auto"/>
        <w:rPr>
          <w:sz w:val="20"/>
          <w:szCs w:val="20"/>
          <w:color w:val="auto"/>
        </w:rPr>
      </w:pPr>
      <w:r>
        <w:rPr>
          <w:rFonts w:ascii="Times New Roman" w:cs="Times New Roman" w:eastAsia="Times New Roman" w:hAnsi="Times New Roman"/>
          <w:sz w:val="15"/>
          <w:szCs w:val="15"/>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68"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Gemini expects its expenses to increase substantially in connection with its ongoing activities, particularly as it advances the preclinical activities and clinical trials of its product candidates. In addition, upon the Closing and concurrent PIPE Investment,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102" w:lineRule="exact"/>
        <w:rPr>
          <w:sz w:val="20"/>
          <w:szCs w:val="20"/>
          <w:color w:val="auto"/>
        </w:rPr>
      </w:pPr>
    </w:p>
    <w:p>
      <w:pPr>
        <w:ind w:left="1680" w:right="939" w:hanging="379"/>
        <w:spacing w:after="0" w:line="280" w:lineRule="auto"/>
        <w:tabs>
          <w:tab w:leader="none" w:pos="188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preclinical development of its early-stage programs and clinical trials of its product candidates;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2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manufacture, or have manufactured on its behalf, its preclinical and clinical drug material and develop processes for late stage and commercial manufacturing;</w:t>
      </w:r>
    </w:p>
    <w:p>
      <w:pPr>
        <w:spacing w:after="0" w:line="72"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91"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 sales, marketing, medical affairs and distribution infrastructure to commercialize any product candidates for which it may obtain marketing approval and intend to commercialize on its own;</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additional clinical, quality control and scientific personnel;</w:t>
      </w:r>
    </w:p>
    <w:p>
      <w:pPr>
        <w:spacing w:after="0" w:line="126"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99"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1" w:name="page202"/>
    <w:bookmarkEnd w:id="20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hanging="379"/>
        <w:spacing w:after="0"/>
        <w:tabs>
          <w:tab w:leader="none" w:pos="168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expand and protect its intellectual property portfolio;</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947"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the costs of preparing, filing and prosecuting patent applications, maintaining and protecting its intellectual property rights, including enforcing and defending intellectual property related claims; and</w:t>
      </w:r>
    </w:p>
    <w:p>
      <w:pPr>
        <w:spacing w:after="0" w:line="95"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the costs of operating as a public company.</w:t>
      </w:r>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13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 has incurred significant operating losses since its inception and, as of September 30, 2020, had an accumulated deficit of $98.5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 Management believes that its existing cash resources will not be sufficient to allow it to fund current planned operations beyond the next twelve months from the date of this proxy statement/prospectus without additional capital, This evaluation does not take into consideration the effect of potential mitigating plans of management that have not been fully implemented as of the date of this proxy statement/prospectus.</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is seeking to complete a proposed business combination transaction with FS Development and the PIPE Investment, described above and Note 16, Subsequent Events, to its financial statements included elsewhere in this proxy statement/prospectus. The completion of the proposed Business Combination is conditioned on the satisfaction of certain closing conditions. Upon the completion of the proposed Business Combination transaction, the stockholders of Gemini will exchange their equity interests in Gemini, which include the conversion prior to the Closing of the principal and interest of the outstanding Notes into Series B Preferred Stock at a per share conversion price of $1.3513, for shares of FS Development Class A Common Stock. In connection with the Business Combination, certain investors have agreed to subscribe for and purchase an aggregate of $95,060,000 of FS Development Class A Common Stock in the PIPE Investment. The Combined Company is expected to receive net proceeds of approximately $191.2 million at the closing of the transaction (assuming no redemptions are affected by stockholders of FS Development). The Combined Entity may also pursue additional cash resources through public or private equity or debt financings.</w:t>
      </w:r>
    </w:p>
    <w:p>
      <w:pPr>
        <w:spacing w:after="0" w:line="10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94"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107"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For additional information on risks associated with Gemini’s substantial capital requirements, please read the section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included elsewhere in this proxy statement/prospectus.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02" w:name="page203"/>
    <w:bookmarkEnd w:id="20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Working capital</w:t>
      </w:r>
    </w:p>
    <w:p>
      <w:pPr>
        <w:spacing w:after="0" w:line="13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02" w:lineRule="exact"/>
        <w:rPr>
          <w:sz w:val="20"/>
          <w:szCs w:val="20"/>
          <w:color w:val="auto"/>
        </w:rPr>
      </w:pPr>
    </w:p>
    <w:p>
      <w:pPr>
        <w:ind w:left="1680" w:right="939" w:hanging="379"/>
        <w:spacing w:after="0" w:line="280" w:lineRule="auto"/>
        <w:tabs>
          <w:tab w:leader="none" w:pos="180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researching and developing its product candidates, and conducting preclinical and clinical trials;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its product candidates;</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8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ability to manufacture its product candidates to supply its clinical and preclinical development efforts and its clinical trials;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96"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future activities, including product sales, medical affairs, marketing, manufacturing and distribution, for any of its product candidates for which it receives marketing approval;</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94"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manufacturing commercial-grade product and necessary inventory to support commercial launch;</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6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receive additional non-dilutive funding, including grants from organizations and foundations;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86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received from commercial sale of its products, should any of its product candidates receive marketing approval;</w:t>
      </w:r>
    </w:p>
    <w:p>
      <w:pPr>
        <w:spacing w:after="0" w:line="84" w:lineRule="exact"/>
        <w:rPr>
          <w:rFonts w:ascii="Times New Roman" w:cs="Times New Roman" w:eastAsia="Times New Roman" w:hAnsi="Times New Roman"/>
          <w:sz w:val="16"/>
          <w:szCs w:val="16"/>
          <w:color w:val="auto"/>
        </w:rPr>
      </w:pPr>
    </w:p>
    <w:p>
      <w:pPr>
        <w:ind w:left="1680" w:right="939" w:hanging="379"/>
        <w:spacing w:after="0" w:line="315" w:lineRule="auto"/>
        <w:tabs>
          <w:tab w:leader="none" w:pos="1696"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preparing, filing and prosecuting patent applications, obtaining, maintaining, expanding and enforcing its intellectual property rights and defending intellectual property-related claims;</w:t>
      </w:r>
    </w:p>
    <w:p>
      <w:pPr>
        <w:spacing w:after="0" w:line="49" w:lineRule="exact"/>
        <w:rPr>
          <w:rFonts w:ascii="Times New Roman" w:cs="Times New Roman" w:eastAsia="Times New Roman" w:hAnsi="Times New Roman"/>
          <w:sz w:val="15"/>
          <w:szCs w:val="15"/>
          <w:color w:val="auto"/>
        </w:rPr>
      </w:pPr>
    </w:p>
    <w:p>
      <w:pPr>
        <w:ind w:left="1680" w:hanging="379"/>
        <w:spacing w:after="0"/>
        <w:tabs>
          <w:tab w:leader="none" w:pos="16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ability to establish and maintain collaborations on favorable terms, if at all; and</w:t>
      </w:r>
    </w:p>
    <w:p>
      <w:pPr>
        <w:spacing w:after="0" w:line="138"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it acquires or in-licenses other product candidates and technologies.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41"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table summarizes Gemini’s contractual obligations as of September 30, 2020 and the effects that such obligations are expected to have on Gemini’s liquidity and cash flows in future periods (</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16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4 to 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88"/>
        </w:trPr>
        <w:tc>
          <w:tcPr>
            <w:tcW w:w="2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42"/>
        </w:trPr>
        <w:tc>
          <w:tcPr>
            <w:tcW w:w="20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11"/>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obligations</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r>
      <w:tr>
        <w:trPr>
          <w:trHeight w:val="215"/>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(ii)</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951</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1,733</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r>
      <w:tr>
        <w:trPr>
          <w:trHeight w:val="36"/>
        </w:trPr>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1"/>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fee obligations</w:t>
            </w:r>
          </w:p>
        </w:tc>
        <w:tc>
          <w:tcPr>
            <w:tcW w:w="7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(iv)</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r>
      <w:tr>
        <w:trPr>
          <w:trHeight w:val="24"/>
        </w:trPr>
        <w:tc>
          <w:tcPr>
            <w:tcW w:w="20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28,184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jc w:val="both"/>
        <w:ind w:left="1300" w:right="939" w:hanging="381"/>
        <w:spacing w:after="0" w:line="269" w:lineRule="auto"/>
        <w:tabs>
          <w:tab w:leader="none" w:pos="1292"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Gemini has borrowed $10.0 million under its term loan facility with SVB. The term loan matures on January 1, 2023 and accrues interest at a floating rate per annum equal to the greater of 3.75% or the prime rate minus 1.5%. In addition, Gemini issued $14.0 million of convertible promissory notes that mature in February 2021. Gemini accrues simple interest at 8% per annum.</w:t>
      </w:r>
    </w:p>
    <w:p>
      <w:pPr>
        <w:spacing w:after="0" w:line="1" w:lineRule="exact"/>
        <w:rPr>
          <w:rFonts w:ascii="Times New Roman" w:cs="Times New Roman" w:eastAsia="Times New Roman" w:hAnsi="Times New Roman"/>
          <w:sz w:val="14"/>
          <w:szCs w:val="14"/>
          <w:color w:val="auto"/>
        </w:rPr>
      </w:pPr>
    </w:p>
    <w:p>
      <w:pPr>
        <w:ind w:left="1280" w:hanging="361"/>
        <w:spacing w:after="0"/>
        <w:tabs>
          <w:tab w:leader="none" w:pos="128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Gemini has an operating lease agreement for its office and laboratory space.</w:t>
      </w:r>
    </w:p>
    <w:p>
      <w:pPr>
        <w:spacing w:after="0" w:line="18" w:lineRule="exact"/>
        <w:rPr>
          <w:rFonts w:ascii="Times New Roman" w:cs="Times New Roman" w:eastAsia="Times New Roman" w:hAnsi="Times New Roman"/>
          <w:sz w:val="14"/>
          <w:szCs w:val="14"/>
          <w:color w:val="auto"/>
        </w:rPr>
      </w:pPr>
    </w:p>
    <w:p>
      <w:pPr>
        <w:ind w:left="1300" w:right="939" w:hanging="381"/>
        <w:spacing w:after="0" w:line="267" w:lineRule="auto"/>
        <w:tabs>
          <w:tab w:leader="none" w:pos="1319"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Gemini is required to make license fee payments to its licensors. See Financial Statements, Note 13, Commitments and Contingencies for additional details regarding its payment obligations to these licensors</w:t>
      </w:r>
    </w:p>
    <w:p>
      <w:pPr>
        <w:ind w:left="1300" w:right="939" w:hanging="381"/>
        <w:spacing w:after="0" w:line="294" w:lineRule="auto"/>
        <w:tabs>
          <w:tab w:leader="none" w:pos="128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end of the SVB loan term, Gemini is required to pay a final end of term charge to SVB in the amount of 4.0% of the aggregate original principal amount borrowed.</w:t>
      </w:r>
    </w:p>
    <w:p>
      <w:pPr>
        <w:spacing w:after="0" w:line="7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3" w:name="page204"/>
    <w:bookmarkEnd w:id="20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Contract research and manufacturing organizations</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Gemini recorded accrued expenses of approximately $0.4 million and $1.2 million in its balance sheets for expenditures incurred by CROs and CMOs as of December 31, 2019 and September 30, 2020.</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Tax-related obligations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To date, Gemini has not recognized any reserves related to uncertain tax positions. As of December 31, 2019 and September 30, 2020, Gemini had no accrued interest or penalties related to uncertain tax positions.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Critical accounting policies and significant judgments and estimates</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97" w:lineRule="exact"/>
        <w:rPr>
          <w:sz w:val="20"/>
          <w:szCs w:val="20"/>
          <w:color w:val="auto"/>
        </w:rPr>
      </w:pPr>
    </w:p>
    <w:p>
      <w:pPr>
        <w:jc w:val="both"/>
        <w:ind w:left="920" w:right="939"/>
        <w:spacing w:after="0" w:line="290" w:lineRule="auto"/>
        <w:rPr>
          <w:sz w:val="20"/>
          <w:szCs w:val="20"/>
          <w:color w:val="auto"/>
        </w:rPr>
      </w:pPr>
      <w:r>
        <w:rPr>
          <w:rFonts w:ascii="Times New Roman" w:cs="Times New Roman" w:eastAsia="Times New Roman" w:hAnsi="Times New Roman"/>
          <w:sz w:val="15"/>
          <w:szCs w:val="15"/>
          <w:color w:val="auto"/>
        </w:rPr>
        <w:t>While Gemini’s significant accounting policies are described in more detail in Note 2 to Gemini’s financial statements appearing elsewhere in this proxy statement/prospectus, it believes that the following accounting policies are those most critical to the judgments and estimates used in the preparation of its financial statements.</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Accrued research and development expenses</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112" w:lineRule="exact"/>
        <w:rPr>
          <w:sz w:val="20"/>
          <w:szCs w:val="20"/>
          <w:color w:val="auto"/>
        </w:rPr>
      </w:pPr>
    </w:p>
    <w:p>
      <w:pPr>
        <w:ind w:left="1680" w:hanging="379"/>
        <w:spacing w:after="0"/>
        <w:tabs>
          <w:tab w:leader="none" w:pos="16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vendors, including research laboratories, in connection with preclinical development activities;</w:t>
      </w:r>
    </w:p>
    <w:p>
      <w:pPr>
        <w:spacing w:after="0" w:line="126"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 and investigative sites in connection with preclinical studies and clinical trials; and</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44"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CMOs in connection with drug substance and drug product formulation of preclinical studies and clinical trial materials.</w:t>
      </w:r>
    </w:p>
    <w:p>
      <w:pPr>
        <w:spacing w:after="0" w:line="8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4" w:name="page205"/>
    <w:bookmarkEnd w:id="20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3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measures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Gemini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Gemini estimates the probability that certain performance criteria will be met and does not recognize compensation expense until it is probable that the performance-based vesting condition will be achieved.</w:t>
      </w:r>
    </w:p>
    <w:p>
      <w:pPr>
        <w:spacing w:after="0" w:line="11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Gemini classifies stock-based compensation expense in its statements of operations in the same manner in which the award recipient’s payroll costs are classified or in which the award recipient’s service payments are classified.</w:t>
      </w:r>
    </w:p>
    <w:p>
      <w:pPr>
        <w:spacing w:after="0" w:line="9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Gemini estimates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Determination of the fair value of common stock</w:t>
      </w:r>
    </w:p>
    <w:p>
      <w:pPr>
        <w:spacing w:after="0" w:line="129"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 xml:space="preserve">As there has been no public market for Gemini’s common stock to date of this proxy statement/prospectus,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6"/>
          <w:szCs w:val="16"/>
          <w:i w:val="1"/>
          <w:iCs w:val="1"/>
          <w:color w:val="auto"/>
        </w:rPr>
        <w:t>Valuation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Privately-Held-Company Equity Securities Issued as Compensation</w:t>
      </w:r>
      <w:r>
        <w:rPr>
          <w:rFonts w:ascii="Times New Roman" w:cs="Times New Roman" w:eastAsia="Times New Roman" w:hAnsi="Times New Roman"/>
          <w:sz w:val="16"/>
          <w:szCs w:val="16"/>
          <w:color w:val="auto"/>
        </w:rPr>
        <w:t>. Gemini’s common stock valuations were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$0.55 per share as of January 21, 2020, and $1.66 per share as of September 20, 2020.</w:t>
      </w:r>
    </w:p>
    <w:p>
      <w:pPr>
        <w:spacing w:after="0" w:line="12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96" w:lineRule="exact"/>
        <w:rPr>
          <w:sz w:val="20"/>
          <w:szCs w:val="20"/>
          <w:color w:val="auto"/>
        </w:rPr>
      </w:pPr>
    </w:p>
    <w:p>
      <w:pPr>
        <w:ind w:left="1680" w:right="939" w:hanging="379"/>
        <w:spacing w:after="0" w:line="280" w:lineRule="auto"/>
        <w:tabs>
          <w:tab w:leader="none" w:pos="1696"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prices at which Gemini sold shares of preferred stock and the superior rights and preferences of the preferred stock relative to its common stock at the time of each grant;</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progress of its research and development programs, including the status and results of preclinical studies and clinical trials for its product candidates;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stage of development and commercialization and its business strategy;</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98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market conditions affecting the biopharmaceutical industry and trends within the biopharmaceutical industry;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5" w:name="page206"/>
    <w:bookmarkEnd w:id="20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right="939" w:hanging="379"/>
        <w:spacing w:after="0" w:line="280" w:lineRule="auto"/>
        <w:tabs>
          <w:tab w:leader="none" w:pos="1744"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financial position, including cash on hand, and its historical and forecasted performance and results of operations;</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an active public market for its common stock and its preferred stock;</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67"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likelihood of achieving a liquidity event, such as an initial public offering, or IPO, or sale of Gemini in light of prevailing market conditions; and</w:t>
      </w:r>
    </w:p>
    <w:p>
      <w:pPr>
        <w:spacing w:after="0" w:line="72"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91"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analysis of IPOs and the market performance of similar companies in the biopharmaceutical industry.</w:t>
      </w:r>
    </w:p>
    <w:p>
      <w:pPr>
        <w:spacing w:after="0" w:line="8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Once a public trading market for the Combined Entity’s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the Combined Entity’s common stock will be determined based on the quoted market price of its common stock.</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Awards granted</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following table sets forth by grant date the number of shares subject to options and restricted stock granted from January 1, 2018 through the date of this proxy statement/prospectus, the per share purchase prices and exercise prices, the fair value of common stock per share on each grant date, and the per share estimated fair value of the awards: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 fair</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options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80" w:type="dxa"/>
            <w:vAlign w:val="bottom"/>
          </w:tcPr>
          <w:p>
            <w:pPr>
              <w:spacing w:after="0"/>
              <w:rPr>
                <w:sz w:val="15"/>
                <w:szCs w:val="15"/>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79"/>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subject</w:t>
            </w:r>
          </w:p>
        </w:tc>
        <w:tc>
          <w:tcPr>
            <w:tcW w:w="40" w:type="dxa"/>
            <w:vAlign w:val="bottom"/>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restricted</w:t>
            </w:r>
          </w:p>
        </w:tc>
        <w:tc>
          <w:tcPr>
            <w:tcW w:w="40" w:type="dxa"/>
            <w:vAlign w:val="bottom"/>
          </w:tcPr>
          <w:p>
            <w:pPr>
              <w:spacing w:after="0"/>
              <w:rPr>
                <w:sz w:val="15"/>
                <w:szCs w:val="15"/>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on grant</w:t>
            </w:r>
          </w:p>
        </w:tc>
        <w:tc>
          <w:tcPr>
            <w:tcW w:w="8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value of award</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 award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on grant date</w:t>
            </w:r>
          </w:p>
        </w:tc>
      </w:tr>
      <w:tr>
        <w:trPr>
          <w:trHeight w:val="42"/>
        </w:trPr>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1"/>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28, 2018</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Restricted stock</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361,978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51"/>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August 28, 2018</w:t>
            </w:r>
            <w:r>
              <w:rPr>
                <w:rFonts w:ascii="Times New Roman" w:cs="Times New Roman" w:eastAsia="Times New Roman" w:hAnsi="Times New Roman"/>
                <w:sz w:val="18"/>
                <w:szCs w:val="18"/>
                <w:color w:val="auto"/>
                <w:vertAlign w:val="superscript"/>
              </w:rPr>
              <w:t>(1)</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5,723,737</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0.28</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51"/>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31, 2018</w:t>
            </w:r>
            <w:r>
              <w:rPr>
                <w:rFonts w:ascii="Times New Roman" w:cs="Times New Roman" w:eastAsia="Times New Roman" w:hAnsi="Times New Roman"/>
                <w:sz w:val="18"/>
                <w:szCs w:val="18"/>
                <w:color w:val="auto"/>
                <w:vertAlign w:val="superscript"/>
              </w:rPr>
              <w:t>(1)</w:t>
            </w:r>
          </w:p>
        </w:tc>
        <w:tc>
          <w:tcPr>
            <w:tcW w:w="12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731,695</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0.28</w:t>
            </w:r>
          </w:p>
        </w:tc>
        <w:tc>
          <w:tcPr>
            <w:tcW w:w="2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15"/>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December 14, 2018</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356,780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0.41</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1"/>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12, 2019</w:t>
            </w:r>
          </w:p>
        </w:tc>
        <w:tc>
          <w:tcPr>
            <w:tcW w:w="12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492,500</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0.41</w:t>
            </w:r>
          </w:p>
        </w:tc>
        <w:tc>
          <w:tcPr>
            <w:tcW w:w="20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15"/>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August 19, 2019</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411,865</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0.41</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1"/>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12, 2019</w:t>
            </w:r>
          </w:p>
        </w:tc>
        <w:tc>
          <w:tcPr>
            <w:tcW w:w="12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3,748,799</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0.47</w:t>
            </w:r>
          </w:p>
        </w:tc>
        <w:tc>
          <w:tcPr>
            <w:tcW w:w="20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51"/>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November 12, 2019</w:t>
            </w:r>
            <w:r>
              <w:rPr>
                <w:rFonts w:ascii="Times New Roman" w:cs="Times New Roman" w:eastAsia="Times New Roman" w:hAnsi="Times New Roman"/>
                <w:sz w:val="18"/>
                <w:szCs w:val="18"/>
                <w:color w:val="auto"/>
                <w:vertAlign w:val="superscript"/>
              </w:rPr>
              <w:t>(2)</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24,000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0.47</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r>
      <w:tr>
        <w:trPr>
          <w:trHeight w:val="231"/>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12, 2019</w:t>
            </w:r>
          </w:p>
        </w:tc>
        <w:tc>
          <w:tcPr>
            <w:tcW w:w="12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125,000</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0.47</w:t>
            </w:r>
          </w:p>
        </w:tc>
        <w:tc>
          <w:tcPr>
            <w:tcW w:w="20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15"/>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March 11, 2020</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1,182,200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0.55</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r>
    </w:tbl>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jc w:val="both"/>
        <w:ind w:left="1300" w:right="939" w:hanging="381"/>
        <w:spacing w:after="0" w:line="284" w:lineRule="auto"/>
        <w:tabs>
          <w:tab w:leader="none" w:pos="1369"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52" w:lineRule="exact"/>
        <w:rPr>
          <w:rFonts w:ascii="Times New Roman" w:cs="Times New Roman" w:eastAsia="Times New Roman" w:hAnsi="Times New Roman"/>
          <w:sz w:val="14"/>
          <w:szCs w:val="14"/>
          <w:color w:val="auto"/>
        </w:rPr>
      </w:pPr>
    </w:p>
    <w:p>
      <w:pPr>
        <w:ind w:left="1300" w:hanging="381"/>
        <w:spacing w:after="0"/>
        <w:tabs>
          <w:tab w:leader="none" w:pos="13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award was fully vested on the date of grant.</w:t>
      </w:r>
    </w:p>
    <w:p>
      <w:pPr>
        <w:spacing w:after="0" w:line="1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Gemini does not have during the periods presented, and it does not currently have, any off-balance sheet arrangements, as defined in the rules and regulations of the SEC.</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 description of recently issued accounting pronouncements that may potentially impact Gemini’s financial position and results of operations is disclosed in Note 2 to Gemini’s financial statements included elsewhere in this proxy statement/prospectus.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6" w:name="page207"/>
    <w:bookmarkEnd w:id="20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risks</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Gemini is exposed to market risk in the ordinary course of its business. These risks primarily relate to changes in interest rates.</w:t>
      </w:r>
    </w:p>
    <w:p>
      <w:pPr>
        <w:spacing w:after="0" w:line="8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3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Hypothetical Change in Interest Rates</w:t>
            </w:r>
            <w:r>
              <w:rPr>
                <w:rFonts w:ascii="Times New Roman" w:cs="Times New Roman" w:eastAsia="Times New Roman" w:hAnsi="Times New Roman"/>
                <w:sz w:val="16"/>
                <w:szCs w:val="16"/>
                <w:b w:val="1"/>
                <w:bCs w:val="1"/>
                <w:color w:val="auto"/>
                <w:vertAlign w:val="superscript"/>
              </w:rPr>
              <w:t>(i)</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Impact to Interest Expense</w:t>
            </w:r>
          </w:p>
        </w:tc>
      </w:tr>
      <w:tr>
        <w:trPr>
          <w:trHeight w:val="204"/>
        </w:trPr>
        <w:tc>
          <w:tcPr>
            <w:tcW w:w="350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1-percent increase</w:t>
            </w:r>
          </w:p>
        </w:tc>
        <w:tc>
          <w:tcPr>
            <w:tcW w:w="80" w:type="dxa"/>
            <w:vAlign w:val="bottom"/>
          </w:tcPr>
          <w:p>
            <w:pPr>
              <w:spacing w:after="0"/>
              <w:rPr>
                <w:sz w:val="17"/>
                <w:szCs w:val="17"/>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$100,000 increase</w:t>
            </w:r>
          </w:p>
        </w:tc>
      </w:tr>
      <w:tr>
        <w:trPr>
          <w:trHeight w:val="246"/>
        </w:trPr>
        <w:tc>
          <w:tcPr>
            <w:tcW w:w="35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1-percent decrease</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No Impact</w:t>
            </w:r>
          </w:p>
        </w:tc>
      </w:tr>
    </w:tbl>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300" w:right="939" w:hanging="381"/>
        <w:spacing w:after="0" w:line="304" w:lineRule="auto"/>
        <w:tabs>
          <w:tab w:leader="none" w:pos="1342"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Gemini pays a floating rate per annum equal to the greater of 3.75% or the prime rate minus 1.5%. See Note 6 to Gemini’s financial statements for further information.</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Emerging growth company and smaller reporting company status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Gemini is, and the post-combination company is expected to be,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1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Additionally, Gemini is, and the post-combination company is expected be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w:t>
      </w:r>
    </w:p>
    <w:p>
      <w:pPr>
        <w:spacing w:after="0" w:line="3" w:lineRule="exact"/>
        <w:rPr>
          <w:sz w:val="20"/>
          <w:szCs w:val="20"/>
          <w:color w:val="auto"/>
        </w:rPr>
      </w:pPr>
    </w:p>
    <w:p>
      <w:pPr>
        <w:ind w:left="920" w:right="939" w:hanging="1"/>
        <w:spacing w:after="0" w:line="258" w:lineRule="auto"/>
        <w:tabs>
          <w:tab w:leader="none" w:pos="115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Gemini’s annual revenues exceeded $100 million during such completed fiscal year and the market value of our common stock held by non-affiliates exceeds $700 million as of the prior June 30.</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07" w:name="page208"/>
    <w:bookmarkEnd w:id="20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SECURITIES AFTER THE BUSINESS COMBINATION</w:t>
      </w:r>
    </w:p>
    <w:p>
      <w:pPr>
        <w:spacing w:after="0" w:line="198"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i w:val="1"/>
          <w:iCs w:val="1"/>
          <w:color w:val="auto"/>
        </w:rPr>
        <w:t>As a result of the Business Combination, FS Development stockholders who receive shares of FS Development Class A Common Stock will become the stockholders of the Combined Entity. Your rights as the Combined Entity stockholders will be governed by Delaware law and the Proposed Charter and the Amended By-laws. The following description of the material terms of the Combined Entity’s securities reflects the anticipated state of affairs upon completion of the Business Combination.</w:t>
      </w:r>
    </w:p>
    <w:p>
      <w:pPr>
        <w:spacing w:after="0" w:line="9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In connection with the Business Combination, FS Development will amend and restate the Current Charter and the Current By-Laws. The following summary of the material terms the Combined Entity’s securities following the Business Combination is not intended to be a complete summary of the rights and preferences of such securities. The full text of the Proposed Charter and the Amended By-laws are attached as </w:t>
      </w:r>
      <w:r>
        <w:rPr>
          <w:rFonts w:ascii="Times New Roman" w:cs="Times New Roman" w:eastAsia="Times New Roman" w:hAnsi="Times New Roman"/>
          <w:sz w:val="16"/>
          <w:szCs w:val="16"/>
          <w:i w:val="1"/>
          <w:iCs w:val="1"/>
          <w:u w:val="single" w:color="auto"/>
          <w:color w:val="auto"/>
        </w:rPr>
        <w:t>Annex B</w:t>
      </w:r>
      <w:r>
        <w:rPr>
          <w:rFonts w:ascii="Times New Roman" w:cs="Times New Roman" w:eastAsia="Times New Roman" w:hAnsi="Times New Roman"/>
          <w:sz w:val="16"/>
          <w:szCs w:val="16"/>
          <w:i w:val="1"/>
          <w:iCs w:val="1"/>
          <w:color w:val="auto"/>
        </w:rPr>
        <w:t xml:space="preserve"> and </w:t>
      </w:r>
      <w:r>
        <w:rPr>
          <w:rFonts w:ascii="Times New Roman" w:cs="Times New Roman" w:eastAsia="Times New Roman" w:hAnsi="Times New Roman"/>
          <w:sz w:val="16"/>
          <w:szCs w:val="16"/>
          <w:i w:val="1"/>
          <w:iCs w:val="1"/>
          <w:u w:val="single" w:color="auto"/>
          <w:color w:val="auto"/>
        </w:rPr>
        <w:t>Annex C</w:t>
      </w:r>
      <w:r>
        <w:rPr>
          <w:rFonts w:ascii="Times New Roman" w:cs="Times New Roman" w:eastAsia="Times New Roman" w:hAnsi="Times New Roman"/>
          <w:sz w:val="16"/>
          <w:szCs w:val="16"/>
          <w:i w:val="1"/>
          <w:iCs w:val="1"/>
          <w:color w:val="auto"/>
        </w:rPr>
        <w:t>, respectively, to this proxy statement/prospectus. You are encouraged to read the applicable provisions of Delaware law, the Proposed Charter and the Amended By-laws in their entirety for a complete description of the rights and preferences of the Combined Entity securities following the Business Combination.</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Authorized and Outstanding Stock</w:t>
      </w:r>
    </w:p>
    <w:p>
      <w:pPr>
        <w:spacing w:after="0" w:line="143" w:lineRule="exact"/>
        <w:rPr>
          <w:sz w:val="20"/>
          <w:szCs w:val="20"/>
          <w:color w:val="auto"/>
        </w:rPr>
      </w:pPr>
    </w:p>
    <w:p>
      <w:pPr>
        <w:ind w:left="920"/>
        <w:spacing w:after="0"/>
        <w:tabs>
          <w:tab w:leader="none" w:pos="4680" w:val="left"/>
          <w:tab w:leader="none" w:pos="6400" w:val="left"/>
        </w:tabs>
        <w:rPr>
          <w:sz w:val="20"/>
          <w:szCs w:val="20"/>
          <w:color w:val="auto"/>
        </w:rPr>
      </w:pPr>
      <w:r>
        <w:rPr>
          <w:rFonts w:ascii="Times New Roman" w:cs="Times New Roman" w:eastAsia="Times New Roman" w:hAnsi="Times New Roman"/>
          <w:sz w:val="16"/>
          <w:szCs w:val="16"/>
          <w:color w:val="auto"/>
        </w:rPr>
        <w:t>The Proposed Charter authorizes the issuance of</w:t>
      </w:r>
      <w:r>
        <w:rPr>
          <w:sz w:val="20"/>
          <w:szCs w:val="20"/>
          <w:color w:val="auto"/>
        </w:rPr>
        <w:tab/>
      </w:r>
      <w:r>
        <w:rPr>
          <w:rFonts w:ascii="Times New Roman" w:cs="Times New Roman" w:eastAsia="Times New Roman" w:hAnsi="Times New Roman"/>
          <w:sz w:val="16"/>
          <w:szCs w:val="16"/>
          <w:color w:val="auto"/>
        </w:rPr>
        <w:t>shares, consisting of</w:t>
      </w:r>
      <w:r>
        <w:rPr>
          <w:sz w:val="20"/>
          <w:szCs w:val="20"/>
          <w:color w:val="auto"/>
        </w:rPr>
        <w:tab/>
      </w:r>
      <w:r>
        <w:rPr>
          <w:rFonts w:ascii="Times New Roman" w:cs="Times New Roman" w:eastAsia="Times New Roman" w:hAnsi="Times New Roman"/>
          <w:sz w:val="16"/>
          <w:szCs w:val="16"/>
          <w:color w:val="auto"/>
        </w:rPr>
        <w:t>shares of Common Stock,</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$0.0001 par value per share, and 10,000,000 shares of preferred stock, $0.0001 par value. As of the Record</w:t>
      </w:r>
    </w:p>
    <w:p>
      <w:pPr>
        <w:spacing w:after="0" w:line="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Date, there were shares of FS Development Class A Common Stock and shares of FS Development Class B Common Stock outstanding. In connection with the Business Combination and subject to the terms of the Current Charter, all shares of outstanding Class B Common Stock shall automatically be converted into shares of Class A Common Stock. No shares of preferred stock are currently outstanding.</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Proposed Charter, which FS Development will adopt if the Charter Amendment Proposal is approved, provides the following with respect to the rights, powers, preferences and privileges of the Common Stock.</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Voting Power</w:t>
      </w:r>
    </w:p>
    <w:p>
      <w:pPr>
        <w:spacing w:after="0" w:line="13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Except as otherwise required by law or as otherwise provided in any certificate of designation for any series of preferred stock, the holders of Common Stock possess all voting power for the election of the Combined Entity’s directors and all other matters requiring stockholder action. Holders of Common Stock are entitled to one vote per share on matters to be voted on by stockholders.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4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Holders of Common Stock will be entitled to receive such dividends, if any, as may be declared from time to time by the Combined Entity’s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Liquidation, Dissolution and Winding Up</w:t>
      </w:r>
    </w:p>
    <w:p>
      <w:pPr>
        <w:spacing w:after="0" w:line="14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 the event of the Combined Entity’s voluntary or involuntary liquidation, dissolution, distribution of assets or winding-up, the holders of the Common Stock will be entitled to receive an equal amount per share of all of the Combined Entity’s assets of whatever kind available for distribution to stockholders, after the rights of the holders of the preferred stock have been satisfied.</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Preemptive or Other Rights</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There are no sinking fund provisions applicable to the Common Stock.</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8" w:name="page209"/>
    <w:bookmarkEnd w:id="20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holders of the Founders Shares issued and outstanding on the date of this proxy statement/prospectus are entitled to registration rights pursuant to an agreement signed in connection with the FS Development IPO.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09" w:lineRule="exact"/>
        <w:rPr>
          <w:sz w:val="20"/>
          <w:szCs w:val="20"/>
          <w:color w:val="auto"/>
        </w:rPr>
      </w:pPr>
    </w:p>
    <w:p>
      <w:pPr>
        <w:jc w:val="both"/>
        <w:ind w:left="920" w:right="939"/>
        <w:spacing w:after="0" w:line="274" w:lineRule="auto"/>
        <w:rPr>
          <w:sz w:val="20"/>
          <w:szCs w:val="20"/>
          <w:color w:val="auto"/>
        </w:rPr>
      </w:pPr>
      <w:r>
        <w:rPr>
          <w:rFonts w:ascii="Times New Roman" w:cs="Times New Roman" w:eastAsia="Times New Roman" w:hAnsi="Times New Roman"/>
          <w:sz w:val="15"/>
          <w:szCs w:val="15"/>
          <w:color w:val="auto"/>
        </w:rPr>
        <w:t>Following the Business Combination, certain Gemini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additional rights to provide for registration of registrable securities on Form S-3 and any similar short-form registration statement that may be available at such time. See the section titled “</w:t>
      </w:r>
      <w:r>
        <w:rPr>
          <w:rFonts w:ascii="Times New Roman" w:cs="Times New Roman" w:eastAsia="Times New Roman" w:hAnsi="Times New Roman"/>
          <w:sz w:val="15"/>
          <w:szCs w:val="15"/>
          <w:i w:val="1"/>
          <w:iCs w:val="1"/>
          <w:color w:val="auto"/>
        </w:rPr>
        <w:t>The Business Combination Proposal — Ancillary Agreements.”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Proposed Charter and Amended By-laws</w:t>
      </w:r>
    </w:p>
    <w:p>
      <w:pPr>
        <w:spacing w:after="0" w:line="1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Among other things, the Proposed Charter and Amended By-laws will:</w:t>
      </w:r>
    </w:p>
    <w:p>
      <w:pPr>
        <w:spacing w:after="0" w:line="127" w:lineRule="exact"/>
        <w:rPr>
          <w:sz w:val="20"/>
          <w:szCs w:val="20"/>
          <w:color w:val="auto"/>
        </w:rPr>
      </w:pPr>
    </w:p>
    <w:p>
      <w:pPr>
        <w:jc w:val="both"/>
        <w:ind w:left="1680" w:right="939" w:hanging="379"/>
        <w:spacing w:after="0" w:line="265" w:lineRule="auto"/>
        <w:tabs>
          <w:tab w:leader="none" w:pos="1684"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the Combined Entity’s board of directors to issue up to 10,000,000 shares of preferred stock, with any rights, preferences and privileges as they may designate, including the right to approve an acquisition or other change of control;</w:t>
      </w:r>
    </w:p>
    <w:p>
      <w:pPr>
        <w:spacing w:after="0" w:line="95"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the authorized number of directors may be changed only by resolution of the Combined Entity’s board of directors;</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50" w:lineRule="auto"/>
        <w:tabs>
          <w:tab w:leader="none" w:pos="1684"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18"/>
          <w:szCs w:val="18"/>
          <w:color w:val="auto"/>
          <w:vertAlign w:val="superscript"/>
        </w:rPr>
        <w:t>2/3</w:t>
      </w:r>
      <w:r>
        <w:rPr>
          <w:rFonts w:ascii="Times New Roman" w:cs="Times New Roman" w:eastAsia="Times New Roman" w:hAnsi="Times New Roman"/>
          <w:sz w:val="16"/>
          <w:szCs w:val="16"/>
          <w:color w:val="auto"/>
        </w:rPr>
        <w:t>% of all of our then-outstanding shares of the capital stock entitled to vote generally at an election of directors;</w:t>
      </w:r>
    </w:p>
    <w:p>
      <w:pPr>
        <w:spacing w:after="0" w:line="9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696"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all vacancies, including newly created directorships, may, except as otherwise required by law, be filled by the affirmative vote of a majority of directors then in office, even if less than a quorum;</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90" w:lineRule="auto"/>
        <w:tabs>
          <w:tab w:leader="none" w:pos="1851"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79" w:lineRule="exact"/>
        <w:rPr>
          <w:rFonts w:ascii="Times New Roman" w:cs="Times New Roman" w:eastAsia="Times New Roman" w:hAnsi="Times New Roman"/>
          <w:sz w:val="15"/>
          <w:szCs w:val="15"/>
          <w:color w:val="auto"/>
        </w:rPr>
      </w:pPr>
    </w:p>
    <w:p>
      <w:pPr>
        <w:jc w:val="both"/>
        <w:ind w:left="1680" w:right="939" w:hanging="379"/>
        <w:spacing w:after="0" w:line="265" w:lineRule="auto"/>
        <w:tabs>
          <w:tab w:leader="none" w:pos="172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Special Meetings of the Combined Entity’s stockholders may be called the Combined Entity’s board of directors pursuant to a resolution adopted by a majority of the total number of authorized directors;</w:t>
      </w:r>
    </w:p>
    <w:p>
      <w:pPr>
        <w:spacing w:after="0" w:line="83"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96"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the Combined Entity’s board of directors will be divided into three classes of directors, with the classes to be as nearly equal as possible, and with the directors serving three-year terms (see the section titled “</w:t>
      </w:r>
      <w:r>
        <w:rPr>
          <w:rFonts w:ascii="Times New Roman" w:cs="Times New Roman" w:eastAsia="Times New Roman" w:hAnsi="Times New Roman"/>
          <w:sz w:val="16"/>
          <w:szCs w:val="16"/>
          <w:i w:val="1"/>
          <w:iCs w:val="1"/>
          <w:color w:val="auto"/>
        </w:rPr>
        <w:t>Management After the Business Combination</w:t>
      </w:r>
      <w:r>
        <w:rPr>
          <w:rFonts w:ascii="Times New Roman" w:cs="Times New Roman" w:eastAsia="Times New Roman" w:hAnsi="Times New Roman"/>
          <w:sz w:val="16"/>
          <w:szCs w:val="16"/>
          <w:color w:val="auto"/>
        </w:rPr>
        <w:t>”), therefore making it more difficult for stockholders to change the composition of our board of directors; and</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2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9" w:name="page210"/>
    <w:bookmarkEnd w:id="20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combination of these provisions will make it more difficult for the existing stockholders to replace the Combined Entity’s board of directors as well as for another party to obtain control of the Combined Entity by replacing the Combined Entity’s board of directors. Because the Combined Entity’s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Combined Entity’s board of directors to issue preferred stock with voting or other rights or preferences that could impede the success of any attempt to change our control.</w:t>
      </w:r>
    </w:p>
    <w:p>
      <w:pPr>
        <w:spacing w:after="0" w:line="10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These provisions are intended to enhance the likelihood of continued stability in the composition of the Combined Entity’s board of directors and its policies and to discourage coercive takeover practices and inadequate takeover bids. These provisions are also designed to reduce the Combined Entity’s vulnerability to hostile takeovers and to discourage certain tactics that may be used in proxy fights. However, such provisions could have the effect of discouraging others from making tender offers for the Combined Entity’s shares and may have the effect of delaying changes in our control or management. As a consequence, these provisions may also inhibit fluctuations in the market price of our stock.</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Delaware Anti-Takeover Law</w:t>
      </w:r>
    </w:p>
    <w:p>
      <w:pPr>
        <w:spacing w:after="0" w:line="14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Combined Entity will opt out of Section 203 of the Delaware General Corporation Law.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0" w:name="page211"/>
    <w:bookmarkEnd w:id="21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SHARES ELIGIBLE FOR FUTURE SALE</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Business Combination Shares</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FS Development will issue up to shares of Class A Common Stock to Gemini Equityholders in connection with the Business Combination. All of the shares of Class A Common Stock issued in connection with the Business Combination will be freely transferable by persons other than by FS Development’s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Lock-up Provisions</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Sponsor and certain existing Gemini stockholders, including all Gemini officers, directors and certain stockholders prior to the Closing, and their affiliates that hold Gemini securities, will be broadly prohibited from selling, pledging, transferring or otherwise disposing of their ownership interest in the Combined Entity’s common stock for a period 180 days after the Closing, subject to certain customary exceptions.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FS Development has agreed to give holders of certain restricted securities, including shares of Common Stock and the shares purchased in the PIPE Investment, registration rights to facilitate the resale of such restricted securities. Additional details of these rights can be found under the section titled “</w:t>
      </w:r>
      <w:r>
        <w:rPr>
          <w:rFonts w:ascii="Times New Roman" w:cs="Times New Roman" w:eastAsia="Times New Roman" w:hAnsi="Times New Roman"/>
          <w:sz w:val="16"/>
          <w:szCs w:val="16"/>
          <w:i w:val="1"/>
          <w:iCs w:val="1"/>
          <w:color w:val="auto"/>
        </w:rPr>
        <w:t>Description of Securities After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Business Combination — Registration Rights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Rule 144</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02" w:lineRule="exact"/>
        <w:rPr>
          <w:sz w:val="20"/>
          <w:szCs w:val="20"/>
          <w:color w:val="auto"/>
        </w:rPr>
      </w:pPr>
    </w:p>
    <w:p>
      <w:pPr>
        <w:ind w:left="1680" w:hanging="379"/>
        <w:spacing w:after="0"/>
        <w:tabs>
          <w:tab w:leader="none" w:pos="168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of the total shares of the Combined Entity’s common stock then outstanding; or</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55"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weekly reported trading volume of the Combined Entity’s Common Stock during the four calendar weeks preceding the filing of a notice on Form 144 with respect to the sale.</w:t>
      </w:r>
    </w:p>
    <w:p>
      <w:pPr>
        <w:spacing w:after="0" w:line="8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Sales by affiliates of FS Development under Rule 144 are also subject to certain requirements relating to manner of sale, notice and the availability of current public information about FS Development.</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Restrictions on the Use of Rule 144 by Shell Companies or Former Shell Companies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4" w:lineRule="exact"/>
        <w:rPr>
          <w:sz w:val="20"/>
          <w:szCs w:val="20"/>
          <w:color w:val="auto"/>
        </w:rPr>
      </w:pPr>
    </w:p>
    <w:p>
      <w:pPr>
        <w:ind w:left="1680" w:hanging="379"/>
        <w:spacing w:after="0"/>
        <w:tabs>
          <w:tab w:leader="none" w:pos="16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of the securities that was formerly a shell company has ceased to be a shell company;</w:t>
      </w:r>
    </w:p>
    <w:p>
      <w:pPr>
        <w:spacing w:after="0" w:line="138"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91"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of the securities is subject to the reporting requirements of Section 13 or 15(d) of the Exchange Act;</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44"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1" w:name="page212"/>
    <w:bookmarkEnd w:id="21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65" w:lineRule="auto"/>
        <w:tabs>
          <w:tab w:leader="none" w:pos="175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9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As of the date of this proxy statement/prospectus, there are 15,535,250 shares of Common Stock outstanding. Of these shares, the 12,075,000 shares issued in the FS Development IPO are freely tradable without restriction or further registration under the Securities Act, except for any shares purchased by one of our affiliates within the meaning of Rule 144 under the Securities Act. All of the remaining 3,460,250 shares owned collectively by the Sponsor, officers and directors are restricted securities under Rule 144, in that they were issued in private transactions not involving a public offering.</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Rule 701</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general, under Rule 701 of the Securities Act as currently in effect, each of Gemini’s employees, consultants or advisors who purchases equity shares from Gemini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2" w:name="page213"/>
    <w:bookmarkEnd w:id="21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COMPARISON OF STOCKHOLDER RIGHTS</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table below summarizes the material differences between the current rights of stockholders of FS Development under the Current Charter and Current By-laws and the rights of FS Development stockholders, post-Business Combination, under the Proposed Charter and Amended By-laws, which will be in effect immediately following the Closing.</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While FS Development believes that the summary tables cover the material differences between the rights of stockholders of FS Development prior to the Business Combination and the rights of FS Development stockholders following the Business Combination, these summary tables may not contain all of the information that is important to you. You should carefully read this entire proxy statement/prospectus and the other documents referred to in this proxy statement/prospectus for a more complete understanding of the differences between being a stockholder of FS Development before and after the Business Combination, Annex B, and Exhibits 3.1, 3.2 and 3.3 to the registration statement of which this proxy statement/prospectus forms a part and will send copies of the documents referred to in this proxy statement/prospectus to you upon your request. See the section titled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 in this proxy statement/prospectus.</w:t>
      </w:r>
    </w:p>
    <w:p>
      <w:pPr>
        <w:spacing w:after="0" w:line="125" w:lineRule="exact"/>
        <w:rPr>
          <w:sz w:val="20"/>
          <w:szCs w:val="20"/>
          <w:color w:val="auto"/>
        </w:rPr>
      </w:pPr>
    </w:p>
    <w:p>
      <w:pPr>
        <w:ind w:left="1260"/>
        <w:spacing w:after="0"/>
        <w:tabs>
          <w:tab w:leader="none" w:pos="4880" w:val="left"/>
        </w:tabs>
        <w:rPr>
          <w:sz w:val="20"/>
          <w:szCs w:val="20"/>
          <w:color w:val="auto"/>
        </w:rPr>
      </w:pPr>
      <w:r>
        <w:rPr>
          <w:rFonts w:ascii="Times New Roman" w:cs="Times New Roman" w:eastAsia="Times New Roman" w:hAnsi="Times New Roman"/>
          <w:sz w:val="14"/>
          <w:szCs w:val="14"/>
          <w:b w:val="1"/>
          <w:bCs w:val="1"/>
          <w:color w:val="auto"/>
        </w:rPr>
        <w:t>FS Development (Pre-Business Combination)</w:t>
      </w:r>
      <w:r>
        <w:rPr>
          <w:sz w:val="20"/>
          <w:szCs w:val="20"/>
          <w:color w:val="auto"/>
        </w:rPr>
        <w:tab/>
      </w:r>
      <w:r>
        <w:rPr>
          <w:rFonts w:ascii="Times New Roman" w:cs="Times New Roman" w:eastAsia="Times New Roman" w:hAnsi="Times New Roman"/>
          <w:sz w:val="12"/>
          <w:szCs w:val="12"/>
          <w:b w:val="1"/>
          <w:bCs w:val="1"/>
          <w:color w:val="auto"/>
        </w:rPr>
        <w:t>The Combined Entity (Post-Business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71120</wp:posOffset>
            </wp:positionV>
            <wp:extent cx="455295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pacing w:after="0" w:line="177" w:lineRule="exact"/>
        <w:rPr>
          <w:sz w:val="20"/>
          <w:szCs w:val="20"/>
          <w:color w:val="auto"/>
        </w:rPr>
      </w:pPr>
    </w:p>
    <w:p>
      <w:pPr>
        <w:jc w:val="both"/>
        <w:ind w:left="920" w:right="939"/>
        <w:spacing w:after="0" w:line="260" w:lineRule="auto"/>
        <w:rPr>
          <w:sz w:val="20"/>
          <w:szCs w:val="20"/>
          <w:color w:val="auto"/>
        </w:rPr>
      </w:pPr>
      <w:r>
        <w:rPr>
          <w:rFonts w:ascii="Times New Roman" w:cs="Times New Roman" w:eastAsia="Times New Roman" w:hAnsi="Times New Roman"/>
          <w:sz w:val="16"/>
          <w:szCs w:val="16"/>
          <w:color w:val="auto"/>
        </w:rPr>
        <w:t>FS Development is currently authorized to issue The Combined Entity will be authorized to issue shares 111,000,000 shares of capital stock, consisting of of capital stock, consisting of (i) 250,000,000 shares of</w:t>
      </w:r>
    </w:p>
    <w:p>
      <w:pPr>
        <w:ind w:left="920" w:right="939" w:hanging="1"/>
        <w:spacing w:after="0" w:line="249" w:lineRule="auto"/>
        <w:tabs>
          <w:tab w:leader="none" w:pos="1172"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110,000,000 shares of common stock, including common stock, and (iii) 10,000,000 shares of preferred 100,000,000 shares of Class A Common Stock and stock</w:t>
      </w: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10,000,000 shares of Class B Common Stock, and</w:t>
      </w:r>
    </w:p>
    <w:p>
      <w:pPr>
        <w:spacing w:after="0" w:line="7" w:lineRule="exact"/>
        <w:rPr>
          <w:rFonts w:ascii="Times New Roman" w:cs="Times New Roman" w:eastAsia="Times New Roman" w:hAnsi="Times New Roman"/>
          <w:sz w:val="16"/>
          <w:szCs w:val="16"/>
          <w:color w:val="auto"/>
        </w:rPr>
      </w:pPr>
    </w:p>
    <w:p>
      <w:pPr>
        <w:ind w:left="1140" w:hanging="221"/>
        <w:spacing w:after="0"/>
        <w:tabs>
          <w:tab w:leader="none" w:pos="114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1,000,000 shares of preferred stock.</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Rights of Preferred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The Board may fix for any series of preferred stock</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Combined Entity’s board of directors may fix for</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such voting powers, if any, designations, powers,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any class or series of preferred stock such voting</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preferences  and  relative,  participating,  optional,</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powers, full or limited, or no voting powers, and such</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special and other rights, if any, as may be stated in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designations,  preferences  and  relative,  participating,</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resolutions of the Board’s providing for the issuance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optional or other special rights and such qualifications,</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 such series.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limitations or restrictions thereof, as may be stated in</w:t>
            </w:r>
          </w:p>
        </w:tc>
      </w:tr>
      <w:tr>
        <w:trPr>
          <w:trHeight w:val="191"/>
        </w:trPr>
        <w:tc>
          <w:tcPr>
            <w:tcW w:w="3540" w:type="dxa"/>
            <w:vAlign w:val="bottom"/>
          </w:tcPr>
          <w:p>
            <w:pPr>
              <w:spacing w:after="0"/>
              <w:rPr>
                <w:sz w:val="16"/>
                <w:szCs w:val="16"/>
                <w:color w:val="auto"/>
              </w:rPr>
            </w:pP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resolutions of the Combined Entity’s board of</w:t>
            </w:r>
          </w:p>
        </w:tc>
      </w:tr>
      <w:tr>
        <w:trPr>
          <w:trHeight w:val="191"/>
        </w:trPr>
        <w:tc>
          <w:tcPr>
            <w:tcW w:w="3540" w:type="dxa"/>
            <w:vAlign w:val="bottom"/>
          </w:tcPr>
          <w:p>
            <w:pPr>
              <w:spacing w:after="0"/>
              <w:rPr>
                <w:sz w:val="16"/>
                <w:szCs w:val="16"/>
                <w:color w:val="auto"/>
              </w:rPr>
            </w:pP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resolutions providing for the issuance of such class or</w:t>
            </w:r>
          </w:p>
        </w:tc>
      </w:tr>
      <w:tr>
        <w:trPr>
          <w:trHeight w:val="208"/>
        </w:trPr>
        <w:tc>
          <w:tcPr>
            <w:tcW w:w="3540" w:type="dxa"/>
            <w:vAlign w:val="bottom"/>
          </w:tcPr>
          <w:p>
            <w:pPr>
              <w:spacing w:after="0"/>
              <w:rPr>
                <w:sz w:val="18"/>
                <w:szCs w:val="18"/>
                <w:color w:val="auto"/>
              </w:rPr>
            </w:pP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series.</w:t>
            </w:r>
          </w:p>
        </w:tc>
      </w:tr>
      <w:tr>
        <w:trPr>
          <w:trHeight w:val="376"/>
        </w:trPr>
        <w:tc>
          <w:tcPr>
            <w:tcW w:w="35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FS Development</w:t>
            </w:r>
          </w:p>
        </w:tc>
        <w:tc>
          <w:tcPr>
            <w:tcW w:w="36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Combined Entity</w:t>
            </w:r>
          </w:p>
        </w:tc>
      </w:tr>
      <w:tr>
        <w:trPr>
          <w:trHeight w:val="77"/>
        </w:trPr>
        <w:tc>
          <w:tcPr>
            <w:tcW w:w="7160" w:type="dxa"/>
            <w:vAlign w:val="bottom"/>
            <w:tcBorders>
              <w:bottom w:val="single" w:sz="8" w:color="auto"/>
            </w:tcBorders>
            <w:gridSpan w:val="2"/>
          </w:tcPr>
          <w:p>
            <w:pPr>
              <w:spacing w:after="0"/>
              <w:rPr>
                <w:sz w:val="6"/>
                <w:szCs w:val="6"/>
                <w:color w:val="auto"/>
              </w:rPr>
            </w:pPr>
          </w:p>
        </w:tc>
      </w:tr>
      <w:tr>
        <w:trPr>
          <w:trHeight w:val="207"/>
        </w:trPr>
        <w:tc>
          <w:tcPr>
            <w:tcW w:w="7160" w:type="dxa"/>
            <w:vAlign w:val="bottom"/>
            <w:gridSpan w:val="2"/>
          </w:tcPr>
          <w:p>
            <w:pPr>
              <w:ind w:left="2260"/>
              <w:spacing w:after="0"/>
              <w:rPr>
                <w:sz w:val="20"/>
                <w:szCs w:val="20"/>
                <w:color w:val="auto"/>
              </w:rPr>
            </w:pPr>
            <w:r>
              <w:rPr>
                <w:rFonts w:ascii="Times New Roman" w:cs="Times New Roman" w:eastAsia="Times New Roman" w:hAnsi="Times New Roman"/>
                <w:sz w:val="16"/>
                <w:szCs w:val="16"/>
                <w:b w:val="1"/>
                <w:bCs w:val="1"/>
                <w:color w:val="auto"/>
              </w:rPr>
              <w:t>Number and Qualification of Directors</w:t>
            </w:r>
          </w:p>
        </w:tc>
      </w:tr>
      <w:tr>
        <w:trPr>
          <w:trHeight w:val="342"/>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The number of directors of FS Development, other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Subject to any rights of holders of preferred stock to</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than those who may be elected by the holders of one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  directors  under  specified  circumstances  and</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or more series of preferred stock voting separately by</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subject to the Registration Rights Agreement and the</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class or series, will be fixed from time to time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8"/>
              </w:rPr>
              <w:t>Voting Agreement, the number of directors will be fixed</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exclusively by the Board pursuant to a resolution</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from time to time pursuant to a resolution adopted by</w:t>
            </w: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adopted by a majority of the Board.</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Combined Entity’s board of directors.</w:t>
            </w:r>
          </w:p>
        </w:tc>
      </w:tr>
      <w:tr>
        <w:trPr>
          <w:trHeight w:val="358"/>
        </w:trPr>
        <w:tc>
          <w:tcPr>
            <w:tcW w:w="7160" w:type="dxa"/>
            <w:vAlign w:val="bottom"/>
            <w:gridSpan w:val="2"/>
          </w:tcPr>
          <w:p>
            <w:pPr>
              <w:ind w:left="2260"/>
              <w:spacing w:after="0"/>
              <w:rPr>
                <w:sz w:val="20"/>
                <w:szCs w:val="20"/>
                <w:color w:val="auto"/>
              </w:rPr>
            </w:pPr>
            <w:r>
              <w:rPr>
                <w:rFonts w:ascii="Times New Roman" w:cs="Times New Roman" w:eastAsia="Times New Roman" w:hAnsi="Times New Roman"/>
                <w:sz w:val="16"/>
                <w:szCs w:val="16"/>
                <w:b w:val="1"/>
                <w:bCs w:val="1"/>
                <w:color w:val="auto"/>
              </w:rPr>
              <w:t>Classification of the Board of Directors</w:t>
            </w:r>
          </w:p>
        </w:tc>
      </w:tr>
      <w:tr>
        <w:trPr>
          <w:trHeight w:val="342"/>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Subject to the rights of the holders of one or more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Subject to the rights of the holders of one or more series</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series of preferred stock of FS Development to elect</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preferred stock of the Combined Entity to elect one</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one or more directors, the Board is classified into</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 more directors, the Combined Entity’s board of</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three classes of directors with staggered terms of</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directors is classified into three classes of directors with</w:t>
            </w: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office.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staggered terms of office.</w:t>
            </w: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3" w:name="page214"/>
    <w:bookmarkEnd w:id="21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5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FS Development</w:t>
            </w:r>
          </w:p>
        </w:tc>
        <w:tc>
          <w:tcPr>
            <w:tcW w:w="36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Combined Entity</w:t>
            </w:r>
          </w:p>
        </w:tc>
        <w:tc>
          <w:tcPr>
            <w:tcW w:w="0" w:type="dxa"/>
            <w:vAlign w:val="bottom"/>
          </w:tcPr>
          <w:p>
            <w:pPr>
              <w:spacing w:after="0"/>
              <w:rPr>
                <w:sz w:val="1"/>
                <w:szCs w:val="1"/>
                <w:color w:val="auto"/>
              </w:rPr>
            </w:pPr>
          </w:p>
        </w:tc>
      </w:tr>
      <w:tr>
        <w:trPr>
          <w:trHeight w:val="77"/>
        </w:trPr>
        <w:tc>
          <w:tcPr>
            <w:tcW w:w="71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716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Election of Directors; Vacancies on the Board of Directors</w:t>
            </w: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At FS Development’s annual meeting, stockholders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At the Combined Entity’s annual meeting, stockholders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elect directors to replace the class of directors whose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 directors to replace the class of directors whose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term expires at that annual meeting, each of whom</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term expires at that annual meeting, each of whom shall</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shall hold office for a term of three years or until his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hold office for a term of three years or until his or her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or her successor is duly elected and qualified, subject</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successor is duly elected and qualified, subject to such</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to  such  director’s  earlier  death,  resignation,</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director’s earlier death, resignation, disqualification or</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disqualification or removal.</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removal.</w:t>
            </w:r>
          </w:p>
        </w:tc>
        <w:tc>
          <w:tcPr>
            <w:tcW w:w="0" w:type="dxa"/>
            <w:vAlign w:val="bottom"/>
          </w:tcPr>
          <w:p>
            <w:pPr>
              <w:spacing w:after="0"/>
              <w:rPr>
                <w:sz w:val="1"/>
                <w:szCs w:val="1"/>
                <w:color w:val="auto"/>
              </w:rPr>
            </w:pPr>
          </w:p>
        </w:tc>
      </w:tr>
      <w:tr>
        <w:trPr>
          <w:trHeight w:val="294"/>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If the number of directors is changed, any increase or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 majority of the board of directors shall have the right</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decrease is apportioned among the classes to maintain</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fill any vacancies on of the Combined Entity’s board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 equal number of directors in each class as nearly as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directors, whether caused by increase in size of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possible,  and  any  additional  director  of  any</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or resignation or removal of a director, and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class elected to fill a vacancy will hold office for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Combined Entity’s board of directors shall have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remaining term of that class, but in no case will a</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 to determine the class that any additional director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decrease in the number of directors remove or shorten</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will fill, and any additional director of any class elected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the term of any incumbent director.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fill a vacancy will hold office for the remaining term</w:t>
            </w:r>
          </w:p>
        </w:tc>
        <w:tc>
          <w:tcPr>
            <w:tcW w:w="0" w:type="dxa"/>
            <w:vAlign w:val="bottom"/>
          </w:tcPr>
          <w:p>
            <w:pPr>
              <w:spacing w:after="0"/>
              <w:rPr>
                <w:sz w:val="1"/>
                <w:szCs w:val="1"/>
                <w:color w:val="auto"/>
              </w:rPr>
            </w:pPr>
          </w:p>
        </w:tc>
      </w:tr>
      <w:tr>
        <w:trPr>
          <w:trHeight w:val="191"/>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Subject to the rights of the holders of one or more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that class, but in no case will a decrease in the</w:t>
            </w:r>
          </w:p>
        </w:tc>
        <w:tc>
          <w:tcPr>
            <w:tcW w:w="0" w:type="dxa"/>
            <w:vAlign w:val="bottom"/>
          </w:tcPr>
          <w:p>
            <w:pPr>
              <w:spacing w:after="0"/>
              <w:rPr>
                <w:sz w:val="1"/>
                <w:szCs w:val="1"/>
                <w:color w:val="auto"/>
              </w:rPr>
            </w:pPr>
          </w:p>
        </w:tc>
      </w:tr>
      <w:tr>
        <w:trPr>
          <w:trHeight w:val="160"/>
        </w:trPr>
        <w:tc>
          <w:tcPr>
            <w:tcW w:w="3540" w:type="dxa"/>
            <w:vAlign w:val="bottom"/>
            <w:vMerge w:val="continue"/>
          </w:tcPr>
          <w:p>
            <w:pPr>
              <w:spacing w:after="0"/>
              <w:rPr>
                <w:sz w:val="13"/>
                <w:szCs w:val="13"/>
                <w:color w:val="auto"/>
              </w:rPr>
            </w:pPr>
          </w:p>
        </w:tc>
        <w:tc>
          <w:tcPr>
            <w:tcW w:w="3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number of directors remove or shorten the term of any</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series of preferred stock, the election of directors shall</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incumbent director.</w:t>
            </w:r>
          </w:p>
        </w:tc>
        <w:tc>
          <w:tcPr>
            <w:tcW w:w="0" w:type="dxa"/>
            <w:vAlign w:val="bottom"/>
          </w:tcPr>
          <w:p>
            <w:pPr>
              <w:spacing w:after="0"/>
              <w:rPr>
                <w:sz w:val="1"/>
                <w:szCs w:val="1"/>
                <w:color w:val="auto"/>
              </w:rPr>
            </w:pPr>
          </w:p>
        </w:tc>
      </w:tr>
      <w:tr>
        <w:trPr>
          <w:trHeight w:val="163"/>
        </w:trPr>
        <w:tc>
          <w:tcPr>
            <w:tcW w:w="354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be determined by a plurality of the votes cast by the</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present in person or represented by proxy</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Subject to the rights of the holders of one or more series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at the meeting and entitled to vote on the election of</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preferred stock, the election of directors shall be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determined by a plurality of the votes cast by the</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18"/>
                <w:szCs w:val="18"/>
                <w:color w:val="auto"/>
              </w:rPr>
            </w:pP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present in person or represented by proxy</w:t>
            </w:r>
          </w:p>
        </w:tc>
        <w:tc>
          <w:tcPr>
            <w:tcW w:w="0" w:type="dxa"/>
            <w:vAlign w:val="bottom"/>
          </w:tcPr>
          <w:p>
            <w:pPr>
              <w:spacing w:after="0"/>
              <w:rPr>
                <w:sz w:val="1"/>
                <w:szCs w:val="1"/>
                <w:color w:val="auto"/>
              </w:rPr>
            </w:pPr>
          </w:p>
        </w:tc>
      </w:tr>
    </w:tbl>
    <w:p>
      <w:pPr>
        <w:ind w:left="4500"/>
        <w:spacing w:after="0"/>
        <w:rPr>
          <w:sz w:val="20"/>
          <w:szCs w:val="20"/>
          <w:color w:val="auto"/>
        </w:rPr>
      </w:pPr>
      <w:r>
        <w:rPr>
          <w:rFonts w:ascii="Times New Roman" w:cs="Times New Roman" w:eastAsia="Times New Roman" w:hAnsi="Times New Roman"/>
          <w:sz w:val="16"/>
          <w:szCs w:val="16"/>
          <w:color w:val="auto"/>
        </w:rPr>
        <w:t>at the meeting and entitled to vote on the election of</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directors.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Removal of Directors</w:t>
      </w:r>
    </w:p>
    <w:p>
      <w:pPr>
        <w:spacing w:after="0" w:line="177" w:lineRule="exact"/>
        <w:rPr>
          <w:sz w:val="20"/>
          <w:szCs w:val="20"/>
          <w:color w:val="auto"/>
        </w:rPr>
      </w:pPr>
    </w:p>
    <w:p>
      <w:pPr>
        <w:jc w:val="both"/>
        <w:ind w:left="920" w:right="939"/>
        <w:spacing w:after="0" w:line="248" w:lineRule="auto"/>
        <w:rPr>
          <w:sz w:val="20"/>
          <w:szCs w:val="20"/>
          <w:color w:val="auto"/>
        </w:rPr>
      </w:pPr>
      <w:r>
        <w:rPr>
          <w:rFonts w:ascii="Times New Roman" w:cs="Times New Roman" w:eastAsia="Times New Roman" w:hAnsi="Times New Roman"/>
          <w:sz w:val="16"/>
          <w:szCs w:val="16"/>
          <w:color w:val="auto"/>
        </w:rPr>
        <w:t>Subject to the rights of the holders of any series of Subject to the rights of the holders of any series of preferred stock, any director or the entire board may preferred stock, as well as the Registration Rights be removed from office at any time, but only for cause Agreement and Voting Agreement, any director or the and only by the affirmative vote of holders of a entire board may be removed from office at any time, majority of the voting power of all then outstanding but only for cause and only by the affirmative vote of shares of capital stock of FS Development entitled to holders of at least 2/3</w:t>
      </w:r>
      <w:r>
        <w:rPr>
          <w:rFonts w:ascii="Times New Roman" w:cs="Times New Roman" w:eastAsia="Times New Roman" w:hAnsi="Times New Roman"/>
          <w:sz w:val="18"/>
          <w:szCs w:val="18"/>
          <w:color w:val="auto"/>
          <w:vertAlign w:val="superscript"/>
        </w:rPr>
        <w:t>rds</w:t>
      </w:r>
      <w:r>
        <w:rPr>
          <w:rFonts w:ascii="Times New Roman" w:cs="Times New Roman" w:eastAsia="Times New Roman" w:hAnsi="Times New Roman"/>
          <w:sz w:val="16"/>
          <w:szCs w:val="16"/>
          <w:color w:val="auto"/>
        </w:rPr>
        <w:t xml:space="preserve"> of the voting power of all then vote generally in the election of directors, voting outstanding shares of capital stock of the Combined</w:t>
      </w:r>
    </w:p>
    <w:p>
      <w:pPr>
        <w:spacing w:after="0" w:line="1" w:lineRule="exact"/>
        <w:rPr>
          <w:sz w:val="20"/>
          <w:szCs w:val="20"/>
          <w:color w:val="auto"/>
        </w:rPr>
      </w:pPr>
    </w:p>
    <w:p>
      <w:pPr>
        <w:jc w:val="both"/>
        <w:ind w:left="4500" w:right="939" w:hanging="3584"/>
        <w:spacing w:after="0" w:line="258" w:lineRule="auto"/>
        <w:tabs>
          <w:tab w:leader="none" w:pos="4480" w:val="left"/>
        </w:tabs>
        <w:rPr>
          <w:sz w:val="20"/>
          <w:szCs w:val="20"/>
          <w:color w:val="auto"/>
        </w:rPr>
      </w:pPr>
      <w:r>
        <w:rPr>
          <w:rFonts w:ascii="Times New Roman" w:cs="Times New Roman" w:eastAsia="Times New Roman" w:hAnsi="Times New Roman"/>
          <w:sz w:val="16"/>
          <w:szCs w:val="16"/>
          <w:color w:val="auto"/>
        </w:rPr>
        <w:t>together as a single class.</w:t>
      </w:r>
      <w:r>
        <w:rPr>
          <w:sz w:val="20"/>
          <w:szCs w:val="20"/>
          <w:color w:val="auto"/>
        </w:rPr>
        <w:tab/>
      </w:r>
      <w:r>
        <w:rPr>
          <w:rFonts w:ascii="Times New Roman" w:cs="Times New Roman" w:eastAsia="Times New Roman" w:hAnsi="Times New Roman"/>
          <w:sz w:val="16"/>
          <w:szCs w:val="16"/>
          <w:color w:val="auto"/>
        </w:rPr>
        <w:t>Entity entitled to vote generally in the election of directors, voting together as a single class.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Voting</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Except as otherwise required by law or the Current</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Holders of the common stock will be entitled to cast</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Charter, holders of the FS Development Class A</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one vote per share.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and the FS Development Class B</w:t>
            </w:r>
          </w:p>
        </w:tc>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w w:val="99"/>
              </w:rPr>
              <w:t>Except as otherwise required by applicable law, holders</w:t>
            </w:r>
          </w:p>
        </w:tc>
        <w:tc>
          <w:tcPr>
            <w:tcW w:w="0" w:type="dxa"/>
            <w:vAlign w:val="bottom"/>
          </w:tcPr>
          <w:p>
            <w:pPr>
              <w:spacing w:after="0"/>
              <w:rPr>
                <w:sz w:val="1"/>
                <w:szCs w:val="1"/>
                <w:color w:val="auto"/>
              </w:rPr>
            </w:pPr>
          </w:p>
        </w:tc>
      </w:tr>
      <w:tr>
        <w:trPr>
          <w:trHeight w:val="160"/>
        </w:trPr>
        <w:tc>
          <w:tcPr>
            <w:tcW w:w="35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Common Stock exclusively possess all voting power</w:t>
            </w: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with respect to FS Development. Except as otherwise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the Combined Entity’s common stock will not be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required by law or the Current Charter, the holders of</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entitled to vote on any amendment to the Proposed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FS Development shares shall be entitled to one vote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Charter that relates solely to the terms of one or more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for each such share on each matter properly submitted</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series of the Combined Entity’s preferred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to  FS  Development’s  stockholders  on  which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if the holders of such affected series of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holders of FS Development shares are entitled to vote.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Combined  Entity’s  preferred  stock  are  exclusively</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3"/>
                <w:szCs w:val="13"/>
                <w:color w:val="auto"/>
              </w:rPr>
            </w:pPr>
          </w:p>
        </w:tc>
        <w:tc>
          <w:tcPr>
            <w:tcW w:w="3620" w:type="dxa"/>
            <w:vAlign w:val="bottom"/>
          </w:tcPr>
          <w:p>
            <w:pPr>
              <w:ind w:left="40"/>
              <w:spacing w:after="0" w:line="151" w:lineRule="exact"/>
              <w:rPr>
                <w:sz w:val="20"/>
                <w:szCs w:val="20"/>
                <w:color w:val="auto"/>
              </w:rPr>
            </w:pPr>
            <w:r>
              <w:rPr>
                <w:rFonts w:ascii="Times New Roman" w:cs="Times New Roman" w:eastAsia="Times New Roman" w:hAnsi="Times New Roman"/>
                <w:sz w:val="16"/>
                <w:szCs w:val="16"/>
                <w:color w:val="auto"/>
              </w:rPr>
              <w:t>entitled  to  vote  thereon  pursuant  to  the  Proposed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Except as otherwise required by law or the Current</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Charter or applicable law.</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Charter, for so long as any shares of FS Development</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remain  outstanding,  FS</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Development may not, without first obtaining the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written consent of the holders of at least a majority of</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the  then  outstanding  shares  of  FS  Development</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voting separately as a single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class, amend, alter or repeal any provision of the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Current Charter, if such amendment, alteration or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repeal would alter or change the powers, preferences</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or relative, participating, optional or other or special</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rights of the FS Development Class B Common Stock.</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1">
            <w:col w:w="9019"/>
          </w:cols>
          <w:pgMar w:left="1440" w:top="254"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14" w:name="page215"/>
    <w:bookmarkEnd w:id="21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p>
      <w:pPr>
        <w:ind w:left="214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FS Development</w:t>
      </w:r>
      <w:r>
        <w:rPr>
          <w:sz w:val="20"/>
          <w:szCs w:val="20"/>
          <w:color w:val="auto"/>
        </w:rPr>
        <w:tab/>
      </w:r>
      <w:r>
        <w:rPr>
          <w:rFonts w:ascii="Times New Roman" w:cs="Times New Roman" w:eastAsia="Times New Roman" w:hAnsi="Times New Roman"/>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66040</wp:posOffset>
            </wp:positionV>
            <wp:extent cx="45529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Cumulative Voting</w:t>
      </w:r>
    </w:p>
    <w:p>
      <w:pPr>
        <w:spacing w:after="0" w:line="17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Delaware law allows for cumulative voting only if Delaware law allows for cumulative voting only if provided for in the Current Charter; however, the provided for in the Proposed Charter; however, the Current Charter does not authorize cumulative voting. Proposed Charter does not authorize cumulative voting.</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Meeting of the Board of Directors</w:t>
      </w:r>
    </w:p>
    <w:p>
      <w:pPr>
        <w:spacing w:after="0" w:line="177"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Special meetings of the Board may be called by the Special meetings of the Combined Entity’s board of Chairman of the Board or Chief Executive Officer or directors may be called by the affirmative vote of a upon the written request of at least a majority of majority of the directors then in office, or by one</w:t>
      </w:r>
    </w:p>
    <w:p>
      <w:pPr>
        <w:spacing w:after="0" w:line="2" w:lineRule="exact"/>
        <w:rPr>
          <w:sz w:val="20"/>
          <w:szCs w:val="20"/>
          <w:color w:val="auto"/>
        </w:rPr>
      </w:pPr>
    </w:p>
    <w:p>
      <w:pPr>
        <w:jc w:val="both"/>
        <w:ind w:left="4500" w:right="939" w:hanging="3584"/>
        <w:spacing w:after="0" w:line="258" w:lineRule="auto"/>
        <w:tabs>
          <w:tab w:leader="none" w:pos="4480" w:val="left"/>
        </w:tabs>
        <w:rPr>
          <w:sz w:val="20"/>
          <w:szCs w:val="20"/>
          <w:color w:val="auto"/>
        </w:rPr>
      </w:pPr>
      <w:r>
        <w:rPr>
          <w:rFonts w:ascii="Times New Roman" w:cs="Times New Roman" w:eastAsia="Times New Roman" w:hAnsi="Times New Roman"/>
          <w:sz w:val="16"/>
          <w:szCs w:val="16"/>
          <w:color w:val="auto"/>
        </w:rPr>
        <w:t>directors then in office or the sole director.</w:t>
      </w:r>
      <w:r>
        <w:rPr>
          <w:sz w:val="20"/>
          <w:szCs w:val="20"/>
          <w:color w:val="auto"/>
        </w:rPr>
        <w:tab/>
      </w:r>
      <w:r>
        <w:rPr>
          <w:rFonts w:ascii="Times New Roman" w:cs="Times New Roman" w:eastAsia="Times New Roman" w:hAnsi="Times New Roman"/>
          <w:sz w:val="16"/>
          <w:szCs w:val="16"/>
          <w:color w:val="auto"/>
        </w:rPr>
        <w:t>director in the event there is only a single director in office, or by the Chairman or the President.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Stockholder Action by Written Consent</w:t>
      </w:r>
    </w:p>
    <w:p>
      <w:pPr>
        <w:spacing w:after="0" w:line="177" w:lineRule="exact"/>
        <w:rPr>
          <w:sz w:val="20"/>
          <w:szCs w:val="20"/>
          <w:color w:val="auto"/>
        </w:rPr>
      </w:pPr>
    </w:p>
    <w:p>
      <w:pPr>
        <w:ind w:left="920" w:right="939"/>
        <w:spacing w:after="0" w:line="253" w:lineRule="auto"/>
        <w:rPr>
          <w:sz w:val="20"/>
          <w:szCs w:val="20"/>
          <w:color w:val="auto"/>
        </w:rPr>
      </w:pPr>
      <w:r>
        <w:rPr>
          <w:rFonts w:ascii="Times New Roman" w:cs="Times New Roman" w:eastAsia="Times New Roman" w:hAnsi="Times New Roman"/>
          <w:sz w:val="16"/>
          <w:szCs w:val="16"/>
          <w:color w:val="auto"/>
        </w:rPr>
        <w:t>Under the Current Charter, any action required or Subject to the terms of any series of preferred stock, permitted to be taken by the stockholders of FS any action required or permitted to be taken by the Development must be effected by a duly called annual stockholders of Combined Entity must be effected at an or special meeting of such stockholders and may not annual or special meeting of the stockholders and may be effected by written consent of the stockholders, not be effected by written consent. other than with respect to the FS Development Class B</w:t>
      </w:r>
    </w:p>
    <w:p>
      <w:pPr>
        <w:ind w:left="920"/>
        <w:spacing w:after="0"/>
        <w:rPr>
          <w:sz w:val="20"/>
          <w:szCs w:val="20"/>
          <w:color w:val="auto"/>
        </w:rPr>
      </w:pPr>
      <w:r>
        <w:rPr>
          <w:rFonts w:ascii="Times New Roman" w:cs="Times New Roman" w:eastAsia="Times New Roman" w:hAnsi="Times New Roman"/>
          <w:sz w:val="16"/>
          <w:szCs w:val="16"/>
          <w:color w:val="auto"/>
        </w:rPr>
        <w:t>Common Stock with respect to which action may be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taken by written consent, and other than what may</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otherwise be provided for pursuant to the Current</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Charter relating to the rights of the holders of any</w:t>
      </w:r>
    </w:p>
    <w:p>
      <w:pPr>
        <w:spacing w:after="0" w:line="7" w:lineRule="exact"/>
        <w:rPr>
          <w:sz w:val="20"/>
          <w:szCs w:val="20"/>
          <w:color w:val="auto"/>
        </w:rPr>
      </w:pPr>
    </w:p>
    <w:p>
      <w:pPr>
        <w:ind w:left="920"/>
        <w:spacing w:after="0"/>
        <w:tabs>
          <w:tab w:leader="none" w:pos="1820" w:val="left"/>
          <w:tab w:leader="none" w:pos="2340" w:val="left"/>
          <w:tab w:leader="none" w:pos="2660" w:val="left"/>
          <w:tab w:leader="none" w:pos="3400" w:val="left"/>
          <w:tab w:leader="none" w:pos="3920" w:val="left"/>
          <w:tab w:leader="none" w:pos="4220" w:val="left"/>
        </w:tabs>
        <w:rPr>
          <w:sz w:val="20"/>
          <w:szCs w:val="20"/>
          <w:color w:val="auto"/>
        </w:rPr>
      </w:pPr>
      <w:r>
        <w:rPr>
          <w:rFonts w:ascii="Times New Roman" w:cs="Times New Roman" w:eastAsia="Times New Roman" w:hAnsi="Times New Roman"/>
          <w:sz w:val="16"/>
          <w:szCs w:val="16"/>
          <w:color w:val="auto"/>
        </w:rPr>
        <w:t>outstanding</w:t>
        <w:tab/>
        <w:t>series</w:t>
        <w:tab/>
        <w:t>of</w:t>
        <w:tab/>
        <w:t>preferred</w:t>
        <w:tab/>
        <w:t>stock</w:t>
        <w:tab/>
        <w:t>of</w:t>
        <w:tab/>
        <w:t>FS</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Development.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 to Certificate of Incorporation</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Under Delaware law, an amendment to a charter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Proposed Charter any will require the affirmative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generally requires the approval of a company’s board</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vote of the majority of the outstanding shares of capital</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 directors and a majority of the combined voting</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stock entitled to vote on such amendment, provided that</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power of the then-outstanding shares of voting stock,</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provisions  in  the  Proposed  Charter  in  Article  V</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voting together as a single class.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(covering stockholder actions), Article VI, Section 3</w:t>
            </w:r>
          </w:p>
        </w:tc>
        <w:tc>
          <w:tcPr>
            <w:tcW w:w="0" w:type="dxa"/>
            <w:vAlign w:val="bottom"/>
          </w:tcPr>
          <w:p>
            <w:pPr>
              <w:spacing w:after="0"/>
              <w:rPr>
                <w:sz w:val="1"/>
                <w:szCs w:val="1"/>
                <w:color w:val="auto"/>
              </w:rPr>
            </w:pPr>
          </w:p>
        </w:tc>
      </w:tr>
      <w:tr>
        <w:trPr>
          <w:trHeight w:val="191"/>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Article IX of the Current Charter relating to business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(covering classified Board of directors), Article VI,</w:t>
            </w:r>
          </w:p>
        </w:tc>
        <w:tc>
          <w:tcPr>
            <w:tcW w:w="0" w:type="dxa"/>
            <w:vAlign w:val="bottom"/>
          </w:tcPr>
          <w:p>
            <w:pPr>
              <w:spacing w:after="0"/>
              <w:rPr>
                <w:sz w:val="1"/>
                <w:szCs w:val="1"/>
                <w:color w:val="auto"/>
              </w:rPr>
            </w:pPr>
          </w:p>
        </w:tc>
      </w:tr>
      <w:tr>
        <w:trPr>
          <w:trHeight w:val="160"/>
        </w:trPr>
        <w:tc>
          <w:tcPr>
            <w:tcW w:w="3540" w:type="dxa"/>
            <w:vAlign w:val="bottom"/>
            <w:vMerge w:val="continue"/>
          </w:tcPr>
          <w:p>
            <w:pPr>
              <w:spacing w:after="0"/>
              <w:rPr>
                <w:sz w:val="13"/>
                <w:szCs w:val="13"/>
                <w:color w:val="auto"/>
              </w:rPr>
            </w:pPr>
          </w:p>
        </w:tc>
        <w:tc>
          <w:tcPr>
            <w:tcW w:w="3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Section 5 (removal of directors), Article VII, Section 3</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combination requirements may not be amended prior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(limitation  on  director  liability)  and  Article  VIII</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to  the  consummation  of  the  initial  business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(amendment of by-laws) will require approval of the</w:t>
            </w:r>
          </w:p>
        </w:tc>
        <w:tc>
          <w:tcPr>
            <w:tcW w:w="0" w:type="dxa"/>
            <w:vAlign w:val="bottom"/>
          </w:tcPr>
          <w:p>
            <w:pPr>
              <w:spacing w:after="0"/>
              <w:rPr>
                <w:sz w:val="1"/>
                <w:szCs w:val="1"/>
                <w:color w:val="auto"/>
              </w:rPr>
            </w:pPr>
          </w:p>
        </w:tc>
      </w:tr>
      <w:tr>
        <w:trPr>
          <w:trHeight w:val="151"/>
        </w:trPr>
        <w:tc>
          <w:tcPr>
            <w:tcW w:w="3540" w:type="dxa"/>
            <w:vAlign w:val="bottom"/>
          </w:tcPr>
          <w:p>
            <w:pPr>
              <w:spacing w:after="0" w:line="151" w:lineRule="exact"/>
              <w:rPr>
                <w:sz w:val="20"/>
                <w:szCs w:val="20"/>
                <w:color w:val="auto"/>
              </w:rPr>
            </w:pPr>
            <w:r>
              <w:rPr>
                <w:rFonts w:ascii="Times New Roman" w:cs="Times New Roman" w:eastAsia="Times New Roman" w:hAnsi="Times New Roman"/>
                <w:sz w:val="16"/>
                <w:szCs w:val="16"/>
                <w:color w:val="auto"/>
              </w:rPr>
              <w:t>combination unless approved by the affirmative vote</w:t>
            </w:r>
          </w:p>
        </w:tc>
        <w:tc>
          <w:tcPr>
            <w:tcW w:w="3620" w:type="dxa"/>
            <w:vAlign w:val="bottom"/>
            <w:vMerge w:val="restart"/>
          </w:tcPr>
          <w:p>
            <w:pPr>
              <w:ind w:left="40"/>
              <w:spacing w:after="0" w:line="311" w:lineRule="exact"/>
              <w:rPr>
                <w:sz w:val="20"/>
                <w:szCs w:val="20"/>
                <w:color w:val="auto"/>
              </w:rPr>
            </w:pPr>
            <w:r>
              <w:rPr>
                <w:rFonts w:ascii="Times New Roman" w:cs="Times New Roman" w:eastAsia="Times New Roman" w:hAnsi="Times New Roman"/>
                <w:sz w:val="16"/>
                <w:szCs w:val="16"/>
                <w:color w:val="auto"/>
              </w:rPr>
              <w:t>holders of at least 66</w:t>
            </w:r>
            <w:r>
              <w:rPr>
                <w:rFonts w:ascii="Times New Roman" w:cs="Times New Roman" w:eastAsia="Times New Roman" w:hAnsi="Times New Roman"/>
                <w:sz w:val="31"/>
                <w:szCs w:val="31"/>
                <w:color w:val="auto"/>
                <w:vertAlign w:val="superscript"/>
              </w:rPr>
              <w:t>⅔</w:t>
            </w:r>
            <w:r>
              <w:rPr>
                <w:rFonts w:ascii="Times New Roman" w:cs="Times New Roman" w:eastAsia="Times New Roman" w:hAnsi="Times New Roman"/>
                <w:sz w:val="16"/>
                <w:szCs w:val="16"/>
                <w:color w:val="auto"/>
              </w:rPr>
              <w:t>% of the Combined Entity’s</w:t>
            </w:r>
          </w:p>
        </w:tc>
        <w:tc>
          <w:tcPr>
            <w:tcW w:w="0" w:type="dxa"/>
            <w:vAlign w:val="bottom"/>
          </w:tcPr>
          <w:p>
            <w:pPr>
              <w:spacing w:after="0"/>
              <w:rPr>
                <w:sz w:val="1"/>
                <w:szCs w:val="1"/>
                <w:color w:val="auto"/>
              </w:rPr>
            </w:pPr>
          </w:p>
        </w:tc>
      </w:tr>
      <w:tr>
        <w:trPr>
          <w:trHeight w:val="160"/>
        </w:trPr>
        <w:tc>
          <w:tcPr>
            <w:tcW w:w="35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of the holders of at least 65% of all then outstanding</w:t>
            </w: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shares of Common Stock; and the rights, preferences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then-outstanding shares of capital stock entitled to vote</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and privileges of the Class B Common Stock may</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generally at an election of directors.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only be amended with the approval of the holders of at</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least a majority of the then-outstanding shares of</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 of the By-laws</w:t>
      </w:r>
    </w:p>
    <w:p>
      <w:pPr>
        <w:spacing w:after="0" w:line="177" w:lineRule="exact"/>
        <w:rPr>
          <w:sz w:val="20"/>
          <w:szCs w:val="20"/>
          <w:color w:val="auto"/>
        </w:rPr>
      </w:pPr>
    </w:p>
    <w:p>
      <w:pPr>
        <w:ind w:left="920" w:right="939"/>
        <w:spacing w:after="0"/>
        <w:rPr>
          <w:sz w:val="20"/>
          <w:szCs w:val="20"/>
          <w:color w:val="auto"/>
        </w:rPr>
      </w:pPr>
      <w:r>
        <w:rPr>
          <w:rFonts w:ascii="Times New Roman" w:cs="Times New Roman" w:eastAsia="Times New Roman" w:hAnsi="Times New Roman"/>
          <w:sz w:val="16"/>
          <w:szCs w:val="16"/>
          <w:color w:val="auto"/>
        </w:rPr>
        <w:t>The Board is expressly authorized to make, alter, The Combined Entity’s board of directors is expressly amend or repeal the Current By-laws. The Current By- authorized to make, alter, amend or repeal the Amended laws may also be adopted, amended, altered or By-laws by the affirmative vote of a majority of the repealed by the FS Development stockholders directors. representing a majority of the voting power of all of</w:t>
      </w:r>
    </w:p>
    <w:p>
      <w:pPr>
        <w:spacing w:after="0" w:line="166" w:lineRule="exact"/>
        <w:rPr>
          <w:sz w:val="20"/>
          <w:szCs w:val="20"/>
          <w:color w:val="auto"/>
        </w:rPr>
      </w:pPr>
    </w:p>
    <w:p>
      <w:pPr>
        <w:jc w:val="both"/>
        <w:ind w:left="920" w:right="939"/>
        <w:spacing w:after="0" w:line="226" w:lineRule="auto"/>
        <w:rPr>
          <w:sz w:val="20"/>
          <w:szCs w:val="20"/>
          <w:color w:val="auto"/>
        </w:rPr>
      </w:pPr>
      <w:r>
        <w:rPr>
          <w:rFonts w:ascii="Times New Roman" w:cs="Times New Roman" w:eastAsia="Times New Roman" w:hAnsi="Times New Roman"/>
          <w:sz w:val="25"/>
          <w:szCs w:val="25"/>
          <w:color w:val="auto"/>
          <w:vertAlign w:val="subscript"/>
        </w:rPr>
        <w:t>the then-outstanding shares of capital stock of FS</w:t>
      </w:r>
      <w:r>
        <w:rPr>
          <w:rFonts w:ascii="Times New Roman" w:cs="Times New Roman" w:eastAsia="Times New Roman" w:hAnsi="Times New Roman"/>
          <w:sz w:val="14"/>
          <w:szCs w:val="14"/>
          <w:color w:val="auto"/>
        </w:rPr>
        <w:t xml:space="preserve"> Any amendments to the Amended By-Laws will require Development entitled to vote generally in the election approval of the holders of at least 66</w:t>
      </w:r>
      <w:r>
        <w:rPr>
          <w:rFonts w:ascii="Times New Roman" w:cs="Times New Roman" w:eastAsia="Times New Roman" w:hAnsi="Times New Roman"/>
          <w:sz w:val="25"/>
          <w:szCs w:val="25"/>
          <w:color w:val="auto"/>
          <w:vertAlign w:val="superscript"/>
        </w:rPr>
        <w:t>⅔</w:t>
      </w:r>
      <w:r>
        <w:rPr>
          <w:rFonts w:ascii="Times New Roman" w:cs="Times New Roman" w:eastAsia="Times New Roman" w:hAnsi="Times New Roman"/>
          <w:sz w:val="14"/>
          <w:szCs w:val="14"/>
          <w:color w:val="auto"/>
        </w:rPr>
        <w:t xml:space="preserve">% of the of directors, provided that the approval of at least Combined Entity’s then-outstanding shares of capital </w:t>
      </w:r>
      <w:r>
        <w:rPr>
          <w:rFonts w:ascii="Times New Roman" w:cs="Times New Roman" w:eastAsia="Times New Roman" w:hAnsi="Times New Roman"/>
          <w:sz w:val="25"/>
          <w:szCs w:val="25"/>
          <w:color w:val="auto"/>
          <w:vertAlign w:val="subscript"/>
        </w:rPr>
        <w:t>66</w:t>
      </w:r>
      <w:r>
        <w:rPr>
          <w:rFonts w:ascii="Times New Roman" w:cs="Times New Roman" w:eastAsia="Times New Roman" w:hAnsi="Times New Roman"/>
          <w:sz w:val="14"/>
          <w:szCs w:val="14"/>
          <w:color w:val="auto"/>
        </w:rPr>
        <w:t>⅔</w:t>
      </w:r>
      <w:r>
        <w:rPr>
          <w:rFonts w:ascii="Times New Roman" w:cs="Times New Roman" w:eastAsia="Times New Roman" w:hAnsi="Times New Roman"/>
          <w:sz w:val="25"/>
          <w:szCs w:val="25"/>
          <w:color w:val="auto"/>
          <w:vertAlign w:val="subscript"/>
        </w:rPr>
        <w:t>% of the Combined Entity’s then-outstanding</w:t>
      </w:r>
      <w:r>
        <w:rPr>
          <w:rFonts w:ascii="Times New Roman" w:cs="Times New Roman" w:eastAsia="Times New Roman" w:hAnsi="Times New Roman"/>
          <w:sz w:val="14"/>
          <w:szCs w:val="14"/>
          <w:color w:val="auto"/>
        </w:rPr>
        <w:t xml:space="preserve"> stock entitled to vote generally at an election of shares of capital stock entitled to vote generally at an </w:t>
      </w:r>
      <w:r>
        <w:rPr>
          <w:rFonts w:ascii="Times New Roman" w:cs="Times New Roman" w:eastAsia="Times New Roman" w:hAnsi="Times New Roman"/>
          <w:sz w:val="25"/>
          <w:szCs w:val="25"/>
          <w:color w:val="auto"/>
          <w:vertAlign w:val="superscript"/>
        </w:rPr>
        <w:t>directors.</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election of directors is required to amend Article VIII,</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which relates to indemnification matters.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5" w:name="page216"/>
    <w:bookmarkEnd w:id="21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5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FS Development</w:t>
            </w:r>
          </w:p>
        </w:tc>
        <w:tc>
          <w:tcPr>
            <w:tcW w:w="362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Combined Entity</w:t>
            </w:r>
          </w:p>
        </w:tc>
      </w:tr>
      <w:tr>
        <w:trPr>
          <w:trHeight w:val="77"/>
        </w:trPr>
        <w:tc>
          <w:tcPr>
            <w:tcW w:w="5040" w:type="dxa"/>
            <w:vAlign w:val="bottom"/>
            <w:tcBorders>
              <w:bottom w:val="single" w:sz="8" w:color="auto"/>
            </w:tcBorders>
            <w:gridSpan w:val="2"/>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r>
      <w:tr>
        <w:trPr>
          <w:trHeight w:val="219"/>
        </w:trPr>
        <w:tc>
          <w:tcPr>
            <w:tcW w:w="5040" w:type="dxa"/>
            <w:vAlign w:val="bottom"/>
            <w:gridSpan w:val="2"/>
          </w:tcPr>
          <w:p>
            <w:pPr>
              <w:ind w:left="3300"/>
              <w:spacing w:after="0"/>
              <w:rPr>
                <w:sz w:val="20"/>
                <w:szCs w:val="20"/>
                <w:color w:val="auto"/>
              </w:rPr>
            </w:pPr>
            <w:r>
              <w:rPr>
                <w:rFonts w:ascii="Times New Roman" w:cs="Times New Roman" w:eastAsia="Times New Roman" w:hAnsi="Times New Roman"/>
                <w:sz w:val="16"/>
                <w:szCs w:val="16"/>
                <w:b w:val="1"/>
                <w:bCs w:val="1"/>
                <w:color w:val="auto"/>
              </w:rPr>
              <w:t>Quorum</w:t>
            </w:r>
          </w:p>
        </w:tc>
        <w:tc>
          <w:tcPr>
            <w:tcW w:w="2120" w:type="dxa"/>
            <w:vAlign w:val="bottom"/>
          </w:tcPr>
          <w:p>
            <w:pPr>
              <w:spacing w:after="0"/>
              <w:rPr>
                <w:sz w:val="19"/>
                <w:szCs w:val="19"/>
                <w:color w:val="auto"/>
              </w:rPr>
            </w:pPr>
          </w:p>
        </w:tc>
      </w:tr>
      <w:tr>
        <w:trPr>
          <w:trHeight w:val="342"/>
        </w:trPr>
        <w:tc>
          <w:tcPr>
            <w:tcW w:w="3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A majority the Board constitutes</w:t>
            </w:r>
          </w:p>
        </w:tc>
        <w:tc>
          <w:tcPr>
            <w:tcW w:w="15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Board of Directors.</w:t>
            </w:r>
          </w:p>
        </w:tc>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 majority of the Combined</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 quorum at any meeting of the Board.</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Entity’s board of directors constitutes a quorum at any</w:t>
            </w:r>
          </w:p>
        </w:tc>
      </w:tr>
      <w:tr>
        <w:trPr>
          <w:trHeight w:val="309"/>
        </w:trPr>
        <w:tc>
          <w:tcPr>
            <w:tcW w:w="3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Stockholders</w:t>
            </w:r>
            <w:r>
              <w:rPr>
                <w:rFonts w:ascii="Times New Roman" w:cs="Times New Roman" w:eastAsia="Times New Roman" w:hAnsi="Times New Roman"/>
                <w:sz w:val="16"/>
                <w:szCs w:val="16"/>
                <w:color w:val="auto"/>
              </w:rPr>
              <w:t>.  The presence, in person or by proxy, at</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meeting of the Combined Entity’s board of directors.</w:t>
            </w:r>
          </w:p>
        </w:tc>
      </w:tr>
      <w:tr>
        <w:trPr>
          <w:trHeight w:val="19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 stockholders meeting of the holders of shares of</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 xml:space="preserve">Stockholders.   </w:t>
            </w:r>
            <w:r>
              <w:rPr>
                <w:rFonts w:ascii="Times New Roman" w:cs="Times New Roman" w:eastAsia="Times New Roman" w:hAnsi="Times New Roman"/>
                <w:sz w:val="16"/>
                <w:szCs w:val="16"/>
                <w:color w:val="auto"/>
              </w:rPr>
              <w:t>The presence, in person or by proxy, at</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capital stock representing a majority of</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 stockholders meeting of the holders of shares of</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the voting power of all outstanding shares of capital</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issued  and  outstanding  capital  stock  of  Combined</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 entitled to vote at such meeting constitutes a</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Entity representing a majority of the voting power of all</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quorum; expect that when specified business is to be</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issued  and  outstanding  shares  of  capital  stock  of</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voted on by a class or series of stock voting together</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Combined Entity entitled to vote at  such  meeting</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as a single class, the holders of shares representing a</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constitutes a quorum; provided, however, that where a</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majority of the voting power of the outstanding shares</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separate vote by a class or classes of capital stock is</w:t>
            </w: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 such class or series will constitute a quorum.</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required, the holders of a majority in voting power of</w:t>
            </w:r>
          </w:p>
        </w:tc>
      </w:tr>
      <w:tr>
        <w:trPr>
          <w:trHeight w:val="191"/>
        </w:trPr>
        <w:tc>
          <w:tcPr>
            <w:tcW w:w="3540" w:type="dxa"/>
            <w:vAlign w:val="bottom"/>
          </w:tcPr>
          <w:p>
            <w:pPr>
              <w:spacing w:after="0"/>
              <w:rPr>
                <w:sz w:val="16"/>
                <w:szCs w:val="16"/>
                <w:color w:val="auto"/>
              </w:rPr>
            </w:pP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the shares of such class and entitled to vote on such</w:t>
            </w:r>
          </w:p>
        </w:tc>
      </w:tr>
      <w:tr>
        <w:trPr>
          <w:trHeight w:val="191"/>
        </w:trPr>
        <w:tc>
          <w:tcPr>
            <w:tcW w:w="3540" w:type="dxa"/>
            <w:vAlign w:val="bottom"/>
          </w:tcPr>
          <w:p>
            <w:pPr>
              <w:spacing w:after="0"/>
              <w:rPr>
                <w:sz w:val="16"/>
                <w:szCs w:val="16"/>
                <w:color w:val="auto"/>
              </w:rPr>
            </w:pP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matter, present in person or represented by proxy, shall</w:t>
            </w:r>
          </w:p>
        </w:tc>
      </w:tr>
      <w:tr>
        <w:trPr>
          <w:trHeight w:val="208"/>
        </w:trPr>
        <w:tc>
          <w:tcPr>
            <w:tcW w:w="354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constitute a quorum.</w:t>
            </w:r>
          </w:p>
        </w:tc>
        <w:tc>
          <w:tcPr>
            <w:tcW w:w="2120" w:type="dxa"/>
            <w:vAlign w:val="bottom"/>
          </w:tcPr>
          <w:p>
            <w:pPr>
              <w:spacing w:after="0"/>
              <w:rPr>
                <w:sz w:val="18"/>
                <w:szCs w:val="18"/>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Interested Directors</w:t>
      </w:r>
    </w:p>
    <w:p>
      <w:pPr>
        <w:spacing w:after="0" w:line="177" w:lineRule="exact"/>
        <w:rPr>
          <w:sz w:val="20"/>
          <w:szCs w:val="20"/>
          <w:color w:val="auto"/>
        </w:rPr>
      </w:pPr>
    </w:p>
    <w:p>
      <w:pPr>
        <w:ind w:left="920"/>
        <w:spacing w:after="0"/>
        <w:tabs>
          <w:tab w:leader="none" w:pos="4860" w:val="left"/>
          <w:tab w:leader="none" w:pos="5660" w:val="left"/>
          <w:tab w:leader="none" w:pos="6180" w:val="left"/>
          <w:tab w:leader="none" w:pos="6960" w:val="left"/>
          <w:tab w:leader="none" w:pos="7320" w:val="left"/>
          <w:tab w:leader="none" w:pos="7920" w:val="left"/>
        </w:tabs>
        <w:rPr>
          <w:sz w:val="20"/>
          <w:szCs w:val="20"/>
          <w:color w:val="auto"/>
        </w:rPr>
      </w:pPr>
      <w:r>
        <w:rPr>
          <w:rFonts w:ascii="Times New Roman" w:cs="Times New Roman" w:eastAsia="Times New Roman" w:hAnsi="Times New Roman"/>
          <w:sz w:val="16"/>
          <w:szCs w:val="16"/>
          <w:color w:val="auto"/>
        </w:rPr>
        <w:t>To the extent permitted by law, FS Development The</w:t>
        <w:tab/>
        <w:t>Combined</w:t>
        <w:tab/>
        <w:t>Entity</w:t>
        <w:tab/>
        <w:t>renounces</w:t>
        <w:tab/>
        <w:t>any</w:t>
        <w:tab/>
        <w:t>interest</w:t>
        <w:tab/>
        <w:t>or</w:t>
      </w:r>
    </w:p>
    <w:p>
      <w:pPr>
        <w:spacing w:after="0" w:line="24" w:lineRule="exact"/>
        <w:rPr>
          <w:sz w:val="20"/>
          <w:szCs w:val="20"/>
          <w:color w:val="auto"/>
        </w:rPr>
      </w:pPr>
    </w:p>
    <w:p>
      <w:pPr>
        <w:ind w:left="920"/>
        <w:spacing w:after="0"/>
        <w:tabs>
          <w:tab w:leader="none" w:pos="1680" w:val="left"/>
          <w:tab w:leader="none" w:pos="2040" w:val="left"/>
          <w:tab w:leader="none" w:pos="2900" w:val="left"/>
          <w:tab w:leader="none" w:pos="3260" w:val="left"/>
          <w:tab w:leader="none" w:pos="3620" w:val="left"/>
          <w:tab w:leader="none" w:pos="3900" w:val="left"/>
          <w:tab w:leader="none" w:pos="4220" w:val="left"/>
        </w:tabs>
        <w:rPr>
          <w:sz w:val="20"/>
          <w:szCs w:val="20"/>
          <w:color w:val="auto"/>
        </w:rPr>
      </w:pPr>
      <w:r>
        <w:rPr>
          <w:rFonts w:ascii="Times New Roman" w:cs="Times New Roman" w:eastAsia="Times New Roman" w:hAnsi="Times New Roman"/>
          <w:sz w:val="16"/>
          <w:szCs w:val="16"/>
          <w:color w:val="auto"/>
        </w:rPr>
        <w:t>renounces</w:t>
        <w:tab/>
        <w:t>any</w:t>
        <w:tab/>
        <w:t>expectancy</w:t>
        <w:tab/>
        <w:t>that</w:t>
        <w:tab/>
        <w:t>any</w:t>
        <w:tab/>
        <w:t>of</w:t>
        <w:tab/>
        <w:t>the</w:t>
        <w:tab/>
        <w:t>FS expectancy of Combined Entity in, or in being offered</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Development  directors  or  officers  will  offer  any an opportunity to participate in, any matter, transaction</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corporate opportunity in which he or she may become or interest that is presented to, or acquired, created or</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aware to FS Development, except with respect to any developed by any director of Combined Entity who is</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of the directors or officers of FS Development with not an employee or officer of Combined Entity or any</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respect to a corporate opportunity that was offered to of its subsidiaries, unless such matter, transaction or</w:t>
      </w:r>
    </w:p>
    <w:p>
      <w:pPr>
        <w:spacing w:after="0" w:line="7" w:lineRule="exact"/>
        <w:rPr>
          <w:sz w:val="20"/>
          <w:szCs w:val="20"/>
          <w:color w:val="auto"/>
        </w:rPr>
      </w:pPr>
    </w:p>
    <w:p>
      <w:pPr>
        <w:ind w:left="920"/>
        <w:spacing w:after="0"/>
        <w:tabs>
          <w:tab w:leader="none" w:pos="5080" w:val="left"/>
          <w:tab w:leader="none" w:pos="5320" w:val="left"/>
          <w:tab w:leader="none" w:pos="6060" w:val="left"/>
          <w:tab w:leader="none" w:pos="6360" w:val="left"/>
          <w:tab w:leader="none" w:pos="6620" w:val="left"/>
          <w:tab w:leader="none" w:pos="7340" w:val="left"/>
          <w:tab w:leader="none" w:pos="7920" w:val="left"/>
        </w:tabs>
        <w:rPr>
          <w:sz w:val="20"/>
          <w:szCs w:val="20"/>
          <w:color w:val="auto"/>
        </w:rPr>
      </w:pPr>
      <w:r>
        <w:rPr>
          <w:rFonts w:ascii="Times New Roman" w:cs="Times New Roman" w:eastAsia="Times New Roman" w:hAnsi="Times New Roman"/>
          <w:sz w:val="16"/>
          <w:szCs w:val="16"/>
          <w:color w:val="auto"/>
        </w:rPr>
        <w:t>such person solely in his or her capacity as a director interest</w:t>
        <w:tab/>
        <w:t>is</w:t>
        <w:tab/>
        <w:t>presented</w:t>
        <w:tab/>
        <w:t>to,</w:t>
        <w:tab/>
        <w:t>or</w:t>
        <w:tab/>
        <w:t>acquired,</w:t>
        <w:tab/>
        <w:t>created</w:t>
        <w:tab/>
        <w:t>or</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or officer of FS Development and (i) such opportunity developed by, or otherwise comes into the possession</w:t>
      </w:r>
    </w:p>
    <w:p>
      <w:pPr>
        <w:spacing w:after="0" w:line="7" w:lineRule="exact"/>
        <w:rPr>
          <w:sz w:val="20"/>
          <w:szCs w:val="20"/>
          <w:color w:val="auto"/>
        </w:rPr>
      </w:pPr>
    </w:p>
    <w:p>
      <w:pPr>
        <w:ind w:left="920"/>
        <w:spacing w:after="0"/>
        <w:tabs>
          <w:tab w:leader="none" w:pos="1160" w:val="left"/>
          <w:tab w:leader="none" w:pos="1560" w:val="left"/>
          <w:tab w:leader="none" w:pos="1960" w:val="left"/>
          <w:tab w:leader="none" w:pos="2280" w:val="left"/>
          <w:tab w:leader="none" w:pos="3300" w:val="left"/>
          <w:tab w:leader="none" w:pos="3580" w:val="left"/>
          <w:tab w:leader="none" w:pos="4160" w:val="left"/>
        </w:tabs>
        <w:rPr>
          <w:sz w:val="20"/>
          <w:szCs w:val="20"/>
          <w:color w:val="auto"/>
        </w:rPr>
      </w:pPr>
      <w:r>
        <w:rPr>
          <w:rFonts w:ascii="Times New Roman" w:cs="Times New Roman" w:eastAsia="Times New Roman" w:hAnsi="Times New Roman"/>
          <w:sz w:val="16"/>
          <w:szCs w:val="16"/>
          <w:color w:val="auto"/>
        </w:rPr>
        <w:t>is</w:t>
        <w:tab/>
        <w:t>one</w:t>
        <w:tab/>
        <w:t>that</w:t>
        <w:tab/>
        <w:t>FS</w:t>
        <w:tab/>
        <w:t>Development</w:t>
        <w:tab/>
        <w:t>is</w:t>
        <w:tab/>
        <w:t>legally</w:t>
        <w:tab/>
        <w:t>and of, such person expressly and solely in such person’s</w:t>
      </w:r>
    </w:p>
    <w:p>
      <w:pPr>
        <w:spacing w:after="0" w:line="7" w:lineRule="exact"/>
        <w:rPr>
          <w:sz w:val="20"/>
          <w:szCs w:val="20"/>
          <w:color w:val="auto"/>
        </w:rPr>
      </w:pPr>
    </w:p>
    <w:p>
      <w:pPr>
        <w:ind w:left="920"/>
        <w:spacing w:after="0"/>
        <w:tabs>
          <w:tab w:leader="none" w:pos="1860" w:val="left"/>
          <w:tab w:leader="none" w:pos="2620" w:val="left"/>
          <w:tab w:leader="none" w:pos="2880" w:val="left"/>
          <w:tab w:leader="none" w:pos="3640" w:val="left"/>
          <w:tab w:leader="none" w:pos="4000" w:val="left"/>
        </w:tabs>
        <w:rPr>
          <w:sz w:val="20"/>
          <w:szCs w:val="20"/>
          <w:color w:val="auto"/>
        </w:rPr>
      </w:pPr>
      <w:r>
        <w:rPr>
          <w:rFonts w:ascii="Times New Roman" w:cs="Times New Roman" w:eastAsia="Times New Roman" w:hAnsi="Times New Roman"/>
          <w:sz w:val="16"/>
          <w:szCs w:val="16"/>
          <w:color w:val="auto"/>
        </w:rPr>
        <w:t>contractually</w:t>
        <w:tab/>
        <w:t>permitted</w:t>
        <w:tab/>
        <w:t>to</w:t>
        <w:tab/>
        <w:t>undertake</w:t>
        <w:tab/>
        <w:t>and</w:t>
        <w:tab/>
        <w:t>would capacity as a director of the Combined Entity.</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otherwise be reasonable for FS Development to pursue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and (ii) the director or officer is permitted to refer that</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opportunity to FS Development without violating any</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legal obligation.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Stockholder Meetings</w:t>
      </w:r>
    </w:p>
    <w:p>
      <w:pPr>
        <w:spacing w:after="0" w:line="177" w:lineRule="exact"/>
        <w:rPr>
          <w:sz w:val="20"/>
          <w:szCs w:val="20"/>
          <w:color w:val="auto"/>
        </w:rPr>
      </w:pPr>
    </w:p>
    <w:p>
      <w:pPr>
        <w:ind w:left="920" w:right="939"/>
        <w:spacing w:after="0" w:line="257" w:lineRule="auto"/>
        <w:rPr>
          <w:sz w:val="20"/>
          <w:szCs w:val="20"/>
          <w:color w:val="auto"/>
        </w:rPr>
      </w:pPr>
      <w:r>
        <w:rPr>
          <w:rFonts w:ascii="Times New Roman" w:cs="Times New Roman" w:eastAsia="Times New Roman" w:hAnsi="Times New Roman"/>
          <w:sz w:val="16"/>
          <w:szCs w:val="16"/>
          <w:color w:val="auto"/>
        </w:rPr>
        <w:t>The Current By-laws provide that a special meeting of Subject to the rights of any series of preferred stock, stockholders may be called by the Chairman of the special meetings of the Combined Entity’s stockholders Board, Chief Executive Officer of FS Development, or may be called by the Combined Entity’s board of the Board pursuant to a resolution adopted by a directors pursuant to a resolution adopted by a majority majority of the Board. of the Combined Entity’s board of directors.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Stockholder Meetings</w:t>
      </w:r>
    </w:p>
    <w:p>
      <w:pPr>
        <w:spacing w:after="0" w:line="177" w:lineRule="exact"/>
        <w:rPr>
          <w:sz w:val="20"/>
          <w:szCs w:val="20"/>
          <w:color w:val="auto"/>
        </w:rPr>
      </w:pPr>
    </w:p>
    <w:p>
      <w:pPr>
        <w:ind w:left="920" w:right="939"/>
        <w:spacing w:after="0" w:line="253" w:lineRule="auto"/>
        <w:rPr>
          <w:sz w:val="20"/>
          <w:szCs w:val="20"/>
          <w:color w:val="auto"/>
        </w:rPr>
      </w:pPr>
      <w:r>
        <w:rPr>
          <w:rFonts w:ascii="Times New Roman" w:cs="Times New Roman" w:eastAsia="Times New Roman" w:hAnsi="Times New Roman"/>
          <w:sz w:val="16"/>
          <w:szCs w:val="16"/>
          <w:color w:val="auto"/>
        </w:rPr>
        <w:t>Written notice stating the place, if any, date and hour Except as otherwise provided by law or the Proposed of each meeting of FS Development’s stockholders, Charter or the Amended By-laws, notice of each the means of remote communications, if any, by which meeting of the Combined Entity’s stockholders, stockholders and proxy holders may be deemed to be whether annual or special, shall be given not less than present in person and vote at such meeting, the record ten (10) nor more than sixty (60) days before the date of date for determining the stockholders entitled to vote the meeting to each stockholder entitled to vote at such at the meeting (if such date is different from the record meeting as of the record date for determining the date for stockholders entitled to notice of the meeting) Combined Entity’s stockholders entitled to notice of the must be delivered not less than ten (10) nor more than meeting. sixty (60) days before the date of the meeting, unless</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otherwise required by law.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16" w:name="page217"/>
    <w:bookmarkEnd w:id="21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p>
      <w:pPr>
        <w:ind w:left="214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FS Development</w:t>
      </w:r>
      <w:r>
        <w:rPr>
          <w:sz w:val="20"/>
          <w:szCs w:val="20"/>
          <w:color w:val="auto"/>
        </w:rPr>
        <w:tab/>
      </w:r>
      <w:r>
        <w:rPr>
          <w:rFonts w:ascii="Times New Roman" w:cs="Times New Roman" w:eastAsia="Times New Roman" w:hAnsi="Times New Roman"/>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66040</wp:posOffset>
            </wp:positionV>
            <wp:extent cx="455295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116" w:lineRule="exact"/>
        <w:rPr>
          <w:sz w:val="20"/>
          <w:szCs w:val="20"/>
          <w:color w:val="auto"/>
        </w:rPr>
      </w:pPr>
    </w:p>
    <w:p>
      <w:pPr>
        <w:jc w:val="both"/>
        <w:ind w:left="920" w:right="939"/>
        <w:spacing w:after="0" w:line="260" w:lineRule="auto"/>
        <w:rPr>
          <w:sz w:val="20"/>
          <w:szCs w:val="20"/>
          <w:color w:val="auto"/>
        </w:rPr>
      </w:pPr>
      <w:r>
        <w:rPr>
          <w:rFonts w:ascii="Times New Roman" w:cs="Times New Roman" w:eastAsia="Times New Roman" w:hAnsi="Times New Roman"/>
          <w:sz w:val="16"/>
          <w:szCs w:val="16"/>
          <w:color w:val="auto"/>
        </w:rPr>
        <w:t>Whenever notice is required to be given to any FS Without limiting the manner by which notice otherwise Development stockholder, such notice may be given may be given to the Combined Entity’s stockholders,</w:t>
      </w:r>
    </w:p>
    <w:p>
      <w:pPr>
        <w:jc w:val="both"/>
        <w:ind w:left="920" w:right="939" w:hanging="1"/>
        <w:spacing w:after="0" w:line="249" w:lineRule="auto"/>
        <w:tabs>
          <w:tab w:leader="none" w:pos="1114"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writing and sent either by hand delivery, through any notice to the Combined Entity’s stockholders given the United States mail, or by a nationally recognized by Combined Entity shall be effective if given by overnight delivery service for next day delivery, or electronic transmission in accordance with Section 232</w:t>
      </w:r>
    </w:p>
    <w:p>
      <w:pPr>
        <w:ind w:left="1200" w:hanging="281"/>
        <w:spacing w:after="0"/>
        <w:tabs>
          <w:tab w:leader="none" w:pos="120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means of a form of electronic transmission of the DGCL. The notices of all meetings shall state the</w:t>
      </w:r>
    </w:p>
    <w:p>
      <w:pPr>
        <w:spacing w:after="0" w:line="7"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consented to by the stockholder, to the extent place, if any, date and time of the meeting, the means of permitted by, and subject to the conditions set forth in remote communications, if any, by which stockholders</w:t>
      </w:r>
    </w:p>
    <w:p>
      <w:pPr>
        <w:spacing w:after="0" w:line="1" w:lineRule="exact"/>
        <w:rPr>
          <w:sz w:val="20"/>
          <w:szCs w:val="20"/>
          <w:color w:val="auto"/>
        </w:rPr>
      </w:pPr>
    </w:p>
    <w:p>
      <w:pPr>
        <w:ind w:left="920"/>
        <w:spacing w:after="0"/>
        <w:tabs>
          <w:tab w:leader="none" w:pos="4480" w:val="left"/>
        </w:tabs>
        <w:rPr>
          <w:sz w:val="20"/>
          <w:szCs w:val="20"/>
          <w:color w:val="auto"/>
        </w:rPr>
      </w:pPr>
      <w:r>
        <w:rPr>
          <w:rFonts w:ascii="Times New Roman" w:cs="Times New Roman" w:eastAsia="Times New Roman" w:hAnsi="Times New Roman"/>
          <w:sz w:val="16"/>
          <w:szCs w:val="16"/>
          <w:color w:val="auto"/>
        </w:rPr>
        <w:t>Section 232 of the DGCL.</w:t>
      </w:r>
      <w:r>
        <w:rPr>
          <w:sz w:val="20"/>
          <w:szCs w:val="20"/>
          <w:color w:val="auto"/>
        </w:rPr>
        <w:tab/>
      </w:r>
      <w:r>
        <w:rPr>
          <w:rFonts w:ascii="Times New Roman" w:cs="Times New Roman" w:eastAsia="Times New Roman" w:hAnsi="Times New Roman"/>
          <w:sz w:val="16"/>
          <w:szCs w:val="16"/>
          <w:color w:val="auto"/>
        </w:rPr>
        <w:t>and proxyholders may be deemed to be present in</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person and vote at such meeting, and the record date for</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determining the stockholders entitled to vote at the</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meeting (if such date is different from the record date</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for stockholders entitled to notice of the meeting). The</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notice of a special meeting shall state, in addition, the</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purpose or purposes for which the meeting is called.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Stockholder Proposals (Other than Nomination of Persons for Election as Directors)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No business may be transacted at an annual meeting of</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 business may be conducted at an annual meeting of</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FS Development stockholders, other than business that</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8"/>
              </w:rPr>
              <w:t>the Combined Entity’s stockholders, other than business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is either (i) specified in FS Development’s notice of</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that is either (i) specified in Combined Entity’s notice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meeting  (or  any  supplement  thereto)  delivered</w:t>
            </w:r>
          </w:p>
        </w:tc>
        <w:tc>
          <w:tcPr>
            <w:tcW w:w="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meeting</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delivered</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pursuant  to  the  By-laws,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pursuant  to  the  By-laws,  (ii)  otherwise  properly</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(ii)  otherwise  properly  brought  before  the  annual</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brought  before  the  annual  meeting  by  or  at  the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meeting by or at the direction of the board (or a</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direction of the Board or (iii) otherwise properly</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committee thereof) or (iii) otherwise properly brought</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brought  before  the  annual  meeting  by  any  FS</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before the annual meeting by any stockholder of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Development stockholder who is entitled to vote at the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Combined Entity who is entitled to vote at the meeting,</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meeting, who complies with the notice procedures set</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who complies with the notice procedures set forth in</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forth in the Current By-laws.</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Amended By-laws and who is a stockholder of record</w:t>
            </w:r>
          </w:p>
        </w:tc>
        <w:tc>
          <w:tcPr>
            <w:tcW w:w="0" w:type="dxa"/>
            <w:vAlign w:val="bottom"/>
          </w:tcPr>
          <w:p>
            <w:pPr>
              <w:spacing w:after="0"/>
              <w:rPr>
                <w:sz w:val="1"/>
                <w:szCs w:val="1"/>
                <w:color w:val="auto"/>
              </w:rPr>
            </w:pPr>
          </w:p>
        </w:tc>
      </w:tr>
      <w:tr>
        <w:trPr>
          <w:trHeight w:val="191"/>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FS Development stockholder must (i) give timely</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at the time such notice is delivered to the Secretary of</w:t>
            </w:r>
          </w:p>
        </w:tc>
        <w:tc>
          <w:tcPr>
            <w:tcW w:w="0" w:type="dxa"/>
            <w:vAlign w:val="bottom"/>
          </w:tcPr>
          <w:p>
            <w:pPr>
              <w:spacing w:after="0"/>
              <w:rPr>
                <w:sz w:val="1"/>
                <w:szCs w:val="1"/>
                <w:color w:val="auto"/>
              </w:rPr>
            </w:pPr>
          </w:p>
        </w:tc>
      </w:tr>
      <w:tr>
        <w:trPr>
          <w:trHeight w:val="160"/>
        </w:trPr>
        <w:tc>
          <w:tcPr>
            <w:tcW w:w="3540" w:type="dxa"/>
            <w:vAlign w:val="bottom"/>
            <w:vMerge w:val="continue"/>
          </w:tcPr>
          <w:p>
            <w:pPr>
              <w:spacing w:after="0"/>
              <w:rPr>
                <w:sz w:val="13"/>
                <w:szCs w:val="13"/>
                <w:color w:val="auto"/>
              </w:rPr>
            </w:pPr>
          </w:p>
        </w:tc>
        <w:tc>
          <w:tcPr>
            <w:tcW w:w="16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color w:val="auto"/>
              </w:rPr>
              <w:t>the Combined Entity.</w:t>
            </w: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40" w:type="dxa"/>
            <w:vAlign w:val="bottom"/>
          </w:tcPr>
          <w:p>
            <w:pPr>
              <w:spacing w:after="0" w:line="151" w:lineRule="exact"/>
              <w:rPr>
                <w:sz w:val="20"/>
                <w:szCs w:val="20"/>
                <w:color w:val="auto"/>
              </w:rPr>
            </w:pPr>
            <w:r>
              <w:rPr>
                <w:rFonts w:ascii="Times New Roman" w:cs="Times New Roman" w:eastAsia="Times New Roman" w:hAnsi="Times New Roman"/>
                <w:sz w:val="16"/>
                <w:szCs w:val="16"/>
                <w:color w:val="auto"/>
              </w:rPr>
              <w:t>notice thereof in proper written form to the Secretary</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 FS Development, and (ii) the business must be a</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The Combined Entity stockholder must (i) give timely</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proper matter for stockholder action. To be timely, a</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9"/>
              </w:rPr>
              <w:t>notice thereof in proper written form to the Secretary of</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FS  Development  stockholder’s  notice  must  be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the Combined Entity and (ii) the business must be a</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received by the Secretary at the principal executive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proper matter for stockholder action. To be timely, a</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offices of FS Development not later than the close of</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stockholder’s notice must be received at the principal</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rPr>
              <w:t>business on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nor earlier than the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executive offices of Combined Entity not less than</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opening of business on the one-hundred twentieth</w:t>
            </w:r>
          </w:p>
        </w:tc>
        <w:tc>
          <w:tcPr>
            <w:tcW w:w="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ninety  (90)</w:t>
            </w: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  more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than  one-hundred  twenty</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rPr>
              <w:t>(120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before  the  anniversary  date  of  the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(120) days prior to the one-year anniversary of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immediately  preceding  annual  meeting;  provided,</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preceding year’s annual meeting; provided however if</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however, that in the event that the annual meeting is</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the date of the annual meeting is more than thirty (30)</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more than 30 days before or more than 60 days after</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days before or more than sixty (60) days after such</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such anniversary date, notice must be delivered not</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anniversary date, the notice must be delivered not later</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rPr>
              <w:t>earlier than the close of business on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w:t>
            </w:r>
          </w:p>
        </w:tc>
        <w:tc>
          <w:tcPr>
            <w:tcW w:w="362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6"/>
                <w:szCs w:val="16"/>
                <w:color w:val="auto"/>
              </w:rPr>
              <w:t>than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prior to such annual</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rPr>
              <w:t>before the meeting and not later than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meeting or, if later, the tenth day following the day on</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rPr>
              <w:t>before the meeting or the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following public</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9"/>
              </w:rPr>
              <w:t>which public disclosure of such meeting was first made.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announcement of the date of the annual meeting, if</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The  public  announcement  of  an  adjournment  or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later. The public announcement of an adjournment or</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postponement of an annual meeting will not commence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postponement  of  an  annual  meeting  shall  not</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 new time period (or extend any time period) for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commence a new time period (or extend any time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giving  of  a  stockholder’s  notice.  Additionally,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period)  for  the  giving  of  a  stockholder’s  notice.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stockholder must provide information pursuant to the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Additionally,   the   stockholder   must   provide</w:t>
            </w: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advance notice provisions in the Amended By-laws.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information pursuant to the advance notice provisions</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in the Current By-laws.</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460" w:type="dxa"/>
            <w:vAlign w:val="bottom"/>
            <w:tcBorders>
              <w:bottom w:val="single" w:sz="8" w:color="auto"/>
            </w:tcBorders>
            <w:gridSpan w:val="2"/>
          </w:tcPr>
          <w:p>
            <w:pPr>
              <w:ind w:left="3460"/>
              <w:spacing w:after="0"/>
              <w:rPr>
                <w:sz w:val="20"/>
                <w:szCs w:val="20"/>
                <w:color w:val="auto"/>
              </w:rPr>
            </w:pPr>
            <w:r>
              <w:rPr>
                <w:rFonts w:ascii="Times New Roman" w:cs="Times New Roman" w:eastAsia="Times New Roman" w:hAnsi="Times New Roman"/>
                <w:sz w:val="16"/>
                <w:szCs w:val="16"/>
                <w:color w:val="auto"/>
              </w:rPr>
              <w:t>207</w:t>
            </w:r>
          </w:p>
        </w:tc>
        <w:tc>
          <w:tcPr>
            <w:tcW w:w="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217" w:name="page218"/>
    <w:bookmarkEnd w:id="21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5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FS Development</w:t>
            </w:r>
          </w:p>
        </w:tc>
        <w:tc>
          <w:tcPr>
            <w:tcW w:w="36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Combined Entity</w:t>
            </w:r>
          </w:p>
        </w:tc>
        <w:tc>
          <w:tcPr>
            <w:tcW w:w="0" w:type="dxa"/>
            <w:vAlign w:val="bottom"/>
          </w:tcPr>
          <w:p>
            <w:pPr>
              <w:spacing w:after="0"/>
              <w:rPr>
                <w:sz w:val="1"/>
                <w:szCs w:val="1"/>
                <w:color w:val="auto"/>
              </w:rPr>
            </w:pPr>
          </w:p>
        </w:tc>
      </w:tr>
      <w:tr>
        <w:trPr>
          <w:trHeight w:val="78"/>
        </w:trPr>
        <w:tc>
          <w:tcPr>
            <w:tcW w:w="71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7160" w:type="dxa"/>
            <w:vAlign w:val="bottom"/>
            <w:gridSpan w:val="2"/>
          </w:tcPr>
          <w:p>
            <w:pPr>
              <w:ind w:left="1500"/>
              <w:spacing w:after="0"/>
              <w:rPr>
                <w:sz w:val="20"/>
                <w:szCs w:val="20"/>
                <w:color w:val="auto"/>
              </w:rPr>
            </w:pPr>
            <w:r>
              <w:rPr>
                <w:rFonts w:ascii="Times New Roman" w:cs="Times New Roman" w:eastAsia="Times New Roman" w:hAnsi="Times New Roman"/>
                <w:sz w:val="16"/>
                <w:szCs w:val="16"/>
                <w:b w:val="1"/>
                <w:bCs w:val="1"/>
                <w:color w:val="auto"/>
              </w:rPr>
              <w:t>Stockholder Nominations of Persons for Election as Directors</w:t>
            </w: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Nominations of persons for election to Board may be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Nominations of persons for election to the Combined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made by any stockholder of FS Development who is a</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Entity’s  board  of  directors  may  be  made  by  any</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stockholder of record entitled to vote in the election of</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 of Combined Entity who provides a timely</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directors on the date of the giving of the notice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 (i.e. provides notice which must be received in</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required (as described below) and on the record date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writing  by  the  secretary  of  Combined  Entity  at</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for the determination of stockholders entitled to vote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Combined Entity’s principal executive officer either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at such meeting and who gives proper notice.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 in the case of an election of directors at an annual</w:t>
            </w:r>
          </w:p>
        </w:tc>
        <w:tc>
          <w:tcPr>
            <w:tcW w:w="0" w:type="dxa"/>
            <w:vAlign w:val="bottom"/>
          </w:tcPr>
          <w:p>
            <w:pPr>
              <w:spacing w:after="0"/>
              <w:rPr>
                <w:sz w:val="1"/>
                <w:szCs w:val="1"/>
                <w:color w:val="auto"/>
              </w:rPr>
            </w:pPr>
          </w:p>
        </w:tc>
      </w:tr>
      <w:tr>
        <w:trPr>
          <w:trHeight w:val="191"/>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 give timely notice, a stockholder’s notice must be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meeting, not less than ninety (90) days nor more than</w:t>
            </w:r>
          </w:p>
        </w:tc>
        <w:tc>
          <w:tcPr>
            <w:tcW w:w="0" w:type="dxa"/>
            <w:vAlign w:val="bottom"/>
          </w:tcPr>
          <w:p>
            <w:pPr>
              <w:spacing w:after="0"/>
              <w:rPr>
                <w:sz w:val="1"/>
                <w:szCs w:val="1"/>
                <w:color w:val="auto"/>
              </w:rPr>
            </w:pPr>
          </w:p>
        </w:tc>
      </w:tr>
      <w:tr>
        <w:trPr>
          <w:trHeight w:val="160"/>
        </w:trPr>
        <w:tc>
          <w:tcPr>
            <w:tcW w:w="3540" w:type="dxa"/>
            <w:vAlign w:val="bottom"/>
            <w:vMerge w:val="continue"/>
          </w:tcPr>
          <w:p>
            <w:pPr>
              <w:spacing w:after="0"/>
              <w:rPr>
                <w:sz w:val="13"/>
                <w:szCs w:val="13"/>
                <w:color w:val="auto"/>
              </w:rPr>
            </w:pPr>
          </w:p>
        </w:tc>
        <w:tc>
          <w:tcPr>
            <w:tcW w:w="3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one  hundred  twenty  (120)  days  prior  to  the  first</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given to the Secretary of FS Development at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anniversary of the preceding year’s annual meeting (in</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offices of FS Development either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most cases) or (ii) in the case of an election of directors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 in the case of an annual meeting, not later than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 a special meeting, not earlier than one hundred</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rPr>
              <w:t>close of business on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nor earlier</w:t>
            </w:r>
          </w:p>
        </w:tc>
        <w:tc>
          <w:tcPr>
            <w:tcW w:w="3620" w:type="dxa"/>
            <w:vAlign w:val="bottom"/>
          </w:tcPr>
          <w:p>
            <w:pPr>
              <w:ind w:left="40"/>
              <w:spacing w:after="0" w:line="191" w:lineRule="exact"/>
              <w:rPr>
                <w:sz w:val="20"/>
                <w:szCs w:val="20"/>
                <w:color w:val="auto"/>
              </w:rPr>
            </w:pPr>
            <w:r>
              <w:rPr>
                <w:rFonts w:ascii="Times New Roman" w:cs="Times New Roman" w:eastAsia="Times New Roman" w:hAnsi="Times New Roman"/>
                <w:sz w:val="16"/>
                <w:szCs w:val="16"/>
                <w:color w:val="auto"/>
              </w:rPr>
              <w:t>twentieth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prior to such special meeting and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than  the  close  of  business  on  the  one  hundred</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not later than the close of business on the later of (a) the</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w w:val="99"/>
              </w:rPr>
              <w:t>twentieth (120</w:t>
            </w:r>
            <w:r>
              <w:rPr>
                <w:rFonts w:ascii="Times New Roman" w:cs="Times New Roman" w:eastAsia="Times New Roman" w:hAnsi="Times New Roman"/>
                <w:sz w:val="18"/>
                <w:szCs w:val="18"/>
                <w:color w:val="auto"/>
                <w:w w:val="99"/>
                <w:vertAlign w:val="superscript"/>
              </w:rPr>
              <w:t>th</w:t>
            </w:r>
            <w:r>
              <w:rPr>
                <w:rFonts w:ascii="Times New Roman" w:cs="Times New Roman" w:eastAsia="Times New Roman" w:hAnsi="Times New Roman"/>
                <w:sz w:val="16"/>
                <w:szCs w:val="16"/>
                <w:color w:val="auto"/>
                <w:w w:val="99"/>
              </w:rPr>
              <w:t>) day before the anniversary date of the</w:t>
            </w:r>
          </w:p>
        </w:tc>
        <w:tc>
          <w:tcPr>
            <w:tcW w:w="3620" w:type="dxa"/>
            <w:vAlign w:val="bottom"/>
          </w:tcPr>
          <w:p>
            <w:pPr>
              <w:ind w:left="40"/>
              <w:spacing w:after="0" w:line="191" w:lineRule="exact"/>
              <w:rPr>
                <w:sz w:val="20"/>
                <w:szCs w:val="20"/>
                <w:color w:val="auto"/>
              </w:rPr>
            </w:pPr>
            <w:r>
              <w:rPr>
                <w:rFonts w:ascii="Times New Roman" w:cs="Times New Roman" w:eastAsia="Times New Roman" w:hAnsi="Times New Roman"/>
                <w:sz w:val="16"/>
                <w:szCs w:val="16"/>
                <w:color w:val="auto"/>
              </w:rPr>
              <w:t>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prior to such special meeting and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immediately preceding annual meeting of stockholders</w:t>
            </w:r>
          </w:p>
        </w:tc>
        <w:tc>
          <w:tcPr>
            <w:tcW w:w="3620" w:type="dxa"/>
            <w:vAlign w:val="bottom"/>
          </w:tcPr>
          <w:p>
            <w:pPr>
              <w:ind w:left="40"/>
              <w:spacing w:after="0" w:line="191" w:lineRule="exact"/>
              <w:rPr>
                <w:sz w:val="20"/>
                <w:szCs w:val="20"/>
                <w:color w:val="auto"/>
              </w:rPr>
            </w:pPr>
            <w:r>
              <w:rPr>
                <w:rFonts w:ascii="Times New Roman" w:cs="Times New Roman" w:eastAsia="Times New Roman" w:hAnsi="Times New Roman"/>
                <w:sz w:val="16"/>
                <w:szCs w:val="16"/>
                <w:color w:val="auto"/>
              </w:rPr>
              <w:t>(b)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(in most cases) and (ii) in the case of a special meeting</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public disclosure of the date of such special meeting for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 stockholders called for the purpose of electing</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election of directors is first made), is a stockholder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directors, not later than the close of business on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record on the date of giving such notices and on the</w:t>
            </w:r>
          </w:p>
        </w:tc>
        <w:tc>
          <w:tcPr>
            <w:tcW w:w="0" w:type="dxa"/>
            <w:vAlign w:val="bottom"/>
          </w:tcPr>
          <w:p>
            <w:pPr>
              <w:spacing w:after="0"/>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6"/>
                <w:szCs w:val="16"/>
                <w:color w:val="auto"/>
              </w:rPr>
              <w:t>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 public</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record  date  for  the  determination  of  stockholders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announcement of the date of the special meeting is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entitled to vote at such a meeting, and is entitled to vote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first made.</w:t>
            </w:r>
          </w:p>
        </w:tc>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at such meeting and on such election.</w:t>
            </w:r>
          </w:p>
        </w:tc>
        <w:tc>
          <w:tcPr>
            <w:tcW w:w="0" w:type="dxa"/>
            <w:vAlign w:val="bottom"/>
          </w:tcPr>
          <w:p>
            <w:pPr>
              <w:spacing w:after="0"/>
              <w:rPr>
                <w:sz w:val="1"/>
                <w:szCs w:val="1"/>
                <w:color w:val="auto"/>
              </w:rPr>
            </w:pPr>
          </w:p>
        </w:tc>
      </w:tr>
      <w:tr>
        <w:trPr>
          <w:trHeight w:val="48"/>
        </w:trPr>
        <w:tc>
          <w:tcPr>
            <w:tcW w:w="3540" w:type="dxa"/>
            <w:vAlign w:val="bottom"/>
          </w:tcPr>
          <w:p>
            <w:pPr>
              <w:spacing w:after="0"/>
              <w:rPr>
                <w:sz w:val="4"/>
                <w:szCs w:val="4"/>
                <w:color w:val="auto"/>
              </w:rPr>
            </w:pPr>
          </w:p>
        </w:tc>
        <w:tc>
          <w:tcPr>
            <w:tcW w:w="3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Limitation of Liability of Directors and Officers</w:t>
      </w:r>
    </w:p>
    <w:p>
      <w:pPr>
        <w:spacing w:after="0" w:line="177" w:lineRule="exact"/>
        <w:rPr>
          <w:sz w:val="20"/>
          <w:szCs w:val="20"/>
          <w:color w:val="auto"/>
        </w:rPr>
      </w:pPr>
    </w:p>
    <w:p>
      <w:pPr>
        <w:ind w:left="920" w:right="939"/>
        <w:spacing w:after="0"/>
        <w:rPr>
          <w:sz w:val="20"/>
          <w:szCs w:val="20"/>
          <w:color w:val="auto"/>
        </w:rPr>
      </w:pPr>
      <w:r>
        <w:rPr>
          <w:rFonts w:ascii="Times New Roman" w:cs="Times New Roman" w:eastAsia="Times New Roman" w:hAnsi="Times New Roman"/>
          <w:sz w:val="16"/>
          <w:szCs w:val="16"/>
          <w:color w:val="auto"/>
        </w:rPr>
        <w:t>The DGCL permits limiting or eliminating the The DGCL permits limiting or eliminating the monetary liability of a director to a corporation or its monetary liability of a director to a corporation or its stockholders, except with regard to breaches of the stockholders, except with regard to breaches of the duty duty of loyalty, intentional misconduct, unlawful of loyalty, intentional misconduct, unlawful repurchases repurchases or dividends, or improper personal or dividends, or improper personal benefit. benefit.</w:t>
      </w:r>
    </w:p>
    <w:p>
      <w:pPr>
        <w:spacing w:after="0" w:line="1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The Proposed Charter provides that no director will be</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Current Charter provides that no director will be personally liable, except to the extent an exemption</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personally liable, except to the extent an exemption from liability or limitation is not permitted under the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from liability or limitation is not permitted under the DGCL, unless a director breached his or her duty of</w:t>
      </w:r>
    </w:p>
    <w:p>
      <w:pPr>
        <w:spacing w:after="0" w:line="7" w:lineRule="exact"/>
        <w:rPr>
          <w:sz w:val="20"/>
          <w:szCs w:val="20"/>
          <w:color w:val="auto"/>
        </w:rPr>
      </w:pPr>
    </w:p>
    <w:p>
      <w:pPr>
        <w:ind w:left="920"/>
        <w:spacing w:after="0"/>
        <w:tabs>
          <w:tab w:leader="none" w:pos="5060" w:val="left"/>
          <w:tab w:leader="none" w:pos="5320" w:val="left"/>
          <w:tab w:leader="none" w:pos="6140" w:val="left"/>
          <w:tab w:leader="none" w:pos="6660" w:val="left"/>
          <w:tab w:leader="none" w:pos="6940" w:val="left"/>
          <w:tab w:leader="none" w:pos="7220" w:val="left"/>
        </w:tabs>
        <w:rPr>
          <w:sz w:val="20"/>
          <w:szCs w:val="20"/>
          <w:color w:val="auto"/>
        </w:rPr>
      </w:pPr>
      <w:r>
        <w:rPr>
          <w:rFonts w:ascii="Times New Roman" w:cs="Times New Roman" w:eastAsia="Times New Roman" w:hAnsi="Times New Roman"/>
          <w:sz w:val="16"/>
          <w:szCs w:val="16"/>
          <w:color w:val="auto"/>
        </w:rPr>
        <w:t>DGCL, unless a director violated his or her duty of loyalty</w:t>
        <w:tab/>
        <w:t>to</w:t>
        <w:tab/>
        <w:t>Combined</w:t>
        <w:tab/>
        <w:t>Entity</w:t>
        <w:tab/>
        <w:t>or</w:t>
        <w:tab/>
        <w:t>its</w:t>
      </w:r>
      <w:r>
        <w:rPr>
          <w:sz w:val="20"/>
          <w:szCs w:val="20"/>
          <w:color w:val="auto"/>
        </w:rPr>
        <w:tab/>
      </w:r>
      <w:r>
        <w:rPr>
          <w:rFonts w:ascii="Times New Roman" w:cs="Times New Roman" w:eastAsia="Times New Roman" w:hAnsi="Times New Roman"/>
          <w:sz w:val="15"/>
          <w:szCs w:val="15"/>
          <w:color w:val="auto"/>
        </w:rPr>
        <w:t>stockholders,</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loyalty to the FS Development or its stockholders, performed acts or omissions not in good faith or which</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acted in bad faith, knowingly or intentionally violated involve intentional misconduct or a knowing violation</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law, authorized unlawful payments of dividends, of law, pursuant to Section 174 of the DGCL, or for any</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unlawful stock purchases or unlawful redemptions, or transaction from which the director derived an improper</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derived improper personal benefit from his or her personal benefit.</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actions as a director.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Indemnification of Directors, Officers</w:t>
      </w:r>
    </w:p>
    <w:p>
      <w:pPr>
        <w:spacing w:after="0" w:line="17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DGCL generally permits a corporation to The DGCL generally permits a corporation to indemnify its directors and officers acting in good indemnify its directors and officers acting in good faith. faith. Under the DGCL, the corporation through its Under the DGCL, the corporation through its stockholders, directors or independent legal counsel, stockholders, directors or independent legal counsel, will determine that the conduct of the person seeking will determine that the conduct of the person seeking indemnity conformed with the statutory provisions indemnity conformed with the statutory provisions governing indemnity. governing indemnity.</w:t>
      </w:r>
    </w:p>
    <w:p>
      <w:pPr>
        <w:spacing w:after="0" w:line="95" w:lineRule="exact"/>
        <w:rPr>
          <w:sz w:val="20"/>
          <w:szCs w:val="20"/>
          <w:color w:val="auto"/>
        </w:rPr>
      </w:pPr>
    </w:p>
    <w:p>
      <w:pPr>
        <w:ind w:left="920" w:right="939"/>
        <w:spacing w:after="0" w:line="265" w:lineRule="auto"/>
        <w:rPr>
          <w:sz w:val="20"/>
          <w:szCs w:val="20"/>
          <w:color w:val="auto"/>
        </w:rPr>
      </w:pPr>
      <w:r>
        <w:rPr>
          <w:rFonts w:ascii="Times New Roman" w:cs="Times New Roman" w:eastAsia="Times New Roman" w:hAnsi="Times New Roman"/>
          <w:sz w:val="16"/>
          <w:szCs w:val="16"/>
          <w:color w:val="auto"/>
        </w:rPr>
        <w:t>The Current Charter provides that FS Development The Amended By-laws provide that Combined Entity will indemnify each director and officer to the fullest will indemnify each director and officer to the fullest extent permitted by applicable law. extent permitted by applicable law.</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8" w:name="page219"/>
    <w:bookmarkEnd w:id="21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p>
      <w:pPr>
        <w:ind w:left="214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FS Development</w:t>
      </w:r>
      <w:r>
        <w:rPr>
          <w:sz w:val="20"/>
          <w:szCs w:val="20"/>
          <w:color w:val="auto"/>
        </w:rPr>
        <w:tab/>
      </w:r>
      <w:r>
        <w:rPr>
          <w:rFonts w:ascii="Times New Roman" w:cs="Times New Roman" w:eastAsia="Times New Roman" w:hAnsi="Times New Roman"/>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66040</wp:posOffset>
            </wp:positionV>
            <wp:extent cx="455295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77"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Unless further restricted in the certificate of Unless further restricted in the certificate of incorporation, the DGCL permits a corporation to incorporation, the DGCL permits a corporation to declare and pay dividends out of either (i) surplus, or declare and pay dividends out of either (i) surplus, or</w:t>
      </w:r>
    </w:p>
    <w:p>
      <w:pPr>
        <w:spacing w:after="0" w:line="2" w:lineRule="exact"/>
        <w:rPr>
          <w:sz w:val="20"/>
          <w:szCs w:val="20"/>
          <w:color w:val="auto"/>
        </w:rPr>
      </w:pPr>
    </w:p>
    <w:p>
      <w:pPr>
        <w:jc w:val="both"/>
        <w:ind w:left="920" w:right="939" w:hanging="1"/>
        <w:spacing w:after="0" w:line="249" w:lineRule="auto"/>
        <w:tabs>
          <w:tab w:leader="none" w:pos="1161"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no surplus exists, out of net profits for the fiscal (ii) if no surplus exists, out of net profits for the fiscal year in which the dividend is declared and/or the year in which the dividend is declared and/or the preceding fiscal year (provided that the amount of preceding fiscal year (provided that the amount of capital of the corporation is not less than the aggregate capital of the corporation is not less than the aggregate amount of the capital represented by the issued and amount of the capital represented by the issued and outstanding stock of all classes having a preference outstanding stock of all classes having a preference upon the distribution of assets). The DGCL defines upon the distribution of assets). The DGCL defines surplus as the excess, at any time, of the net assets of a surplus as the excess, at any time, of the net assets of a corporation over its stated capital. In addition, the corporation over its stated capital. In addition, the DGCL provides that a corporation may redeem or DGCL provides that a corporation may redeem or repurchase its shares only when the capital of the repurchase its shares only when the capital of the corporation is not impaired and only if such corporation is not impaired and only if such redemption redemption or repurchase would not cause any or repurchase would not cause any impairment of the</w:t>
      </w:r>
    </w:p>
    <w:p>
      <w:pPr>
        <w:spacing w:after="0" w:line="4" w:lineRule="exact"/>
        <w:rPr>
          <w:sz w:val="20"/>
          <w:szCs w:val="20"/>
          <w:color w:val="auto"/>
        </w:rPr>
      </w:pPr>
    </w:p>
    <w:p>
      <w:pPr>
        <w:ind w:left="920"/>
        <w:spacing w:after="0"/>
        <w:tabs>
          <w:tab w:leader="none" w:pos="4480" w:val="left"/>
        </w:tabs>
        <w:rPr>
          <w:sz w:val="20"/>
          <w:szCs w:val="20"/>
          <w:color w:val="auto"/>
        </w:rPr>
      </w:pPr>
      <w:r>
        <w:rPr>
          <w:rFonts w:ascii="Times New Roman" w:cs="Times New Roman" w:eastAsia="Times New Roman" w:hAnsi="Times New Roman"/>
          <w:sz w:val="16"/>
          <w:szCs w:val="16"/>
          <w:color w:val="auto"/>
        </w:rPr>
        <w:t>impairment of the capital of a corporation.</w:t>
      </w:r>
      <w:r>
        <w:rPr>
          <w:sz w:val="20"/>
          <w:szCs w:val="20"/>
          <w:color w:val="auto"/>
        </w:rPr>
        <w:tab/>
      </w:r>
      <w:r>
        <w:rPr>
          <w:rFonts w:ascii="Times New Roman" w:cs="Times New Roman" w:eastAsia="Times New Roman" w:hAnsi="Times New Roman"/>
          <w:sz w:val="15"/>
          <w:szCs w:val="15"/>
          <w:color w:val="auto"/>
        </w:rPr>
        <w:t>capital of a corporation.</w:t>
      </w:r>
    </w:p>
    <w:p>
      <w:pPr>
        <w:spacing w:after="0" w:line="110" w:lineRule="exact"/>
        <w:rPr>
          <w:sz w:val="20"/>
          <w:szCs w:val="20"/>
          <w:color w:val="auto"/>
        </w:rPr>
      </w:pPr>
    </w:p>
    <w:p>
      <w:pPr>
        <w:ind w:left="920" w:right="939"/>
        <w:spacing w:after="0" w:line="256" w:lineRule="auto"/>
        <w:rPr>
          <w:sz w:val="20"/>
          <w:szCs w:val="20"/>
          <w:color w:val="auto"/>
        </w:rPr>
      </w:pPr>
      <w:r>
        <w:rPr>
          <w:rFonts w:ascii="Times New Roman" w:cs="Times New Roman" w:eastAsia="Times New Roman" w:hAnsi="Times New Roman"/>
          <w:sz w:val="16"/>
          <w:szCs w:val="16"/>
          <w:color w:val="auto"/>
        </w:rPr>
        <w:t>The Current Charter provides that, subject to The Proposed Charter provides dividends may be applicable law and the rights, if any, of outstanding declared only when and as declared by the board of shares of preferred stock, the holders of FS directors of the Combined Entity or any authorized Development common stock will be entitled to receive committee thereof out of any assets of Combined Entity dividends (payable in cash, property, or capital stock legally available for dividends. of FS Development) when, as, and if declared by the</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board of directors from time to time out of any assets</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of FS Development legally available for dividends.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Liquidation</w:t>
      </w:r>
    </w:p>
    <w:p>
      <w:pPr>
        <w:spacing w:after="0" w:line="177" w:lineRule="exact"/>
        <w:rPr>
          <w:sz w:val="20"/>
          <w:szCs w:val="20"/>
          <w:color w:val="auto"/>
        </w:rPr>
      </w:pPr>
    </w:p>
    <w:p>
      <w:pPr>
        <w:ind w:left="920" w:right="939"/>
        <w:spacing w:after="0" w:line="252" w:lineRule="auto"/>
        <w:rPr>
          <w:sz w:val="20"/>
          <w:szCs w:val="20"/>
          <w:color w:val="auto"/>
        </w:rPr>
      </w:pPr>
      <w:r>
        <w:rPr>
          <w:rFonts w:ascii="Times New Roman" w:cs="Times New Roman" w:eastAsia="Times New Roman" w:hAnsi="Times New Roman"/>
          <w:sz w:val="16"/>
          <w:szCs w:val="16"/>
          <w:color w:val="auto"/>
        </w:rPr>
        <w:t>Subject to applicable law and the rights, if any, of the Subject to applicable law and the preferential or other holders of outstanding shares of preferred stock, the rights of any holders of preferred stock then Current Charter provides that following the payment outstanding, the Proposed Charter provides that upon or provision for payment of the debts and other the voluntary or involuntary liquidation, dissolution or liabilities of FS Development in the event of an winding up of the Combined Entity, the net assets of the voluntary or involuntary liquidation, dissolution, or Combined Entity shall be distributed pro rata to the winding up of FS Development, the holders of FS holders of Combined Entity common stock. Development common stock shall be entitled to</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receive all the remaining assets of FS Development</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available for distribution to its stockholders, ratably in</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proportion to the number of shares of FS Development</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Shares held by them.</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Supermajority Voting Provisions</w:t>
      </w:r>
    </w:p>
    <w:p>
      <w:pPr>
        <w:spacing w:after="0" w:line="177" w:lineRule="exact"/>
        <w:rPr>
          <w:sz w:val="20"/>
          <w:szCs w:val="20"/>
          <w:color w:val="auto"/>
        </w:rPr>
      </w:pPr>
    </w:p>
    <w:p>
      <w:pPr>
        <w:jc w:val="both"/>
        <w:ind w:left="920" w:right="939"/>
        <w:spacing w:after="0" w:line="247" w:lineRule="auto"/>
        <w:rPr>
          <w:sz w:val="20"/>
          <w:szCs w:val="20"/>
          <w:color w:val="auto"/>
        </w:rPr>
      </w:pPr>
      <w:r>
        <w:rPr>
          <w:rFonts w:ascii="Times New Roman" w:cs="Times New Roman" w:eastAsia="Times New Roman" w:hAnsi="Times New Roman"/>
          <w:sz w:val="16"/>
          <w:szCs w:val="16"/>
          <w:color w:val="auto"/>
        </w:rPr>
        <w:t>The blank shell company provisions the Current The affirmative vote of two-thirds (2/3</w:t>
      </w:r>
      <w:r>
        <w:rPr>
          <w:rFonts w:ascii="Times New Roman" w:cs="Times New Roman" w:eastAsia="Times New Roman" w:hAnsi="Times New Roman"/>
          <w:sz w:val="18"/>
          <w:szCs w:val="18"/>
          <w:color w:val="auto"/>
          <w:vertAlign w:val="superscript"/>
        </w:rPr>
        <w:t>rds</w:t>
      </w:r>
      <w:r>
        <w:rPr>
          <w:rFonts w:ascii="Times New Roman" w:cs="Times New Roman" w:eastAsia="Times New Roman" w:hAnsi="Times New Roman"/>
          <w:sz w:val="16"/>
          <w:szCs w:val="16"/>
          <w:color w:val="auto"/>
        </w:rPr>
        <w:t>) of the voting Charter (Article XI) and Article VIII regarding power of the shares of capital stock of Combined Entity indemnification require the affirmative vote of a that would then be entitled to vote in the election of supermajority of the voting power of all outstanding directors at an annual meeting of stockholders will be</w:t>
      </w:r>
    </w:p>
    <w:p>
      <w:pPr>
        <w:ind w:left="920"/>
        <w:spacing w:after="0"/>
        <w:tabs>
          <w:tab w:leader="none" w:pos="4480" w:val="left"/>
        </w:tabs>
        <w:rPr>
          <w:sz w:val="20"/>
          <w:szCs w:val="20"/>
          <w:color w:val="auto"/>
        </w:rPr>
      </w:pPr>
      <w:r>
        <w:rPr>
          <w:rFonts w:ascii="Times New Roman" w:cs="Times New Roman" w:eastAsia="Times New Roman" w:hAnsi="Times New Roman"/>
          <w:sz w:val="16"/>
          <w:szCs w:val="16"/>
          <w:color w:val="auto"/>
        </w:rPr>
        <w:t>shares of capital stock of FS Development.</w:t>
      </w:r>
      <w:r>
        <w:rPr>
          <w:sz w:val="20"/>
          <w:szCs w:val="20"/>
          <w:color w:val="auto"/>
        </w:rPr>
        <w:tab/>
      </w:r>
      <w:r>
        <w:rPr>
          <w:rFonts w:ascii="Times New Roman" w:cs="Times New Roman" w:eastAsia="Times New Roman" w:hAnsi="Times New Roman"/>
          <w:sz w:val="16"/>
          <w:szCs w:val="16"/>
          <w:color w:val="auto"/>
        </w:rPr>
        <w:t>required in order for the stockholders of Combined</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Entity  to  amend  the  Proposed  Charter  in  certain</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circumstances, including provides in the Charter related</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to  amending  the  Amended  By-laws,  increasing  or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decreasing the number of directors, filling vacancies on</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the board of directors, removing a director from office,</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or calling a special meeting of stockholders.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9" w:name="page220"/>
    <w:bookmarkEnd w:id="21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54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FS Development</w:t>
            </w:r>
          </w:p>
        </w:tc>
        <w:tc>
          <w:tcPr>
            <w:tcW w:w="36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Combined Entity</w:t>
            </w:r>
          </w:p>
        </w:tc>
      </w:tr>
      <w:tr>
        <w:trPr>
          <w:trHeight w:val="77"/>
        </w:trPr>
        <w:tc>
          <w:tcPr>
            <w:tcW w:w="7160" w:type="dxa"/>
            <w:vAlign w:val="bottom"/>
            <w:tcBorders>
              <w:bottom w:val="single" w:sz="8" w:color="auto"/>
            </w:tcBorders>
            <w:gridSpan w:val="3"/>
          </w:tcPr>
          <w:p>
            <w:pPr>
              <w:spacing w:after="0"/>
              <w:rPr>
                <w:sz w:val="6"/>
                <w:szCs w:val="6"/>
                <w:color w:val="auto"/>
              </w:rPr>
            </w:pPr>
          </w:p>
        </w:tc>
      </w:tr>
      <w:tr>
        <w:trPr>
          <w:trHeight w:val="219"/>
        </w:trPr>
        <w:tc>
          <w:tcPr>
            <w:tcW w:w="7160" w:type="dxa"/>
            <w:vAlign w:val="bottom"/>
            <w:gridSpan w:val="3"/>
          </w:tcPr>
          <w:p>
            <w:pPr>
              <w:ind w:left="1520"/>
              <w:spacing w:after="0"/>
              <w:rPr>
                <w:sz w:val="20"/>
                <w:szCs w:val="20"/>
                <w:color w:val="auto"/>
              </w:rPr>
            </w:pPr>
            <w:r>
              <w:rPr>
                <w:rFonts w:ascii="Times New Roman" w:cs="Times New Roman" w:eastAsia="Times New Roman" w:hAnsi="Times New Roman"/>
                <w:sz w:val="16"/>
                <w:szCs w:val="16"/>
                <w:b w:val="1"/>
                <w:bCs w:val="1"/>
                <w:color w:val="auto"/>
              </w:rPr>
              <w:t>Anti-Takeover Provisions and Other Stockholder Protections</w:t>
            </w:r>
          </w:p>
        </w:tc>
      </w:tr>
      <w:tr>
        <w:trPr>
          <w:trHeight w:val="342"/>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anti-takeover provisions and other stockholder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anti-takeover  provisions  and  other  stockholder</w:t>
            </w:r>
          </w:p>
        </w:tc>
      </w:tr>
      <w:tr>
        <w:trPr>
          <w:trHeight w:val="19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protections  in  the  Current</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include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protections included in the Proposed Charter include a</w:t>
            </w:r>
          </w:p>
        </w:tc>
      </w:tr>
      <w:tr>
        <w:trPr>
          <w:trHeight w:val="19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staggered board, a prohibition</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 stockholder action</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staggered board, a prohibition on stockholder action by</w:t>
            </w:r>
          </w:p>
        </w:tc>
      </w:tr>
      <w:tr>
        <w:trPr>
          <w:trHeight w:val="19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by written consent other than</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relates to Class B</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written consent and blank check preferred stock. The</w:t>
            </w:r>
          </w:p>
        </w:tc>
      </w:tr>
      <w:tr>
        <w:trPr>
          <w:trHeight w:val="20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and blank check preferred stock.</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Combined Entity opts out of Section 203 of the DGCL.</w:t>
            </w:r>
          </w:p>
        </w:tc>
      </w:tr>
    </w:tbl>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203  of  the  DGCL  prohibit  a  Delaware</w:t>
      </w:r>
    </w:p>
    <w:p>
      <w:pPr>
        <w:spacing w:after="0" w:line="24" w:lineRule="exact"/>
        <w:rPr>
          <w:sz w:val="20"/>
          <w:szCs w:val="20"/>
          <w:color w:val="auto"/>
        </w:rPr>
      </w:pPr>
    </w:p>
    <w:p>
      <w:pPr>
        <w:ind w:left="920"/>
        <w:spacing w:after="0"/>
        <w:tabs>
          <w:tab w:leader="none" w:pos="1840" w:val="left"/>
          <w:tab w:leader="none" w:pos="2360" w:val="left"/>
          <w:tab w:leader="none" w:pos="3160" w:val="left"/>
          <w:tab w:leader="none" w:pos="3500" w:val="left"/>
          <w:tab w:leader="none" w:pos="3780" w:val="left"/>
        </w:tabs>
        <w:rPr>
          <w:sz w:val="20"/>
          <w:szCs w:val="20"/>
          <w:color w:val="auto"/>
        </w:rPr>
      </w:pPr>
      <w:r>
        <w:rPr>
          <w:rFonts w:ascii="Times New Roman" w:cs="Times New Roman" w:eastAsia="Times New Roman" w:hAnsi="Times New Roman"/>
          <w:sz w:val="16"/>
          <w:szCs w:val="16"/>
          <w:color w:val="auto"/>
        </w:rPr>
        <w:t>corporation</w:t>
        <w:tab/>
        <w:t>from</w:t>
        <w:tab/>
        <w:t>engaging</w:t>
        <w:tab/>
        <w:t>in</w:t>
        <w:tab/>
        <w:t>a</w:t>
        <w:tab/>
        <w:t>“business</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combination” with an “interested stockholder” (i.e. a</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stockholder owning 15% or more of FS Development</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voting stock) for three years following the time that</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“interested stockholder” becomes such, subject to</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certain exceptions.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Preemptive Rights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There are no preemptive rights relating to the capital</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 are no preemptive rights relating to the capital</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 of FS.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of the Combined Entity.</w:t>
            </w:r>
          </w:p>
        </w:tc>
        <w:tc>
          <w:tcPr>
            <w:tcW w:w="0" w:type="dxa"/>
            <w:vAlign w:val="bottom"/>
          </w:tcPr>
          <w:p>
            <w:pPr>
              <w:spacing w:after="0"/>
              <w:rPr>
                <w:sz w:val="1"/>
                <w:szCs w:val="1"/>
                <w:color w:val="auto"/>
              </w:rPr>
            </w:pPr>
          </w:p>
        </w:tc>
      </w:tr>
      <w:tr>
        <w:trPr>
          <w:trHeight w:val="358"/>
        </w:trPr>
        <w:tc>
          <w:tcPr>
            <w:tcW w:w="7160" w:type="dxa"/>
            <w:vAlign w:val="bottom"/>
            <w:gridSpan w:val="2"/>
          </w:tcPr>
          <w:p>
            <w:pPr>
              <w:ind w:left="2600"/>
              <w:spacing w:after="0"/>
              <w:rPr>
                <w:sz w:val="20"/>
                <w:szCs w:val="20"/>
                <w:color w:val="auto"/>
              </w:rPr>
            </w:pPr>
            <w:r>
              <w:rPr>
                <w:rFonts w:ascii="Times New Roman" w:cs="Times New Roman" w:eastAsia="Times New Roman" w:hAnsi="Times New Roman"/>
                <w:sz w:val="16"/>
                <w:szCs w:val="16"/>
                <w:b w:val="1"/>
                <w:bCs w:val="1"/>
                <w:color w:val="auto"/>
              </w:rPr>
              <w:t>Fiduciary Duties of Directors</w:t>
            </w:r>
          </w:p>
        </w:tc>
        <w:tc>
          <w:tcPr>
            <w:tcW w:w="0" w:type="dxa"/>
            <w:vAlign w:val="bottom"/>
          </w:tcPr>
          <w:p>
            <w:pPr>
              <w:spacing w:after="0"/>
              <w:rPr>
                <w:sz w:val="1"/>
                <w:szCs w:val="1"/>
                <w:color w:val="auto"/>
              </w:rPr>
            </w:pPr>
          </w:p>
        </w:tc>
      </w:tr>
      <w:tr>
        <w:trPr>
          <w:trHeight w:val="342"/>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Under Delaware law, the standards of conduct for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Under Delaware law, the standards of conduct for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directors have developed through Delaware court case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directors have developed through Delaware court case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law. Generally, directors must exercise a duty of care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law. Generally, directors must exercise a duty of care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and duty of loyalty and good faith to the company and</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duty of loyalty and good faith to the company and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its stockholders. Members of the board of directors or</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its stockholders. Members of the board of directors or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any committee designated by the board of directors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any committee designated by the board of directors are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are similarly entitled to rely in good faith upon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similarly entitled to rely in good faith upon the records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records of the corporation and upon such information,</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of the corporation and upon such information, opinions,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opinions,  reports  and  statements  presented  to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reports and statements presented to the corporation by</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corporation   by   corporate   officers,   employees,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officers, employees, committees of the board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committees of the board of directors or other persons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directors or other persons as to matters such member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as to matters such member reasonably believes are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reasonably believes are within such other person’s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within  such  other  person’s  professional  or  expert</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or expert competence, provided that such</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competence, provided that such other person has been</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person has been selected with reasonable care by</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selected with reasonable care by or on behalf of the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  on  behalf  of  the  corporation.  Such  appropriate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corporation. Such appropriate reliance on records and</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reliance  on  records  and  other  information  protects</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other  information  protects  directors  from  liability</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directors from liability related to decisions made based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related to decisions made based on such records and</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on such records and other information.</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other information.</w:t>
            </w:r>
          </w:p>
        </w:tc>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The Combined Entity’s board of directors may exercise</w:t>
            </w:r>
          </w:p>
        </w:tc>
        <w:tc>
          <w:tcPr>
            <w:tcW w:w="0" w:type="dxa"/>
            <w:vAlign w:val="bottom"/>
          </w:tcPr>
          <w:p>
            <w:pPr>
              <w:spacing w:after="0"/>
              <w:rPr>
                <w:sz w:val="1"/>
                <w:szCs w:val="1"/>
                <w:color w:val="auto"/>
              </w:rPr>
            </w:pPr>
          </w:p>
        </w:tc>
      </w:tr>
      <w:tr>
        <w:trPr>
          <w:trHeight w:val="103"/>
        </w:trPr>
        <w:tc>
          <w:tcPr>
            <w:tcW w:w="354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The  Board  may  exercise  all  such  powers  of  FS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 such authority and powers of Combined Entity and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Development and do all such lawful acts and things as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 all such lawful acts and things as are not by statute</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are not by statute or the Current Charter or Current</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 the Proposed Charter or Amended By-laws directed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By-laws directed or required to be exercised or done</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 required to be exercised or done solely by the</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solely by stockholders.</w:t>
            </w:r>
          </w:p>
        </w:tc>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Inspection of Books and Records</w:t>
      </w:r>
    </w:p>
    <w:p>
      <w:pPr>
        <w:spacing w:after="0" w:line="177" w:lineRule="exact"/>
        <w:rPr>
          <w:sz w:val="20"/>
          <w:szCs w:val="20"/>
          <w:color w:val="auto"/>
        </w:rPr>
      </w:pPr>
    </w:p>
    <w:p>
      <w:pPr>
        <w:ind w:left="920" w:right="939"/>
        <w:spacing w:after="0" w:line="252" w:lineRule="auto"/>
        <w:rPr>
          <w:sz w:val="20"/>
          <w:szCs w:val="20"/>
          <w:color w:val="auto"/>
        </w:rPr>
      </w:pPr>
      <w:r>
        <w:rPr>
          <w:rFonts w:ascii="Times New Roman" w:cs="Times New Roman" w:eastAsia="Times New Roman" w:hAnsi="Times New Roman"/>
          <w:sz w:val="16"/>
          <w:szCs w:val="16"/>
          <w:color w:val="auto"/>
        </w:rPr>
        <w:t>Under the DGCL, any stockholder or beneficial owner Under the DGCL, any stockholder or beneficial owner has the right, upon written demand under oath stating has the right, upon written demand under oath stating the proper purpose thereof, either in person or by the proper purpose thereof, either in person or by attorney or other agent, to inspect and make copies attorney or other agent, to inspect and make copies and and extracts from the corporation’s stock ledger, list of extracts from the corporation’s stock ledger, list of stockholders and its other books and records for a stockholders and its other books and records for a proper purpose during the usual hours for business. proper purpose during the usual hours for business. The Current Charter permits FS Development’s books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and records to be kept within or outside Delaware.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0" w:name="page221"/>
    <w:bookmarkEnd w:id="22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p>
      <w:pPr>
        <w:ind w:left="214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FS Development</w:t>
      </w:r>
      <w:r>
        <w:rPr>
          <w:sz w:val="20"/>
          <w:szCs w:val="20"/>
          <w:color w:val="auto"/>
        </w:rPr>
        <w:tab/>
      </w:r>
      <w:r>
        <w:rPr>
          <w:rFonts w:ascii="Times New Roman" w:cs="Times New Roman" w:eastAsia="Times New Roman" w:hAnsi="Times New Roman"/>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66040</wp:posOffset>
            </wp:positionV>
            <wp:extent cx="45529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Choice of Forum</w:t>
      </w:r>
    </w:p>
    <w:p>
      <w:pPr>
        <w:spacing w:after="0" w:line="17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Current Charter generally designates the Court of The Amended By-laws generally designates Court of Chancery of the State of Delaware as the sole and Chancery of the State of Delaware as the sole and exclusive forum for any stockholder (including a exclusive forum for: (i) any derivative action or beneficial owner) to: (i) any derivative action or proceeding brought on behalf of Combined Entity, proceeding brought on behalf of FS Development, (ii) any action asserting a claim of breach of a fiduciary</w:t>
      </w:r>
    </w:p>
    <w:p>
      <w:pPr>
        <w:spacing w:after="0" w:line="3" w:lineRule="exact"/>
        <w:rPr>
          <w:sz w:val="20"/>
          <w:szCs w:val="20"/>
          <w:color w:val="auto"/>
        </w:rPr>
      </w:pPr>
    </w:p>
    <w:p>
      <w:pPr>
        <w:jc w:val="both"/>
        <w:ind w:left="920" w:right="939" w:hanging="1"/>
        <w:spacing w:after="0" w:line="249" w:lineRule="auto"/>
        <w:tabs>
          <w:tab w:leader="none" w:pos="1218"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duty owed by, or any other wrongdoing by, any director fiduciary duty owed by any director, officer, or other officer, employee, or stockholder of Combined Entity, employee of FS Development to FS Development or (iii) any action asserting a claim against Combined FS Development’s stockholders, (iii) any action Entity arising pursuant to any provision of the DCGL, asserting a claim against FS Development, its the Combined Entity Chart, or Combined Entity’s By-directors, officers, or employees arising pursuant to laws, (iv) any action to interpret, apply, enforce, or any provision of the DGCL or the Current Charter or determine the validity of any provisions in the Proposed Current By-laws, (iv) any action asserting a claim Charter or Amended By-laws, or (v) any action against FS Development, its directors, officers, or asserting a claim governed by the internal affairs employees governed by the internal affairs doctrine, doctrine and if brought outside of Delaware in the name and, if brought outside of Delaware, the stockholder of any stockholder, the stockholder bringing the suit bringing the suit will be deemed to have consented to will be deemed to have consented to (a) the personal service of process on such stockholder’s counsel, jurisdiction of the state and federal courts within subject to certain exceptions. In addition, Delaware and (b) service of process on such notwithstanding anything to the contrary in the stockholder’s counsel, subject to certain exceptions. In foregoing, the federal district courts of the addition, notwithstanding anything to the contrary in United States are the exclusive forum for the the foregoing, the federal district courts of the District resolution of any action, suit or proceeding asserting a of Massachusetts are the exclusive forum for the cause of action under the Securities Act. The exclusive resolution of any action, suit or proceeding asserting a forum provision does not apply to suits brought to cause of action under the Securities Act. The exclusive enforce any liability or duty created by the Exchange forum provision does not apply to suits brought to</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Act.</w:t>
            </w:r>
          </w:p>
        </w:tc>
        <w:tc>
          <w:tcPr>
            <w:tcW w:w="53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enforce any liability or duty created by the Exchange</w:t>
            </w:r>
          </w:p>
        </w:tc>
      </w:tr>
      <w:tr>
        <w:trPr>
          <w:trHeight w:val="208"/>
        </w:trPr>
        <w:tc>
          <w:tcPr>
            <w:tcW w:w="1860" w:type="dxa"/>
            <w:vAlign w:val="bottom"/>
          </w:tcPr>
          <w:p>
            <w:pPr>
              <w:spacing w:after="0"/>
              <w:rPr>
                <w:sz w:val="18"/>
                <w:szCs w:val="18"/>
                <w:color w:val="auto"/>
              </w:rPr>
            </w:pPr>
          </w:p>
        </w:tc>
        <w:tc>
          <w:tcPr>
            <w:tcW w:w="53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Act.</w:t>
            </w:r>
          </w:p>
        </w:tc>
      </w:tr>
      <w:tr>
        <w:trPr>
          <w:trHeight w:val="382"/>
        </w:trPr>
        <w:tc>
          <w:tcPr>
            <w:tcW w:w="18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jc w:val="right"/>
              <w:ind w:right="3380"/>
              <w:spacing w:after="0"/>
              <w:rPr>
                <w:sz w:val="20"/>
                <w:szCs w:val="20"/>
                <w:color w:val="auto"/>
              </w:rPr>
            </w:pPr>
            <w:r>
              <w:rPr>
                <w:rFonts w:ascii="Times New Roman" w:cs="Times New Roman" w:eastAsia="Times New Roman" w:hAnsi="Times New Roman"/>
                <w:sz w:val="16"/>
                <w:szCs w:val="16"/>
                <w:color w:val="auto"/>
              </w:rPr>
              <w:t>211</w:t>
            </w:r>
          </w:p>
        </w:tc>
      </w:tr>
    </w:tbl>
    <w:p>
      <w:pPr>
        <w:sectPr>
          <w:pgSz w:w="11900" w:h="16838" w:orient="portrait"/>
          <w:cols w:equalWidth="0" w:num="1">
            <w:col w:w="9019"/>
          </w:cols>
          <w:pgMar w:left="1440" w:top="254" w:right="1440" w:bottom="1440" w:gutter="0" w:footer="0" w:header="0"/>
        </w:sectPr>
      </w:pPr>
    </w:p>
    <w:bookmarkStart w:id="221" w:name="page222"/>
    <w:bookmarkEnd w:id="22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TICKER SYMBOL, MARKET PRICE AND DIVIDEND POLICY</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Ticker Symbol and Market Price</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FS Development Class A Common Stock is currently listed on the Nasdaq Capital Market under the symbol “FSDC.” The closing price of the FS Development Class A Common Stock on October 14, 2020, the last trading day before announcement of the execution of the Merger Agreement, was $11.14. As of January 15, 2021, the record date for the special meeting, the closing price for the FS Development Class A Common Stock, was $12.79.</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We have not paid any cash dividends on shares of FS Development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2" w:name="page223"/>
    <w:bookmarkEnd w:id="22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following table sets forth information regarding (i) the actual beneficial ownership of FS Development Common Stock as of December 31, 2020 (the “</w:t>
      </w:r>
      <w:r>
        <w:rPr>
          <w:rFonts w:ascii="Times New Roman" w:cs="Times New Roman" w:eastAsia="Times New Roman" w:hAnsi="Times New Roman"/>
          <w:sz w:val="16"/>
          <w:szCs w:val="16"/>
          <w:b w:val="1"/>
          <w:bCs w:val="1"/>
          <w:color w:val="auto"/>
        </w:rPr>
        <w:t>Ownership Date</w:t>
      </w:r>
      <w:r>
        <w:rPr>
          <w:rFonts w:ascii="Times New Roman" w:cs="Times New Roman" w:eastAsia="Times New Roman" w:hAnsi="Times New Roman"/>
          <w:sz w:val="16"/>
          <w:szCs w:val="16"/>
          <w:color w:val="auto"/>
        </w:rPr>
        <w:t>”), which is prior to the Closing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102" w:lineRule="exact"/>
        <w:rPr>
          <w:sz w:val="20"/>
          <w:szCs w:val="20"/>
          <w:color w:val="auto"/>
        </w:rPr>
      </w:pPr>
    </w:p>
    <w:p>
      <w:pPr>
        <w:jc w:val="both"/>
        <w:ind w:left="1680" w:right="939" w:hanging="379"/>
        <w:spacing w:after="0" w:line="280" w:lineRule="auto"/>
        <w:tabs>
          <w:tab w:leader="none" w:pos="1827"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who is, or is expected to be, the beneficial owner of more than 5% of issued and outstanding shares of FS Development Common Stock or of the Combined Entity’s common stock;</w:t>
      </w:r>
    </w:p>
    <w:p>
      <w:pPr>
        <w:spacing w:after="0" w:line="84" w:lineRule="exact"/>
        <w:rPr>
          <w:rFonts w:ascii="Times New Roman" w:cs="Times New Roman" w:eastAsia="Times New Roman" w:hAnsi="Times New Roman"/>
          <w:sz w:val="16"/>
          <w:szCs w:val="16"/>
          <w:color w:val="auto"/>
        </w:rPr>
      </w:pPr>
    </w:p>
    <w:p>
      <w:pPr>
        <w:ind w:left="1680" w:hanging="379"/>
        <w:spacing w:after="0"/>
        <w:tabs>
          <w:tab w:leader="none" w:pos="168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current executive officers and directors;</w:t>
      </w:r>
    </w:p>
    <w:p>
      <w:pPr>
        <w:spacing w:after="0" w:line="126"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73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who will (or is expected to) become an executive officer or director of the Combined Entity following the Closing; and</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7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executive officers and directors of FS Development as a group pre-Business Combination and all executive officers and directors of the Combined Entity post-Business Combination.</w:t>
      </w:r>
    </w:p>
    <w:p>
      <w:pPr>
        <w:spacing w:after="0" w:line="8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84"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beneficial ownership of shares of FS Development Common Stock pre-Business Combination is based on 15,535,250 issued and outstanding shares of FS Development Common Stock as of December 31, 2020. The beneficial ownership of shares of FS Development Common Stock immediately following Closing is based on 42,918,589 shares (assuming no redemption) and 31,766,214 shares (assuming maximum redemption) to be outstanding (calculated as of the Record Date and subject to adjustment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 xml:space="preserve">.”) and assumes (i) the issuance of up to 21,500,000 shares as Merger Consideration,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Gemini; Merger Consideration”</w:t>
      </w:r>
      <w:r>
        <w:rPr>
          <w:rFonts w:ascii="Times New Roman" w:cs="Times New Roman" w:eastAsia="Times New Roman" w:hAnsi="Times New Roman"/>
          <w:sz w:val="16"/>
          <w:szCs w:val="16"/>
          <w:color w:val="auto"/>
        </w:rPr>
        <w:t>, (ii) the issuance of 9,506,000 shares of Class A Common Stock in the PIPE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If the actual facts are different than these assumptions (which they are likely to be), the percentage ownership retained by FS Development’s existing stockholders in FS Development will be different.</w:t>
      </w:r>
    </w:p>
    <w:p>
      <w:pPr>
        <w:spacing w:after="0" w:line="11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Unless otherwise indicated, FS Development believes that all persons named in the table have sole voting and investment power with respect to all FS Development Common Stock beneficially owned by them.</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2840" w:type="dxa"/>
            <w:vAlign w:val="bottom"/>
            <w:gridSpan w:val="7"/>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Successor Post-Business Combination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80" w:type="dxa"/>
            <w:vAlign w:val="bottom"/>
            <w:vMerge w:val="restart"/>
          </w:tcPr>
          <w:p>
            <w:pPr>
              <w:spacing w:after="0"/>
              <w:rPr>
                <w:sz w:val="3"/>
                <w:szCs w:val="3"/>
                <w:color w:val="auto"/>
              </w:rPr>
            </w:pPr>
          </w:p>
        </w:tc>
        <w:tc>
          <w:tcPr>
            <w:tcW w:w="1420" w:type="dxa"/>
            <w:vAlign w:val="bottom"/>
            <w:tcBorders>
              <w:bottom w:val="single" w:sz="8" w:color="auto"/>
            </w:tcBorders>
            <w:gridSpan w:val="4"/>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FS Development</w:t>
            </w:r>
          </w:p>
        </w:tc>
        <w:tc>
          <w:tcPr>
            <w:tcW w:w="80" w:type="dxa"/>
            <w:vAlign w:val="bottom"/>
            <w:vMerge w:val="continue"/>
          </w:tcPr>
          <w:p>
            <w:pPr>
              <w:spacing w:after="0"/>
              <w:rPr>
                <w:sz w:val="13"/>
                <w:szCs w:val="13"/>
                <w:color w:val="auto"/>
              </w:rPr>
            </w:pPr>
          </w:p>
        </w:tc>
        <w:tc>
          <w:tcPr>
            <w:tcW w:w="1420" w:type="dxa"/>
            <w:vAlign w:val="bottom"/>
            <w:gridSpan w:val="4"/>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420" w:type="dxa"/>
            <w:vAlign w:val="bottom"/>
            <w:gridSpan w:val="3"/>
          </w:tcPr>
          <w:p>
            <w:pPr>
              <w:jc w:val="right"/>
              <w:ind w:right="142"/>
              <w:spacing w:after="0" w:line="157" w:lineRule="exact"/>
              <w:rPr>
                <w:sz w:val="20"/>
                <w:szCs w:val="20"/>
                <w:color w:val="auto"/>
              </w:rPr>
            </w:pPr>
            <w:r>
              <w:rPr>
                <w:rFonts w:ascii="Times New Roman" w:cs="Times New Roman" w:eastAsia="Times New Roman" w:hAnsi="Times New Roman"/>
                <w:sz w:val="14"/>
                <w:szCs w:val="14"/>
                <w:b w:val="1"/>
                <w:bCs w:val="1"/>
                <w:color w:val="auto"/>
              </w:rPr>
              <w:t>Assuming 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2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FS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Owner</w:t>
            </w:r>
            <w:r>
              <w:rPr>
                <w:rFonts w:ascii="Times New Roman" w:cs="Times New Roman" w:eastAsia="Times New Roman" w:hAnsi="Times New Roman"/>
                <w:sz w:val="16"/>
                <w:szCs w:val="16"/>
                <w:b w:val="1"/>
                <w:bCs w:val="1"/>
                <w:color w:val="auto"/>
                <w:vertAlign w:val="superscript"/>
              </w:rPr>
              <w:t>(1)</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i w:val="1"/>
                <w:iCs w:val="1"/>
                <w:color w:val="auto"/>
              </w:rPr>
              <w:t>Directors and Executive Officers</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of FS Development:</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Jim Tananbaum</w:t>
            </w:r>
            <w:r>
              <w:rPr>
                <w:rFonts w:ascii="Times New Roman" w:cs="Times New Roman" w:eastAsia="Times New Roman" w:hAnsi="Times New Roman"/>
                <w:sz w:val="18"/>
                <w:szCs w:val="18"/>
                <w:color w:val="auto"/>
                <w:vertAlign w:val="superscript"/>
              </w:rPr>
              <w:t>(1)</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3,370,250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4,870,250</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4,870,250</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Dennis Ryan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Michael Rome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Vikram Bajaj</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Robert Carey</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Dan Dubin</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10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Deepa Pakianathan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8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All Directors and Executive</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Officers of FS Development as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 Group (7 Individuals</w:t>
            </w: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3,460,250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4,960,250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4,960,250</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223" w:name="page224"/>
    <w:bookmarkEnd w:id="22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2840" w:type="dxa"/>
            <w:vAlign w:val="bottom"/>
            <w:gridSpan w:val="7"/>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Successor Post-Business Combination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80" w:type="dxa"/>
            <w:vAlign w:val="bottom"/>
            <w:vMerge w:val="restart"/>
          </w:tcPr>
          <w:p>
            <w:pPr>
              <w:spacing w:after="0"/>
              <w:rPr>
                <w:sz w:val="3"/>
                <w:szCs w:val="3"/>
                <w:color w:val="auto"/>
              </w:rPr>
            </w:pPr>
          </w:p>
        </w:tc>
        <w:tc>
          <w:tcPr>
            <w:tcW w:w="1420" w:type="dxa"/>
            <w:vAlign w:val="bottom"/>
            <w:tcBorders>
              <w:bottom w:val="single" w:sz="8" w:color="auto"/>
            </w:tcBorders>
            <w:gridSpan w:val="4"/>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FS Development</w:t>
            </w:r>
          </w:p>
        </w:tc>
        <w:tc>
          <w:tcPr>
            <w:tcW w:w="80" w:type="dxa"/>
            <w:vAlign w:val="bottom"/>
            <w:vMerge w:val="continue"/>
          </w:tcPr>
          <w:p>
            <w:pPr>
              <w:spacing w:after="0"/>
              <w:rPr>
                <w:sz w:val="13"/>
                <w:szCs w:val="13"/>
                <w:color w:val="auto"/>
              </w:rPr>
            </w:pPr>
          </w:p>
        </w:tc>
        <w:tc>
          <w:tcPr>
            <w:tcW w:w="1420" w:type="dxa"/>
            <w:vAlign w:val="bottom"/>
            <w:gridSpan w:val="4"/>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420" w:type="dxa"/>
            <w:vAlign w:val="bottom"/>
            <w:gridSpan w:val="3"/>
          </w:tcPr>
          <w:p>
            <w:pPr>
              <w:jc w:val="right"/>
              <w:ind w:right="141"/>
              <w:spacing w:after="0" w:line="157" w:lineRule="exact"/>
              <w:rPr>
                <w:sz w:val="20"/>
                <w:szCs w:val="20"/>
                <w:color w:val="auto"/>
              </w:rPr>
            </w:pPr>
            <w:r>
              <w:rPr>
                <w:rFonts w:ascii="Times New Roman" w:cs="Times New Roman" w:eastAsia="Times New Roman" w:hAnsi="Times New Roman"/>
                <w:sz w:val="14"/>
                <w:szCs w:val="14"/>
                <w:b w:val="1"/>
                <w:bCs w:val="1"/>
                <w:color w:val="auto"/>
              </w:rPr>
              <w:t>Assuming 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2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FS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Owner</w:t>
            </w:r>
            <w:r>
              <w:rPr>
                <w:rFonts w:ascii="Times New Roman" w:cs="Times New Roman" w:eastAsia="Times New Roman" w:hAnsi="Times New Roman"/>
                <w:sz w:val="16"/>
                <w:szCs w:val="16"/>
                <w:b w:val="1"/>
                <w:bCs w:val="1"/>
                <w:color w:val="auto"/>
                <w:vertAlign w:val="superscript"/>
              </w:rPr>
              <w:t>(1)</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i w:val="1"/>
                <w:iCs w:val="1"/>
                <w:color w:val="auto"/>
              </w:rPr>
              <w:t>Directors and Executive Officers</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of Combined Entity After</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Consummation of the Business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Combination:</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Jason Meyenburg</w:t>
            </w:r>
            <w:r>
              <w:rPr>
                <w:rFonts w:ascii="Times New Roman" w:cs="Times New Roman" w:eastAsia="Times New Roman" w:hAnsi="Times New Roman"/>
                <w:sz w:val="18"/>
                <w:szCs w:val="18"/>
                <w:color w:val="auto"/>
                <w:vertAlign w:val="superscript"/>
              </w:rPr>
              <w:t>(2)</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207,613</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207,613</w:t>
            </w: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Gregg Beloff</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Scott Lauder</w:t>
            </w:r>
            <w:r>
              <w:rPr>
                <w:rFonts w:ascii="Times New Roman" w:cs="Times New Roman" w:eastAsia="Times New Roman" w:hAnsi="Times New Roman"/>
                <w:sz w:val="18"/>
                <w:szCs w:val="18"/>
                <w:color w:val="auto"/>
                <w:vertAlign w:val="superscript"/>
              </w:rPr>
              <w:t>(3)</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160,114</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160,114</w:t>
            </w: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 Uknis</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Jean George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Carl Gordon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Lubner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Tuyen Ong</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Jason Rhodes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Jim Tananbaum</w:t>
            </w:r>
            <w:r>
              <w:rPr>
                <w:rFonts w:ascii="Times New Roman" w:cs="Times New Roman" w:eastAsia="Times New Roman" w:hAnsi="Times New Roman"/>
                <w:sz w:val="18"/>
                <w:szCs w:val="18"/>
                <w:color w:val="auto"/>
                <w:vertAlign w:val="superscript"/>
              </w:rPr>
              <w:t>(1)</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3,370,250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4,870,250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4,870,250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8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All Directors and Executive</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Officers of Combined Entity</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as a Group (10 Individuals)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3,370,250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5,237,977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5,237,977</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51"/>
        </w:trPr>
        <w:tc>
          <w:tcPr>
            <w:tcW w:w="22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Five Percent Holders:</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FS Development Holdings, LLC</w:t>
            </w:r>
            <w:r>
              <w:rPr>
                <w:rFonts w:ascii="Times New Roman" w:cs="Times New Roman" w:eastAsia="Times New Roman" w:hAnsi="Times New Roman"/>
                <w:sz w:val="18"/>
                <w:szCs w:val="18"/>
                <w:color w:val="auto"/>
                <w:vertAlign w:val="superscript"/>
              </w:rPr>
              <w:t>(1)</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3,370,250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4,870,250</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4,870,250</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Entities affiliated with Wellington</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Management Co LLP</w:t>
            </w:r>
            <w:r>
              <w:rPr>
                <w:rFonts w:ascii="Times New Roman" w:cs="Times New Roman" w:eastAsia="Times New Roman" w:hAnsi="Times New Roman"/>
                <w:sz w:val="18"/>
                <w:szCs w:val="18"/>
                <w:color w:val="auto"/>
                <w:vertAlign w:val="superscript"/>
              </w:rPr>
              <w:t>(4)</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629,300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1,329,200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1,329,200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51"/>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Opaleye, L.P.</w:t>
            </w:r>
            <w:r>
              <w:rPr>
                <w:rFonts w:ascii="Times New Roman" w:cs="Times New Roman" w:eastAsia="Times New Roman" w:hAnsi="Times New Roman"/>
                <w:sz w:val="18"/>
                <w:szCs w:val="18"/>
                <w:color w:val="auto"/>
                <w:vertAlign w:val="superscript"/>
              </w:rPr>
              <w:t>(5)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668,400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668,400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668,400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Entities affiliated with Suvretta</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Management, LLC</w:t>
            </w:r>
            <w:r>
              <w:rPr>
                <w:rFonts w:ascii="Times New Roman" w:cs="Times New Roman" w:eastAsia="Times New Roman" w:hAnsi="Times New Roman"/>
                <w:sz w:val="18"/>
                <w:szCs w:val="18"/>
                <w:color w:val="auto"/>
                <w:vertAlign w:val="superscript"/>
              </w:rPr>
              <w:t>(6)</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899,457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1,349,457</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51"/>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Adage Capital Management LP</w:t>
            </w:r>
            <w:r>
              <w:rPr>
                <w:rFonts w:ascii="Times New Roman" w:cs="Times New Roman" w:eastAsia="Times New Roman" w:hAnsi="Times New Roman"/>
                <w:sz w:val="18"/>
                <w:szCs w:val="18"/>
                <w:color w:val="auto"/>
                <w:vertAlign w:val="superscript"/>
              </w:rPr>
              <w:t>(7)</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Orbimed Private Investments VI,</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9"/>
                <w:szCs w:val="9"/>
                <w:color w:val="auto"/>
              </w:rPr>
              <w:t>(8)</w:t>
            </w: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5,824,345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5,824,345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Entities affiliated with Atlas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Ventures</w:t>
            </w:r>
            <w:r>
              <w:rPr>
                <w:rFonts w:ascii="Times New Roman" w:cs="Times New Roman" w:eastAsia="Times New Roman" w:hAnsi="Times New Roman"/>
                <w:sz w:val="18"/>
                <w:szCs w:val="18"/>
                <w:color w:val="auto"/>
                <w:vertAlign w:val="superscript"/>
              </w:rPr>
              <w:t>(9)</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5,252,688</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5,252,688</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Entities affiliated with Lightstone</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w:t>
            </w:r>
            <w:r>
              <w:rPr>
                <w:rFonts w:ascii="Times New Roman" w:cs="Times New Roman" w:eastAsia="Times New Roman" w:hAnsi="Times New Roman"/>
                <w:sz w:val="18"/>
                <w:szCs w:val="18"/>
                <w:color w:val="auto"/>
                <w:vertAlign w:val="superscript"/>
              </w:rPr>
              <w:t>(10)</w:t>
            </w: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4,834,539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4,834,539</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59"/>
        </w:trPr>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Fidelity</w:t>
            </w:r>
            <w:r>
              <w:rPr>
                <w:rFonts w:ascii="Times New Roman" w:cs="Times New Roman" w:eastAsia="Times New Roman" w:hAnsi="Times New Roman"/>
                <w:sz w:val="18"/>
                <w:szCs w:val="18"/>
                <w:color w:val="auto"/>
                <w:vertAlign w:val="superscript"/>
              </w:rPr>
              <w:t>(11)</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280" w:hanging="361"/>
        <w:spacing w:after="0"/>
        <w:tabs>
          <w:tab w:leader="none" w:pos="128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25" w:lineRule="exact"/>
        <w:rPr>
          <w:sz w:val="20"/>
          <w:szCs w:val="20"/>
          <w:color w:val="auto"/>
        </w:rPr>
      </w:pPr>
    </w:p>
    <w:p>
      <w:pPr>
        <w:jc w:val="both"/>
        <w:ind w:left="1300" w:right="939" w:hanging="381"/>
        <w:spacing w:after="0" w:line="270" w:lineRule="auto"/>
        <w:tabs>
          <w:tab w:leader="none" w:pos="1362"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Development Holdings, LLC is the record holder of 1,870,250 shares reported herein. Foresite Capital Fund V, L.P. (“FCM V LP”) is the record holder of 1,500,000 shares reported herein. Foresite Capital Management V, LLC (“FCM V”), is the general partner of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pacing w:after="0" w:line="162" w:lineRule="exact"/>
        <w:rPr>
          <w:rFonts w:ascii="Times New Roman" w:cs="Times New Roman" w:eastAsia="Times New Roman" w:hAnsi="Times New Roman"/>
          <w:sz w:val="14"/>
          <w:szCs w:val="14"/>
          <w:color w:val="auto"/>
        </w:rPr>
      </w:pPr>
    </w:p>
    <w:p>
      <w:pPr>
        <w:ind w:left="1300" w:hanging="381"/>
        <w:spacing w:after="0"/>
        <w:tabs>
          <w:tab w:leader="none" w:pos="130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issuable upon options exercisable upon 60 days of December 31, 2020.</w:t>
      </w:r>
    </w:p>
    <w:p>
      <w:pPr>
        <w:spacing w:after="0" w:line="18" w:lineRule="exact"/>
        <w:rPr>
          <w:rFonts w:ascii="Times New Roman" w:cs="Times New Roman" w:eastAsia="Times New Roman" w:hAnsi="Times New Roman"/>
          <w:sz w:val="14"/>
          <w:szCs w:val="14"/>
          <w:color w:val="auto"/>
        </w:rPr>
      </w:pPr>
    </w:p>
    <w:p>
      <w:pPr>
        <w:ind w:left="1300" w:right="939" w:hanging="381"/>
        <w:spacing w:after="0" w:line="267" w:lineRule="auto"/>
        <w:tabs>
          <w:tab w:leader="none" w:pos="1372"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owned and shares of Common Stock issuable upon options exercisable upon 60 days of December 31, 2020.</w:t>
      </w:r>
    </w:p>
    <w:p>
      <w:pPr>
        <w:jc w:val="both"/>
        <w:ind w:left="1300" w:right="939" w:hanging="381"/>
        <w:spacing w:after="0" w:line="276" w:lineRule="auto"/>
        <w:tabs>
          <w:tab w:leader="none" w:pos="1343"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held pre-Business Combination based solely on review of Schedule 13G filed with the Securities and Exchange Commission on November 2, 2020. Wellington Management Company LLP, a registered investment company under the Investment Company Act of 1940, as amended, is the investment advisor to certain funds associated with Wellington,</w:t>
      </w:r>
    </w:p>
    <w:p>
      <w:pPr>
        <w:sectPr>
          <w:pgSz w:w="11900" w:h="16838" w:orient="portrait"/>
          <w:cols w:equalWidth="0" w:num="1">
            <w:col w:w="9019"/>
          </w:cols>
          <w:pgMar w:left="1440" w:top="254"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24" w:name="page225"/>
    <w:bookmarkEnd w:id="22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24" w:lineRule="exact"/>
        <w:rPr>
          <w:sz w:val="20"/>
          <w:szCs w:val="20"/>
          <w:color w:val="auto"/>
        </w:rPr>
      </w:pPr>
    </w:p>
    <w:p>
      <w:pPr>
        <w:jc w:val="both"/>
        <w:ind w:left="1300" w:right="939"/>
        <w:spacing w:after="0" w:line="264" w:lineRule="auto"/>
        <w:rPr>
          <w:sz w:val="20"/>
          <w:szCs w:val="20"/>
          <w:color w:val="auto"/>
        </w:rPr>
      </w:pPr>
      <w:r>
        <w:rPr>
          <w:rFonts w:ascii="Times New Roman" w:cs="Times New Roman" w:eastAsia="Times New Roman" w:hAnsi="Times New Roman"/>
          <w:sz w:val="14"/>
          <w:szCs w:val="14"/>
          <w:color w:val="auto"/>
        </w:rPr>
        <w:t>and Wellington Alternative Investments LLC is its general partner. Wellington Management Investment, Inc. is the managing member of Wellington Alternative Investments LLC. Wellington Management Company LLP is an indirect subsidiary of Wellington Management Group LLP. Wellington Management Group LLP and Wellington Management Company LLP may be deemed beneficial owners with shared voting and investment power over such shares.</w:t>
      </w:r>
    </w:p>
    <w:p>
      <w:pPr>
        <w:spacing w:after="0" w:line="3" w:lineRule="exact"/>
        <w:rPr>
          <w:sz w:val="20"/>
          <w:szCs w:val="20"/>
          <w:color w:val="auto"/>
        </w:rPr>
      </w:pPr>
    </w:p>
    <w:p>
      <w:pPr>
        <w:jc w:val="both"/>
        <w:ind w:left="1300" w:right="939" w:hanging="381"/>
        <w:spacing w:after="0" w:line="267" w:lineRule="auto"/>
        <w:tabs>
          <w:tab w:leader="none" w:pos="1343"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held pre-Business Combination based solely on review of Schedule 13G filed with the Securities and Exchange Commission on January 8, 2021. Opaleye Management Inc. is the investment management with respect to the shares held by Opaleye, L.P. Opaleye Management Inc. also serves as a portfolio manager for a separate managed account and may be deemed to indirectly beneficially own securities held by such separate managed account. Opaleye Management Inc. disclaims beneficial ownership of the shares held by the separate managed account. Mr. James Silverman is the President of Opaleye Management Inc.</w:t>
      </w:r>
    </w:p>
    <w:p>
      <w:pPr>
        <w:jc w:val="both"/>
        <w:ind w:left="1300" w:right="939" w:hanging="381"/>
        <w:spacing w:after="0" w:line="267" w:lineRule="auto"/>
        <w:tabs>
          <w:tab w:leader="none" w:pos="1343"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held pre-Business Combination based solely on review of Schedule 13G filed with the Securities and Exchange Commission on October 26, 2020. Suvretta Capital Management, LLC has shared voting and dispositive power over the shares held by funds associated with it and Aaron Cowen is a control person of Suvretta Capital Management, LLC and as such may be deemed to beneficially own these shares with shared voting and investment power over such shares.</w:t>
      </w:r>
    </w:p>
    <w:p>
      <w:pPr>
        <w:jc w:val="both"/>
        <w:ind w:left="1300" w:right="939" w:hanging="381"/>
        <w:spacing w:after="0" w:line="267" w:lineRule="auto"/>
        <w:tabs>
          <w:tab w:leader="none" w:pos="1343"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held pre-Business Combination based solely on review of Schedule 13G filed with the Securities and Exchange Commission on August 24, 2020. Adage Captial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w:t>
      </w:r>
    </w:p>
    <w:p>
      <w:pPr>
        <w:spacing w:after="0" w:line="1" w:lineRule="exact"/>
        <w:rPr>
          <w:rFonts w:ascii="Times New Roman" w:cs="Times New Roman" w:eastAsia="Times New Roman" w:hAnsi="Times New Roman"/>
          <w:sz w:val="14"/>
          <w:szCs w:val="14"/>
          <w:color w:val="auto"/>
        </w:rPr>
      </w:pPr>
    </w:p>
    <w:p>
      <w:pPr>
        <w:jc w:val="both"/>
        <w:ind w:left="1300" w:right="939" w:hanging="381"/>
        <w:spacing w:after="0" w:line="267" w:lineRule="auto"/>
        <w:tabs>
          <w:tab w:leader="none" w:pos="1413"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5,314,345 shares issued as Merger Consideration and 510,000 shares issued in the PIPE Investment. OrbiMed Capital GP VI LLC, or GP VI, is the general partner of OrbiMed Private Investments VI, LP, or OrbiMed VI. OrbiMed Advisors LLC, or OrbiMed Advisors, is the managing member of GP VI. OrbiMed Advisors exercises investment and voting power through a management committee comprised of Carl Gordon, Ph.D., C.F.A., Sven H. Borho and Jonathan T. Silverstein. By virtue of such relationships, GP VI, OrbiMed Advisors and Dr. Gordon may be deemed to have voting and investment power with respect to the shares held by OrbiMed VI and as a result may be deemed to have beneficial ownership of these shares. Each of GP VI, OrbiMed Advisors, Messrs. Borho and Silverstein and Dr. Gordon disclaims beneficial ownership of the shares held by OrbiMed VI, except to the extent of its or his pecuniary interest therein, if any.</w:t>
      </w:r>
    </w:p>
    <w:p>
      <w:pPr>
        <w:spacing w:after="0" w:line="1" w:lineRule="exact"/>
        <w:rPr>
          <w:rFonts w:ascii="Times New Roman" w:cs="Times New Roman" w:eastAsia="Times New Roman" w:hAnsi="Times New Roman"/>
          <w:sz w:val="14"/>
          <w:szCs w:val="14"/>
          <w:color w:val="auto"/>
        </w:rPr>
      </w:pPr>
    </w:p>
    <w:p>
      <w:pPr>
        <w:jc w:val="both"/>
        <w:ind w:left="1300" w:right="939" w:hanging="381"/>
        <w:spacing w:after="0" w:line="267" w:lineRule="auto"/>
        <w:tabs>
          <w:tab w:leader="none" w:pos="131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4,742,688 shares issued as Merger Consideration and 510,000 shares issued in the PIPE Investment. Atlas Venture Associates XI, L.P. is the general partner of Atlas Fund XI, and Atlas Venture Associates XI, LLC is the general partner of Atlas Venture Associates XI, L.P. Bruce Booth, Jean- Francois Formela, David Grayzel, Jason Rhodes and Kevin Bitterman are the members of Atlas Venture Associates XI, LLC and collectively make investment decisions on behalf of Atlas Venture Fund XI, LLC. Each of Atlas Fund XI, Atlas Venture Associates XI, L.P., and Atlas Venture Associates XI, LLC may be deemed to beneficially own the shares held by Atlas Fund XI. Atlas Venture Associates Opportunity I, L.P. is the general partner of Atlas Fund I, and Atlas Venture Associates Opportunity I, LLC, or AVAO, LLC, is the general partner of Atlas Venture Associates Opportunity I, L.P. Bruce Booth, Jean-Francois Formela, David Grayzel, Jason Rhodes and Kevin Bitterman are the members of AVAO, LLC and collectively make investment decisions on behalf of AVAO, LLC. Each of Atlas Fund I, Atlas Venture Associates Opportunity I, L.P. and AVAO, LLC may be deemed to beneficially own the shares held by Atlas Fund I. Jason Rhodes is also a member of our board of directors. Mr. Rhodes disclaims beneficial ownership of the shares listed, except to the extent of his pecuniary interest therein, if any.</w:t>
      </w:r>
    </w:p>
    <w:p>
      <w:pPr>
        <w:spacing w:after="0" w:line="1" w:lineRule="exact"/>
        <w:rPr>
          <w:rFonts w:ascii="Times New Roman" w:cs="Times New Roman" w:eastAsia="Times New Roman" w:hAnsi="Times New Roman"/>
          <w:sz w:val="14"/>
          <w:szCs w:val="14"/>
          <w:color w:val="auto"/>
        </w:rPr>
      </w:pPr>
    </w:p>
    <w:p>
      <w:pPr>
        <w:jc w:val="both"/>
        <w:ind w:left="1300" w:right="939" w:hanging="381"/>
        <w:spacing w:after="0" w:line="267" w:lineRule="auto"/>
        <w:tabs>
          <w:tab w:leader="none" w:pos="1309"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4,434,539 shares issued as Merger Consideration and 400,000 shares issued in the PIPE Investment.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w:t>
      </w:r>
    </w:p>
    <w:p>
      <w:pPr>
        <w:spacing w:after="0" w:line="1" w:lineRule="exact"/>
        <w:rPr>
          <w:rFonts w:ascii="Times New Roman" w:cs="Times New Roman" w:eastAsia="Times New Roman" w:hAnsi="Times New Roman"/>
          <w:sz w:val="14"/>
          <w:szCs w:val="14"/>
          <w:color w:val="auto"/>
        </w:rPr>
      </w:pPr>
    </w:p>
    <w:p>
      <w:pPr>
        <w:jc w:val="both"/>
        <w:ind w:left="1300" w:right="939" w:hanging="381"/>
        <w:spacing w:after="0" w:line="269" w:lineRule="auto"/>
        <w:tabs>
          <w:tab w:leader="none" w:pos="139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5" w:name="page226"/>
    <w:bookmarkEnd w:id="22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FS Development</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FS Development IPO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0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We currently utilize office space at 600 Montgomery Street, Suite 4500, San Francisco, California 94111 from the Sponsor. Following the closing of the FS Development IPO, we pay the Sponsor $10,000 per month for office space, secretarial and administrative services provided to members of our management team pursuant to the terms of an administrative services agreement between us and the Sponsor. Upon completion of our initial business combination or our liquidation, we will cease paying these monthly fees.</w:t>
      </w:r>
    </w:p>
    <w:p>
      <w:pPr>
        <w:spacing w:after="0" w:line="9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No compensation of any kind, including finder’s and consulting fees, will be paid by the Company to the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w:t>
      </w:r>
    </w:p>
    <w:p>
      <w:pPr>
        <w:spacing w:after="0" w:line="10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Sponsor loaned us $200,000 to be used for a portion of the expenses of the FS Development IPO. These loans were non-interest bearing, unsecured and were due at the earlier of December 31, 2020 or the closing of the FS Development IPO. These loans were fully repaid on August 14, 2020.</w:t>
      </w:r>
    </w:p>
    <w:p>
      <w:pPr>
        <w:spacing w:after="0" w:line="96"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 As of October 28, 2020, there are no loans outstanding. Following the Closing, our Sponsor would be entitled to the repayment of any working capital loan and advances that have been made to FS Development and remain outstanding.</w:t>
      </w:r>
    </w:p>
    <w:p>
      <w:pPr>
        <w:spacing w:after="0" w:line="102" w:lineRule="exact"/>
        <w:rPr>
          <w:sz w:val="20"/>
          <w:szCs w:val="20"/>
          <w:color w:val="auto"/>
        </w:rPr>
      </w:pPr>
    </w:p>
    <w:p>
      <w:pPr>
        <w:jc w:val="both"/>
        <w:ind w:left="920" w:right="939"/>
        <w:spacing w:after="0" w:line="315" w:lineRule="auto"/>
        <w:rPr>
          <w:sz w:val="20"/>
          <w:szCs w:val="20"/>
          <w:color w:val="auto"/>
        </w:rPr>
      </w:pPr>
      <w:r>
        <w:rPr>
          <w:rFonts w:ascii="Times New Roman" w:cs="Times New Roman" w:eastAsia="Times New Roman" w:hAnsi="Times New Roman"/>
          <w:sz w:val="15"/>
          <w:szCs w:val="15"/>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6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6" w:name="page227"/>
    <w:bookmarkEnd w:id="22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as part of the PIPE Investment, an affiliate of our Sponsor has entered into a subscription agreement to purchase 1,500,000 shares of our Class A Common Stock at a purchase price of $10 per share in a private placement that would occur concurrently with the consummation of our initial business combination. The affiliate of our Sponsor has assigned to the Sponsor its obligation to purchase its shares under the subscription agreement so that the Sponsor will purchase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funds from such private placement would be used as part of the consideration to the sellers in our initial business combination, and any excess funds from such private placement would be used for working capital in the post-transaction company. Consummation of the subscriptions are conditioned upon, among other things, closing conditions and the Closing</w:t>
      </w:r>
    </w:p>
    <w:p>
      <w:pPr>
        <w:spacing w:after="0" w:line="110"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We have entered into a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10"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the Initial Stockholders and certain other stockholders will enter into the Registration Rights Agreement with FS Development and Gemini that will replace the existing registration rights agreement. Pursuant to such agreement,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The presence of these additional shares of common stock trading in the public market may have an adverse effect on the market price of the Combined Entity’s securities.</w:t>
      </w:r>
    </w:p>
    <w:p>
      <w:pPr>
        <w:spacing w:after="0" w:line="9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execution of the Merger Agreement, the Initial Stockholders entered into support agreements with FS Development, Gemini and Sponsor. Under such support agreements, each such stockholder agreed to vote, at any meeting of the stockholders of the Company, and in any action by written consent of the stockholders of the Company, all of such stockholder’s Class B Common Stock of FS Development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 Development held by such stockholder or taking any action that would prevent or disable such stockholder from performing its obligations under the support agreement.</w:t>
      </w:r>
    </w:p>
    <w:p>
      <w:pPr>
        <w:spacing w:after="0" w:line="108"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 addition, in connection with the Closing of the Merger, the Sponsor and certain other stockholders will enter into a Voting Agreement with the Combined Entity. Please see the section titled “</w:t>
      </w:r>
      <w:r>
        <w:rPr>
          <w:rFonts w:ascii="Times New Roman" w:cs="Times New Roman" w:eastAsia="Times New Roman" w:hAnsi="Times New Roman"/>
          <w:sz w:val="16"/>
          <w:szCs w:val="16"/>
          <w:i w:val="1"/>
          <w:iCs w:val="1"/>
          <w:color w:val="auto"/>
        </w:rPr>
        <w:t>Ancillary Agreements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Voting Agreement</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Gemini</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is a summary of transactions since September 30, 2017 to which Gemini has been a participant, in which:</w:t>
      </w:r>
    </w:p>
    <w:p>
      <w:pPr>
        <w:spacing w:after="0" w:line="73" w:lineRule="exact"/>
        <w:rPr>
          <w:sz w:val="20"/>
          <w:szCs w:val="20"/>
          <w:color w:val="auto"/>
        </w:rPr>
      </w:pPr>
    </w:p>
    <w:p>
      <w:pPr>
        <w:ind w:left="1680" w:hanging="379"/>
        <w:spacing w:after="0"/>
        <w:tabs>
          <w:tab w:leader="none" w:pos="16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involved exceeded or will exceed $120,000; and</w:t>
      </w:r>
    </w:p>
    <w:p>
      <w:pPr>
        <w:spacing w:after="0" w:line="138"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827"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Gemini” or that were approved by its compensation committee.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7" w:name="page228"/>
    <w:bookmarkEnd w:id="22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Gemini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Series A Preferred Stock Financing</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March 30, 2018, Gemini held the second closing of its Series A Preferred Stock financing, pursuant to its Series A Preferred Stock Purchase Agreement, as amended (the “Series A Purchase Agreement”), at which Gemini issued 9,243,696 shares of its Series A Preferred Stock for a per share price of $1.19, for aggregate gross proceeds in the amount of $11.0 million. On November 2, 2018, Gemini held the third closing of its Series A Preferred Stock financing, pursuant to the Series A Purchase Agreement, at which Gemini issued 16,386,555 shares of its Series A Preferred Stock for a per share price of $1.19, for aggregate gross proceeds in the amount of $19.5 million. The following holders of more than 5% of Gemini’s capital stock participated in the second closing and third closing of the Series A Preferred Stock financing.</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Purchase</w:t>
            </w:r>
          </w:p>
        </w:tc>
      </w:t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w:t>
            </w:r>
          </w:p>
        </w:tc>
        <w:tc>
          <w:tcPr>
            <w:tcW w:w="8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 Second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Price – Third</w:t>
            </w:r>
          </w:p>
        </w:tc>
      </w:tr>
      <w:tr>
        <w:trPr>
          <w:trHeight w:val="188"/>
        </w:trPr>
        <w:tc>
          <w:tcPr>
            <w:tcW w:w="2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5% Gemini Stockholder</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Second Closing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Third Closing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Closing</w:t>
            </w:r>
          </w:p>
        </w:tc>
      </w:tr>
      <w:tr>
        <w:trPr>
          <w:trHeight w:val="42"/>
        </w:trPr>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Entities affiliated with Lightstone</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4"/>
        </w:trPr>
        <w:tc>
          <w:tcPr>
            <w:tcW w:w="20" w:type="dxa"/>
            <w:vAlign w:val="bottom"/>
          </w:tcPr>
          <w:p>
            <w:pPr>
              <w:spacing w:after="0"/>
              <w:rPr>
                <w:sz w:val="21"/>
                <w:szCs w:val="21"/>
                <w:color w:val="auto"/>
              </w:rPr>
            </w:pPr>
          </w:p>
        </w:tc>
        <w:tc>
          <w:tcPr>
            <w:tcW w:w="2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3,081,232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3,666,666.08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5,462,185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6,500,000.15</w:t>
            </w:r>
          </w:p>
        </w:tc>
      </w:tr>
      <w:tr>
        <w:trPr>
          <w:trHeight w:val="215"/>
        </w:trPr>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Orbimed Private Investments VI, LP</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3,666,666.08</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5,462,185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6,500,000.15</w:t>
            </w:r>
          </w:p>
        </w:tc>
      </w:tr>
      <w:tr>
        <w:trPr>
          <w:trHeight w:val="36"/>
        </w:trPr>
        <w:tc>
          <w:tcPr>
            <w:tcW w:w="2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5"/>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Atlas Venture Fund X, L.P.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3,081,232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3,666,666.08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5,462,185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6,500,000.15</w:t>
            </w:r>
          </w:p>
        </w:tc>
      </w:tr>
      <w:tr>
        <w:trPr>
          <w:trHeight w:val="36"/>
        </w:trPr>
        <w:tc>
          <w:tcPr>
            <w:tcW w:w="20" w:type="dxa"/>
            <w:vAlign w:val="bottom"/>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jc w:val="both"/>
        <w:ind w:left="1300" w:right="939" w:hanging="381"/>
        <w:spacing w:after="0" w:line="285" w:lineRule="auto"/>
        <w:tabs>
          <w:tab w:leader="none" w:pos="1342"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Series B Preferred Stock Financing</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September 26, 2019, Gemini held the initial closing of its Series B Preferred Stock financing, pursuant to its Series B Preferred Stock Purchase Agreement (the “Series B Purchase Agreement”), at which Gemini issued 9,916,375 shares of its Series B Preferred Stock for a per share price of $1.3513, for aggregate gross proceeds in the amount of $13.4 million. On January 21, 2020, Gemini held the second closing of its Series B Preferred Stock financing, pursuant to the Series B Purchase Agreement, at which Gemini issued 14,874,563 shares of its Series B Preferred Stock for a per share price of $1.3513, for aggregate gross proceeds in the amount of $20.1 million. The following holders of more than 5% of Gemini’s capital stock participated in the initial closing and second closing of the Series B Preferred Stock financing.</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Purchase</w:t>
            </w:r>
          </w:p>
        </w:tc>
      </w:tr>
      <w:tr>
        <w:trPr>
          <w:trHeight w:val="179"/>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 –</w:t>
            </w:r>
          </w:p>
        </w:tc>
        <w:tc>
          <w:tcPr>
            <w:tcW w:w="4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 Initial</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Price – Second</w:t>
            </w:r>
          </w:p>
        </w:tc>
      </w:tr>
      <w:tr>
        <w:trPr>
          <w:trHeight w:val="188"/>
        </w:trPr>
        <w:tc>
          <w:tcPr>
            <w:tcW w:w="2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5% Gemini Stockholder</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Initial Closing</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Second Closing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Closing</w:t>
            </w:r>
          </w:p>
        </w:tc>
      </w:tr>
      <w:tr>
        <w:trPr>
          <w:trHeight w:val="42"/>
        </w:trPr>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Entities affiliated with Lightstone</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4"/>
        </w:trPr>
        <w:tc>
          <w:tcPr>
            <w:tcW w:w="20" w:type="dxa"/>
            <w:vAlign w:val="bottom"/>
          </w:tcPr>
          <w:p>
            <w:pPr>
              <w:spacing w:after="0"/>
              <w:rPr>
                <w:sz w:val="21"/>
                <w:szCs w:val="21"/>
                <w:color w:val="auto"/>
              </w:rPr>
            </w:pPr>
          </w:p>
        </w:tc>
        <w:tc>
          <w:tcPr>
            <w:tcW w:w="2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1,924,073</w:t>
            </w: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2,600,000</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2,886,109</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3,899,999.09</w:t>
            </w:r>
          </w:p>
        </w:tc>
      </w:tr>
      <w:tr>
        <w:trPr>
          <w:trHeight w:val="215"/>
        </w:trPr>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OrbiMed Private Investments VI, LP</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2,960,112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3,999,999.35</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4,440,168</w:t>
            </w:r>
          </w:p>
        </w:tc>
        <w:tc>
          <w:tcPr>
            <w:tcW w:w="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5,999,999.02</w:t>
            </w:r>
          </w:p>
        </w:tc>
      </w:tr>
      <w:tr>
        <w:trPr>
          <w:trHeight w:val="36"/>
        </w:trPr>
        <w:tc>
          <w:tcPr>
            <w:tcW w:w="2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Atlas Venture Fund X, L.P.</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2,072,078</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2,799,999.00</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3,108,118</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4,199,999.85</w:t>
            </w:r>
          </w:p>
        </w:tc>
      </w:tr>
      <w:tr>
        <w:trPr>
          <w:trHeight w:val="259"/>
        </w:trPr>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Wu Capital Investment LLC</w:t>
            </w:r>
            <w:r>
              <w:rPr>
                <w:rFonts w:ascii="Times New Roman" w:cs="Times New Roman" w:eastAsia="Times New Roman" w:hAnsi="Times New Roman"/>
                <w:sz w:val="18"/>
                <w:szCs w:val="18"/>
                <w:color w:val="auto"/>
                <w:vertAlign w:val="superscript"/>
              </w:rPr>
              <w:t>(2)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2,960,112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3,999,999.35</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4,440,168</w:t>
            </w:r>
          </w:p>
        </w:tc>
        <w:tc>
          <w:tcPr>
            <w:tcW w:w="4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5,999,999.02</w:t>
            </w:r>
          </w:p>
        </w:tc>
      </w:tr>
    </w:tbl>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jc w:val="both"/>
        <w:ind w:left="1300" w:right="939" w:hanging="381"/>
        <w:spacing w:after="0" w:line="270" w:lineRule="auto"/>
        <w:tabs>
          <w:tab w:leader="none" w:pos="1366"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ind w:left="1300" w:hanging="381"/>
        <w:spacing w:after="0"/>
        <w:tabs>
          <w:tab w:leader="none" w:pos="130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initially purchased by Wu Capital LLC and subsequently transferred to Wu Capital Investment LLC.</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8" w:name="page229"/>
    <w:bookmarkEnd w:id="22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Convertible Note Financing</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On August 21, 2020, Gemini issued convertible promissory notes for aggregate gross proceeds of $14,000,000 (the “</w:t>
      </w:r>
      <w:r>
        <w:rPr>
          <w:rFonts w:ascii="Times New Roman" w:cs="Times New Roman" w:eastAsia="Times New Roman" w:hAnsi="Times New Roman"/>
          <w:sz w:val="16"/>
          <w:szCs w:val="16"/>
          <w:b w:val="1"/>
          <w:bCs w:val="1"/>
          <w:color w:val="auto"/>
        </w:rPr>
        <w:t>Convertible Notes</w:t>
      </w:r>
      <w:r>
        <w:rPr>
          <w:rFonts w:ascii="Times New Roman" w:cs="Times New Roman" w:eastAsia="Times New Roman" w:hAnsi="Times New Roman"/>
          <w:sz w:val="16"/>
          <w:szCs w:val="16"/>
          <w:color w:val="auto"/>
        </w:rPr>
        <w:t>”), at a closing held pursuant to a convertible note purchase agreement among Gemini and certain investors. The following holders of more than 5% of Gemini’s capital stock participated in note financing. The Notes accrue simple interest at 8% per annum and mature on February 21, 2021. Prior to the Closing, all principal and accrued interest under the Notes shall convert into shares of Gemini’s Series B Preferred Stock.</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79"/>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Note</w:t>
            </w:r>
          </w:p>
        </w:tc>
      </w:tr>
      <w:tr>
        <w:trPr>
          <w:trHeight w:val="18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5% Gemini Stockholder</w:t>
            </w:r>
          </w:p>
        </w:tc>
        <w:tc>
          <w:tcPr>
            <w:tcW w:w="160" w:type="dxa"/>
            <w:vAlign w:val="bottom"/>
          </w:tcPr>
          <w:p>
            <w:pPr>
              <w:spacing w:after="0"/>
              <w:rPr>
                <w:sz w:val="16"/>
                <w:szCs w:val="16"/>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42"/>
        </w:trPr>
        <w:tc>
          <w:tcPr>
            <w:tcW w:w="5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Lightstone Singapore L.P.</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OrbiMed Private Investments VI, LP</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1"/>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Atlas Venture Opportunity Fund I, L.P.</w:t>
            </w: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4,361,000</w:t>
            </w: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Wu Capital Investment LLC</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1,752,000</w:t>
            </w:r>
          </w:p>
        </w:tc>
      </w:tr>
    </w:tbl>
    <w:p>
      <w:pPr>
        <w:spacing w:after="0" w:line="2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Investors Rights Agreement</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connection with the initial closing of the Series B Preferred Stock financing, Gemini entered into an Amended and Restated Investors Rights Agreement (the “</w:t>
      </w:r>
      <w:r>
        <w:rPr>
          <w:rFonts w:ascii="Times New Roman" w:cs="Times New Roman" w:eastAsia="Times New Roman" w:hAnsi="Times New Roman"/>
          <w:sz w:val="16"/>
          <w:szCs w:val="16"/>
          <w:b w:val="1"/>
          <w:bCs w:val="1"/>
          <w:color w:val="auto"/>
        </w:rPr>
        <w:t>Investors Rights Agreement</w:t>
      </w:r>
      <w:r>
        <w:rPr>
          <w:rFonts w:ascii="Times New Roman" w:cs="Times New Roman" w:eastAsia="Times New Roman" w:hAnsi="Times New Roman"/>
          <w:sz w:val="16"/>
          <w:szCs w:val="16"/>
          <w:color w:val="auto"/>
        </w:rPr>
        <w:t>”) with certain of its investors, including its 5% stockholders. Pursuant to the Investors Agreement, the investors were granted certain demand and registration rights as well as certain information rights. Pursuant to the Merger Agreement and the Gemini Support Agreements, Gemini and its investors have agreed to terminate the Investors Rights Agreement at the Closing.</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Voting Agreement</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connection with the initial closing of the Series B Preferred Stock financing, Gemini entered into an Amended and Restated Voting Agreement (the “</w:t>
      </w:r>
      <w:r>
        <w:rPr>
          <w:rFonts w:ascii="Times New Roman" w:cs="Times New Roman" w:eastAsia="Times New Roman" w:hAnsi="Times New Roman"/>
          <w:sz w:val="16"/>
          <w:szCs w:val="16"/>
          <w:b w:val="1"/>
          <w:bCs w:val="1"/>
          <w:color w:val="auto"/>
        </w:rPr>
        <w:t>Voting Agreement</w:t>
      </w:r>
      <w:r>
        <w:rPr>
          <w:rFonts w:ascii="Times New Roman" w:cs="Times New Roman" w:eastAsia="Times New Roman" w:hAnsi="Times New Roman"/>
          <w:sz w:val="16"/>
          <w:szCs w:val="16"/>
          <w:color w:val="auto"/>
        </w:rPr>
        <w:t>”) with certain of its investors, including its 5% stockholders. Pursuant to the Investors Agreement, certain investors were given the right to designate certain members of Gemini’s board of directors. Pursuant to the Merger Agreement and the Gemini Support Agreements, Gemini and its investors have agreed to terminate the Voting Agreement at the Closing.</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Accounting Services</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April 17, 2020, Gemini engaged Danforth Advisors, an accounting and finance advisory company managed by Gregg Beloff, Gemini’s Interim Chief Financial Officer. Through September 30, 2020, Gemini has paid $44,367.50 to Danforth Advisors in exchange for professional services related to accounting, finance and other administrative functions.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Policies for Approval of Related Party Transactions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Gemini’s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Policies and Procedures for Related Person Transactions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Upon the Closing, the Combined Entity will adopt a written related person transaction policy that sets forth the following policies and procedures for the review and approval or ratification of related person transactions.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9" w:name="page230"/>
    <w:bookmarkEnd w:id="22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 “Related Person Transaction” is a transaction, arrangement or relationship in which Combined Entity or any of its subsidiaries was, is or will be a participant, the amount of which involved exceeds $120,000, and in which any related person had, has or will have a direct or indirect material interest. A “Related Person” means:</w:t>
      </w:r>
    </w:p>
    <w:p>
      <w:pPr>
        <w:spacing w:after="0" w:line="96" w:lineRule="exact"/>
        <w:rPr>
          <w:sz w:val="20"/>
          <w:szCs w:val="20"/>
          <w:color w:val="auto"/>
        </w:rPr>
      </w:pPr>
    </w:p>
    <w:p>
      <w:pPr>
        <w:ind w:left="1680" w:right="939" w:hanging="379"/>
        <w:spacing w:after="0" w:line="280" w:lineRule="auto"/>
        <w:tabs>
          <w:tab w:leader="none" w:pos="1815"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who is, or at any time during the applicable period was, one of Combined Entity’s officers or one of Combined Entity’s directors;</w:t>
      </w:r>
    </w:p>
    <w:p>
      <w:pPr>
        <w:spacing w:after="0" w:line="84" w:lineRule="exact"/>
        <w:rPr>
          <w:rFonts w:ascii="Times New Roman" w:cs="Times New Roman" w:eastAsia="Times New Roman" w:hAnsi="Times New Roman"/>
          <w:sz w:val="16"/>
          <w:szCs w:val="16"/>
          <w:color w:val="auto"/>
        </w:rPr>
      </w:pPr>
    </w:p>
    <w:p>
      <w:pPr>
        <w:ind w:left="1680" w:right="939" w:hanging="379"/>
        <w:spacing w:after="0" w:line="280" w:lineRule="auto"/>
        <w:tabs>
          <w:tab w:leader="none" w:pos="1696"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who is known by Combined Entity to be the beneficial owner of more than five percent (5%) of its voting stock;</w:t>
      </w:r>
    </w:p>
    <w:p>
      <w:pPr>
        <w:spacing w:after="0" w:line="72"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3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708"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firm, corporation or other entity in which any of the foregoing persons is a partner or principal or in a similar position or in which such person has a ten percent (10%) or greater beneficial ownership interest.</w:t>
      </w:r>
    </w:p>
    <w:p>
      <w:pPr>
        <w:spacing w:after="0" w:line="9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audit committee of the Combined Entity’s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the Combined Entity than terms generally available in a transaction with an unaffiliated third-party under the same or similar circumstances and the extent of the Related Person’s interest in the related person transaction.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0" w:name="page231"/>
    <w:bookmarkEnd w:id="23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Submission of Stockholder Proposals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Future Stockholder Proposals</w:t>
      </w:r>
    </w:p>
    <w:p>
      <w:pPr>
        <w:spacing w:after="0" w:line="141"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We anticipate that the 2021 annual meeting of stockholders will be held no later than September 30, 2021. For any proposal to be considered for inclusion in our proxy statement and form of proxy for submission to the stockholders at our 2021 annual meeting of stockholders, it must be submitted in writing and comply with the requirements of Rule 14a-8 of the Exchange Act and the Current By-laws. Assuming the meeting is held on or about September 30, 2021, such proposals must be received by the Combined Entity at its offices at c/o Gemini Therapeutics, 300 One Kendall Square,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Cambridge, Massachusetts 02139, within a reasonable time before the Combined Entity begins to print and send its proxy materials for the meeting.</w:t>
      </w:r>
    </w:p>
    <w:p>
      <w:pPr>
        <w:spacing w:after="0" w:line="110" w:lineRule="exact"/>
        <w:rPr>
          <w:sz w:val="20"/>
          <w:szCs w:val="20"/>
          <w:color w:val="auto"/>
        </w:rPr>
      </w:pPr>
    </w:p>
    <w:p>
      <w:pPr>
        <w:jc w:val="both"/>
        <w:ind w:left="920" w:right="939"/>
        <w:spacing w:after="0" w:line="242" w:lineRule="auto"/>
        <w:rPr>
          <w:sz w:val="20"/>
          <w:szCs w:val="20"/>
          <w:color w:val="auto"/>
        </w:rPr>
      </w:pPr>
      <w:r>
        <w:rPr>
          <w:rFonts w:ascii="Times New Roman" w:cs="Times New Roman" w:eastAsia="Times New Roman" w:hAnsi="Times New Roman"/>
          <w:sz w:val="16"/>
          <w:szCs w:val="16"/>
          <w:color w:val="auto"/>
        </w:rPr>
        <w:t>In addition, the Amended By-laws, which will be effective upon the Closing, provide notice procedures for stockholders to propose business (other than director nominations) to be considered by stockholders at a meeting. To be timely, a stockholder’s notice must be received by the Secretary at the principal executive offices of the Combined Entity not later than the close of business on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nor earlier than the close of business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such annual meeting and no later than the close of business on the later of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such annual meeting or the tenth day following the day on which public announcement of the date such meeting is first made. Thus, for our 2021 annual meeting of stockholders, notice of a proposal must be delivered to our Secretary no later than July 2, 2021 and no earlier than June 2, 2021. The Chairperson of the Combined Entity’s board of directors may refuse to acknowledge the introduction of any stockholder proposal not made in compliance with the foregoing procedures.</w:t>
      </w:r>
    </w:p>
    <w:p>
      <w:pPr>
        <w:spacing w:after="0" w:line="106" w:lineRule="exact"/>
        <w:rPr>
          <w:sz w:val="20"/>
          <w:szCs w:val="20"/>
          <w:color w:val="auto"/>
        </w:rPr>
      </w:pPr>
    </w:p>
    <w:p>
      <w:pPr>
        <w:jc w:val="both"/>
        <w:ind w:left="920" w:right="939"/>
        <w:spacing w:after="0" w:line="273" w:lineRule="auto"/>
        <w:rPr>
          <w:sz w:val="20"/>
          <w:szCs w:val="20"/>
          <w:color w:val="auto"/>
        </w:rPr>
      </w:pPr>
      <w:r>
        <w:rPr>
          <w:rFonts w:ascii="Times New Roman" w:cs="Times New Roman" w:eastAsia="Times New Roman" w:hAnsi="Times New Roman"/>
          <w:sz w:val="15"/>
          <w:szCs w:val="15"/>
          <w:color w:val="auto"/>
        </w:rPr>
        <w:t>Further, the Amended By-laws, which will be effective upon the Closing, provide notice procedures for stockholders to nominate a person as a director to be considered by stockholders at a meeting. To be timely, a stockholder’s notice must be received by the Secretary at the principal executive offices of the Combined Entity</w:t>
      </w:r>
    </w:p>
    <w:p>
      <w:pPr>
        <w:spacing w:after="0" w:line="2" w:lineRule="exact"/>
        <w:rPr>
          <w:sz w:val="20"/>
          <w:szCs w:val="20"/>
          <w:color w:val="auto"/>
        </w:rPr>
      </w:pPr>
    </w:p>
    <w:p>
      <w:pPr>
        <w:jc w:val="both"/>
        <w:ind w:left="920" w:right="939" w:hanging="1"/>
        <w:spacing w:after="0" w:line="238" w:lineRule="auto"/>
        <w:tabs>
          <w:tab w:leader="none" w:pos="1138"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annual meeting, not later than the close of business on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nor earlier than the close of business on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such annual meeting and not later than the close of business on the later of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such annual meeting or the tenth day following the day on which public announcement of the date of such meeting was first made. Thus, for our 2021 annual meeting of stockholders, notice of a nomination must be delivered to our Secretary no later than July 2, 2021 and no earlier than June 2, 2021. The Chairperson of the Combined Entity’s board of directors may refuse to acknowledge the introduction of any stockholder nomination not made in compliance with the foregoing procedures.</w:t>
      </w: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Stockholder Communications</w:t>
      </w:r>
    </w:p>
    <w:p>
      <w:pPr>
        <w:spacing w:after="0" w:line="141"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Stockholders and interested parties may communicate with the Board, any committee chairperson or the non-management directors as a group by writing to the board or committee chairperson in care FS Development, 600 Montgomery Street, Suite 4500, San Francisco, California 94111. Following the Business Combination, such communications should be sent to Gemini Therapeutics, 300 One Kendall Square,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Cambridge, Massachusetts 02139. Each communication will be forwarded, depending on the subject matter, to the board of directors, the appropriate committee chairperson or all non-management directors.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1" w:name="page232"/>
    <w:bookmarkEnd w:id="23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validity of the shares of Class A Common Stock to be issued in connection with the Business Combination will be passed upon by White &amp; Case LLP, New York, New York.</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financial statements of FS Development as of June 30, 2020, and for the period from June 25, 2020 (inception) through June 30, 2020 appearing in this proxy statement/prospectus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02" w:lineRule="exact"/>
        <w:rPr>
          <w:sz w:val="20"/>
          <w:szCs w:val="20"/>
          <w:color w:val="auto"/>
        </w:rPr>
      </w:pPr>
    </w:p>
    <w:p>
      <w:pPr>
        <w:jc w:val="both"/>
        <w:ind w:left="920" w:right="939"/>
        <w:spacing w:after="0" w:line="278" w:lineRule="auto"/>
        <w:rPr>
          <w:sz w:val="20"/>
          <w:szCs w:val="20"/>
          <w:color w:val="auto"/>
        </w:rPr>
      </w:pPr>
      <w:r>
        <w:rPr>
          <w:rFonts w:ascii="Times New Roman" w:cs="Times New Roman" w:eastAsia="Times New Roman" w:hAnsi="Times New Roman"/>
          <w:sz w:val="15"/>
          <w:szCs w:val="15"/>
          <w:color w:val="auto"/>
        </w:rPr>
        <w:t>The financial statements of Gemini Therapeutics, Inc. as of December 31, 2018 and December 31, 2019, and for the years then ended included in the Proxy Statement of FS Development Corp., which is referred to and made part of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Delivery of Documents to Stockholders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Pursuant to the rules of the SEC, FS Development and servicers that it employs to deliver communications to its stockholders are permitted to deliver to two or more stockholders sharing the same address a single copy of this proxy statement/prospectus. Upon written or oral request, FS Development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FS Development of their requests by calling or writing FS Development at its principal executive offices 600 Montgomery Street, Suite 4500, San Francisco, California 94111.</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registrar and transfer agent for the shares of Common Stock is Continental Stock Transfer &amp; Trust Company. FS Development has agreed to indemnify Continental Stock Transfer &amp; Trust Company in its role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2" w:name="page233"/>
    <w:bookmarkEnd w:id="23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 xml:space="preserve">We file reports, proxy statements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If you would like additional copies of this proxy statement/prospectus or if you have questions about the Business Combination or the proposals to be presented at the Special Meeting, you should contact FS Development by telephone or in writing:</w:t>
      </w:r>
    </w:p>
    <w:p>
      <w:pPr>
        <w:spacing w:after="0" w:line="9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You may also obtain these documents by requesting them in writing or by telephone from FS Development’s proxy solicitation agent at the following address and telephone number:</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Morrow Sodali LLC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470 West Avenue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Stamford CT 06902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Individuals call toll-free (800) 662-5200</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Banks and brokers call (203) 658-9400Email: FSDC.info@investor.morrowsodali.com</w:t>
      </w:r>
    </w:p>
    <w:p>
      <w:pPr>
        <w:spacing w:after="0" w:line="11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If you are a stockholder of FS Development and would like to request documents, please do so by one week prior to the Special Meeting in order to receive them before the Special Meeting. If you request any documents from FS Development, FS Development will mail them to you by first class mail, or another equally prompt means.</w:t>
      </w:r>
    </w:p>
    <w:p>
      <w:pPr>
        <w:spacing w:after="0" w:line="102"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All information contained in this proxy statement/prospectus relating to FS Development has been supplied by FS Development, and all such information relating to Gemini has been supplied by Gemini. Information provided by either FS Development or Gemini does not constitute any representation, estimate or projection of any other party.</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This document is a proxy statement/prospectus of FS Development for the Special Meeting. FS Development has not authorized anyone to give any information or make any representation about the Business Combination, FS Development or Gemini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3" w:name="page234"/>
    <w:bookmarkEnd w:id="23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42"/>
        </w:trPr>
        <w:tc>
          <w:tcPr>
            <w:tcW w:w="1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Unaudited Condensed Financial Statements of FS Development Corp.</w:t>
            </w: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rFonts w:ascii="Times New Roman" w:cs="Times New Roman" w:eastAsia="Times New Roman" w:hAnsi="Times New Roman"/>
                <w:sz w:val="16"/>
                <w:szCs w:val="16"/>
                <w:u w:val="single" w:color="auto"/>
                <w:color w:val="0000EE"/>
              </w:rPr>
            </w:pPr>
            <w:hyperlink w:anchor="page235">
              <w:r>
                <w:rPr>
                  <w:rFonts w:ascii="Times New Roman" w:cs="Times New Roman" w:eastAsia="Times New Roman" w:hAnsi="Times New Roman"/>
                  <w:sz w:val="16"/>
                  <w:szCs w:val="16"/>
                  <w:u w:val="single" w:color="auto"/>
                  <w:color w:val="0000EE"/>
                </w:rPr>
                <w:t>Unaudited Condensed Balance Sheet as of September 30, 2020</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5" w:lineRule="exact"/>
              <w:rPr>
                <w:rFonts w:ascii="Times New Roman" w:cs="Times New Roman" w:eastAsia="Times New Roman" w:hAnsi="Times New Roman"/>
                <w:sz w:val="16"/>
                <w:szCs w:val="16"/>
                <w:color w:val="0000EE"/>
                <w:w w:val="98"/>
              </w:rPr>
            </w:pPr>
            <w:hyperlink w:anchor="page236">
              <w:r>
                <w:rPr>
                  <w:rFonts w:ascii="Times New Roman" w:cs="Times New Roman" w:eastAsia="Times New Roman" w:hAnsi="Times New Roman"/>
                  <w:sz w:val="16"/>
                  <w:szCs w:val="16"/>
                  <w:color w:val="0000EE"/>
                  <w:w w:val="98"/>
                </w:rPr>
                <w:t>Unaudited Condensed Statement of Operations for the three months ended September 30, 2020 and</w:t>
              </w:r>
            </w:hyperlink>
          </w:p>
        </w:tc>
        <w:tc>
          <w:tcPr>
            <w:tcW w:w="180" w:type="dxa"/>
            <w:vAlign w:val="bottom"/>
            <w:tcBorders>
              <w:bottom w:val="single" w:sz="8" w:color="CCEEFF"/>
            </w:tcBorders>
            <w:gridSpan w:val="3"/>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740" w:type="dxa"/>
            <w:vAlign w:val="bottom"/>
            <w:tcBorders>
              <w:bottom w:val="single" w:sz="8" w:color="0000EE"/>
            </w:tcBorders>
            <w:gridSpan w:val="6"/>
            <w:shd w:val="clear" w:color="auto" w:fill="CCEEFF"/>
          </w:tcPr>
          <w:p>
            <w:pPr>
              <w:spacing w:after="0" w:line="171" w:lineRule="exact"/>
              <w:rPr>
                <w:rFonts w:ascii="Times New Roman" w:cs="Times New Roman" w:eastAsia="Times New Roman" w:hAnsi="Times New Roman"/>
                <w:sz w:val="16"/>
                <w:szCs w:val="16"/>
                <w:color w:val="0000EE"/>
                <w:w w:val="99"/>
              </w:rPr>
            </w:pPr>
            <w:hyperlink w:anchor="page236">
              <w:r>
                <w:rPr>
                  <w:rFonts w:ascii="Times New Roman" w:cs="Times New Roman" w:eastAsia="Times New Roman" w:hAnsi="Times New Roman"/>
                  <w:sz w:val="16"/>
                  <w:szCs w:val="16"/>
                  <w:color w:val="0000EE"/>
                  <w:w w:val="99"/>
                </w:rPr>
                <w:t>for the period from June 25, 2020 (inception) through September 30, 2020</w:t>
              </w:r>
            </w:hyperlink>
          </w:p>
        </w:tc>
        <w:tc>
          <w:tcPr>
            <w:tcW w:w="1620" w:type="dxa"/>
            <w:vAlign w:val="bottom"/>
            <w:tcBorders>
              <w:bottom w:val="single" w:sz="8" w:color="CCEEFF"/>
            </w:tcBorders>
            <w:gridSpan w:val="10"/>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tcBorders>
              <w:bottom w:val="single" w:sz="8" w:color="0000EE"/>
            </w:tcBorders>
            <w:gridSpan w:val="12"/>
          </w:tcPr>
          <w:p>
            <w:pPr>
              <w:spacing w:after="0" w:line="155" w:lineRule="exact"/>
              <w:rPr>
                <w:rFonts w:ascii="Times New Roman" w:cs="Times New Roman" w:eastAsia="Times New Roman" w:hAnsi="Times New Roman"/>
                <w:sz w:val="16"/>
                <w:szCs w:val="16"/>
                <w:color w:val="0000EE"/>
                <w:w w:val="98"/>
              </w:rPr>
            </w:pPr>
            <w:hyperlink w:anchor="page237">
              <w:r>
                <w:rPr>
                  <w:rFonts w:ascii="Times New Roman" w:cs="Times New Roman" w:eastAsia="Times New Roman" w:hAnsi="Times New Roman"/>
                  <w:sz w:val="16"/>
                  <w:szCs w:val="16"/>
                  <w:color w:val="0000EE"/>
                  <w:w w:val="98"/>
                </w:rPr>
                <w:t>Unaudited Condensed Statement of Changes in Stockholder’s equity for the three months ended</w:t>
              </w:r>
            </w:hyperlink>
          </w:p>
        </w:tc>
        <w:tc>
          <w:tcPr>
            <w:tcW w:w="40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360" w:type="dxa"/>
            <w:vAlign w:val="bottom"/>
            <w:gridSpan w:val="16"/>
          </w:tcPr>
          <w:p>
            <w:pPr>
              <w:spacing w:after="0" w:line="171" w:lineRule="exact"/>
              <w:rPr>
                <w:rFonts w:ascii="Times New Roman" w:cs="Times New Roman" w:eastAsia="Times New Roman" w:hAnsi="Times New Roman"/>
                <w:sz w:val="16"/>
                <w:szCs w:val="16"/>
                <w:color w:val="0000EE"/>
              </w:rPr>
            </w:pPr>
            <w:hyperlink w:anchor="page237">
              <w:r>
                <w:rPr>
                  <w:rFonts w:ascii="Times New Roman" w:cs="Times New Roman" w:eastAsia="Times New Roman" w:hAnsi="Times New Roman"/>
                  <w:sz w:val="16"/>
                  <w:szCs w:val="16"/>
                  <w:color w:val="0000EE"/>
                </w:rPr>
                <w:t>September 30, 2020 and for the period from June 25, 2020 (inception) through September</w:t>
              </w:r>
            </w:hyperlink>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580" w:type="dxa"/>
            <w:vAlign w:val="bottom"/>
            <w:gridSpan w:val="5"/>
          </w:tcPr>
          <w:p>
            <w:pPr>
              <w:ind w:left="160"/>
              <w:spacing w:after="0" w:line="171" w:lineRule="exact"/>
              <w:rPr>
                <w:rFonts w:ascii="Times New Roman" w:cs="Times New Roman" w:eastAsia="Times New Roman" w:hAnsi="Times New Roman"/>
                <w:sz w:val="16"/>
                <w:szCs w:val="16"/>
                <w:color w:val="0000EE"/>
              </w:rPr>
            </w:pPr>
            <w:hyperlink w:anchor="page237">
              <w:r>
                <w:rPr>
                  <w:rFonts w:ascii="Times New Roman" w:cs="Times New Roman" w:eastAsia="Times New Roman" w:hAnsi="Times New Roman"/>
                  <w:sz w:val="16"/>
                  <w:szCs w:val="16"/>
                  <w:color w:val="0000EE"/>
                </w:rPr>
                <w:t>30, 2020</w:t>
              </w:r>
            </w:hyperlink>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5960" w:type="dxa"/>
            <w:vAlign w:val="bottom"/>
            <w:tcBorders>
              <w:bottom w:val="single" w:sz="8" w:color="0000EE"/>
            </w:tcBorders>
            <w:gridSpan w:val="10"/>
            <w:shd w:val="clear" w:color="auto" w:fill="CCEEFF"/>
          </w:tcPr>
          <w:p>
            <w:pPr>
              <w:spacing w:after="0" w:line="155" w:lineRule="exact"/>
              <w:rPr>
                <w:rFonts w:ascii="Times New Roman" w:cs="Times New Roman" w:eastAsia="Times New Roman" w:hAnsi="Times New Roman"/>
                <w:sz w:val="16"/>
                <w:szCs w:val="16"/>
                <w:color w:val="0000EE"/>
                <w:w w:val="99"/>
              </w:rPr>
            </w:pPr>
            <w:hyperlink w:anchor="page238">
              <w:r>
                <w:rPr>
                  <w:rFonts w:ascii="Times New Roman" w:cs="Times New Roman" w:eastAsia="Times New Roman" w:hAnsi="Times New Roman"/>
                  <w:sz w:val="16"/>
                  <w:szCs w:val="16"/>
                  <w:color w:val="0000EE"/>
                  <w:w w:val="99"/>
                </w:rPr>
                <w:t>Unaudited Condensed Statement of Cash Flows for the period from June 25, 2020 (inception)</w:t>
              </w:r>
            </w:hyperlink>
          </w:p>
        </w:tc>
        <w:tc>
          <w:tcPr>
            <w:tcW w:w="540" w:type="dxa"/>
            <w:vAlign w:val="bottom"/>
            <w:tcBorders>
              <w:bottom w:val="single" w:sz="8" w:color="CCEEFF"/>
            </w:tcBorders>
            <w:gridSpan w:val="7"/>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0000EE"/>
            </w:tcBorders>
            <w:gridSpan w:val="4"/>
            <w:shd w:val="clear" w:color="auto" w:fill="CCEEFF"/>
          </w:tcPr>
          <w:p>
            <w:pPr>
              <w:spacing w:after="0" w:line="171" w:lineRule="exact"/>
              <w:rPr>
                <w:rFonts w:ascii="Times New Roman" w:cs="Times New Roman" w:eastAsia="Times New Roman" w:hAnsi="Times New Roman"/>
                <w:sz w:val="16"/>
                <w:szCs w:val="16"/>
                <w:color w:val="0000EE"/>
                <w:w w:val="98"/>
              </w:rPr>
            </w:pPr>
            <w:hyperlink w:anchor="page238">
              <w:r>
                <w:rPr>
                  <w:rFonts w:ascii="Times New Roman" w:cs="Times New Roman" w:eastAsia="Times New Roman" w:hAnsi="Times New Roman"/>
                  <w:sz w:val="16"/>
                  <w:szCs w:val="16"/>
                  <w:color w:val="0000EE"/>
                  <w:w w:val="98"/>
                </w:rPr>
                <w:t>through September 30, 2020</w:t>
              </w:r>
            </w:hyperlink>
          </w:p>
        </w:tc>
        <w:tc>
          <w:tcPr>
            <w:tcW w:w="4540" w:type="dxa"/>
            <w:vAlign w:val="bottom"/>
            <w:tcBorders>
              <w:bottom w:val="single" w:sz="8" w:color="CCEEFF"/>
            </w:tcBorders>
            <w:gridSpan w:val="12"/>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rFonts w:ascii="Times New Roman" w:cs="Times New Roman" w:eastAsia="Times New Roman" w:hAnsi="Times New Roman"/>
                <w:sz w:val="16"/>
                <w:szCs w:val="16"/>
                <w:u w:val="single" w:color="auto"/>
                <w:color w:val="0000EE"/>
              </w:rPr>
            </w:pPr>
            <w:hyperlink w:anchor="page239">
              <w:r>
                <w:rPr>
                  <w:rFonts w:ascii="Times New Roman" w:cs="Times New Roman" w:eastAsia="Times New Roman" w:hAnsi="Times New Roman"/>
                  <w:sz w:val="16"/>
                  <w:szCs w:val="16"/>
                  <w:u w:val="single" w:color="auto"/>
                  <w:color w:val="0000EE"/>
                </w:rPr>
                <w:t>Notes to Unaudited Condensed Financial Statements</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Audited Financial Statements of FS Development Corp.</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50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6"/>
                <w:szCs w:val="16"/>
                <w:u w:val="single" w:color="auto"/>
                <w:color w:val="0000EE"/>
              </w:rPr>
            </w:pPr>
            <w:hyperlink w:anchor="page252">
              <w:r>
                <w:rPr>
                  <w:rFonts w:ascii="Times New Roman" w:cs="Times New Roman" w:eastAsia="Times New Roman" w:hAnsi="Times New Roman"/>
                  <w:sz w:val="16"/>
                  <w:szCs w:val="16"/>
                  <w:u w:val="single" w:color="auto"/>
                  <w:color w:val="0000EE"/>
                </w:rPr>
                <w:t>Report of Independent Registered Public Accounting Firm</w:t>
              </w:r>
            </w:hyperlink>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F-19</w:t>
            </w: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rFonts w:ascii="Times New Roman" w:cs="Times New Roman" w:eastAsia="Times New Roman" w:hAnsi="Times New Roman"/>
                <w:sz w:val="16"/>
                <w:szCs w:val="16"/>
                <w:u w:val="single" w:color="auto"/>
                <w:color w:val="0000EE"/>
              </w:rPr>
            </w:pPr>
            <w:hyperlink w:anchor="page253">
              <w:r>
                <w:rPr>
                  <w:rFonts w:ascii="Times New Roman" w:cs="Times New Roman" w:eastAsia="Times New Roman" w:hAnsi="Times New Roman"/>
                  <w:sz w:val="16"/>
                  <w:szCs w:val="16"/>
                  <w:u w:val="single" w:color="auto"/>
                  <w:color w:val="0000EE"/>
                </w:rPr>
                <w:t>Balance Sheet as of June 30, 2020</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F-20</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50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6"/>
                <w:szCs w:val="16"/>
                <w:u w:val="single" w:color="auto"/>
                <w:color w:val="0000EE"/>
              </w:rPr>
            </w:pPr>
            <w:hyperlink w:anchor="page254">
              <w:r>
                <w:rPr>
                  <w:rFonts w:ascii="Times New Roman" w:cs="Times New Roman" w:eastAsia="Times New Roman" w:hAnsi="Times New Roman"/>
                  <w:sz w:val="16"/>
                  <w:szCs w:val="16"/>
                  <w:u w:val="single" w:color="auto"/>
                  <w:color w:val="0000EE"/>
                </w:rPr>
                <w:t>Statements of Operations for the period from June 25, 2020 (inception) through June 30, 2020</w:t>
              </w:r>
            </w:hyperlink>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tcBorders>
              <w:bottom w:val="single" w:sz="8" w:color="0000EE"/>
            </w:tcBorders>
            <w:gridSpan w:val="9"/>
          </w:tcPr>
          <w:p>
            <w:pPr>
              <w:spacing w:after="0" w:line="155" w:lineRule="exact"/>
              <w:rPr>
                <w:rFonts w:ascii="Times New Roman" w:cs="Times New Roman" w:eastAsia="Times New Roman" w:hAnsi="Times New Roman"/>
                <w:sz w:val="16"/>
                <w:szCs w:val="16"/>
                <w:color w:val="0000EE"/>
                <w:w w:val="99"/>
              </w:rPr>
            </w:pPr>
            <w:hyperlink w:anchor="page255">
              <w:r>
                <w:rPr>
                  <w:rFonts w:ascii="Times New Roman" w:cs="Times New Roman" w:eastAsia="Times New Roman" w:hAnsi="Times New Roman"/>
                  <w:sz w:val="16"/>
                  <w:szCs w:val="16"/>
                  <w:color w:val="0000EE"/>
                  <w:w w:val="99"/>
                </w:rPr>
                <w:t>Statement of Changes in Stockholder’s Equity for the period from June 25, 2020 (inception)</w:t>
              </w:r>
            </w:hyperlink>
          </w:p>
        </w:tc>
        <w:tc>
          <w:tcPr>
            <w:tcW w:w="62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360" w:type="dxa"/>
            <w:vAlign w:val="bottom"/>
            <w:gridSpan w:val="16"/>
          </w:tcPr>
          <w:p>
            <w:pPr>
              <w:spacing w:after="0" w:line="171" w:lineRule="exact"/>
              <w:rPr>
                <w:rFonts w:ascii="Times New Roman" w:cs="Times New Roman" w:eastAsia="Times New Roman" w:hAnsi="Times New Roman"/>
                <w:sz w:val="16"/>
                <w:szCs w:val="16"/>
                <w:color w:val="0000EE"/>
              </w:rPr>
            </w:pPr>
            <w:hyperlink w:anchor="page255">
              <w:r>
                <w:rPr>
                  <w:rFonts w:ascii="Times New Roman" w:cs="Times New Roman" w:eastAsia="Times New Roman" w:hAnsi="Times New Roman"/>
                  <w:sz w:val="16"/>
                  <w:szCs w:val="16"/>
                  <w:color w:val="0000EE"/>
                </w:rPr>
                <w:t>through June 30, 2020</w:t>
              </w:r>
            </w:hyperlink>
          </w:p>
        </w:tc>
        <w:tc>
          <w:tcPr>
            <w:tcW w:w="6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F-22</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50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6"/>
                <w:szCs w:val="16"/>
                <w:u w:val="single" w:color="auto"/>
                <w:color w:val="0000EE"/>
              </w:rPr>
            </w:pPr>
            <w:hyperlink w:anchor="page256">
              <w:r>
                <w:rPr>
                  <w:rFonts w:ascii="Times New Roman" w:cs="Times New Roman" w:eastAsia="Times New Roman" w:hAnsi="Times New Roman"/>
                  <w:sz w:val="16"/>
                  <w:szCs w:val="16"/>
                  <w:u w:val="single" w:color="auto"/>
                  <w:color w:val="0000EE"/>
                </w:rPr>
                <w:t>Statement of Cash Flows for the period from June 25, 2020 (inception) through June 30, 2020</w:t>
              </w:r>
            </w:hyperlink>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F-23</w:t>
            </w: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rFonts w:ascii="Times New Roman" w:cs="Times New Roman" w:eastAsia="Times New Roman" w:hAnsi="Times New Roman"/>
                <w:sz w:val="16"/>
                <w:szCs w:val="16"/>
                <w:u w:val="single" w:color="auto"/>
                <w:color w:val="0000EE"/>
              </w:rPr>
            </w:pPr>
            <w:hyperlink w:anchor="page257">
              <w:r>
                <w:rPr>
                  <w:rFonts w:ascii="Times New Roman" w:cs="Times New Roman" w:eastAsia="Times New Roman" w:hAnsi="Times New Roman"/>
                  <w:sz w:val="16"/>
                  <w:szCs w:val="16"/>
                  <w:u w:val="single" w:color="auto"/>
                  <w:color w:val="0000EE"/>
                </w:rPr>
                <w:t>Notes to Financial Statements</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F-24</w:t>
            </w: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Audited Financial Statements of Gemini Therapeutics,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1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50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6"/>
                <w:szCs w:val="16"/>
                <w:u w:val="single" w:color="auto"/>
                <w:color w:val="0000EE"/>
              </w:rPr>
            </w:pPr>
            <w:hyperlink w:anchor="page265">
              <w:r>
                <w:rPr>
                  <w:rFonts w:ascii="Times New Roman" w:cs="Times New Roman" w:eastAsia="Times New Roman" w:hAnsi="Times New Roman"/>
                  <w:sz w:val="16"/>
                  <w:szCs w:val="16"/>
                  <w:u w:val="single" w:color="auto"/>
                  <w:color w:val="0000EE"/>
                </w:rPr>
                <w:t>Report of Independent Registered Public Accounting Firm</w:t>
              </w:r>
            </w:hyperlink>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F-32</w:t>
            </w: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rFonts w:ascii="Times New Roman" w:cs="Times New Roman" w:eastAsia="Times New Roman" w:hAnsi="Times New Roman"/>
                <w:sz w:val="16"/>
                <w:szCs w:val="16"/>
                <w:u w:val="single" w:color="auto"/>
                <w:color w:val="0000EE"/>
              </w:rPr>
            </w:pPr>
            <w:hyperlink w:anchor="page266">
              <w:r>
                <w:rPr>
                  <w:rFonts w:ascii="Times New Roman" w:cs="Times New Roman" w:eastAsia="Times New Roman" w:hAnsi="Times New Roman"/>
                  <w:sz w:val="16"/>
                  <w:szCs w:val="16"/>
                  <w:u w:val="single" w:color="auto"/>
                  <w:color w:val="0000EE"/>
                </w:rPr>
                <w:t>Balance Sheets as of December 31, 2018 and 2019, and (unaudited) as of September 30, 2020</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F-33</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6060" w:type="dxa"/>
            <w:vAlign w:val="bottom"/>
            <w:tcBorders>
              <w:bottom w:val="single" w:sz="8" w:color="0000EE"/>
            </w:tcBorders>
            <w:gridSpan w:val="11"/>
            <w:shd w:val="clear" w:color="auto" w:fill="CCEEFF"/>
          </w:tcPr>
          <w:p>
            <w:pPr>
              <w:spacing w:after="0" w:line="155" w:lineRule="exact"/>
              <w:rPr>
                <w:rFonts w:ascii="Times New Roman" w:cs="Times New Roman" w:eastAsia="Times New Roman" w:hAnsi="Times New Roman"/>
                <w:sz w:val="16"/>
                <w:szCs w:val="16"/>
                <w:color w:val="0000EE"/>
                <w:w w:val="98"/>
              </w:rPr>
            </w:pPr>
            <w:hyperlink w:anchor="page267">
              <w:r>
                <w:rPr>
                  <w:rFonts w:ascii="Times New Roman" w:cs="Times New Roman" w:eastAsia="Times New Roman" w:hAnsi="Times New Roman"/>
                  <w:sz w:val="16"/>
                  <w:szCs w:val="16"/>
                  <w:color w:val="0000EE"/>
                  <w:w w:val="98"/>
                </w:rPr>
                <w:t>Statements of Operations and Comprehensive Loss for the years ended December 31, 2018 and</w:t>
              </w:r>
            </w:hyperlink>
          </w:p>
        </w:tc>
        <w:tc>
          <w:tcPr>
            <w:tcW w:w="440" w:type="dxa"/>
            <w:vAlign w:val="bottom"/>
            <w:tcBorders>
              <w:bottom w:val="single" w:sz="8" w:color="CCEEFF"/>
            </w:tcBorders>
            <w:gridSpan w:val="6"/>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360" w:type="dxa"/>
            <w:vAlign w:val="bottom"/>
            <w:tcBorders>
              <w:bottom w:val="single" w:sz="8" w:color="CCEEFF"/>
            </w:tcBorders>
            <w:gridSpan w:val="16"/>
            <w:shd w:val="clear" w:color="auto" w:fill="CCEEFF"/>
          </w:tcPr>
          <w:p>
            <w:pPr>
              <w:spacing w:after="0"/>
              <w:rPr>
                <w:rFonts w:ascii="Times New Roman" w:cs="Times New Roman" w:eastAsia="Times New Roman" w:hAnsi="Times New Roman"/>
                <w:sz w:val="16"/>
                <w:szCs w:val="16"/>
                <w:u w:val="single" w:color="auto"/>
                <w:color w:val="0000EE"/>
              </w:rPr>
            </w:pPr>
            <w:hyperlink w:anchor="page267">
              <w:r>
                <w:rPr>
                  <w:rFonts w:ascii="Times New Roman" w:cs="Times New Roman" w:eastAsia="Times New Roman" w:hAnsi="Times New Roman"/>
                  <w:sz w:val="16"/>
                  <w:szCs w:val="16"/>
                  <w:u w:val="single" w:color="auto"/>
                  <w:color w:val="0000EE"/>
                </w:rPr>
                <w:t>2019, and (unaudited) for the nine months ended September 30, 2019 and 2020</w:t>
              </w:r>
            </w:hyperlink>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w w:val="98"/>
              </w:rPr>
            </w:pPr>
            <w:hyperlink w:anchor="page268">
              <w:r>
                <w:rPr>
                  <w:rFonts w:ascii="Times New Roman" w:cs="Times New Roman" w:eastAsia="Times New Roman" w:hAnsi="Times New Roman"/>
                  <w:sz w:val="16"/>
                  <w:szCs w:val="16"/>
                  <w:color w:val="0000EE"/>
                  <w:w w:val="98"/>
                </w:rPr>
                <w:t>Statements of Convertible Preferred Stock and Stockholders’ Equity (Deficit) for the years ended</w:t>
              </w:r>
            </w:hyperlink>
          </w:p>
        </w:tc>
        <w:tc>
          <w:tcPr>
            <w:tcW w:w="3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60" w:type="dxa"/>
            <w:vAlign w:val="bottom"/>
            <w:tcBorders>
              <w:bottom w:val="single" w:sz="8" w:color="0000EE"/>
            </w:tcBorders>
            <w:gridSpan w:val="15"/>
          </w:tcPr>
          <w:p>
            <w:pPr>
              <w:spacing w:after="0" w:line="171" w:lineRule="exact"/>
              <w:rPr>
                <w:rFonts w:ascii="Times New Roman" w:cs="Times New Roman" w:eastAsia="Times New Roman" w:hAnsi="Times New Roman"/>
                <w:sz w:val="16"/>
                <w:szCs w:val="16"/>
                <w:color w:val="0000EE"/>
                <w:w w:val="99"/>
              </w:rPr>
            </w:pPr>
            <w:hyperlink w:anchor="page268">
              <w:r>
                <w:rPr>
                  <w:rFonts w:ascii="Times New Roman" w:cs="Times New Roman" w:eastAsia="Times New Roman" w:hAnsi="Times New Roman"/>
                  <w:sz w:val="16"/>
                  <w:szCs w:val="16"/>
                  <w:color w:val="0000EE"/>
                  <w:w w:val="99"/>
                </w:rPr>
                <w:t>December 31, 2018 and 2019, and (unaudited) for the nine months ended September 30, 2019 and</w:t>
              </w:r>
            </w:hyperlink>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gridSpan w:val="3"/>
          </w:tcPr>
          <w:p>
            <w:pPr>
              <w:ind w:left="160"/>
              <w:spacing w:after="0" w:line="171" w:lineRule="exact"/>
              <w:rPr>
                <w:rFonts w:ascii="Times New Roman" w:cs="Times New Roman" w:eastAsia="Times New Roman" w:hAnsi="Times New Roman"/>
                <w:sz w:val="16"/>
                <w:szCs w:val="16"/>
                <w:color w:val="0000EE"/>
                <w:w w:val="93"/>
              </w:rPr>
            </w:pPr>
            <w:hyperlink w:anchor="page268">
              <w:r>
                <w:rPr>
                  <w:rFonts w:ascii="Times New Roman" w:cs="Times New Roman" w:eastAsia="Times New Roman" w:hAnsi="Times New Roman"/>
                  <w:sz w:val="16"/>
                  <w:szCs w:val="16"/>
                  <w:color w:val="0000EE"/>
                  <w:w w:val="93"/>
                </w:rPr>
                <w:t>2020</w:t>
              </w:r>
            </w:hyperlink>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F-35</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360" w:type="dxa"/>
            <w:vAlign w:val="bottom"/>
            <w:tcBorders>
              <w:bottom w:val="single" w:sz="8" w:color="0000EE"/>
            </w:tcBorders>
            <w:gridSpan w:val="15"/>
            <w:shd w:val="clear" w:color="auto" w:fill="CCEEFF"/>
          </w:tcPr>
          <w:p>
            <w:pPr>
              <w:spacing w:after="0" w:line="155" w:lineRule="exact"/>
              <w:rPr>
                <w:rFonts w:ascii="Times New Roman" w:cs="Times New Roman" w:eastAsia="Times New Roman" w:hAnsi="Times New Roman"/>
                <w:sz w:val="16"/>
                <w:szCs w:val="16"/>
                <w:color w:val="0000EE"/>
                <w:w w:val="98"/>
              </w:rPr>
            </w:pPr>
            <w:hyperlink w:anchor="page270">
              <w:r>
                <w:rPr>
                  <w:rFonts w:ascii="Times New Roman" w:cs="Times New Roman" w:eastAsia="Times New Roman" w:hAnsi="Times New Roman"/>
                  <w:sz w:val="16"/>
                  <w:szCs w:val="16"/>
                  <w:color w:val="0000EE"/>
                  <w:w w:val="98"/>
                </w:rPr>
                <w:t>Statements of Cash Flows for the years ended December 31, 2018 and 2019, and (unaudited) for the</w:t>
              </w:r>
            </w:hyperlink>
          </w:p>
        </w:tc>
        <w:tc>
          <w:tcPr>
            <w:tcW w:w="140" w:type="dxa"/>
            <w:vAlign w:val="bottom"/>
            <w:tcBorders>
              <w:bottom w:val="single" w:sz="8" w:color="CCEEFF"/>
            </w:tcBorders>
            <w:gridSpan w:val="2"/>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360" w:type="dxa"/>
            <w:vAlign w:val="bottom"/>
            <w:gridSpan w:val="16"/>
            <w:shd w:val="clear" w:color="auto" w:fill="CCEEFF"/>
          </w:tcPr>
          <w:p>
            <w:pPr>
              <w:spacing w:after="0" w:line="171" w:lineRule="exact"/>
              <w:rPr>
                <w:rFonts w:ascii="Times New Roman" w:cs="Times New Roman" w:eastAsia="Times New Roman" w:hAnsi="Times New Roman"/>
                <w:sz w:val="16"/>
                <w:szCs w:val="16"/>
                <w:color w:val="0000EE"/>
              </w:rPr>
            </w:pPr>
            <w:hyperlink w:anchor="page270">
              <w:r>
                <w:rPr>
                  <w:rFonts w:ascii="Times New Roman" w:cs="Times New Roman" w:eastAsia="Times New Roman" w:hAnsi="Times New Roman"/>
                  <w:sz w:val="16"/>
                  <w:szCs w:val="16"/>
                  <w:color w:val="0000EE"/>
                </w:rPr>
                <w:t>nine months ended September 30, 2019 and 2020</w:t>
              </w:r>
            </w:hyperlink>
          </w:p>
        </w:tc>
        <w:tc>
          <w:tcPr>
            <w:tcW w:w="6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F-36</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320" w:type="dxa"/>
            <w:vAlign w:val="bottom"/>
            <w:tcBorders>
              <w:top w:val="single" w:sz="8" w:color="0000EE"/>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520" w:type="dxa"/>
            <w:vAlign w:val="bottom"/>
            <w:gridSpan w:val="18"/>
          </w:tcPr>
          <w:p>
            <w:pPr>
              <w:spacing w:after="0"/>
              <w:rPr>
                <w:rFonts w:ascii="Times New Roman" w:cs="Times New Roman" w:eastAsia="Times New Roman" w:hAnsi="Times New Roman"/>
                <w:sz w:val="16"/>
                <w:szCs w:val="16"/>
                <w:u w:val="single" w:color="auto"/>
                <w:color w:val="0000EE"/>
              </w:rPr>
            </w:pPr>
            <w:hyperlink w:anchor="page271">
              <w:r>
                <w:rPr>
                  <w:rFonts w:ascii="Times New Roman" w:cs="Times New Roman" w:eastAsia="Times New Roman" w:hAnsi="Times New Roman"/>
                  <w:sz w:val="16"/>
                  <w:szCs w:val="16"/>
                  <w:u w:val="single" w:color="auto"/>
                  <w:color w:val="0000EE"/>
                </w:rPr>
                <w:t>Notes to Financial Statements</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F-37</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6"/>
                <w:szCs w:val="16"/>
                <w:color w:val="auto"/>
              </w:rPr>
              <w:t>F-1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234" w:name="page235"/>
    <w:bookmarkEnd w:id="234"/>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6060" w:type="dxa"/>
            <w:vAlign w:val="bottom"/>
            <w:gridSpan w:val="2"/>
          </w:tcPr>
          <w:p>
            <w:pPr>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040" w:type="dxa"/>
            <w:vAlign w:val="bottom"/>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9"/>
              </w:rPr>
              <w:t>FS DEVELOPMENT CORP.</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40" w:type="dxa"/>
            <w:vAlign w:val="bottom"/>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9"/>
              </w:rPr>
              <w:t>UNAUDITED CONDENSED BALANCE SHEET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9"/>
              </w:rPr>
              <w:t>SEPTEMBER 30, 2020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1,437,928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169,570</w:t>
            </w:r>
          </w:p>
        </w:tc>
        <w:tc>
          <w:tcPr>
            <w:tcW w:w="0" w:type="dxa"/>
            <w:vAlign w:val="bottom"/>
          </w:tcPr>
          <w:p>
            <w:pPr>
              <w:spacing w:after="0"/>
              <w:rPr>
                <w:sz w:val="1"/>
                <w:szCs w:val="1"/>
                <w:color w:val="auto"/>
              </w:rPr>
            </w:pPr>
          </w:p>
        </w:tc>
      </w:tr>
      <w:tr>
        <w:trPr>
          <w:trHeight w:val="24"/>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1,607,498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equivalents held in Trust Account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122,358,987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40,489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461,999</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tax payable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49,914</w:t>
            </w:r>
          </w:p>
        </w:tc>
        <w:tc>
          <w:tcPr>
            <w:tcW w:w="0" w:type="dxa"/>
            <w:vAlign w:val="bottom"/>
          </w:tcPr>
          <w:p>
            <w:pPr>
              <w:spacing w:after="0"/>
              <w:rPr>
                <w:sz w:val="1"/>
                <w:szCs w:val="1"/>
                <w:color w:val="auto"/>
              </w:rPr>
            </w:pPr>
          </w:p>
        </w:tc>
      </w:tr>
      <w:tr>
        <w:trPr>
          <w:trHeight w:val="200"/>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552,402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underwriting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4,226,250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4,778,652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Class A common stock, $0.0001 par value; 11,258,033 shares subject to possible redemption</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at $10.00 per share</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112,580,330</w:t>
            </w:r>
          </w:p>
        </w:tc>
        <w:tc>
          <w:tcPr>
            <w:tcW w:w="0" w:type="dxa"/>
            <w:vAlign w:val="bottom"/>
          </w:tcPr>
          <w:p>
            <w:pPr>
              <w:spacing w:after="0"/>
              <w:rPr>
                <w:sz w:val="1"/>
                <w:szCs w:val="1"/>
                <w:color w:val="auto"/>
              </w:rPr>
            </w:pPr>
          </w:p>
        </w:tc>
      </w:tr>
      <w:tr>
        <w:trPr>
          <w:trHeight w:val="251"/>
        </w:trPr>
        <w:tc>
          <w:tcPr>
            <w:tcW w:w="60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stock, $0.0001 par value; 1,000,000 shares authorized; none issued and outstanding</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Class A common stock, $0.0001 par value; 100,000,000 shares authorized; 1,258,467 shares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issued and outstanding (excluding 11,258,033 shares subject to possible redemption)</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Class B common stock, $0.0001 par value; 10,000,000 shares authorized; 3,018,750 shares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outstanding</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36"/>
        </w:trPr>
        <w:tc>
          <w:tcPr>
            <w:tcW w:w="60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5,500,488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(500,911)</w:t>
            </w:r>
          </w:p>
        </w:tc>
        <w:tc>
          <w:tcPr>
            <w:tcW w:w="0" w:type="dxa"/>
            <w:vAlign w:val="bottom"/>
          </w:tcPr>
          <w:p>
            <w:pPr>
              <w:spacing w:after="0"/>
              <w:rPr>
                <w:sz w:val="1"/>
                <w:szCs w:val="1"/>
                <w:color w:val="auto"/>
              </w:rPr>
            </w:pPr>
          </w:p>
        </w:tc>
      </w:tr>
      <w:tr>
        <w:trPr>
          <w:trHeight w:val="24"/>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122,358,987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5" w:name="page236"/>
    <w:bookmarkEnd w:id="23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CONDENSED STATEMENTS OF OPERATIONS</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25,</w:t>
            </w: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450,986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452,486</w:t>
            </w:r>
          </w:p>
        </w:tc>
        <w:tc>
          <w:tcPr>
            <w:tcW w:w="0" w:type="dxa"/>
            <w:vAlign w:val="bottom"/>
          </w:tcPr>
          <w:p>
            <w:pPr>
              <w:spacing w:after="0"/>
              <w:rPr>
                <w:sz w:val="1"/>
                <w:szCs w:val="1"/>
                <w:color w:val="auto"/>
              </w:rPr>
            </w:pPr>
          </w:p>
        </w:tc>
      </w:tr>
      <w:tr>
        <w:trPr>
          <w:trHeight w:val="227"/>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49,914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49,914</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(502,400)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Interest earned on cash equivalents held in Trust Account</w:t>
            </w: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before income tax expense</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(500,911)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(499,411</w:t>
            </w:r>
          </w:p>
        </w:tc>
        <w:tc>
          <w:tcPr>
            <w:tcW w:w="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of Class A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12,516,500</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12,516,500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Basic and diluted net income per share, Class A</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of Class B common stock</w:t>
            </w: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vMerge w:val="continue"/>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Basic and diluted net loss per share, Class B</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6" w:name="page237"/>
    <w:bookmarkEnd w:id="23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CONDENSED STATEMENTS OF CHANGES IN STOCKHOLDERS’ EQUITY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2020 AND FOR THE PERIOD FROM JUNE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25, 2020 (INCEPTION) THROUGH SEPTEMBER 30, 2020</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120"/>
              <w:spacing w:after="0" w:line="13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5"/>
                <w:szCs w:val="5"/>
                <w:color w:val="auto"/>
              </w:rPr>
            </w:pPr>
          </w:p>
        </w:tc>
        <w:tc>
          <w:tcPr>
            <w:tcW w:w="840" w:type="dxa"/>
            <w:vAlign w:val="bottom"/>
            <w:gridSpan w:val="4"/>
            <w:vMerge w:val="restart"/>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5"/>
                <w:szCs w:val="5"/>
                <w:color w:val="auto"/>
              </w:rPr>
            </w:pPr>
          </w:p>
        </w:tc>
        <w:tc>
          <w:tcPr>
            <w:tcW w:w="900" w:type="dxa"/>
            <w:vAlign w:val="bottom"/>
            <w:gridSpan w:val="2"/>
            <w:vMerge w:val="restart"/>
          </w:tcPr>
          <w:p>
            <w:pPr>
              <w:jc w:val="center"/>
              <w:ind w:right="100"/>
              <w:spacing w:after="0" w:line="13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vMerge w:val="restart"/>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4"/>
                <w:szCs w:val="4"/>
                <w:color w:val="auto"/>
              </w:rPr>
            </w:pPr>
          </w:p>
        </w:tc>
        <w:tc>
          <w:tcPr>
            <w:tcW w:w="5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 June 25,</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 (inception)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B</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to</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Sponsor</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3,018,750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44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 June 30,</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3,018,750</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24,698</w:t>
            </w:r>
          </w:p>
        </w:tc>
        <w:tc>
          <w:tcPr>
            <w:tcW w:w="12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(1,500)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shares in initial</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public offering,</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12,075,000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120,748,792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120,750,000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(7,108,754)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(7,108,754)</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private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placement shares to</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Sponsor in private</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placement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subject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possible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(11,258,033)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(112,579,204)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(112,580,330)</w:t>
            </w:r>
          </w:p>
        </w:tc>
        <w:tc>
          <w:tcPr>
            <w:tcW w:w="0" w:type="dxa"/>
            <w:vAlign w:val="bottom"/>
          </w:tcPr>
          <w:p>
            <w:pPr>
              <w:spacing w:after="0"/>
              <w:rPr>
                <w:sz w:val="1"/>
                <w:szCs w:val="1"/>
                <w:color w:val="auto"/>
              </w:rPr>
            </w:pPr>
          </w:p>
        </w:tc>
      </w:tr>
      <w:tr>
        <w:trPr>
          <w:trHeight w:val="42"/>
        </w:trPr>
        <w:tc>
          <w:tcPr>
            <w:tcW w:w="144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(499,411)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(499,411)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 September</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1,258,467</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3,018,750</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5,500,488</w:t>
            </w:r>
          </w:p>
        </w:tc>
        <w:tc>
          <w:tcPr>
            <w:tcW w:w="12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(500,911)</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5,000,005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37" w:name="page238"/>
    <w:bookmarkEnd w:id="23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CONDENSED STATEMENT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FROM JUNE 25, 2020 (INCEPTION) THROUGH SEPTEMBER 30, 2020</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(500,911)</w:t>
            </w:r>
          </w:p>
        </w:tc>
      </w:tr>
      <w:tr>
        <w:trPr>
          <w:trHeight w:val="36"/>
        </w:trPr>
        <w:tc>
          <w:tcPr>
            <w:tcW w:w="6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earned on cash equivalents held in Trust Account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(169,570)</w:t>
            </w:r>
          </w:p>
        </w:tc>
      </w:tr>
      <w:tr>
        <w:trPr>
          <w:trHeight w:val="215"/>
        </w:trPr>
        <w:tc>
          <w:tcPr>
            <w:tcW w:w="6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39,489</w:t>
            </w:r>
          </w:p>
        </w:tc>
      </w:tr>
      <w:tr>
        <w:trPr>
          <w:trHeight w:val="36"/>
        </w:trPr>
        <w:tc>
          <w:tcPr>
            <w:tcW w:w="6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Franchise tax payable</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49,914</w:t>
            </w:r>
          </w:p>
        </w:tc>
      </w:tr>
      <w:tr>
        <w:trPr>
          <w:trHeight w:val="227"/>
        </w:trPr>
        <w:tc>
          <w:tcPr>
            <w:tcW w:w="6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391,999</w:t>
            </w:r>
          </w:p>
        </w:tc>
      </w:tr>
      <w:tr>
        <w:trPr>
          <w:trHeight w:val="24"/>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1"/>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(190,568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60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Cash deposited in Trust Account</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(120,750,000)</w:t>
            </w:r>
          </w:p>
        </w:tc>
      </w:tr>
      <w:tr>
        <w:trPr>
          <w:trHeight w:val="24"/>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1"/>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(120,750,000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159385</wp:posOffset>
            </wp:positionV>
            <wp:extent cx="4552950" cy="159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2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ectPr>
          <w:pgSz w:w="11900" w:h="16838" w:orient="portrait"/>
          <w:cols w:equalWidth="0" w:num="1">
            <w:col w:w="9019"/>
          </w:cols>
          <w:pgMar w:left="1440" w:top="254" w:right="1440" w:bottom="1440" w:gutter="0" w:footer="0" w:header="0"/>
        </w:sectPr>
      </w:pPr>
    </w:p>
    <w:p>
      <w:pPr>
        <w:spacing w:after="0" w:line="69" w:lineRule="exact"/>
        <w:rPr>
          <w:sz w:val="20"/>
          <w:szCs w:val="20"/>
          <w:color w:val="auto"/>
        </w:rPr>
      </w:pPr>
    </w:p>
    <w:p>
      <w:pPr>
        <w:ind w:left="920" w:right="1440"/>
        <w:spacing w:after="0" w:line="327" w:lineRule="auto"/>
        <w:rPr>
          <w:sz w:val="20"/>
          <w:szCs w:val="20"/>
          <w:color w:val="auto"/>
        </w:rPr>
      </w:pPr>
      <w:r>
        <w:rPr>
          <w:rFonts w:ascii="Times New Roman" w:cs="Times New Roman" w:eastAsia="Times New Roman" w:hAnsi="Times New Roman"/>
          <w:sz w:val="16"/>
          <w:szCs w:val="16"/>
          <w:color w:val="auto"/>
        </w:rPr>
        <w:t>Proceeds from issuance of Class B common stock to Sponsor Proceeds from note payable to related party 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-321945</wp:posOffset>
            </wp:positionV>
            <wp:extent cx="4552950" cy="159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52950" cy="15938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-3810</wp:posOffset>
            </wp:positionV>
            <wp:extent cx="4552950" cy="159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6"/>
          <w:szCs w:val="16"/>
          <w:color w:val="auto"/>
        </w:rPr>
        <w:t>Proceeds received from initial public offering, gross</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38100</wp:posOffset>
            </wp:positionV>
            <wp:extent cx="4552950" cy="159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Offering costs paid</w:t>
      </w:r>
    </w:p>
    <w:p>
      <w:pPr>
        <w:spacing w:after="0" w:line="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39370</wp:posOffset>
            </wp:positionV>
            <wp:extent cx="4552950" cy="167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39370</wp:posOffset>
            </wp:positionV>
            <wp:extent cx="4552950" cy="159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2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39370</wp:posOffset>
            </wp:positionV>
            <wp:extent cx="4552950" cy="159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213360</wp:posOffset>
            </wp:positionV>
            <wp:extent cx="4552950" cy="159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3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25,000</w:t>
      </w:r>
    </w:p>
    <w:p>
      <w:pPr>
        <w:spacing w:after="0" w:line="67"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200,000</w:t>
      </w:r>
    </w:p>
    <w:p>
      <w:pPr>
        <w:spacing w:after="0" w:line="67"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6"/>
          <w:szCs w:val="16"/>
          <w:color w:val="auto"/>
        </w:rPr>
        <w:t>(200,000)</w:t>
      </w:r>
    </w:p>
    <w:p>
      <w:pPr>
        <w:spacing w:after="0" w:line="67"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120,750,000</w:t>
      </w:r>
    </w:p>
    <w:p>
      <w:pPr>
        <w:spacing w:after="0" w:line="67"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4,415,000</w:t>
      </w:r>
    </w:p>
    <w:p>
      <w:pPr>
        <w:spacing w:after="0" w:line="67"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6"/>
          <w:szCs w:val="16"/>
          <w:color w:val="auto"/>
        </w:rPr>
        <w:t>(2,811,504)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38100</wp:posOffset>
            </wp:positionV>
            <wp:extent cx="62230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59"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122,378,496</w:t>
      </w:r>
    </w:p>
    <w:p>
      <w:pPr>
        <w:spacing w:after="0" w:line="3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1,437,928</w:t>
      </w:r>
    </w:p>
    <w:p>
      <w:pPr>
        <w:spacing w:after="0" w:line="3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w:t>
      </w:r>
    </w:p>
    <w:p>
      <w:pPr>
        <w:spacing w:after="0" w:line="65" w:lineRule="exact"/>
        <w:rPr>
          <w:sz w:val="20"/>
          <w:szCs w:val="20"/>
          <w:color w:val="auto"/>
        </w:rPr>
      </w:pPr>
    </w:p>
    <w:p>
      <w:pPr>
        <w:ind w:left="360" w:hanging="350"/>
        <w:spacing w:after="0"/>
        <w:tabs>
          <w:tab w:leader="none" w:pos="360" w:val="left"/>
        </w:tabs>
        <w:numPr>
          <w:ilvl w:val="0"/>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1,437,928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39370</wp:posOffset>
            </wp:positionV>
            <wp:extent cx="62230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582" w:lineRule="exact"/>
        <w:rPr>
          <w:sz w:val="20"/>
          <w:szCs w:val="20"/>
          <w:color w:val="auto"/>
        </w:rPr>
      </w:pPr>
    </w:p>
    <w:p>
      <w:pPr>
        <w:sectPr>
          <w:pgSz w:w="11900" w:h="16838" w:orient="portrait"/>
          <w:cols w:equalWidth="0" w:num="2">
            <w:col w:w="6260" w:space="720"/>
            <w:col w:w="2039"/>
          </w:cols>
          <w:pgMar w:left="1440" w:top="254" w:right="1440" w:bottom="1440" w:gutter="0" w:footer="0" w:header="0"/>
          <w:type w:val="continuous"/>
        </w:sectPr>
      </w:pPr>
    </w:p>
    <w:tbl>
      <w:tblPr>
        <w:tblLayout w:type="fixed"/>
        <w:tblInd w:w="920" w:type="dxa"/>
        <w:tblCellMar>
          <w:top w:w="0" w:type="dxa"/>
          <w:left w:w="0" w:type="dxa"/>
          <w:bottom w:w="0" w:type="dxa"/>
          <w:right w:w="0" w:type="dxa"/>
        </w:tblCellMar>
      </w:tblPr>
      <w:tr>
        <w:trPr>
          <w:trHeight w:val="208"/>
        </w:trPr>
        <w:tc>
          <w:tcPr>
            <w:tcW w:w="5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Offering costs included in accounts payable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r>
      <w:tr>
        <w:trPr>
          <w:trHeight w:val="36"/>
        </w:trPr>
        <w:tc>
          <w:tcPr>
            <w:tcW w:w="5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Offering costs included in accrued expenses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70,000</w:t>
            </w:r>
          </w:p>
        </w:tc>
      </w:tr>
      <w:tr>
        <w:trPr>
          <w:trHeight w:val="215"/>
        </w:trPr>
        <w:tc>
          <w:tcPr>
            <w:tcW w:w="5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underwriting commissions in connection with the initial public offering</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4,226,250</w:t>
            </w:r>
          </w:p>
        </w:tc>
      </w:tr>
      <w:tr>
        <w:trPr>
          <w:trHeight w:val="36"/>
        </w:trPr>
        <w:tc>
          <w:tcPr>
            <w:tcW w:w="5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Initial value of Class A common stock subject to possible redemption</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113,053,770</w:t>
            </w:r>
          </w:p>
        </w:tc>
      </w:tr>
      <w:tr>
        <w:trPr>
          <w:trHeight w:val="215"/>
        </w:trPr>
        <w:tc>
          <w:tcPr>
            <w:tcW w:w="5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value of Class A common stock subject to possible redemption</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(473,440)</w:t>
            </w:r>
          </w:p>
        </w:tc>
      </w:tr>
    </w:tbl>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38" w:name="page239"/>
    <w:bookmarkEnd w:id="23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 — Description of Organization, Business Operations and Basis of Presentation</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02"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9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96"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2" w:lineRule="exact"/>
        <w:rPr>
          <w:sz w:val="20"/>
          <w:szCs w:val="20"/>
          <w:color w:val="auto"/>
        </w:rPr>
      </w:pPr>
    </w:p>
    <w:p>
      <w:pPr>
        <w:ind w:left="920" w:right="939" w:hanging="1"/>
        <w:spacing w:after="0" w:line="258" w:lineRule="auto"/>
        <w:tabs>
          <w:tab w:leader="none" w:pos="1171"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means of a tender offer. The decision as to whether the Company will seek stockholder approval of a Business Combination or conduct a</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9" w:name="page240"/>
    <w:bookmarkEnd w:id="23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 — Description of Organization, Business Operations and Basis of Presentation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2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9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0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08"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0" w:name="page241"/>
    <w:bookmarkEnd w:id="24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 — Description of Organization, Business Operations and Basis of Presentation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Proposed Business Combination</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 See Note 7.</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0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Emerging Growth Company</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1" w:name="page242"/>
    <w:bookmarkEnd w:id="24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 — Description of Organization, Business Operations and Basis of Presentation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1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Liquidity and Capital Resources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1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0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9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42" w:name="page243"/>
    <w:bookmarkEnd w:id="24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Cash Equivalents Held in Trust Account</w:t>
      </w:r>
    </w:p>
    <w:p>
      <w:pPr>
        <w:spacing w:after="0" w:line="129"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0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Upon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84" w:lineRule="exact"/>
        <w:rPr>
          <w:sz w:val="20"/>
          <w:szCs w:val="20"/>
          <w:color w:val="auto"/>
        </w:rPr>
      </w:pPr>
    </w:p>
    <w:p>
      <w:pPr>
        <w:ind w:left="1680" w:right="939" w:hanging="379"/>
        <w:spacing w:after="0" w:line="280" w:lineRule="auto"/>
        <w:tabs>
          <w:tab w:leader="none" w:pos="1839"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defined as observable inputs such as quoted prices for identical instruments in active markets;</w:t>
      </w:r>
    </w:p>
    <w:p>
      <w:pPr>
        <w:spacing w:after="0" w:line="84"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815"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3" w:name="page244"/>
    <w:bookmarkEnd w:id="24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2 —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1680" w:right="939" w:hanging="379"/>
        <w:spacing w:after="0" w:line="265" w:lineRule="auto"/>
        <w:tabs>
          <w:tab w:leader="none" w:pos="1708"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84"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Offering Costs Associated with the Initial Public Offering</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Class A Common Stock Subject to Possible Redemption</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1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4" w:name="page245"/>
    <w:bookmarkEnd w:id="24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2 — Summary of Significant Accounting Policies </w:t>
      </w:r>
      <w:r>
        <w:rPr>
          <w:rFonts w:ascii="Times New Roman" w:cs="Times New Roman" w:eastAsia="Times New Roman" w:hAnsi="Times New Roman"/>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Net Income (Loss) Per Common Share</w:t>
      </w:r>
    </w:p>
    <w:p>
      <w:pPr>
        <w:spacing w:after="0" w:line="12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Management does not believe that any recently issued, but not yet effective, accounting pronouncement if currently adopted would have a material effect on the Company’s financial statements.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3 — Initial Public Offering</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4 — Related Party Transactions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Founder Shares and Private Placement Shares</w:t>
      </w:r>
    </w:p>
    <w:p>
      <w:pPr>
        <w:spacing w:after="0" w:line="13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08"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9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5" w:name="page246"/>
    <w:bookmarkEnd w:id="24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4 — Related Party Transactions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72" w:lineRule="auto"/>
        <w:rPr>
          <w:sz w:val="20"/>
          <w:szCs w:val="20"/>
          <w:color w:val="auto"/>
        </w:rPr>
      </w:pPr>
      <w:r>
        <w:rPr>
          <w:rFonts w:ascii="Times New Roman" w:cs="Times New Roman" w:eastAsia="Times New Roman" w:hAnsi="Times New Roman"/>
          <w:sz w:val="15"/>
          <w:szCs w:val="15"/>
          <w:color w:val="auto"/>
        </w:rPr>
        <w:t>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Related Party Loans</w:t>
      </w:r>
    </w:p>
    <w:p>
      <w:pPr>
        <w:spacing w:after="0" w:line="13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78"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 of Common Stock in connection with initial Business Combination</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Administrative Services Agreement</w:t>
      </w:r>
    </w:p>
    <w:p>
      <w:pPr>
        <w:spacing w:after="0" w:line="13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8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6" w:name="page247"/>
    <w:bookmarkEnd w:id="24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4 — Related Party Transactions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Proposed Business Combination</w:t>
      </w:r>
    </w:p>
    <w:p>
      <w:pPr>
        <w:spacing w:after="0" w:line="13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5 — Commitments and Contingencies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143"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Underwriting Agreement</w:t>
      </w:r>
    </w:p>
    <w:p>
      <w:pPr>
        <w:spacing w:after="0" w:line="143" w:lineRule="exact"/>
        <w:rPr>
          <w:sz w:val="20"/>
          <w:szCs w:val="20"/>
          <w:color w:val="auto"/>
        </w:rPr>
      </w:pPr>
    </w:p>
    <w:p>
      <w:pPr>
        <w:jc w:val="both"/>
        <w:ind w:left="920" w:right="939"/>
        <w:spacing w:after="0" w:line="278" w:lineRule="auto"/>
        <w:rPr>
          <w:sz w:val="20"/>
          <w:szCs w:val="20"/>
          <w:color w:val="auto"/>
        </w:rPr>
      </w:pPr>
      <w:r>
        <w:rPr>
          <w:rFonts w:ascii="Times New Roman" w:cs="Times New Roman" w:eastAsia="Times New Roman" w:hAnsi="Times New Roman"/>
          <w:sz w:val="15"/>
          <w:szCs w:val="15"/>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6 — Stockholders’ Equity</w:t>
      </w:r>
    </w:p>
    <w:p>
      <w:pPr>
        <w:spacing w:after="0" w:line="125"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Class A Common Stock </w:t>
      </w:r>
      <w:r>
        <w:rPr>
          <w:rFonts w:ascii="Times New Roman" w:cs="Times New Roman" w:eastAsia="Times New Roman" w:hAnsi="Times New Roman"/>
          <w:sz w:val="16"/>
          <w:szCs w:val="16"/>
          <w:color w:val="auto"/>
        </w:rPr>
        <w:t>— The Company is authorized to issue 100,000,000 shares of Class A common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a par value of $0.0001 per share. As of September 30, 2020, there were 12,516,500 Class A common stock outstanding, including 11,258,033 Class A common stock subject to possible conversion were classified as temporary equity in the accompanying balance sheet.</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Class B Common Stock </w:t>
      </w:r>
      <w:r>
        <w:rPr>
          <w:rFonts w:ascii="Times New Roman" w:cs="Times New Roman" w:eastAsia="Times New Roman" w:hAnsi="Times New Roman"/>
          <w:sz w:val="16"/>
          <w:szCs w:val="16"/>
          <w:color w:val="auto"/>
        </w:rPr>
        <w:t>— The Company is authorized to issue 10,000,000 shares of Class B common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7" w:name="page248"/>
    <w:bookmarkEnd w:id="24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6 — Stockholders’ Equity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96" w:lineRule="exact"/>
        <w:rPr>
          <w:sz w:val="20"/>
          <w:szCs w:val="20"/>
          <w:color w:val="auto"/>
        </w:rPr>
      </w:pPr>
    </w:p>
    <w:p>
      <w:pPr>
        <w:jc w:val="both"/>
        <w:ind w:left="920" w:right="939"/>
        <w:spacing w:after="0" w:line="269" w:lineRule="auto"/>
        <w:rPr>
          <w:sz w:val="20"/>
          <w:szCs w:val="20"/>
          <w:color w:val="auto"/>
        </w:rPr>
      </w:pPr>
      <w:r>
        <w:rPr>
          <w:rFonts w:ascii="Times New Roman" w:cs="Times New Roman" w:eastAsia="Times New Roman" w:hAnsi="Times New Roman"/>
          <w:sz w:val="15"/>
          <w:szCs w:val="15"/>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83"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Preferred Stock </w:t>
      </w:r>
      <w:r>
        <w:rPr>
          <w:rFonts w:ascii="Times New Roman" w:cs="Times New Roman" w:eastAsia="Times New Roman" w:hAnsi="Times New Roman"/>
          <w:sz w:val="16"/>
          <w:szCs w:val="16"/>
          <w:color w:val="auto"/>
        </w:rPr>
        <w:t>— The Company is authorized to issue 1,000,000 shares of preferred stock, par value $0.0001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 share, with such designations, voting and other rights and preferences as may be determined from time to time by the Company’s board of directors. As of September 30, 2020, there were no shares of preferred stock issued or outstanding.</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7 — Subsequent Events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Proposed Business Combination</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w:t>
      </w:r>
    </w:p>
    <w:p>
      <w:pPr>
        <w:spacing w:after="0" w:line="107" w:lineRule="exact"/>
        <w:rPr>
          <w:sz w:val="20"/>
          <w:szCs w:val="20"/>
          <w:color w:val="auto"/>
        </w:rPr>
      </w:pPr>
    </w:p>
    <w:p>
      <w:pPr>
        <w:jc w:val="both"/>
        <w:ind w:left="920" w:right="939"/>
        <w:spacing w:after="0" w:line="268" w:lineRule="auto"/>
        <w:rPr>
          <w:sz w:val="20"/>
          <w:szCs w:val="20"/>
          <w:color w:val="auto"/>
        </w:rPr>
      </w:pPr>
      <w:r>
        <w:rPr>
          <w:rFonts w:ascii="Times New Roman" w:cs="Times New Roman" w:eastAsia="Times New Roman" w:hAnsi="Times New Roman"/>
          <w:sz w:val="15"/>
          <w:szCs w:val="15"/>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 Development Class A Common Stock; minus (b) a number of shares of FS Development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8" w:name="page249"/>
    <w:bookmarkEnd w:id="24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7 — Subsequent Events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8" w:lineRule="auto"/>
        <w:rPr>
          <w:sz w:val="20"/>
          <w:szCs w:val="20"/>
          <w:color w:val="auto"/>
        </w:rPr>
      </w:pPr>
      <w:r>
        <w:rPr>
          <w:rFonts w:ascii="Times New Roman" w:cs="Times New Roman" w:eastAsia="Times New Roman" w:hAnsi="Times New Roman"/>
          <w:sz w:val="15"/>
          <w:szCs w:val="15"/>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3" w:lineRule="exact"/>
        <w:rPr>
          <w:sz w:val="20"/>
          <w:szCs w:val="20"/>
          <w:color w:val="auto"/>
        </w:rPr>
      </w:pPr>
    </w:p>
    <w:p>
      <w:pPr>
        <w:jc w:val="both"/>
        <w:ind w:left="920" w:right="939" w:hanging="1"/>
        <w:spacing w:after="0" w:line="249" w:lineRule="auto"/>
        <w:tabs>
          <w:tab w:leader="none" w:pos="1165"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redeemed the Class A of common stock of the Company in an amount that would cause the Company to have net tangible assets of less than $5,000,001 upon consummation of the Merger; and</w:t>
      </w:r>
    </w:p>
    <w:p>
      <w:pPr>
        <w:jc w:val="both"/>
        <w:ind w:left="920" w:right="939" w:hanging="1"/>
        <w:spacing w:after="0" w:line="251" w:lineRule="auto"/>
        <w:tabs>
          <w:tab w:leader="none" w:pos="1194"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the combined entity be approved by the stockholders of the Company.</w:t>
      </w:r>
    </w:p>
    <w:p>
      <w:pPr>
        <w:spacing w:after="0" w:line="107" w:lineRule="exact"/>
        <w:rPr>
          <w:sz w:val="20"/>
          <w:szCs w:val="20"/>
          <w:color w:val="auto"/>
        </w:rPr>
      </w:pPr>
    </w:p>
    <w:p>
      <w:pPr>
        <w:jc w:val="both"/>
        <w:ind w:left="920" w:right="939"/>
        <w:spacing w:after="0" w:line="270" w:lineRule="auto"/>
        <w:rPr>
          <w:sz w:val="20"/>
          <w:szCs w:val="20"/>
          <w:color w:val="auto"/>
        </w:rPr>
      </w:pPr>
      <w:r>
        <w:rPr>
          <w:rFonts w:ascii="Times New Roman" w:cs="Times New Roman" w:eastAsia="Times New Roman" w:hAnsi="Times New Roman"/>
          <w:sz w:val="15"/>
          <w:szCs w:val="15"/>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8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Merger Agreement contemplates the execution of various additional agreements and instruments, on or before the Closing, including, among others, the following:</w:t>
      </w:r>
    </w:p>
    <w:p>
      <w:pPr>
        <w:spacing w:after="0" w:line="8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i w:val="1"/>
          <w:iCs w:val="1"/>
          <w:u w:val="single" w:color="auto"/>
          <w:color w:val="auto"/>
        </w:rPr>
        <w:t>Parent Support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In connection with the execution of the Merger Agreement, the Initial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of the Company (the “Parent Supporting 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0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i w:val="1"/>
          <w:iCs w:val="1"/>
          <w:u w:val="single" w:color="auto"/>
          <w:color w:val="auto"/>
        </w:rPr>
        <w:t>Gemini Support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In connection with the execution of the Merger Agreement, certain Gemini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(the “Gemini Supporting 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9" w:name="page250"/>
    <w:bookmarkEnd w:id="24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7 — Subsequent Events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w:t>
      </w:r>
    </w:p>
    <w:p>
      <w:pPr>
        <w:spacing w:after="0" w:line="1" w:lineRule="exact"/>
        <w:rPr>
          <w:sz w:val="20"/>
          <w:szCs w:val="20"/>
          <w:color w:val="auto"/>
        </w:rPr>
      </w:pPr>
    </w:p>
    <w:p>
      <w:pPr>
        <w:jc w:val="both"/>
        <w:ind w:left="920" w:right="939" w:hanging="1"/>
        <w:spacing w:after="0" w:line="250" w:lineRule="auto"/>
        <w:tabs>
          <w:tab w:leader="none" w:pos="122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08"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i w:val="1"/>
          <w:iCs w:val="1"/>
          <w:u w:val="single" w:color="auto"/>
          <w:color w:val="auto"/>
        </w:rPr>
        <w:t>Subscription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In connection with the Merger, the Company entered into subscription agreements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certain investors, including the Sponsor (the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Non-Redemption Agreements</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Registration Rights Agreement</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connection with the Closing, the holders of the Founder Shares, Private Placement Shares and certain other stockholders will enter into a registration rights agreement with the Company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Voting Agreement</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connection with the Closing, the Sponsor, FS Development, certain stockholders of the Company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(5th) anniversary of the date of the voting agreement, subject to certain terms and holding requirements set forth therein.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0" w:name="page251"/>
    <w:bookmarkEnd w:id="25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7 — Subsequent Events </w:t>
      </w:r>
      <w:r>
        <w:rPr>
          <w:rFonts w:ascii="Times New Roman" w:cs="Times New Roman" w:eastAsia="Times New Roman" w:hAnsi="Times New Roman"/>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Lockup Agreement</w:t>
      </w:r>
    </w:p>
    <w:p>
      <w:pPr>
        <w:spacing w:after="0" w:line="129" w:lineRule="exact"/>
        <w:rPr>
          <w:sz w:val="20"/>
          <w:szCs w:val="20"/>
          <w:color w:val="auto"/>
        </w:rPr>
      </w:pPr>
    </w:p>
    <w:p>
      <w:pPr>
        <w:jc w:val="both"/>
        <w:ind w:left="920" w:right="939"/>
        <w:spacing w:after="0" w:line="278" w:lineRule="auto"/>
        <w:rPr>
          <w:sz w:val="20"/>
          <w:szCs w:val="20"/>
          <w:color w:val="auto"/>
        </w:rPr>
      </w:pPr>
      <w:r>
        <w:rPr>
          <w:rFonts w:ascii="Times New Roman" w:cs="Times New Roman" w:eastAsia="Times New Roman" w:hAnsi="Times New Roman"/>
          <w:sz w:val="15"/>
          <w:szCs w:val="15"/>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88"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above description of the Proposed Business Combination should be read in conjunction with the disclosures contained in the Form S-4 filed by the Company with the SEC on November 2, 2020.</w:t>
      </w:r>
    </w:p>
    <w:p>
      <w:pPr>
        <w:spacing w:after="0" w:line="8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1" w:name="page252"/>
    <w:bookmarkEnd w:id="25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 the Stockholder and the Board of Directors of</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 WithumSmith+Brown, PC</w:t>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We have served as the Company’s auditor since 2020.</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August 11, 2020</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2" w:name="page253"/>
    <w:bookmarkEnd w:id="252"/>
    <w:tbl>
      <w:tblPr>
        <w:tblLayout w:type="fixed"/>
        <w:tblInd w:w="920" w:type="dxa"/>
        <w:tblCellMar>
          <w:top w:w="0" w:type="dxa"/>
          <w:left w:w="0" w:type="dxa"/>
          <w:bottom w:w="0" w:type="dxa"/>
          <w:right w:w="0" w:type="dxa"/>
        </w:tblCellMar>
      </w:tblPr>
      <w:tr>
        <w:trPr>
          <w:trHeight w:val="208"/>
        </w:trPr>
        <w:tc>
          <w:tcPr>
            <w:tcW w:w="6060" w:type="dxa"/>
            <w:vAlign w:val="bottom"/>
            <w:gridSpan w:val="2"/>
          </w:tcPr>
          <w:p>
            <w:pPr>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040" w:type="dxa"/>
            <w:vAlign w:val="bottom"/>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9"/>
              </w:rPr>
              <w:t>FS DEVELOPMENT CORP.</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40" w:type="dxa"/>
            <w:vAlign w:val="bottom"/>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8"/>
              </w:rPr>
              <w:t>June 30, 2020</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 Cash</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36"/>
        </w:trPr>
        <w:tc>
          <w:tcPr>
            <w:tcW w:w="60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 associated with proposed public offering</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060" w:type="dxa"/>
            <w:vAlign w:val="bottom"/>
            <w:gridSpan w:val="2"/>
            <w:vMerge w:val="continue"/>
          </w:tcPr>
          <w:p>
            <w:pPr>
              <w:spacing w:after="0"/>
              <w:rPr>
                <w:sz w:val="22"/>
                <w:szCs w:val="22"/>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78,000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54,500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54,500</w:t>
            </w:r>
          </w:p>
        </w:tc>
        <w:tc>
          <w:tcPr>
            <w:tcW w:w="0" w:type="dxa"/>
            <w:vAlign w:val="bottom"/>
          </w:tcPr>
          <w:p>
            <w:pPr>
              <w:spacing w:after="0"/>
              <w:rPr>
                <w:sz w:val="1"/>
                <w:szCs w:val="1"/>
                <w:color w:val="auto"/>
              </w:rPr>
            </w:pPr>
          </w:p>
        </w:tc>
      </w:tr>
      <w:tr>
        <w:trPr>
          <w:trHeight w:val="24"/>
        </w:trPr>
        <w:tc>
          <w:tcPr>
            <w:tcW w:w="6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0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$0.0001 par value; 1,000,000 shares authorized; none issued 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Class A common stock, $0.0001 par value; 100,000,000 shares authorized; none issued and</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Class B common stock, $0.0001 par value; 10,000,000 shares authorized; 3,018,750 shares</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issued and outstanding</w:t>
            </w:r>
            <w:r>
              <w:rPr>
                <w:rFonts w:ascii="Times New Roman" w:cs="Times New Roman" w:eastAsia="Times New Roman" w:hAnsi="Times New Roman"/>
                <w:sz w:val="18"/>
                <w:szCs w:val="18"/>
                <w:color w:val="auto"/>
                <w:vertAlign w:val="superscript"/>
              </w:rPr>
              <w:t>(1)(2)</w:t>
            </w:r>
          </w:p>
        </w:tc>
        <w:tc>
          <w:tcPr>
            <w:tcW w:w="3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24,698</w:t>
            </w:r>
          </w:p>
        </w:tc>
        <w:tc>
          <w:tcPr>
            <w:tcW w:w="0" w:type="dxa"/>
            <w:vAlign w:val="bottom"/>
          </w:tcPr>
          <w:p>
            <w:pPr>
              <w:spacing w:after="0"/>
              <w:rPr>
                <w:sz w:val="1"/>
                <w:szCs w:val="1"/>
                <w:color w:val="auto"/>
              </w:rPr>
            </w:pPr>
          </w:p>
        </w:tc>
      </w:tr>
      <w:tr>
        <w:trPr>
          <w:trHeight w:val="36"/>
        </w:trPr>
        <w:tc>
          <w:tcPr>
            <w:tcW w:w="60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300" w:right="939" w:hanging="381"/>
        <w:spacing w:after="0" w:line="272" w:lineRule="auto"/>
        <w:tabs>
          <w:tab w:leader="none" w:pos="1317"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includes up to 393,750 shares of Class B common stock subject to forfeiture by our sponsor if the over-allotment option is not exercised in full or in part by the underwriters.</w:t>
      </w:r>
    </w:p>
    <w:p>
      <w:pPr>
        <w:ind w:left="1300" w:right="939" w:hanging="381"/>
        <w:spacing w:after="0" w:line="294" w:lineRule="auto"/>
        <w:tabs>
          <w:tab w:leader="none" w:pos="145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and the associated amounts have been retroactively restated to reflect a 1:1.05 stock split of each outstanding share of Class B common stock in August 2020 (see Note 4).</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3" w:name="page254"/>
    <w:bookmarkEnd w:id="25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from June 25, 2020 (inception) through June 30, 2020</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606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6"/>
                <w:szCs w:val="16"/>
                <w:b w:val="1"/>
                <w:bCs w:val="1"/>
                <w:color w:val="auto"/>
              </w:rPr>
              <w:t>Weighted average shares outstanding, basic and diluted</w:t>
            </w:r>
            <w:r>
              <w:rPr>
                <w:rFonts w:ascii="Times New Roman" w:cs="Times New Roman" w:eastAsia="Times New Roman" w:hAnsi="Times New Roman"/>
                <w:sz w:val="18"/>
                <w:szCs w:val="18"/>
                <w:b w:val="1"/>
                <w:bCs w:val="1"/>
                <w:color w:val="auto"/>
                <w:vertAlign w:val="superscript"/>
              </w:rPr>
              <w:t>(1)(2)</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7"/>
        </w:trPr>
        <w:tc>
          <w:tcPr>
            <w:tcW w:w="6060" w:type="dxa"/>
            <w:vAlign w:val="bottom"/>
            <w:vMerge w:val="continue"/>
          </w:tcPr>
          <w:p>
            <w:pPr>
              <w:spacing w:after="0"/>
              <w:rPr>
                <w:sz w:val="16"/>
                <w:szCs w:val="16"/>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300" w:right="939" w:hanging="381"/>
        <w:spacing w:after="0" w:line="272" w:lineRule="auto"/>
        <w:tabs>
          <w:tab w:leader="none" w:pos="1369"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an aggregate of up to 393,750 shares of Class B common stock subject to forfeiture by our sponsor if the over-allotment option is not exercised in full or in part by the underwriters.</w:t>
      </w:r>
    </w:p>
    <w:p>
      <w:pPr>
        <w:ind w:left="1300" w:right="939" w:hanging="381"/>
        <w:spacing w:after="0" w:line="294" w:lineRule="auto"/>
        <w:tabs>
          <w:tab w:leader="none" w:pos="145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and the associated amounts have been retroactively restated to reflect a 1:1.05 stock split of each outstanding share of Class B common stock in August 2020 (see Note 4).</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4" w:name="page255"/>
    <w:bookmarkEnd w:id="25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STATEMENT OF CHANGES IN STOCKHOLDER’S EQUITY</w:t>
      </w:r>
    </w:p>
    <w:p>
      <w:pPr>
        <w:spacing w:after="0" w:line="7"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For the period from June 25, 2020 (inception) through June 30, 2020</w:t>
      </w:r>
    </w:p>
    <w:p>
      <w:pPr>
        <w:spacing w:after="0" w:line="184" w:lineRule="exact"/>
        <w:rPr>
          <w:sz w:val="20"/>
          <w:szCs w:val="20"/>
          <w:color w:val="auto"/>
        </w:rPr>
      </w:pPr>
    </w:p>
    <w:tbl>
      <w:tblPr>
        <w:tblLayout w:type="fixed"/>
        <w:tblInd w:w="2740" w:type="dxa"/>
        <w:tblCellMar>
          <w:top w:w="0" w:type="dxa"/>
          <w:left w:w="0" w:type="dxa"/>
          <w:bottom w:w="0" w:type="dxa"/>
          <w:right w:w="0" w:type="dxa"/>
        </w:tblCellMar>
      </w:tblPr>
      <w:tr>
        <w:trPr>
          <w:trHeight w:val="188"/>
        </w:trPr>
        <w:tc>
          <w:tcPr>
            <w:tcW w:w="2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36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42"/>
        </w:trPr>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Amount   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28" w:lineRule="auto"/>
        <w:rPr>
          <w:sz w:val="20"/>
          <w:szCs w:val="20"/>
          <w:color w:val="auto"/>
        </w:rPr>
      </w:pPr>
      <w:r>
        <w:rPr>
          <w:rFonts w:ascii="Times New Roman" w:cs="Times New Roman" w:eastAsia="Times New Roman" w:hAnsi="Times New Roman"/>
          <w:sz w:val="12"/>
          <w:szCs w:val="12"/>
          <w:b w:val="1"/>
          <w:bCs w:val="1"/>
          <w:color w:val="auto"/>
        </w:rPr>
        <w:t>Stockholder’s</w:t>
      </w:r>
    </w:p>
    <w:p>
      <w:pPr>
        <w:ind w:left="200"/>
        <w:spacing w:after="0"/>
        <w:rPr>
          <w:sz w:val="20"/>
          <w:szCs w:val="20"/>
          <w:color w:val="auto"/>
        </w:rPr>
      </w:pPr>
      <w:r>
        <w:rPr>
          <w:rFonts w:ascii="Times New Roman" w:cs="Times New Roman" w:eastAsia="Times New Roman" w:hAnsi="Times New Roman"/>
          <w:sz w:val="13"/>
          <w:szCs w:val="13"/>
          <w:b w:val="1"/>
          <w:bCs w:val="1"/>
          <w:color w:val="auto"/>
        </w:rPr>
        <w:t>Equity</w:t>
      </w:r>
    </w:p>
    <w:p>
      <w:pPr>
        <w:spacing w:after="0" w:line="4" w:lineRule="exact"/>
        <w:rPr>
          <w:sz w:val="20"/>
          <w:szCs w:val="20"/>
          <w:color w:val="auto"/>
        </w:rPr>
      </w:pPr>
    </w:p>
    <w:p>
      <w:pPr>
        <w:sectPr>
          <w:pgSz w:w="11900" w:h="16838" w:orient="portrait"/>
          <w:cols w:equalWidth="0" w:num="2">
            <w:col w:w="7100" w:space="160"/>
            <w:col w:w="1759"/>
          </w:cols>
          <w:pgMar w:left="1440" w:top="254" w:right="1440" w:bottom="1440" w:gutter="0" w:footer="0" w:header="0"/>
        </w:sect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 June 25, 2020</w:t>
            </w: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94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 $</w:t>
            </w:r>
          </w:p>
        </w:tc>
        <w:tc>
          <w:tcPr>
            <w:tcW w:w="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Class B</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to</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Sponsor </w:t>
            </w:r>
            <w:r>
              <w:rPr>
                <w:rFonts w:ascii="Times New Roman" w:cs="Times New Roman" w:eastAsia="Times New Roman" w:hAnsi="Times New Roman"/>
                <w:sz w:val="18"/>
                <w:szCs w:val="18"/>
                <w:color w:val="auto"/>
                <w:vertAlign w:val="superscript"/>
              </w:rPr>
              <w:t>(1)(2)</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3,018,750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302</w:t>
            </w:r>
          </w:p>
        </w:tc>
        <w:tc>
          <w:tcPr>
            <w:tcW w:w="16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24,698</w:t>
            </w:r>
          </w:p>
        </w:tc>
        <w:tc>
          <w:tcPr>
            <w:tcW w:w="20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 June 30, 2020</w:t>
            </w: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20" w:type="dxa"/>
            <w:vAlign w:val="bottom"/>
            <w:gridSpan w:val="2"/>
            <w:vMerge w:val="continue"/>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24,698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ind w:left="1300" w:right="939" w:hanging="381"/>
        <w:spacing w:after="0" w:line="272" w:lineRule="auto"/>
        <w:tabs>
          <w:tab w:leader="none" w:pos="1317"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includes up to 393,750 shares of Class B common stock subject to forfeiture by our sponsor if the over-allotment option is not exercised in full or in part by the underwriters.</w:t>
      </w:r>
    </w:p>
    <w:p>
      <w:pPr>
        <w:ind w:left="1300" w:right="939" w:hanging="381"/>
        <w:spacing w:after="0" w:line="294" w:lineRule="auto"/>
        <w:tabs>
          <w:tab w:leader="none" w:pos="145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and the associated amounts have been retroactively restated to reflect a 1:1.05 stock split of each outstanding share of Class B common stock in August 2020 (see Note 4).</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55" w:name="page256"/>
    <w:bookmarkEnd w:id="25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from June 25, 2020 (inception) through June 30, 2020</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36"/>
        </w:trPr>
        <w:tc>
          <w:tcPr>
            <w:tcW w:w="6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4"/>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22860</wp:posOffset>
            </wp:positionV>
            <wp:extent cx="4552950" cy="159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p>
      <w:pPr>
        <w:spacing w:after="0" w:line="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Proceeds from issuance of Class B common stock to Sponsor</w:t>
      </w:r>
    </w:p>
    <w:p>
      <w:pPr>
        <w:spacing w:after="0" w:line="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39370</wp:posOffset>
            </wp:positionV>
            <wp:extent cx="4552950" cy="159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Net increase in cash</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39370</wp:posOffset>
            </wp:positionV>
            <wp:extent cx="4552950" cy="159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Cash – end of the period</w:t>
      </w:r>
    </w:p>
    <w:p>
      <w:pPr>
        <w:spacing w:after="0" w:line="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39370</wp:posOffset>
            </wp:positionV>
            <wp:extent cx="4552950" cy="159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223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47"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25,000</w:t>
      </w:r>
    </w:p>
    <w:p>
      <w:pPr>
        <w:spacing w:after="0" w:line="55"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25,000</w:t>
      </w:r>
    </w:p>
    <w:p>
      <w:pPr>
        <w:spacing w:after="0" w:line="79"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6"/>
          <w:szCs w:val="16"/>
          <w:color w:val="auto"/>
        </w:rPr>
        <w:t>—</w:t>
      </w:r>
    </w:p>
    <w:p>
      <w:pPr>
        <w:spacing w:after="0" w:line="65" w:lineRule="exact"/>
        <w:rPr>
          <w:sz w:val="20"/>
          <w:szCs w:val="20"/>
          <w:color w:val="auto"/>
        </w:rPr>
      </w:pPr>
    </w:p>
    <w:p>
      <w:pPr>
        <w:ind w:left="560" w:hanging="550"/>
        <w:spacing w:after="0"/>
        <w:tabs>
          <w:tab w:leader="none" w:pos="560" w:val="left"/>
        </w:tabs>
        <w:numPr>
          <w:ilvl w:val="0"/>
          <w:numId w:val="2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6223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2">
            <w:col w:w="6260" w:space="720"/>
            <w:col w:w="2039"/>
          </w:cols>
          <w:pgMar w:left="1440" w:top="254" w:right="1440" w:bottom="1440" w:gutter="0" w:footer="0" w:header="0"/>
          <w:type w:val="continuous"/>
        </w:sectPr>
      </w:pPr>
    </w:p>
    <w:p>
      <w:pPr>
        <w:ind w:left="1080"/>
        <w:spacing w:after="0"/>
        <w:tabs>
          <w:tab w:leader="none" w:pos="6960" w:val="left"/>
          <w:tab w:leader="none" w:pos="7520" w:val="left"/>
        </w:tabs>
        <w:rPr>
          <w:sz w:val="20"/>
          <w:szCs w:val="20"/>
          <w:color w:val="auto"/>
        </w:rPr>
      </w:pPr>
      <w:r>
        <w:rPr>
          <w:rFonts w:ascii="Times New Roman" w:cs="Times New Roman" w:eastAsia="Times New Roman" w:hAnsi="Times New Roman"/>
          <w:sz w:val="16"/>
          <w:szCs w:val="16"/>
          <w:color w:val="auto"/>
        </w:rPr>
        <w:t>Deferred offering costs included in accrued expenses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53,000</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56" w:name="page257"/>
    <w:bookmarkEnd w:id="25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 — Description of Organization, Business Operations and Basis of Presentation</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0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9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07"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2" w:lineRule="exact"/>
        <w:rPr>
          <w:sz w:val="20"/>
          <w:szCs w:val="20"/>
          <w:color w:val="auto"/>
        </w:rPr>
      </w:pPr>
    </w:p>
    <w:p>
      <w:pPr>
        <w:jc w:val="both"/>
        <w:ind w:left="920" w:right="939" w:hanging="1"/>
        <w:spacing w:after="0" w:line="250" w:lineRule="auto"/>
        <w:tabs>
          <w:tab w:leader="none" w:pos="1171"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7" w:name="page258"/>
    <w:bookmarkEnd w:id="25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 — Description of Organization, Business Operations and Basis of Presentation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1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90"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0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10"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8" w:name="page259"/>
    <w:bookmarkEnd w:id="25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 — Description of Organization, Business Operations and Basis of Presentation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4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84"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9" w:name="page260"/>
    <w:bookmarkEnd w:id="25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13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Financial Instruments</w:t>
      </w:r>
    </w:p>
    <w:p>
      <w:pPr>
        <w:spacing w:after="0" w:line="14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4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Deferred Offering Costs Associated with the Proposed Public Offering</w:t>
      </w:r>
    </w:p>
    <w:p>
      <w:pPr>
        <w:spacing w:after="0" w:line="13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Net Loss Per Common Share</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9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0" w:name="page261"/>
    <w:bookmarkEnd w:id="26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2 —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Company’s management does not believe that any recently issued, but not yet effective, accounting standards if currently adopted would have a material effect on the accompanying financial statements.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3 — Proposed Public Offering</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Pursuant to the Proposed Public Offering, the Company intends to offer for sale 10,500,000 shares of Class A Common stock at a price of $10.00 per share.</w:t>
      </w:r>
    </w:p>
    <w:p>
      <w:pPr>
        <w:spacing w:after="0" w:line="8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4 — Related Party Transactions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Founder Shares</w:t>
      </w:r>
    </w:p>
    <w:p>
      <w:pPr>
        <w:spacing w:after="0" w:line="143"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9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02"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1" w:name="page262"/>
    <w:bookmarkEnd w:id="26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4 — Related Party Transactions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Related Party Loans</w:t>
      </w:r>
    </w:p>
    <w:p>
      <w:pPr>
        <w:spacing w:after="0" w:line="13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 of Common Stock in connection with initial Business Combination</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Administrative Services Agreement</w:t>
      </w:r>
    </w:p>
    <w:p>
      <w:pPr>
        <w:spacing w:after="0" w:line="13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2" w:name="page263"/>
    <w:bookmarkEnd w:id="26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5 — Commitments and Contingencies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13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Underwriting Agreement</w:t>
      </w:r>
    </w:p>
    <w:p>
      <w:pPr>
        <w:spacing w:after="0" w:line="14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w:t>
      </w:r>
    </w:p>
    <w:p>
      <w:pPr>
        <w:spacing w:after="0" w:line="14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6 — Stockholder’s Equity</w:t>
      </w:r>
    </w:p>
    <w:p>
      <w:pPr>
        <w:spacing w:after="0" w:line="125" w:lineRule="exact"/>
        <w:rPr>
          <w:sz w:val="20"/>
          <w:szCs w:val="20"/>
          <w:color w:val="auto"/>
        </w:rPr>
      </w:pPr>
    </w:p>
    <w:p>
      <w:pPr>
        <w:jc w:val="both"/>
        <w:ind w:left="920" w:right="939"/>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Class A Common Stock </w:t>
      </w:r>
      <w:r>
        <w:rPr>
          <w:rFonts w:ascii="Times New Roman" w:cs="Times New Roman" w:eastAsia="Times New Roman" w:hAnsi="Times New Roman"/>
          <w:sz w:val="16"/>
          <w:szCs w:val="16"/>
          <w:color w:val="auto"/>
        </w:rPr>
        <w:t>— The Company is authorized to issue 100,000,000 shares of Class A common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a par value of $0.0001 per share. As of June 30, 2020, there were no shares of Class A common stock issued or outstanding.</w:t>
      </w:r>
    </w:p>
    <w:p>
      <w:pPr>
        <w:spacing w:after="0" w:line="9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Class B Common Stock </w:t>
      </w:r>
      <w:r>
        <w:rPr>
          <w:rFonts w:ascii="Times New Roman" w:cs="Times New Roman" w:eastAsia="Times New Roman" w:hAnsi="Times New Roman"/>
          <w:sz w:val="16"/>
          <w:szCs w:val="16"/>
          <w:color w:val="auto"/>
        </w:rPr>
        <w:t>— The Company is authorized to issue 10,000,000 shares of Class B common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08"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84"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3" w:name="page264"/>
    <w:bookmarkEnd w:id="26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6 — Stockholder’s Equity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03" w:lineRule="exact"/>
        <w:rPr>
          <w:sz w:val="20"/>
          <w:szCs w:val="20"/>
          <w:color w:val="auto"/>
        </w:rPr>
      </w:pPr>
    </w:p>
    <w:p>
      <w:pPr>
        <w:jc w:val="both"/>
        <w:ind w:left="920" w:right="9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Preferred Stock </w:t>
      </w:r>
      <w:r>
        <w:rPr>
          <w:rFonts w:ascii="Times New Roman" w:cs="Times New Roman" w:eastAsia="Times New Roman" w:hAnsi="Times New Roman"/>
          <w:sz w:val="16"/>
          <w:szCs w:val="16"/>
          <w:color w:val="auto"/>
        </w:rPr>
        <w:t>— The Company is authorized to issue 1,000,000 shares of preferred stock, par value $0.0001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 share, with such designations, voting and other rights and preferences as may be determined from time to time by the Company’s board of directors. As of June 30, 2020, there were no shares of preferred stock issued or outstanding.</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7 — Subsequent Events</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Subsequent to June 30, 2020, the Company received $200,000 in loan proceeds under the Note.</w:t>
      </w:r>
    </w:p>
    <w:p>
      <w:pPr>
        <w:spacing w:after="0" w:line="13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July 24, 2020, the Sponsor transferred 30,000 Founder Shares to each of its independent director nominees at their original per-share purchase price, for an aggregate of 90,000 Founder Shares transferred.</w:t>
      </w:r>
    </w:p>
    <w:p>
      <w:pPr>
        <w:spacing w:after="0" w:line="8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9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4" w:name="page265"/>
    <w:bookmarkEnd w:id="26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right="1779" w:firstLine="858"/>
        <w:spacing w:after="0" w:line="439"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Stockholders and the Board of Directors of Gemini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41" w:lineRule="exact"/>
        <w:rPr>
          <w:sz w:val="20"/>
          <w:szCs w:val="20"/>
          <w:color w:val="auto"/>
        </w:rPr>
      </w:pPr>
    </w:p>
    <w:p>
      <w:pPr>
        <w:jc w:val="both"/>
        <w:ind w:left="920" w:right="939"/>
        <w:spacing w:after="0" w:line="275" w:lineRule="auto"/>
        <w:rPr>
          <w:sz w:val="20"/>
          <w:szCs w:val="20"/>
          <w:color w:val="auto"/>
        </w:rPr>
      </w:pPr>
      <w:r>
        <w:rPr>
          <w:rFonts w:ascii="Times New Roman" w:cs="Times New Roman" w:eastAsia="Times New Roman" w:hAnsi="Times New Roman"/>
          <w:sz w:val="15"/>
          <w:szCs w:val="15"/>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Company’s Ability to Continue as a Going Concern</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We have served as the Company’s auditor since 2019.</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October 30, 2020</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5" w:name="page266"/>
    <w:bookmarkEnd w:id="26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7"/>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43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43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18,528</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2,986</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13,215</w:t>
            </w: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20,555</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5,225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14,206</w:t>
            </w:r>
          </w:p>
        </w:tc>
        <w:tc>
          <w:tcPr>
            <w:tcW w:w="0" w:type="dxa"/>
            <w:vAlign w:val="bottom"/>
          </w:tcPr>
          <w:p>
            <w:pPr>
              <w:spacing w:after="0"/>
              <w:rPr>
                <w:sz w:val="1"/>
                <w:szCs w:val="1"/>
                <w:color w:val="auto"/>
              </w:rPr>
            </w:pPr>
          </w:p>
        </w:tc>
      </w:tr>
      <w:tr>
        <w:trPr>
          <w:trHeight w:val="251"/>
        </w:trPr>
        <w:tc>
          <w:tcPr>
            <w:tcW w:w="43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42"/>
        </w:trPr>
        <w:tc>
          <w:tcPr>
            <w:tcW w:w="43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offering costs</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1,341</w:t>
            </w: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21,608</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restart"/>
          </w:tcPr>
          <w:p>
            <w:pPr>
              <w:spacing w:after="0"/>
              <w:rPr>
                <w:sz w:val="20"/>
                <w:szCs w:val="20"/>
                <w:color w:val="auto"/>
              </w:rPr>
            </w:pPr>
          </w:p>
        </w:tc>
        <w:tc>
          <w:tcPr>
            <w:tcW w:w="4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43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3,797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2,936</w:t>
            </w: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42"/>
        </w:trPr>
        <w:tc>
          <w:tcPr>
            <w:tcW w:w="43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current portion</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7,600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8,986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18,033</w:t>
            </w:r>
          </w:p>
        </w:tc>
        <w:tc>
          <w:tcPr>
            <w:tcW w:w="0" w:type="dxa"/>
            <w:vAlign w:val="bottom"/>
          </w:tcPr>
          <w:p>
            <w:pPr>
              <w:spacing w:after="0"/>
              <w:rPr>
                <w:sz w:val="1"/>
                <w:szCs w:val="1"/>
                <w:color w:val="auto"/>
              </w:rPr>
            </w:pPr>
          </w:p>
        </w:tc>
      </w:tr>
      <w:tr>
        <w:trPr>
          <w:trHeight w:val="251"/>
        </w:trPr>
        <w:tc>
          <w:tcPr>
            <w:tcW w:w="43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42"/>
        </w:trPr>
        <w:tc>
          <w:tcPr>
            <w:tcW w:w="43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net of current portion and discount</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7,411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9019"/>
          </w:cols>
          <w:pgMar w:left="1440" w:top="254" w:right="1440" w:bottom="1440" w:gutter="0" w:footer="0" w:header="0"/>
        </w:sectPr>
      </w:pPr>
    </w:p>
    <w:p>
      <w:pPr>
        <w:ind w:left="920"/>
        <w:spacing w:after="0"/>
        <w:rPr>
          <w:sz w:val="20"/>
          <w:szCs w:val="20"/>
          <w:color w:val="auto"/>
        </w:rPr>
      </w:pPr>
      <w:r>
        <w:rPr>
          <w:rFonts w:ascii="Times New Roman" w:cs="Times New Roman" w:eastAsia="Times New Roman" w:hAnsi="Times New Roman"/>
          <w:sz w:val="14"/>
          <w:szCs w:val="14"/>
          <w:color w:val="auto"/>
        </w:rPr>
        <w:t>Convertible Preferred Stock:</w:t>
      </w:r>
    </w:p>
    <w:p>
      <w:pPr>
        <w:spacing w:after="0" w:line="54" w:lineRule="exact"/>
        <w:rPr>
          <w:sz w:val="20"/>
          <w:szCs w:val="20"/>
          <w:color w:val="auto"/>
        </w:rPr>
      </w:pPr>
    </w:p>
    <w:p>
      <w:pPr>
        <w:ind w:left="1080" w:hanging="158"/>
        <w:spacing w:after="0" w:line="279" w:lineRule="auto"/>
        <w:rPr>
          <w:sz w:val="20"/>
          <w:szCs w:val="20"/>
          <w:color w:val="auto"/>
        </w:rPr>
      </w:pPr>
      <w:r>
        <w:rPr>
          <w:rFonts w:ascii="Times New Roman" w:cs="Times New Roman" w:eastAsia="Times New Roman" w:hAnsi="Times New Roman"/>
          <w:sz w:val="14"/>
          <w:szCs w:val="14"/>
          <w:color w:val="auto"/>
        </w:rPr>
        <w:t>Series A convertible preferred stock, $0.001 par value; 39,722,088 shares authorized at December 31, 2018 and 2019, and at September 30, 2020 (unaudited); 39,722,088 shares issued and outstanding at December 31, 2018 and 2019, and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-466725</wp:posOffset>
            </wp:positionV>
            <wp:extent cx="4552950" cy="4781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552950" cy="478155"/>
                    </a:xfrm>
                    <a:prstGeom prst="rect">
                      <a:avLst/>
                    </a:prstGeom>
                    <a:noFill/>
                  </pic:spPr>
                </pic:pic>
              </a:graphicData>
            </a:graphic>
          </wp:anchor>
        </w:drawing>
      </w:r>
    </w:p>
    <w:p>
      <w:pPr>
        <w:ind w:left="1080" w:right="40" w:hanging="158"/>
        <w:spacing w:after="0" w:line="276" w:lineRule="auto"/>
        <w:rPr>
          <w:sz w:val="20"/>
          <w:szCs w:val="20"/>
          <w:color w:val="auto"/>
        </w:rPr>
      </w:pPr>
      <w:r>
        <w:rPr>
          <w:rFonts w:ascii="Times New Roman" w:cs="Times New Roman" w:eastAsia="Times New Roman" w:hAnsi="Times New Roman"/>
          <w:sz w:val="14"/>
          <w:szCs w:val="14"/>
          <w:color w:val="auto"/>
        </w:rPr>
        <w:t>Series B convertible preferred stock, $0.001 par value; zero and 37,001,401 shares authorized at December 31, 2018 and 2019, and 37,001,401 shares authorized at September 30, 2020 (unaudited); zero and 9,916,375 shares issued and outstanding at December 31, 2018 and 2019, and 24,790,938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12065</wp:posOffset>
            </wp:positionV>
            <wp:extent cx="4552950" cy="159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Total Convertible Preferred Stock</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Stockholders’ Equity (Deficit):</w:t>
      </w:r>
    </w:p>
    <w:p>
      <w:pPr>
        <w:spacing w:after="0" w:line="54" w:lineRule="exact"/>
        <w:rPr>
          <w:sz w:val="20"/>
          <w:szCs w:val="20"/>
          <w:color w:val="auto"/>
        </w:rPr>
      </w:pPr>
    </w:p>
    <w:p>
      <w:pPr>
        <w:ind w:left="1080" w:right="200" w:hanging="158"/>
        <w:spacing w:after="0" w:line="276" w:lineRule="auto"/>
        <w:rPr>
          <w:sz w:val="20"/>
          <w:szCs w:val="20"/>
          <w:color w:val="auto"/>
        </w:rPr>
      </w:pPr>
      <w:r>
        <w:rPr>
          <w:rFonts w:ascii="Times New Roman" w:cs="Times New Roman" w:eastAsia="Times New Roman" w:hAnsi="Times New Roman"/>
          <w:sz w:val="14"/>
          <w:szCs w:val="14"/>
          <w:color w:val="auto"/>
        </w:rPr>
        <w:t>Common stock, $0.001 par value; 55,000,000 and 95,000,000 shares authorized at December 31, 2018 and 2019, and 95,000,000 shares authorized at September 30, 2020 (unaudited); 4,968,155 and 5,313,766 shares issued and outstanding at December 31, 2018 and 2019 and 5,629,130 shares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-579120</wp:posOffset>
            </wp:positionV>
            <wp:extent cx="4552950" cy="5918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52950" cy="591820"/>
                    </a:xfrm>
                    <a:prstGeom prst="rect">
                      <a:avLst/>
                    </a:prstGeom>
                    <a:noFill/>
                  </pic:spPr>
                </pic:pic>
              </a:graphicData>
            </a:graphic>
          </wp:anchor>
        </w:drawing>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41910</wp:posOffset>
            </wp:positionV>
            <wp:extent cx="4552950" cy="159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41910</wp:posOffset>
            </wp:positionV>
            <wp:extent cx="4552950" cy="1670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tabs>
          <w:tab w:leader="none" w:pos="1240" w:val="left"/>
          <w:tab w:leader="none" w:pos="2300" w:val="left"/>
        </w:tabs>
        <w:rPr>
          <w:sz w:val="20"/>
          <w:szCs w:val="20"/>
          <w:color w:val="auto"/>
        </w:rPr>
      </w:pPr>
      <w:r>
        <w:rPr>
          <w:rFonts w:ascii="Times New Roman" w:cs="Times New Roman" w:eastAsia="Times New Roman" w:hAnsi="Times New Roman"/>
          <w:sz w:val="14"/>
          <w:szCs w:val="14"/>
          <w:color w:val="auto"/>
        </w:rPr>
        <w:t>47,113</w:t>
      </w:r>
      <w:r>
        <w:rPr>
          <w:sz w:val="20"/>
          <w:szCs w:val="20"/>
          <w:color w:val="auto"/>
        </w:rPr>
        <w:tab/>
      </w:r>
      <w:r>
        <w:rPr>
          <w:rFonts w:ascii="Times New Roman" w:cs="Times New Roman" w:eastAsia="Times New Roman" w:hAnsi="Times New Roman"/>
          <w:sz w:val="14"/>
          <w:szCs w:val="14"/>
          <w:color w:val="auto"/>
        </w:rPr>
        <w:t>47,113</w:t>
      </w:r>
      <w:r>
        <w:rPr>
          <w:sz w:val="20"/>
          <w:szCs w:val="20"/>
          <w:color w:val="auto"/>
        </w:rPr>
        <w:tab/>
      </w:r>
      <w:r>
        <w:rPr>
          <w:rFonts w:ascii="Times New Roman" w:cs="Times New Roman" w:eastAsia="Times New Roman" w:hAnsi="Times New Roman"/>
          <w:sz w:val="14"/>
          <w:szCs w:val="14"/>
          <w:color w:val="auto"/>
        </w:rPr>
        <w:t>47,113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13,252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33,336</w:t>
            </w:r>
          </w:p>
        </w:tc>
      </w:tr>
      <w:tr>
        <w:trPr>
          <w:trHeight w:val="30"/>
        </w:trPr>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1"/>
        </w:trPr>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47,113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60,365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80,449</w:t>
            </w:r>
          </w:p>
        </w:tc>
      </w:tr>
      <w:tr>
        <w:trPr>
          <w:trHeight w:val="30"/>
        </w:trPr>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6"/>
                <w:szCs w:val="16"/>
                <w:color w:val="auto"/>
              </w:rPr>
            </w:pPr>
          </w:p>
        </w:tc>
      </w:tr>
      <w:tr>
        <w:trPr>
          <w:trHeight w:val="25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1,182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40" w:type="dxa"/>
            <w:vAlign w:val="bottom"/>
          </w:tcPr>
          <w:p>
            <w:pPr>
              <w:spacing w:after="0"/>
              <w:rPr>
                <w:sz w:val="21"/>
                <w:szCs w:val="21"/>
                <w:color w:val="auto"/>
              </w:rPr>
            </w:pPr>
          </w:p>
        </w:tc>
      </w:tr>
      <w:tr>
        <w:trPr>
          <w:trHeight w:val="263"/>
        </w:trPr>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(30,584)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(71,984)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(98,506)</w:t>
            </w:r>
          </w:p>
        </w:tc>
      </w:tr>
      <w:tr>
        <w:trPr>
          <w:trHeight w:val="30"/>
        </w:trPr>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(29,843)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(70,797)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(88,727)</w:t>
            </w:r>
          </w:p>
        </w:tc>
      </w:tr>
      <w:tr>
        <w:trPr>
          <w:trHeight w:val="30"/>
        </w:trPr>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140" w:space="100"/>
            <w:col w:w="3779"/>
          </w:cols>
          <w:pgMar w:left="1440" w:top="254" w:right="1440" w:bottom="1440" w:gutter="0" w:footer="0" w:header="0"/>
          <w:type w:val="continuous"/>
        </w:sectPr>
      </w:pPr>
    </w:p>
    <w:p>
      <w:pPr>
        <w:spacing w:after="0" w:line="39" w:lineRule="exact"/>
        <w:rPr>
          <w:sz w:val="20"/>
          <w:szCs w:val="20"/>
          <w:color w:val="auto"/>
        </w:rPr>
      </w:pPr>
    </w:p>
    <w:tbl>
      <w:tblPr>
        <w:tblLayout w:type="fixed"/>
        <w:tblInd w:w="1080" w:type="dxa"/>
        <w:tblCellMar>
          <w:top w:w="0" w:type="dxa"/>
          <w:left w:w="0" w:type="dxa"/>
          <w:bottom w:w="0" w:type="dxa"/>
          <w:right w:w="0" w:type="dxa"/>
        </w:tblCellMar>
      </w:tblPr>
      <w:tr>
        <w:trPr>
          <w:trHeight w:val="17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8"/>
        </w:trPr>
        <w:tc>
          <w:tcPr>
            <w:tcW w:w="3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(Deficit)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21,608</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6,144</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11430</wp:posOffset>
            </wp:positionV>
            <wp:extent cx="1730375" cy="228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30375" cy="2286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66" w:name="page267"/>
    <w:bookmarkEnd w:id="26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5"/>
                <w:szCs w:val="15"/>
                <w:color w:val="auto"/>
              </w:rPr>
            </w:pPr>
          </w:p>
        </w:tc>
        <w:tc>
          <w:tcPr>
            <w:tcW w:w="17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7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6"/>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31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14,651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34,472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20,472</w:t>
            </w:r>
          </w:p>
        </w:tc>
        <w:tc>
          <w:tcPr>
            <w:tcW w:w="0" w:type="dxa"/>
            <w:vAlign w:val="bottom"/>
          </w:tcPr>
          <w:p>
            <w:pPr>
              <w:spacing w:after="0"/>
              <w:rPr>
                <w:sz w:val="1"/>
                <w:szCs w:val="1"/>
                <w:color w:val="auto"/>
              </w:rPr>
            </w:pPr>
          </w:p>
        </w:tc>
      </w:tr>
      <w:tr>
        <w:trPr>
          <w:trHeight w:val="36"/>
        </w:trPr>
        <w:tc>
          <w:tcPr>
            <w:tcW w:w="31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5,540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24,246</w:t>
            </w:r>
          </w:p>
        </w:tc>
        <w:tc>
          <w:tcPr>
            <w:tcW w:w="0" w:type="dxa"/>
            <w:vAlign w:val="bottom"/>
          </w:tcPr>
          <w:p>
            <w:pPr>
              <w:spacing w:after="0"/>
              <w:rPr>
                <w:sz w:val="1"/>
                <w:szCs w:val="1"/>
                <w:color w:val="auto"/>
              </w:rPr>
            </w:pPr>
          </w:p>
        </w:tc>
      </w:tr>
      <w:tr>
        <w:trPr>
          <w:trHeight w:val="24"/>
        </w:trPr>
        <w:tc>
          <w:tcPr>
            <w:tcW w:w="3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1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1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3"/>
        </w:trPr>
        <w:tc>
          <w:tcPr>
            <w:tcW w:w="31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12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(41,400</w:t>
            </w:r>
          </w:p>
        </w:tc>
        <w:tc>
          <w:tcPr>
            <w:tcW w:w="12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(31,733</w:t>
            </w:r>
          </w:p>
        </w:tc>
        <w:tc>
          <w:tcPr>
            <w:tcW w:w="120" w:type="dxa"/>
            <w:vAlign w:val="bottom"/>
            <w:vMerge w:val="continue"/>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(31,733)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4,811,641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5,133,773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7" w:name="page268"/>
    <w:bookmarkEnd w:id="267"/>
    <w:p>
      <w:pPr>
        <w:spacing w:after="0" w:line="62" w:lineRule="exact"/>
        <w:rPr>
          <w:sz w:val="20"/>
          <w:szCs w:val="20"/>
          <w:color w:val="auto"/>
        </w:rPr>
      </w:pPr>
    </w:p>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Convertible Preferred Stock and Stockholders’ Equity (Deficit)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640" w:type="dxa"/>
            <w:vAlign w:val="bottom"/>
            <w:gridSpan w:val="4"/>
            <w:vMerge w:val="restart"/>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20" w:type="dxa"/>
            <w:vAlign w:val="bottom"/>
          </w:tcPr>
          <w:p>
            <w:pPr>
              <w:spacing w:after="0"/>
              <w:rPr>
                <w:sz w:val="3"/>
                <w:szCs w:val="3"/>
                <w:color w:val="auto"/>
              </w:rPr>
            </w:pPr>
          </w:p>
        </w:tc>
        <w:tc>
          <w:tcPr>
            <w:tcW w:w="11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20" w:type="dxa"/>
            <w:vAlign w:val="bottom"/>
            <w:gridSpan w:val="10"/>
          </w:tcPr>
          <w:p>
            <w:pPr>
              <w:jc w:val="right"/>
              <w:ind w:right="9"/>
              <w:spacing w:after="0" w:line="132" w:lineRule="exact"/>
              <w:rPr>
                <w:sz w:val="20"/>
                <w:szCs w:val="20"/>
                <w:color w:val="auto"/>
              </w:rPr>
            </w:pPr>
            <w:r>
              <w:rPr>
                <w:rFonts w:ascii="Times New Roman" w:cs="Times New Roman" w:eastAsia="Times New Roman" w:hAnsi="Times New Roman"/>
                <w:sz w:val="13"/>
                <w:szCs w:val="13"/>
                <w:b w:val="1"/>
                <w:bCs w:val="1"/>
                <w:color w:val="auto"/>
                <w:w w:val="98"/>
              </w:rPr>
              <w:t>Convertible Preferred Stock Convertible Preferred Stock</w:t>
            </w:r>
          </w:p>
        </w:tc>
        <w:tc>
          <w:tcPr>
            <w:tcW w:w="20" w:type="dxa"/>
            <w:vAlign w:val="bottom"/>
            <w:shd w:val="clear" w:color="auto" w:fill="000000"/>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restart"/>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4"/>
              </w:rPr>
              <w:t>Paid-</w:t>
            </w:r>
          </w:p>
        </w:tc>
        <w:tc>
          <w:tcPr>
            <w:tcW w:w="760" w:type="dxa"/>
            <w:vAlign w:val="bottom"/>
            <w:gridSpan w:val="4"/>
            <w:vMerge w:val="restart"/>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vMerge w:val="restart"/>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4"/>
                <w:szCs w:val="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4"/>
                <w:szCs w:val="4"/>
                <w:color w:val="auto"/>
              </w:rPr>
            </w:pPr>
          </w:p>
        </w:tc>
        <w:tc>
          <w:tcPr>
            <w:tcW w:w="68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4"/>
                <w:szCs w:val="4"/>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Amount in Capital</w:t>
            </w:r>
          </w:p>
        </w:tc>
        <w:tc>
          <w:tcPr>
            <w:tcW w:w="12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Equity (Deficit)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31, 2017</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14,091,837</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4,672,144</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(10,417)</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Issuance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A</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net of</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of $13</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25,630,251</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30,488</w:t>
            </w:r>
          </w:p>
        </w:tc>
        <w:tc>
          <w:tcPr>
            <w:tcW w:w="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upon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32,037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Vesting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of</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263,974</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39,722,088</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47,113</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4,968,155</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736</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(30,584)</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(29,843)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Issuance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net of</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of $148</w:t>
            </w:r>
          </w:p>
        </w:tc>
        <w:tc>
          <w:tcPr>
            <w:tcW w:w="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9,916,375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13,252</w:t>
            </w:r>
          </w:p>
        </w:tc>
        <w:tc>
          <w:tcPr>
            <w:tcW w:w="20" w:type="dxa"/>
            <w:vAlign w:val="bottom"/>
            <w:shd w:val="clear" w:color="auto" w:fill="000000"/>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upon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80,118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Vesting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of</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265,493</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(41,400)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(41,400)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39,722,088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47,113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9,916,375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13,252</w:t>
            </w:r>
          </w:p>
        </w:tc>
        <w:tc>
          <w:tcPr>
            <w:tcW w:w="20" w:type="dxa"/>
            <w:vAlign w:val="bottom"/>
            <w:shd w:val="clear" w:color="auto" w:fill="000000"/>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5,313,766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(71,984)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restart"/>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39,722,088</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47,113</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4,968,155</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(30,584)</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Issuance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net of</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of $141</w:t>
            </w:r>
          </w:p>
        </w:tc>
        <w:tc>
          <w:tcPr>
            <w:tcW w:w="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9,102,345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12,159</w:t>
            </w:r>
          </w:p>
        </w:tc>
        <w:tc>
          <w:tcPr>
            <w:tcW w:w="20" w:type="dxa"/>
            <w:vAlign w:val="bottom"/>
            <w:shd w:val="clear" w:color="auto" w:fill="000000"/>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upon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76,680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Vesting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199,118</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(31,733)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39,722,088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47,113</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9,102,345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12,159</w:t>
            </w:r>
          </w:p>
        </w:tc>
        <w:tc>
          <w:tcPr>
            <w:tcW w:w="20" w:type="dxa"/>
            <w:vAlign w:val="bottom"/>
            <w:shd w:val="clear" w:color="auto" w:fill="000000"/>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6"/>
              </w:rPr>
              <w:t>5,243,953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1,054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(62,317</w:t>
            </w:r>
          </w:p>
        </w:tc>
        <w:tc>
          <w:tcPr>
            <w:tcW w:w="1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(61,258</w:t>
            </w:r>
          </w:p>
        </w:tc>
        <w:tc>
          <w:tcPr>
            <w:tcW w:w="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right w:val="single" w:sz="8" w:color="CCEEFF"/>
            </w:tcBorders>
            <w:shd w:val="clear" w:color="auto" w:fill="CCEEFF"/>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55" w:right="1440" w:bottom="0" w:gutter="0" w:footer="0" w:header="0"/>
        </w:sectPr>
      </w:pPr>
    </w:p>
    <w:bookmarkStart w:id="268" w:name="page269"/>
    <w:bookmarkEnd w:id="268"/>
    <w:p>
      <w:pPr>
        <w:ind w:left="1080"/>
        <w:spacing w:after="0"/>
        <w:rPr>
          <w:sz w:val="20"/>
          <w:szCs w:val="20"/>
          <w:color w:val="auto"/>
        </w:rPr>
      </w:pPr>
      <w:r>
        <w:rPr>
          <w:rFonts w:ascii="Times New Roman" w:cs="Times New Roman" w:eastAsia="Times New Roman" w:hAnsi="Times New Roman"/>
          <w:sz w:val="14"/>
          <w:szCs w:val="14"/>
          <w:b w:val="1"/>
          <w:bCs w:val="1"/>
          <w:color w:val="auto"/>
        </w:rPr>
        <w:t>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-92710</wp:posOffset>
            </wp:positionV>
            <wp:extent cx="4787900" cy="2501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87900" cy="250190"/>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9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39,722,088</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47,113</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9,916,375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13,252</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5,313,766</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(71,984)</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(70,797)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Issuance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net of</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of $16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14,874,563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20,084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Beneficial</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feature</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relating to</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discount on</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promissory</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(Note</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8,177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Issuance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upon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116,239</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199,125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Stock-based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00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(26,522)</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(26,522)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39,722,088</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47,113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24,790,938</w:t>
            </w:r>
          </w:p>
        </w:tc>
        <w:tc>
          <w:tcPr>
            <w:tcW w:w="80" w:type="dxa"/>
            <w:vAlign w:val="bottom"/>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33,336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5,629,130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9,773</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(98,506)</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(88,727)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9" w:name="page270"/>
    <w:bookmarkEnd w:id="26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34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(20,167)</w:t>
            </w:r>
          </w:p>
        </w:tc>
        <w:tc>
          <w:tcPr>
            <w:tcW w:w="100" w:type="dxa"/>
            <w:vAlign w:val="bottom"/>
          </w:tcPr>
          <w:p>
            <w:pPr>
              <w:spacing w:after="0"/>
              <w:rPr>
                <w:sz w:val="18"/>
                <w:szCs w:val="18"/>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(31,733)</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(26,522)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Accretion of discount on convertible notes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489</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2,998</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403</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(18,340)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(38,530)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(27,175)</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(23,855)</w:t>
            </w:r>
          </w:p>
        </w:tc>
        <w:tc>
          <w:tcPr>
            <w:tcW w:w="0" w:type="dxa"/>
            <w:vAlign w:val="bottom"/>
          </w:tcPr>
          <w:p>
            <w:pPr>
              <w:spacing w:after="0"/>
              <w:rPr>
                <w:sz w:val="1"/>
                <w:szCs w:val="1"/>
                <w:color w:val="auto"/>
              </w:rPr>
            </w:pPr>
          </w:p>
        </w:tc>
      </w:tr>
      <w:tr>
        <w:trPr>
          <w:trHeight w:val="30"/>
        </w:trPr>
        <w:tc>
          <w:tcPr>
            <w:tcW w:w="3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(201)</w:t>
            </w: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(201)</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1"/>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Series A convertible</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preferred stock, net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30,488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Series B convertible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preferred stock, net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12,159</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term loan, net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7,446</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convertible notes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30,497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19,626</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Increase (decrease) in cash, cash equivalents and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11,728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(15,542)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(7,750)</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beginning of period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18,851</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11,101</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purchases included in</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Issuance of warrants in connection with term loan facility</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on convertible notes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0" w:name="page271"/>
    <w:bookmarkEnd w:id="27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 Nature of the business and basis of presentation</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9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Liquidity and going concern</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As of December 31, 2019 and September 30, 2020 (unaudited), the Company had $3.0 million and $13.2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$26.5 million for periods ended December 31, 2019 and September 30, 2020 (unaudited), respectively. In addition, as of December 31, 2019 and September 30, 2020 (unaudited), the Company has an accumulated deficit of $72.0 million and $98.5 million, respectively. The Company expects to incur substantial operating losses and negative cash flows from operations for the foreseeable future. As of October 30, 2020, the Company expected its existing cash and cash equivalents would not be sufficient to fund its operating expenses and capital expenditure requirements for at least the next year following the date that the financial statements were issued.</w:t>
      </w:r>
    </w:p>
    <w:p>
      <w:pPr>
        <w:spacing w:after="0" w:line="110"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As of December 7, 2020 (unaudited), the issuance date of the interim financial statements for the nine months ended September 30, 2020, the Company expects its existing cash and cash equivalents will not be sufficient to fund its operating expenses and capital expenditure requirements for at least the next year following the date that the interim financial statements are issued.</w:t>
      </w:r>
    </w:p>
    <w:p>
      <w:pPr>
        <w:spacing w:after="0" w:line="9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Company is seeking to complete a merger with FS Development Corp. (“FS Development”), which would result in FS Development acquiring 100% of the Company’s issued and outstanding securities. Together with FS Development’s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1" w:name="page272"/>
    <w:bookmarkEnd w:id="27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 Nature of the business and basis of presentation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 programs and any future commercialization efforts. Accordingly, substantial doubt is deemed to exist about the Company’s ability to continue as a going concern within one year after the date these financial statements are issued.</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Impact of the COVID-19 Pandemic</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02" w:lineRule="exact"/>
        <w:rPr>
          <w:sz w:val="20"/>
          <w:szCs w:val="20"/>
          <w:color w:val="auto"/>
        </w:rPr>
      </w:pPr>
    </w:p>
    <w:p>
      <w:pPr>
        <w:jc w:val="both"/>
        <w:ind w:left="920" w:right="939"/>
        <w:spacing w:after="0" w:line="270" w:lineRule="auto"/>
        <w:rPr>
          <w:sz w:val="20"/>
          <w:szCs w:val="20"/>
          <w:color w:val="auto"/>
        </w:rPr>
      </w:pPr>
      <w:r>
        <w:rPr>
          <w:rFonts w:ascii="Times New Roman" w:cs="Times New Roman" w:eastAsia="Times New Roman" w:hAnsi="Times New Roman"/>
          <w:sz w:val="15"/>
          <w:szCs w:val="15"/>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9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2" w:name="page273"/>
    <w:bookmarkEnd w:id="27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accompanying balance sheet as of September 30, 2020, the statements of operations, of convertible preferred stock and stockholders’ deficit and of cash flows for the nine months ended September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nine months 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September 30, 2020 (unaudited).</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Restricted cash amounted to $323 thousand at December 31, 2018 and 2019, and September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9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 reconciliation of the cash and cash equivalents and restricted cash as presented in the Company’s balance sheets to the Company’s statements of cash flows is as follows:</w:t>
      </w:r>
    </w:p>
    <w:p>
      <w:pPr>
        <w:sectPr>
          <w:pgSz w:w="11900" w:h="16838" w:orient="portrait"/>
          <w:cols w:equalWidth="0" w:num="1">
            <w:col w:w="9019"/>
          </w:cols>
          <w:pgMar w:left="1440" w:top="254" w:right="1440" w:bottom="1440" w:gutter="0" w:footer="0" w:header="0"/>
        </w:sectPr>
      </w:pPr>
    </w:p>
    <w:p>
      <w:pPr>
        <w:spacing w:after="0" w:line="158"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43180</wp:posOffset>
            </wp:positionV>
            <wp:extent cx="109283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92835" cy="7620"/>
                    </a:xfrm>
                    <a:prstGeom prst="rect">
                      <a:avLst/>
                    </a:prstGeom>
                    <a:noFill/>
                  </pic:spPr>
                </pic:pic>
              </a:graphicData>
            </a:graphic>
          </wp:anchor>
        </w:drawing>
      </w:r>
    </w:p>
    <w:p>
      <w:pPr>
        <w:spacing w:after="0" w:line="82" w:lineRule="exact"/>
        <w:rPr>
          <w:sz w:val="20"/>
          <w:szCs w:val="20"/>
          <w:color w:val="auto"/>
        </w:rPr>
      </w:pPr>
    </w:p>
    <w:p>
      <w:pPr>
        <w:ind w:left="4700"/>
        <w:spacing w:after="0"/>
        <w:tabs>
          <w:tab w:leader="none" w:pos="55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43180</wp:posOffset>
            </wp:positionV>
            <wp:extent cx="109283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928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43180</wp:posOffset>
            </wp:positionV>
            <wp:extent cx="116840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spacing w:after="0" w:line="8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43180</wp:posOffset>
            </wp:positionV>
            <wp:extent cx="116840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5900" w:space="620"/>
            <w:col w:w="2499"/>
          </w:cols>
          <w:pgMar w:left="1440" w:top="254" w:right="1440"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18,528</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10,778</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r>
      <w:tr>
        <w:trPr>
          <w:trHeight w:val="22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4"/>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18,851</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11,101</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13,538</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0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273" w:name="page274"/>
    <w:bookmarkEnd w:id="27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Depreciation is computed on the straight-line basis over the estimated useful lives of the assets. The estimated useful lives are as follows:</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450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rPr>
              <w:t>3 years</w:t>
            </w:r>
          </w:p>
        </w:tc>
      </w:tr>
      <w:tr>
        <w:trPr>
          <w:trHeight w:val="251"/>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450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rPr>
              <w:t>5 years</w:t>
            </w:r>
          </w:p>
        </w:tc>
      </w:tr>
      <w:tr>
        <w:trPr>
          <w:trHeight w:val="251"/>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450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rPr>
              <w:t>3 years</w:t>
            </w:r>
          </w:p>
        </w:tc>
      </w:tr>
      <w:tr>
        <w:trPr>
          <w:trHeight w:val="251"/>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50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w w:val="99"/>
              </w:rPr>
              <w:t>Shorter of the useful life of the asset or the life of the lease</w:t>
            </w:r>
          </w:p>
        </w:tc>
      </w:tr>
    </w:tbl>
    <w:p>
      <w:pPr>
        <w:spacing w:after="0" w:line="174"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Deferred offering costs</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Company capitalized certain legal, professional accounting and other third-party fees that are directly associated with the in-process merger with FS Development as deferred offering costs until such merger is consummated. After consummation of the merger, these costs will be recorded as a reduction to additional paid-in capital generated as a result of the merger. Should the merger be abandoned, the deferred offering costs will be expensed immediately as a charge to operating expenses in the statement of operations. The Company had no deferred offering costs as of December 31, 2018 and 2019. As of September 30, 2020 (unaudited), the Company recorded deferred offering costs of $1.3 million.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14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Level 1 – Quoted prices in active markets that are identical assets or liabilities.</w:t>
      </w:r>
    </w:p>
    <w:p>
      <w:pPr>
        <w:spacing w:after="0" w:line="127" w:lineRule="exact"/>
        <w:rPr>
          <w:sz w:val="20"/>
          <w:szCs w:val="20"/>
          <w:color w:val="auto"/>
        </w:rPr>
      </w:pPr>
    </w:p>
    <w:p>
      <w:pPr>
        <w:jc w:val="both"/>
        <w:ind w:left="1300" w:right="939"/>
        <w:spacing w:after="0" w:line="265" w:lineRule="auto"/>
        <w:rPr>
          <w:sz w:val="20"/>
          <w:szCs w:val="20"/>
          <w:color w:val="auto"/>
        </w:rPr>
      </w:pPr>
      <w:r>
        <w:rPr>
          <w:rFonts w:ascii="Times New Roman" w:cs="Times New Roman" w:eastAsia="Times New Roman" w:hAnsi="Times New Roman"/>
          <w:sz w:val="16"/>
          <w:szCs w:val="16"/>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4" w:name="page275"/>
    <w:bookmarkEnd w:id="27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1300" w:right="939"/>
        <w:spacing w:after="0" w:line="265" w:lineRule="auto"/>
        <w:rPr>
          <w:sz w:val="20"/>
          <w:szCs w:val="20"/>
          <w:color w:val="auto"/>
        </w:rPr>
      </w:pPr>
      <w:r>
        <w:rPr>
          <w:rFonts w:ascii="Times New Roman" w:cs="Times New Roman" w:eastAsia="Times New Roman" w:hAnsi="Times New Roman"/>
          <w:sz w:val="16"/>
          <w:szCs w:val="16"/>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9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September 30, 2020 (unaudited) (see Note 6) approximated fair value based on interest rates currently available to the Company.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41"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1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Classification of convertible preferred stock</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Research and development contract costs and accruals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Research and development expenses include employee payroll, consulting, contract research, depreciation, rent and other corporate costs attributable to research and development activities, and are expensed as incurred.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5" w:name="page276"/>
    <w:bookmarkEnd w:id="27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Patent costs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1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96"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6"/>
          <w:szCs w:val="16"/>
          <w:i w:val="1"/>
          <w:iCs w:val="1"/>
          <w:color w:val="auto"/>
        </w:rPr>
        <w:t>Valuation of Privately-Held-Company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Issued as Compensation</w:t>
      </w:r>
      <w:r>
        <w:rPr>
          <w:rFonts w:ascii="Times New Roman" w:cs="Times New Roman" w:eastAsia="Times New Roman" w:hAnsi="Times New Roman"/>
          <w:sz w:val="16"/>
          <w:szCs w:val="16"/>
          <w:color w:val="auto"/>
        </w:rPr>
        <w:t>. The Company’s common stock valuations were prepared using an option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6" w:name="page277"/>
    <w:bookmarkEnd w:id="27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96" w:lineRule="exact"/>
        <w:rPr>
          <w:sz w:val="20"/>
          <w:szCs w:val="20"/>
          <w:color w:val="auto"/>
        </w:rPr>
      </w:pPr>
    </w:p>
    <w:p>
      <w:pPr>
        <w:jc w:val="both"/>
        <w:ind w:left="920" w:right="939"/>
        <w:spacing w:after="0" w:line="269" w:lineRule="auto"/>
        <w:rPr>
          <w:sz w:val="20"/>
          <w:szCs w:val="20"/>
          <w:color w:val="auto"/>
        </w:rPr>
      </w:pPr>
      <w:r>
        <w:rPr>
          <w:rFonts w:ascii="Times New Roman" w:cs="Times New Roman" w:eastAsia="Times New Roman" w:hAnsi="Times New Roman"/>
          <w:sz w:val="15"/>
          <w:szCs w:val="15"/>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29"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1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Comprehensive loss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77" w:name="page278"/>
    <w:bookmarkEnd w:id="27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96"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00"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nine months ended September 30, 2019 and 2020 (unaudited).</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 status</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In May 2014, the FASB issued ASU No.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95"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 xml:space="preserve">In March 2016, the FASB issued ASU No. 2016-09, </w:t>
      </w:r>
      <w:r>
        <w:rPr>
          <w:rFonts w:ascii="Times New Roman" w:cs="Times New Roman" w:eastAsia="Times New Roman" w:hAnsi="Times New Roman"/>
          <w:sz w:val="16"/>
          <w:szCs w:val="16"/>
          <w:i w:val="1"/>
          <w:iCs w:val="1"/>
          <w:color w:val="auto"/>
        </w:rPr>
        <w:t>Compensation — Stock Compensation (Topic 718):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Improvements to Employee Share-Based Payment Accounting </w:t>
      </w:r>
      <w:r>
        <w:rPr>
          <w:rFonts w:ascii="Times New Roman" w:cs="Times New Roman" w:eastAsia="Times New Roman" w:hAnsi="Times New Roman"/>
          <w:sz w:val="16"/>
          <w:szCs w:val="16"/>
          <w:color w:val="auto"/>
        </w:rPr>
        <w:t>(“ASU 2016-09”). ASU 2016-09 includes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multiple provisions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8" w:name="page279"/>
    <w:bookmarkEnd w:id="27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9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 xml:space="preserve">The Company has early adopted Accounting Standards Update 2018-07 (“ASU 2018-07”) </w:t>
      </w:r>
      <w:r>
        <w:rPr>
          <w:rFonts w:ascii="Times New Roman" w:cs="Times New Roman" w:eastAsia="Times New Roman" w:hAnsi="Times New Roman"/>
          <w:sz w:val="16"/>
          <w:szCs w:val="16"/>
          <w:i w:val="1"/>
          <w:iCs w:val="1"/>
          <w:color w:val="auto"/>
        </w:rPr>
        <w:t xml:space="preserve">Compensation — Stock Compensation: Improvements to Non-Employee Share-Based Compensation Accounting </w:t>
      </w:r>
      <w:r>
        <w:rPr>
          <w:rFonts w:ascii="Times New Roman" w:cs="Times New Roman" w:eastAsia="Times New Roman" w:hAnsi="Times New Roman"/>
          <w:sz w:val="16"/>
          <w:szCs w:val="16"/>
          <w:color w:val="auto"/>
        </w:rPr>
        <w:t>as of the date of January 1, 2017. ASU 2018-07 generally allows the Company to treat stock-based 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92"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 xml:space="preserve">In August 2016, the FASB issued ASU No. 2016-15, Statement of Cash Flows: </w:t>
      </w:r>
      <w:r>
        <w:rPr>
          <w:rFonts w:ascii="Times New Roman" w:cs="Times New Roman" w:eastAsia="Times New Roman" w:hAnsi="Times New Roman"/>
          <w:sz w:val="16"/>
          <w:szCs w:val="16"/>
          <w:i w:val="1"/>
          <w:iCs w:val="1"/>
          <w:color w:val="auto"/>
        </w:rPr>
        <w:t>Classification of Certain 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Receipts and Cash Payments </w:t>
      </w:r>
      <w:r>
        <w:rPr>
          <w:rFonts w:ascii="Times New Roman" w:cs="Times New Roman" w:eastAsia="Times New Roman" w:hAnsi="Times New Roman"/>
          <w:sz w:val="16"/>
          <w:szCs w:val="16"/>
          <w:color w:val="auto"/>
        </w:rPr>
        <w:t>(“ASU 2016-15”), to address diversity in practice in how certain cash receipts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0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 xml:space="preserve">In November 2016, the FASB issued ASU 2016-18, </w:t>
      </w:r>
      <w:r>
        <w:rPr>
          <w:rFonts w:ascii="Times New Roman" w:cs="Times New Roman" w:eastAsia="Times New Roman" w:hAnsi="Times New Roman"/>
          <w:sz w:val="16"/>
          <w:szCs w:val="16"/>
          <w:i w:val="1"/>
          <w:iCs w:val="1"/>
          <w:color w:val="auto"/>
        </w:rPr>
        <w:t>Statement of Cash Flows</w:t>
      </w:r>
      <w:r>
        <w:rPr>
          <w:rFonts w:ascii="Times New Roman" w:cs="Times New Roman" w:eastAsia="Times New Roman" w:hAnsi="Times New Roman"/>
          <w:sz w:val="16"/>
          <w:szCs w:val="16"/>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03"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3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0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10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 xml:space="preserve">In November 2018, the FASB issued ASU 2018-18, Collaborative Arrangements (Topic 808): </w:t>
      </w:r>
      <w:r>
        <w:rPr>
          <w:rFonts w:ascii="Times New Roman" w:cs="Times New Roman" w:eastAsia="Times New Roman" w:hAnsi="Times New Roman"/>
          <w:sz w:val="16"/>
          <w:szCs w:val="16"/>
          <w:i w:val="1"/>
          <w:iCs w:val="1"/>
          <w:color w:val="auto"/>
        </w:rPr>
        <w:t>Clarifying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Interaction between Topic 808 and Topic 606</w:t>
      </w:r>
      <w:r>
        <w:rPr>
          <w:rFonts w:ascii="Times New Roman" w:cs="Times New Roman" w:eastAsia="Times New Roman" w:hAnsi="Times New Roman"/>
          <w:sz w:val="16"/>
          <w:szCs w:val="16"/>
          <w:color w:val="auto"/>
        </w:rPr>
        <w:t>, (“ASU 2018-18”). The amendments in this update clarify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transactions between collaborative arrangement participants should be accounted for as revenue when the collaborative arrangement participant is a customer in the context of a unit of account and precludes recognizing as revenue consideration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9" w:name="page280"/>
    <w:bookmarkEnd w:id="27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2. Summary of Significant Accounting Policies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94" w:lineRule="exact"/>
        <w:rPr>
          <w:sz w:val="20"/>
          <w:szCs w:val="20"/>
          <w:color w:val="auto"/>
        </w:rPr>
      </w:pPr>
    </w:p>
    <w:p>
      <w:pPr>
        <w:jc w:val="both"/>
        <w:ind w:left="920" w:right="939"/>
        <w:spacing w:after="0" w:line="256" w:lineRule="auto"/>
        <w:rPr>
          <w:sz w:val="20"/>
          <w:szCs w:val="20"/>
          <w:color w:val="auto"/>
        </w:rPr>
      </w:pPr>
      <w:r>
        <w:rPr>
          <w:rFonts w:ascii="Times New Roman" w:cs="Times New Roman" w:eastAsia="Times New Roman" w:hAnsi="Times New Roman"/>
          <w:sz w:val="16"/>
          <w:szCs w:val="16"/>
          <w:color w:val="auto"/>
        </w:rPr>
        <w:t xml:space="preserve">In December 2019, the FASB issued ASU 2019-12, </w:t>
      </w:r>
      <w:r>
        <w:rPr>
          <w:rFonts w:ascii="Times New Roman" w:cs="Times New Roman" w:eastAsia="Times New Roman" w:hAnsi="Times New Roman"/>
          <w:sz w:val="16"/>
          <w:szCs w:val="16"/>
          <w:i w:val="1"/>
          <w:iCs w:val="1"/>
          <w:color w:val="auto"/>
        </w:rPr>
        <w:t>Income Taxes (Topic 740): Simplifying the 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(“ASU 2019-12”), which is intended to simplify the accounting for income taxes. ASU 2019-12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47" w:lineRule="exact"/>
        <w:rPr>
          <w:sz w:val="20"/>
          <w:szCs w:val="20"/>
          <w:color w:val="auto"/>
        </w:rPr>
      </w:pPr>
    </w:p>
    <w:p>
      <w:pPr>
        <w:ind w:left="920"/>
        <w:spacing w:after="0"/>
        <w:tabs>
          <w:tab w:leader="none" w:pos="4600" w:val="left"/>
          <w:tab w:leader="none" w:pos="5520" w:val="left"/>
          <w:tab w:leader="none" w:pos="6420" w:val="left"/>
          <w:tab w:leader="none" w:pos="7440" w:val="left"/>
        </w:tabs>
        <w:rPr>
          <w:sz w:val="20"/>
          <w:szCs w:val="20"/>
          <w:color w:val="auto"/>
        </w:rPr>
      </w:pPr>
      <w:r>
        <w:rPr>
          <w:rFonts w:ascii="Times New Roman" w:cs="Times New Roman" w:eastAsia="Times New Roman" w:hAnsi="Times New Roman"/>
          <w:sz w:val="14"/>
          <w:szCs w:val="14"/>
          <w:b w:val="1"/>
          <w:bCs w:val="1"/>
          <w:color w:val="auto"/>
        </w:rPr>
        <w:t>December 31, 2018</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43180</wp:posOffset>
            </wp:positionV>
            <wp:extent cx="4552950" cy="1670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69"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 in cash and cash equivalents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17,521</w:t>
            </w:r>
          </w:p>
        </w:tc>
        <w:tc>
          <w:tcPr>
            <w:tcW w:w="68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17,521</w:t>
            </w:r>
          </w:p>
        </w:tc>
      </w:tr>
      <w:tr>
        <w:trPr>
          <w:trHeight w:val="24"/>
        </w:trPr>
        <w:tc>
          <w:tcPr>
            <w:tcW w:w="3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3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17,521</w:t>
            </w:r>
          </w:p>
        </w:tc>
        <w:tc>
          <w:tcPr>
            <w:tcW w:w="6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2"/>
        </w:trPr>
        <w:tc>
          <w:tcPr>
            <w:tcW w:w="3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2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 in cash and cash equivalents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2,037</w:t>
            </w:r>
          </w:p>
        </w:tc>
        <w:tc>
          <w:tcPr>
            <w:tcW w:w="68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r>
      <w:tr>
        <w:trPr>
          <w:trHeight w:val="24"/>
        </w:trPr>
        <w:tc>
          <w:tcPr>
            <w:tcW w:w="3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3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2,037</w:t>
            </w:r>
          </w:p>
        </w:tc>
        <w:tc>
          <w:tcPr>
            <w:tcW w:w="6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3"/>
        </w:trPr>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1"/>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68</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4"/>
        </w:trPr>
        <w:tc>
          <w:tcPr>
            <w:tcW w:w="3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4"/>
            <w:shd w:val="clear" w:color="auto" w:fill="CCEEFF"/>
          </w:tcPr>
          <w:p>
            <w:pPr>
              <w:jc w:val="right"/>
              <w:ind w:right="488"/>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68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46"/>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2"/>
        </w:trPr>
        <w:tc>
          <w:tcPr>
            <w:tcW w:w="3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2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 in cash and cash equivalents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12,274</w:t>
            </w:r>
          </w:p>
        </w:tc>
        <w:tc>
          <w:tcPr>
            <w:tcW w:w="68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12,274</w:t>
            </w:r>
          </w:p>
        </w:tc>
      </w:tr>
      <w:tr>
        <w:trPr>
          <w:trHeight w:val="24"/>
        </w:trPr>
        <w:tc>
          <w:tcPr>
            <w:tcW w:w="3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3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12,274</w:t>
            </w:r>
          </w:p>
        </w:tc>
        <w:tc>
          <w:tcPr>
            <w:tcW w:w="6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3"/>
        </w:trPr>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1"/>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74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4"/>
        </w:trPr>
        <w:tc>
          <w:tcPr>
            <w:tcW w:w="3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3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4"/>
            <w:shd w:val="clear" w:color="auto" w:fill="CCEEFF"/>
          </w:tcPr>
          <w:p>
            <w:pPr>
              <w:jc w:val="right"/>
              <w:ind w:right="488"/>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74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Money market funds were valued by the Company using quoted prices in active markets for similar securities, which represent a Level 1 measurement within the fair value hierarchy. During the years ended December 31, 2018 and 2019 and the nine months ended September 30, 2020 (unaudited), there were no transfers between Level 1, Level 2 and Level 3.</w:t>
      </w:r>
    </w:p>
    <w:p>
      <w:pPr>
        <w:spacing w:after="0" w:line="102"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value for the warrant liability balance is based on significant inputs not observable in the market, which represents a Level 3 measurement within the fair value hierarchy.</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Warrants to purchase Series A Preferred Stock</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nine months ended September 30, 2020 (unaudited). The fair value of the warrants was recorded as a liability on the date of issuance.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0" w:name="page281"/>
    <w:bookmarkEnd w:id="28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3. Fair value measurements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Warrant</w:t>
            </w:r>
          </w:p>
        </w:tc>
      </w:tr>
      <w:tr>
        <w:trPr>
          <w:trHeight w:val="188"/>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42"/>
        </w:trPr>
        <w:tc>
          <w:tcPr>
            <w:tcW w:w="6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r>
      <w:tr>
        <w:trPr>
          <w:trHeight w:val="21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 Preferred Stock warrants</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r>
      <w:tr>
        <w:trPr>
          <w:trHeight w:val="36"/>
        </w:trPr>
        <w:tc>
          <w:tcPr>
            <w:tcW w:w="6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1"/>
                <w:szCs w:val="21"/>
                <w:color w:val="auto"/>
              </w:rPr>
            </w:pPr>
          </w:p>
        </w:tc>
      </w:tr>
      <w:tr>
        <w:trPr>
          <w:trHeight w:val="200"/>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7"/>
                <w:szCs w:val="17"/>
                <w:color w:val="auto"/>
              </w:rPr>
            </w:pPr>
          </w:p>
        </w:tc>
      </w:tr>
      <w:tr>
        <w:trPr>
          <w:trHeight w:val="31"/>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21"/>
                <w:szCs w:val="21"/>
                <w:color w:val="auto"/>
              </w:rPr>
            </w:pPr>
          </w:p>
        </w:tc>
      </w:tr>
      <w:tr>
        <w:trPr>
          <w:trHeight w:val="213"/>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2020 (unaudited)</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Borders>
              <w:bottom w:val="single" w:sz="8" w:color="auto"/>
            </w:tcBorders>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2180" w:type="dxa"/>
            <w:vAlign w:val="bottom"/>
            <w:gridSpan w:val="3"/>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84"/>
        </w:trPr>
        <w:tc>
          <w:tcPr>
            <w:tcW w:w="3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180" w:type="dxa"/>
            <w:vAlign w:val="bottom"/>
            <w:gridSpan w:val="3"/>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04"/>
        </w:trPr>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gridSpan w:val="2"/>
            <w:vMerge w:val="restart"/>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3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16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42"/>
        </w:trPr>
        <w:tc>
          <w:tcPr>
            <w:tcW w:w="3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3"/>
          </w:tcPr>
          <w:p>
            <w:pPr>
              <w:jc w:val="center"/>
              <w:ind w:right="12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3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the underlying instrument</w:t>
            </w: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1.20 – $1.28</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 $1.24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 $1.41</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1.70% –</w:t>
            </w:r>
          </w:p>
        </w:tc>
        <w:tc>
          <w:tcPr>
            <w:tcW w:w="20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1.70% –</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 – 0.64%</w:t>
            </w:r>
          </w:p>
        </w:tc>
        <w:tc>
          <w:tcPr>
            <w:tcW w:w="0" w:type="dxa"/>
            <w:vAlign w:val="bottom"/>
          </w:tcPr>
          <w:p>
            <w:pPr>
              <w:spacing w:after="0"/>
              <w:rPr>
                <w:sz w:val="1"/>
                <w:szCs w:val="1"/>
                <w:color w:val="auto"/>
              </w:rPr>
            </w:pPr>
          </w:p>
        </w:tc>
      </w:tr>
      <w:tr>
        <w:trPr>
          <w:trHeight w:val="36"/>
        </w:trPr>
        <w:tc>
          <w:tcPr>
            <w:tcW w:w="3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 – 10.0</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 10.0</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 8.9</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73.4% –</w:t>
            </w:r>
          </w:p>
        </w:tc>
        <w:tc>
          <w:tcPr>
            <w:tcW w:w="20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73.6% –</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74.3%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 – 74.4%</w:t>
            </w:r>
          </w:p>
        </w:tc>
        <w:tc>
          <w:tcPr>
            <w:tcW w:w="0" w:type="dxa"/>
            <w:vAlign w:val="bottom"/>
          </w:tcPr>
          <w:p>
            <w:pPr>
              <w:spacing w:after="0"/>
              <w:rPr>
                <w:sz w:val="1"/>
                <w:szCs w:val="1"/>
                <w:color w:val="auto"/>
              </w:rPr>
            </w:pPr>
          </w:p>
        </w:tc>
      </w:tr>
      <w:tr>
        <w:trPr>
          <w:trHeight w:val="36"/>
        </w:trPr>
        <w:tc>
          <w:tcPr>
            <w:tcW w:w="3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36"/>
        </w:trPr>
        <w:tc>
          <w:tcPr>
            <w:tcW w:w="30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920" w:right="939"/>
        <w:spacing w:after="0" w:line="274" w:lineRule="auto"/>
        <w:rPr>
          <w:sz w:val="20"/>
          <w:szCs w:val="20"/>
          <w:color w:val="auto"/>
        </w:rPr>
      </w:pPr>
      <w:r>
        <w:rPr>
          <w:rFonts w:ascii="Times New Roman" w:cs="Times New Roman" w:eastAsia="Times New Roman" w:hAnsi="Times New Roman"/>
          <w:sz w:val="15"/>
          <w:szCs w:val="15"/>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4. Property and equipment</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Property and equipment, net consisted of the following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4"/>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4"/>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Depreciation expense for the years ended December 31, 2018 and 2019 and for the nine months ended September 30, 2019 and 2020 (unaudited) was approximately $114 thousand, $290 thousand, $213 thousand and $235 thousand,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1" w:name="page282"/>
    <w:bookmarkEnd w:id="28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 (in thousands):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7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3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640" w:type="dxa"/>
            <w:vAlign w:val="bottom"/>
            <w:tcBorders>
              <w:bottom w:val="single" w:sz="8" w:color="CCEEFF"/>
            </w:tcBorders>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1,133</w:t>
            </w:r>
          </w:p>
        </w:tc>
        <w:tc>
          <w:tcPr>
            <w:tcW w:w="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2,123</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Accrued external research and development</w:t>
            </w:r>
          </w:p>
        </w:tc>
        <w:tc>
          <w:tcPr>
            <w:tcW w:w="6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0" w:type="dxa"/>
            <w:vAlign w:val="bottom"/>
          </w:tcPr>
          <w:p>
            <w:pPr>
              <w:spacing w:after="0"/>
              <w:rPr>
                <w:sz w:val="1"/>
                <w:szCs w:val="1"/>
                <w:color w:val="auto"/>
              </w:rPr>
            </w:pP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w:t>
            </w:r>
          </w:p>
        </w:tc>
        <w:tc>
          <w:tcPr>
            <w:tcW w:w="6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4"/>
        </w:trPr>
        <w:tc>
          <w:tcPr>
            <w:tcW w:w="3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2,004</w:t>
            </w:r>
          </w:p>
        </w:tc>
        <w:tc>
          <w:tcPr>
            <w:tcW w:w="6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2,689</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6. Term loan</w:t>
      </w:r>
    </w:p>
    <w:p>
      <w:pPr>
        <w:spacing w:after="0" w:line="12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September 30, 2020 (unaudited), the Company had $10.0 million in principal outstanding under the Term Loan.</w:t>
      </w:r>
    </w:p>
    <w:p>
      <w:pPr>
        <w:spacing w:after="0" w:line="10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98"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0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September 30, 2020 (unaudited), the Company accrued $104 thousand and $200 thousand, respectively, related to the end of term charge, which has been classified as other long-term liabilities.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2" w:name="page283"/>
    <w:bookmarkEnd w:id="28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6. Term loan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As of December 31, 2019, scheduled principal payments for the Term Loan are as follows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
        </w:trPr>
        <w:tc>
          <w:tcPr>
            <w:tcW w:w="5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0"/>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principal</w:t>
            </w:r>
          </w:p>
        </w:tc>
        <w:tc>
          <w:tcPr>
            <w:tcW w:w="3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Unamortized discounts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w:t>
            </w:r>
          </w:p>
        </w:tc>
      </w:tr>
      <w:tr>
        <w:trPr>
          <w:trHeight w:val="200"/>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Carrying amount</w:t>
            </w: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1"/>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(2,500)</w:t>
            </w:r>
          </w:p>
        </w:tc>
      </w:tr>
      <w:tr>
        <w:trPr>
          <w:trHeight w:val="21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Interest expense for the years ended December 31, 2018 and 2019 and for the nine months ended September 30, 2019 and 2020 (unaudited) was approximately $0 thousand, $350 thousand, $218 thousand and $407 thousand, respectively.</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7. Convertible promissory notes</w:t>
      </w:r>
    </w:p>
    <w:p>
      <w:pPr>
        <w:spacing w:after="0" w:line="141"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09"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As of September 30, 2020, the carrying value of the Notes is as follows: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amount</w:t>
            </w:r>
          </w:p>
        </w:tc>
        <w:tc>
          <w:tcPr>
            <w:tcW w:w="3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14,000</w:t>
            </w:r>
          </w:p>
        </w:tc>
      </w:tr>
      <w:tr>
        <w:trPr>
          <w:trHeight w:val="22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discount (beneficial conversion feature)</w:t>
            </w:r>
          </w:p>
        </w:tc>
        <w:tc>
          <w:tcPr>
            <w:tcW w:w="3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(6,400)</w:t>
            </w:r>
          </w:p>
        </w:tc>
      </w:tr>
      <w:tr>
        <w:trPr>
          <w:trHeight w:val="24"/>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Carrying amount</w:t>
            </w: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2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3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(7,600)</w:t>
            </w:r>
          </w:p>
        </w:tc>
      </w:tr>
      <w:tr>
        <w:trPr>
          <w:trHeight w:val="24"/>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90"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During the nine months ended September 30, 2020 (unaudited), the Company recognized interest expense of $1.9 million, of which $123 thousand is included in accrued expenses and other current liabilities in the accompanying balance sheet as of September 30, 2020 (unaudited).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3" w:name="page284"/>
    <w:bookmarkEnd w:id="28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8. Convertible preferred stock</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As of December 31, 2019 and September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Series A Preferred Stock financing</w:t>
      </w:r>
    </w:p>
    <w:p>
      <w:pPr>
        <w:spacing w:after="0" w:line="143"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90"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Series B Preferred Stock financing</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September 26, 2019, the Company issued 9,916,375 shares of Series B Preferred Stock at a purchase price of $1.3513 per share for gross proceeds in the amount of $13.4 million.</w:t>
      </w:r>
    </w:p>
    <w:p>
      <w:pPr>
        <w:spacing w:after="0" w:line="73"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0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4" w:name="page285"/>
    <w:bookmarkEnd w:id="28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8. Convertible preferred stock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As of each balance sheet date, the Preferred Stock consisted of the following:</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58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5"/>
                <w:szCs w:val="15"/>
                <w:color w:val="auto"/>
              </w:rPr>
            </w:pPr>
          </w:p>
        </w:tc>
        <w:tc>
          <w:tcPr>
            <w:tcW w:w="10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Conversion</w:t>
            </w:r>
          </w:p>
        </w:tc>
      </w:tr>
      <w:tr>
        <w:trPr>
          <w:trHeight w:val="188"/>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w w:val="99"/>
              </w:rPr>
              <w:t>price per share</w:t>
            </w:r>
          </w:p>
        </w:tc>
      </w:tr>
      <w:tr>
        <w:trPr>
          <w:trHeight w:val="42"/>
        </w:trPr>
        <w:tc>
          <w:tcPr>
            <w:tcW w:w="25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1"/>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8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39,722,088</w:t>
            </w:r>
          </w:p>
        </w:tc>
        <w:tc>
          <w:tcPr>
            <w:tcW w:w="10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39,722,088</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47,113</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47,269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w:t>
            </w:r>
          </w:p>
        </w:tc>
      </w:tr>
      <w:tr>
        <w:trPr>
          <w:trHeight w:val="324"/>
        </w:trPr>
        <w:tc>
          <w:tcPr>
            <w:tcW w:w="258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Liquidation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Conversion</w:t>
            </w:r>
          </w:p>
        </w:tc>
      </w:tr>
      <w:tr>
        <w:trPr>
          <w:trHeight w:val="188"/>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w w:val="99"/>
              </w:rPr>
              <w:t>price per share</w:t>
            </w:r>
          </w:p>
        </w:tc>
      </w:tr>
      <w:tr>
        <w:trPr>
          <w:trHeight w:val="42"/>
        </w:trPr>
        <w:tc>
          <w:tcPr>
            <w:tcW w:w="25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52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1"/>
        </w:trPr>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78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4"/>
              </w:rPr>
              <w:t>39,722,088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4"/>
              </w:rPr>
              <w:t>39,722,088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w:t>
            </w:r>
          </w:p>
        </w:tc>
      </w:tr>
      <w:tr>
        <w:trPr>
          <w:trHeight w:val="22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Series B convertible preferred stock</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37,001,401</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9,916,375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13,252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13,400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1.3513</w:t>
            </w:r>
          </w:p>
        </w:tc>
      </w:tr>
      <w:tr>
        <w:trPr>
          <w:trHeight w:val="24"/>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13"/>
        </w:trPr>
        <w:tc>
          <w:tcPr>
            <w:tcW w:w="2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76,723,489</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49,638,463</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60,365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60,669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302"/>
        </w:trPr>
        <w:tc>
          <w:tcPr>
            <w:tcW w:w="258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40" w:type="dxa"/>
            <w:vAlign w:val="bottom"/>
          </w:tcPr>
          <w:p>
            <w:pPr>
              <w:spacing w:after="0"/>
              <w:rPr>
                <w:sz w:val="24"/>
                <w:szCs w:val="24"/>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24"/>
                <w:szCs w:val="24"/>
                <w:color w:val="auto"/>
              </w:rPr>
            </w:pPr>
          </w:p>
        </w:tc>
        <w:tc>
          <w:tcPr>
            <w:tcW w:w="10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Conversion</w:t>
            </w:r>
          </w:p>
        </w:tc>
      </w:tr>
      <w:tr>
        <w:trPr>
          <w:trHeight w:val="188"/>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 (unaudited)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w w:val="99"/>
              </w:rPr>
              <w:t>price per share</w:t>
            </w:r>
          </w:p>
        </w:tc>
      </w:tr>
      <w:tr>
        <w:trPr>
          <w:trHeight w:val="42"/>
        </w:trPr>
        <w:tc>
          <w:tcPr>
            <w:tcW w:w="25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52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1"/>
        </w:trPr>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78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4"/>
              </w:rPr>
              <w:t>39,722,088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4"/>
              </w:rPr>
              <w:t>39,722,088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w:t>
            </w:r>
          </w:p>
        </w:tc>
      </w:tr>
      <w:tr>
        <w:trPr>
          <w:trHeight w:val="22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Series B convertible preferred stock</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37,001,401</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24,790,938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33,336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33,500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1.3513</w:t>
            </w:r>
          </w:p>
        </w:tc>
      </w:tr>
      <w:tr>
        <w:trPr>
          <w:trHeight w:val="24"/>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13"/>
        </w:trPr>
        <w:tc>
          <w:tcPr>
            <w:tcW w:w="2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76,723,489</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64,513,026</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80,449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80,769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holders of the Preferred Stock have the following rights and preferences: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Series A original issue price and Series A conversion price were equal to $1.19 as of December 31, 2018 and 2019 and September 30, 2020 (unaudited). The Series B original issue price and Series B conversion price were equal to $1.3513 as of December 31, 2019 and September 30, 2020 (unaudited).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September 30, 2020 (unaudited), each share of Series A Preferred Stock was convertible into one share of common stock. As of December 31, 2019 and September 30, 2020 (unaudited), each share of Series B Preferred Stock was convertible into one share of common stock.</w:t>
      </w:r>
    </w:p>
    <w:p>
      <w:pPr>
        <w:spacing w:after="0" w:line="10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5" w:name="page286"/>
    <w:bookmarkEnd w:id="28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8. Convertible preferred stock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41" w:lineRule="exact"/>
        <w:rPr>
          <w:sz w:val="20"/>
          <w:szCs w:val="20"/>
          <w:color w:val="auto"/>
        </w:rPr>
      </w:pPr>
    </w:p>
    <w:p>
      <w:pPr>
        <w:jc w:val="both"/>
        <w:ind w:left="920" w:right="939"/>
        <w:spacing w:after="0" w:line="250" w:lineRule="auto"/>
        <w:rPr>
          <w:sz w:val="20"/>
          <w:szCs w:val="20"/>
          <w:color w:val="auto"/>
        </w:rPr>
      </w:pPr>
      <w:r>
        <w:rPr>
          <w:rFonts w:ascii="Times New Roman" w:cs="Times New Roman" w:eastAsia="Times New Roman" w:hAnsi="Times New Roman"/>
          <w:sz w:val="16"/>
          <w:szCs w:val="16"/>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w:t>
      </w:r>
    </w:p>
    <w:p>
      <w:pPr>
        <w:spacing w:after="0" w:line="10" w:lineRule="exact"/>
        <w:rPr>
          <w:sz w:val="20"/>
          <w:szCs w:val="20"/>
          <w:color w:val="auto"/>
        </w:rPr>
      </w:pPr>
    </w:p>
    <w:p>
      <w:pPr>
        <w:jc w:val="both"/>
        <w:ind w:left="920" w:right="939" w:hanging="1"/>
        <w:spacing w:after="0" w:line="254" w:lineRule="auto"/>
        <w:tabs>
          <w:tab w:leader="none" w:pos="1159"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multiplying such fraction by an amount equal to the applicable Series A or Series B original issue price. No cash dividends were declared or paid during the years ended December 31, 2018 or 2019 or the nine months ended September 30, 2020 (unaudited).</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129"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02" w:lineRule="exact"/>
        <w:rPr>
          <w:sz w:val="20"/>
          <w:szCs w:val="20"/>
          <w:color w:val="auto"/>
        </w:rPr>
      </w:pPr>
    </w:p>
    <w:p>
      <w:pPr>
        <w:jc w:val="both"/>
        <w:ind w:left="920" w:right="939"/>
        <w:spacing w:after="0" w:line="269" w:lineRule="auto"/>
        <w:rPr>
          <w:sz w:val="20"/>
          <w:szCs w:val="20"/>
          <w:color w:val="auto"/>
        </w:rPr>
      </w:pPr>
      <w:r>
        <w:rPr>
          <w:rFonts w:ascii="Times New Roman" w:cs="Times New Roman" w:eastAsia="Times New Roman" w:hAnsi="Times New Roman"/>
          <w:sz w:val="15"/>
          <w:szCs w:val="15"/>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w:t>
      </w:r>
    </w:p>
    <w:p>
      <w:pPr>
        <w:spacing w:after="0" w:line="4" w:lineRule="exact"/>
        <w:rPr>
          <w:sz w:val="20"/>
          <w:szCs w:val="20"/>
          <w:color w:val="auto"/>
        </w:rPr>
      </w:pPr>
    </w:p>
    <w:p>
      <w:pPr>
        <w:jc w:val="both"/>
        <w:ind w:left="920" w:right="939" w:hanging="1"/>
        <w:spacing w:after="0" w:line="254" w:lineRule="auto"/>
        <w:tabs>
          <w:tab w:leader="none" w:pos="1156"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04"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Amended and Restated Certificate of Incorporation does not provide redemption rights to the holders of Preferred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86" w:name="page287"/>
    <w:bookmarkEnd w:id="28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8. Convertible preferred stock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9. Common stock</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As of December 31, 2018, the Amended and Restated Certificate of Incorporation authorized the Company to issue 55,000,000 shares of common stock with a par value of $0.001. As of December 31, 2019 and September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94"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Company had reserved 50,031,845 shares and 89,686,234 shares as of December 31, 2018 and 2019, respectively, and 89,370,870 shares as of September 30, 2020 (unaudited),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Voting</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Each share of common stock entitles the holder to one vote on all matters submitted to a vote of the Company’s stockholders.</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nine months ended September 30, 2020 (unaudited).</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10. Equity incentive plan</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02"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total number of shares of common stock that may be issued under the 2017 Plan was 7,898,675 shares as of December 31, 2018. The total number of shares of common stock that may be issued under the 2017 Plan was 11,834,437 as of December 31, 2019 and September 30, 2020 (unaudited), of which 3,789,697 and 4,089,779 shares remained available for future grant as of December 31, 2019 and September 30, 2020 (unaudited), respectively.</w:t>
      </w:r>
    </w:p>
    <w:p>
      <w:pPr>
        <w:spacing w:after="0" w:line="102"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7" w:name="page288"/>
    <w:bookmarkEnd w:id="28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10. Equity incentive plan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0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Shares that are expired, terminated, surrendered or canceled under the 2017 Plan without having been fully exercised will be available for future awards.</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Option valuation</w:t>
      </w:r>
    </w:p>
    <w:p>
      <w:pPr>
        <w:spacing w:after="0" w:line="13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assumptions that the Company used to determine the fair value of the stock options granted to employees and non-employees was as follows: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700" w:type="dxa"/>
            <w:vAlign w:val="bottom"/>
          </w:tcPr>
          <w:p>
            <w:pPr>
              <w:spacing w:after="0"/>
              <w:rPr>
                <w:sz w:val="15"/>
                <w:szCs w:val="15"/>
                <w:color w:val="auto"/>
              </w:rPr>
            </w:pPr>
          </w:p>
        </w:tc>
        <w:tc>
          <w:tcPr>
            <w:tcW w:w="23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700" w:type="dxa"/>
            <w:vAlign w:val="bottom"/>
          </w:tcPr>
          <w:p>
            <w:pPr>
              <w:spacing w:after="0"/>
              <w:rPr>
                <w:sz w:val="16"/>
                <w:szCs w:val="16"/>
                <w:color w:val="auto"/>
              </w:rPr>
            </w:pPr>
          </w:p>
        </w:tc>
        <w:tc>
          <w:tcPr>
            <w:tcW w:w="23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6"/>
                <w:szCs w:val="16"/>
                <w:color w:val="auto"/>
              </w:rPr>
            </w:pPr>
          </w:p>
        </w:tc>
      </w:tr>
      <w:tr>
        <w:trPr>
          <w:trHeight w:val="42"/>
        </w:trPr>
        <w:tc>
          <w:tcPr>
            <w:tcW w:w="27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1"/>
        </w:trPr>
        <w:tc>
          <w:tcPr>
            <w:tcW w:w="2700" w:type="dxa"/>
            <w:vAlign w:val="bottom"/>
          </w:tcPr>
          <w:p>
            <w:pPr>
              <w:spacing w:after="0"/>
              <w:rPr>
                <w:sz w:val="17"/>
                <w:szCs w:val="17"/>
                <w:color w:val="auto"/>
              </w:rPr>
            </w:pPr>
          </w:p>
        </w:tc>
        <w:tc>
          <w:tcPr>
            <w:tcW w:w="102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c>
          <w:tcPr>
            <w:tcW w:w="11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1520" w:type="dxa"/>
            <w:vAlign w:val="bottom"/>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42"/>
        </w:trPr>
        <w:tc>
          <w:tcPr>
            <w:tcW w:w="27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1"/>
        </w:trPr>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ind w:left="564"/>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640" w:type="dxa"/>
            <w:vAlign w:val="bottom"/>
          </w:tcPr>
          <w:p>
            <w:pPr>
              <w:spacing w:after="0"/>
              <w:rPr>
                <w:sz w:val="17"/>
                <w:szCs w:val="17"/>
                <w:color w:val="auto"/>
              </w:rPr>
            </w:pPr>
          </w:p>
        </w:tc>
      </w:tr>
      <w:tr>
        <w:trPr>
          <w:trHeight w:val="42"/>
        </w:trPr>
        <w:tc>
          <w:tcPr>
            <w:tcW w:w="2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3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 – 3.0%</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 – 2.4%</w:t>
            </w:r>
          </w:p>
        </w:tc>
        <w:tc>
          <w:tcPr>
            <w:tcW w:w="1520" w:type="dxa"/>
            <w:vAlign w:val="bottom"/>
            <w:tcBorders>
              <w:bottom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1.5% – 2.4%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215"/>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5.6 – 6.3 years</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6.0 – 6.25 years</w:t>
            </w:r>
          </w:p>
        </w:tc>
        <w:tc>
          <w:tcPr>
            <w:tcW w:w="152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rPr>
              <w:t>6.0 – 6.1 years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years</w:t>
            </w:r>
          </w:p>
        </w:tc>
      </w:tr>
      <w:tr>
        <w:trPr>
          <w:trHeight w:val="36"/>
        </w:trPr>
        <w:tc>
          <w:tcPr>
            <w:tcW w:w="2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3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 – 75%</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 – 77%</w:t>
            </w:r>
          </w:p>
        </w:tc>
        <w:tc>
          <w:tcPr>
            <w:tcW w:w="1520" w:type="dxa"/>
            <w:vAlign w:val="bottom"/>
            <w:tcBorders>
              <w:bottom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74% – 77%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5"/>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152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bl>
    <w:p>
      <w:pPr>
        <w:spacing w:after="0" w:line="2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Options</w:t>
      </w:r>
    </w:p>
    <w:p>
      <w:pPr>
        <w:spacing w:after="0" w:line="13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Through September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2"/>
        </w:trPr>
        <w:tc>
          <w:tcPr>
            <w:tcW w:w="39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6,782,422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5"/>
        </w:trPr>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0.46</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(80,118)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0.29</w:t>
            </w: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(2,964,150)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0.32</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9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8,540,318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15"/>
        </w:trPr>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(116,239)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0.19</w:t>
            </w: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(1,482,282)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9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2020 (unaudited)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8,123,997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Options vested and exercisable at December 31, 2019</w:t>
            </w: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0.18</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vested and exercisable at September 30, 2020</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(unaudited)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0" w:type="dxa"/>
            <w:vAlign w:val="bottom"/>
          </w:tcPr>
          <w:p>
            <w:pPr>
              <w:spacing w:after="0"/>
              <w:rPr>
                <w:sz w:val="1"/>
                <w:szCs w:val="1"/>
                <w:color w:val="auto"/>
              </w:rPr>
            </w:pPr>
          </w:p>
        </w:tc>
      </w:tr>
      <w:tr>
        <w:trPr>
          <w:trHeight w:val="36"/>
        </w:trPr>
        <w:tc>
          <w:tcPr>
            <w:tcW w:w="39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8" w:name="page289"/>
    <w:bookmarkEnd w:id="28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10. Equity incentive plan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intrinsic value of options exercised during the years ended December 31, 2018 and 2019 and the nine months ended September 30, 2019 and 2020 (unaudited) was $4 thousand, $11 thousand, $10 thousand and $54 thousand, respectively.</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weighted-average grant-date fair value per share of options granted during the years ended December 31, 2018 and 2019 and the nine months ended September 30, 2019 and 2020 (unaudited) was $0.22, $0.30, $0.27 and $0.37, respectively.</w:t>
      </w:r>
    </w:p>
    <w:p>
      <w:pPr>
        <w:spacing w:after="0" w:line="84"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total fair value of options vested during the years ended December 31, 2018 and 2019 and the nine months ended September 30, 2019 and 2020 (unaudited) was $190 thousand, $352 thousand, $318 thousand and $379 thousand, respectively.</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w:t>
      </w:r>
    </w:p>
    <w:p>
      <w:pPr>
        <w:spacing w:after="0" w:line="143"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following table summarizes the Company’s restricted stock activity since December 31, 2018:</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9"/>
        </w:trPr>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9"/>
        </w:trPr>
        <w:tc>
          <w:tcPr>
            <w:tcW w:w="49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8"/>
        </w:trPr>
        <w:tc>
          <w:tcPr>
            <w:tcW w:w="49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42"/>
        </w:trPr>
        <w:tc>
          <w:tcPr>
            <w:tcW w:w="49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2018</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694,150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15"/>
        </w:trPr>
        <w:tc>
          <w:tcPr>
            <w:tcW w:w="4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4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(265,493)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4"/>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2019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428,657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15"/>
        </w:trPr>
        <w:tc>
          <w:tcPr>
            <w:tcW w:w="4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4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(199,125)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4"/>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1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September 30, 2020 (unaudited)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229,532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aggregate fair value of restricted stock that vested during the years ended December 31, 2018 and 2019 and the nine months ended September 30, 2019 and 2020 (unaudited) was $108 thousand, $125 thousand, $94 thousand and $331 thousand, respectively.</w:t>
      </w:r>
    </w:p>
    <w:p>
      <w:pPr>
        <w:spacing w:after="0" w:line="96"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Company recorded stock-based compensation expense for restricted stock of $32 thousand, $30 thousand, $22 thousand and $22 thousand, during the years ended December 31, 2018 and 2019 and the nine months ended September 30, 2019 and 2020 (unaudited),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9" w:name="page290"/>
    <w:bookmarkEnd w:id="28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10. Equity incentive plan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Performance-based stock option awards</w:t>
      </w:r>
    </w:p>
    <w:p>
      <w:pPr>
        <w:spacing w:after="0" w:line="131" w:lineRule="exact"/>
        <w:rPr>
          <w:sz w:val="20"/>
          <w:szCs w:val="20"/>
          <w:color w:val="auto"/>
        </w:rPr>
      </w:pPr>
    </w:p>
    <w:p>
      <w:pPr>
        <w:ind w:left="920" w:right="939"/>
        <w:spacing w:after="0" w:line="260" w:lineRule="auto"/>
        <w:rPr>
          <w:sz w:val="20"/>
          <w:szCs w:val="20"/>
          <w:color w:val="auto"/>
        </w:rPr>
      </w:pPr>
      <w:r>
        <w:rPr>
          <w:rFonts w:ascii="Times New Roman" w:cs="Times New Roman" w:eastAsia="Times New Roman" w:hAnsi="Times New Roman"/>
          <w:sz w:val="16"/>
          <w:szCs w:val="16"/>
          <w:color w:val="auto"/>
        </w:rPr>
        <w:t>The Company granted options to purchase 200,000 shares of common stock to scientific founders that contain a combination of service- and performance-based vesting conditions based on (i) IND submission and</w:t>
      </w:r>
    </w:p>
    <w:p>
      <w:pPr>
        <w:jc w:val="both"/>
        <w:ind w:left="920" w:right="939" w:hanging="1"/>
        <w:spacing w:after="0" w:line="251" w:lineRule="auto"/>
        <w:tabs>
          <w:tab w:leader="none" w:pos="1181"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143"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Company recorded stock-based compensation expense in the following expense categories of its statements of operations (in thousands):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42"/>
        </w:trPr>
        <w:tc>
          <w:tcPr>
            <w:tcW w:w="2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1"/>
        </w:trPr>
        <w:tc>
          <w:tcPr>
            <w:tcW w:w="28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42"/>
        </w:trPr>
        <w:tc>
          <w:tcPr>
            <w:tcW w:w="2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4"/>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1"/>
        </w:trPr>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ind w:left="5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660" w:type="dxa"/>
            <w:vAlign w:val="bottom"/>
          </w:tcPr>
          <w:p>
            <w:pPr>
              <w:spacing w:after="0"/>
              <w:rPr>
                <w:sz w:val="17"/>
                <w:szCs w:val="17"/>
                <w:color w:val="auto"/>
              </w:rPr>
            </w:pPr>
          </w:p>
        </w:tc>
      </w:tr>
      <w:tr>
        <w:trPr>
          <w:trHeight w:val="42"/>
        </w:trPr>
        <w:tc>
          <w:tcPr>
            <w:tcW w:w="2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31"/>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w:t>
            </w:r>
          </w:p>
        </w:tc>
        <w:tc>
          <w:tcPr>
            <w:tcW w:w="72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153</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w:t>
            </w:r>
          </w:p>
        </w:tc>
        <w:tc>
          <w:tcPr>
            <w:tcW w:w="200" w:type="dxa"/>
            <w:vAlign w:val="bottom"/>
          </w:tcPr>
          <w:p>
            <w:pPr>
              <w:spacing w:after="0"/>
              <w:rPr>
                <w:sz w:val="19"/>
                <w:szCs w:val="19"/>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144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4"/>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8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c>
          <w:tcPr>
            <w:tcW w:w="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423</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297</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As of December 31, 2019 and September 30, 2020 (unaudited), total unrecognized compensation cost related to the unvested stock-based awards was $1.6 million and $1.4 million, respectively, which is expected to be recognized over a weighted average period of 3.3 and 2.9 years, respectively.</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11. Income taxes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96"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A reconciliation of income taxes computed using the statutory federal tax rate to that reflected in operations as of December 31, 2018 and 2019 are as follows: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38100</wp:posOffset>
            </wp:positionV>
            <wp:extent cx="138874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88745" cy="7620"/>
                    </a:xfrm>
                    <a:prstGeom prst="rect">
                      <a:avLst/>
                    </a:prstGeom>
                    <a:noFill/>
                  </pic:spPr>
                </pic:pic>
              </a:graphicData>
            </a:graphic>
          </wp:anchor>
        </w:drawing>
      </w:r>
    </w:p>
    <w:p>
      <w:pPr>
        <w:spacing w:after="0" w:line="73"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r>
      <w:tr>
        <w:trPr>
          <w:trHeight w:val="42"/>
        </w:trPr>
        <w:tc>
          <w:tcPr>
            <w:tcW w:w="316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2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income tax rate</w:t>
            </w:r>
          </w:p>
        </w:tc>
        <w:tc>
          <w:tcPr>
            <w:tcW w:w="18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5"/>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 and local taxes, net of federal benefit</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6"/>
        </w:trPr>
        <w:tc>
          <w:tcPr>
            <w:tcW w:w="3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31"/>
        </w:trPr>
        <w:tc>
          <w:tcPr>
            <w:tcW w:w="3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2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5"/>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36"/>
        </w:trPr>
        <w:tc>
          <w:tcPr>
            <w:tcW w:w="3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51"/>
        </w:trPr>
        <w:tc>
          <w:tcPr>
            <w:tcW w:w="3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0"/>
        </w:trPr>
        <w:tc>
          <w:tcPr>
            <w:tcW w:w="3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color w:val="auto"/>
              </w:rPr>
              <w:t>F-56</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5" w:right="1440" w:bottom="1440" w:gutter="0" w:footer="0" w:header="0"/>
        </w:sectPr>
      </w:pPr>
    </w:p>
    <w:bookmarkStart w:id="290" w:name="page291"/>
    <w:bookmarkEnd w:id="29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11. Income taxes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tax effects of temporary differences that gave rise to significant portions of the deferred tax assets were as follows (in thousands):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42"/>
        </w:trPr>
        <w:tc>
          <w:tcPr>
            <w:tcW w:w="5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5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7,256</w:t>
            </w:r>
          </w:p>
        </w:tc>
        <w:tc>
          <w:tcPr>
            <w:tcW w:w="10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18,078</w:t>
            </w: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2,659</w:t>
            </w:r>
          </w:p>
        </w:tc>
        <w:tc>
          <w:tcPr>
            <w:tcW w:w="0" w:type="dxa"/>
            <w:vAlign w:val="bottom"/>
          </w:tcPr>
          <w:p>
            <w:pPr>
              <w:spacing w:after="0"/>
              <w:rPr>
                <w:sz w:val="1"/>
                <w:szCs w:val="1"/>
                <w:color w:val="auto"/>
              </w:rPr>
            </w:pPr>
          </w:p>
        </w:tc>
      </w:tr>
      <w:tr>
        <w:trPr>
          <w:trHeight w:val="227"/>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temporary differences</w:t>
            </w: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4"/>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21,476</w:t>
            </w:r>
          </w:p>
        </w:tc>
        <w:tc>
          <w:tcPr>
            <w:tcW w:w="0" w:type="dxa"/>
            <w:vAlign w:val="bottom"/>
          </w:tcPr>
          <w:p>
            <w:pPr>
              <w:spacing w:after="0"/>
              <w:rPr>
                <w:sz w:val="1"/>
                <w:szCs w:val="1"/>
                <w:color w:val="auto"/>
              </w:rPr>
            </w:pPr>
          </w:p>
        </w:tc>
      </w:tr>
      <w:tr>
        <w:trPr>
          <w:trHeight w:val="20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7"/>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95"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0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1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w:t>
      </w:r>
    </w:p>
    <w:p>
      <w:pPr>
        <w:spacing w:after="0" w:line="1" w:lineRule="exact"/>
        <w:rPr>
          <w:sz w:val="20"/>
          <w:szCs w:val="20"/>
          <w:color w:val="auto"/>
        </w:rPr>
      </w:pPr>
    </w:p>
    <w:p>
      <w:pPr>
        <w:jc w:val="both"/>
        <w:ind w:left="920" w:right="939"/>
        <w:spacing w:after="0" w:line="258" w:lineRule="auto"/>
        <w:rPr>
          <w:sz w:val="20"/>
          <w:szCs w:val="20"/>
          <w:color w:val="auto"/>
        </w:rPr>
      </w:pPr>
      <w:r>
        <w:rPr>
          <w:rFonts w:ascii="Times New Roman" w:cs="Times New Roman" w:eastAsia="Times New Roman" w:hAnsi="Times New Roman"/>
          <w:sz w:val="16"/>
          <w:szCs w:val="16"/>
          <w:color w:val="auto"/>
        </w:rPr>
        <w:t>determine if any such changes have occurred that could limit its ability to use the net operating loss and tax credit carryforwards.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1" w:name="page292"/>
    <w:bookmarkEnd w:id="29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11. Income taxes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0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90"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0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12. Net loss per share</w:t>
      </w:r>
    </w:p>
    <w:p>
      <w:pPr>
        <w:spacing w:after="0" w:line="141"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following table summarizes the computation of basic and diluted net loss per share attributable to common stockholders of the Company (in thousands, except share and per share amounts):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5"/>
                <w:szCs w:val="15"/>
                <w:color w:val="auto"/>
              </w:rPr>
            </w:pPr>
          </w:p>
        </w:tc>
        <w:tc>
          <w:tcPr>
            <w:tcW w:w="19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9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6"/>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30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(20,167)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(41,400)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(31,733)</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Weighted average common shares outstanding-</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4,811,641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5,171,537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5,133,773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5,507,900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stockholders-basic and diluted</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The Company’s unvested restricted common shares have been excluded from the computation of basic net loss per share attributable to common stockholders.</w:t>
      </w:r>
    </w:p>
    <w:p>
      <w:pPr>
        <w:spacing w:after="0" w:line="8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2" w:name="page293"/>
    <w:bookmarkEnd w:id="29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12. Net loss per share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9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9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2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96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Series A preferred stock (as converted to</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39,722,088</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39,722,088</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39,722,088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39,722,088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Series B preferred stock (as converted to</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9,102,345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24,790,938</w:t>
            </w:r>
          </w:p>
        </w:tc>
        <w:tc>
          <w:tcPr>
            <w:tcW w:w="0" w:type="dxa"/>
            <w:vAlign w:val="bottom"/>
          </w:tcPr>
          <w:p>
            <w:pPr>
              <w:spacing w:after="0"/>
              <w:rPr>
                <w:sz w:val="1"/>
                <w:szCs w:val="1"/>
                <w:color w:val="auto"/>
              </w:rPr>
            </w:pPr>
          </w:p>
        </w:tc>
      </w:tr>
      <w:tr>
        <w:trPr>
          <w:trHeight w:val="36"/>
        </w:trPr>
        <w:tc>
          <w:tcPr>
            <w:tcW w:w="31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694,150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428,657</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495,032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229,532</w:t>
            </w:r>
          </w:p>
        </w:tc>
        <w:tc>
          <w:tcPr>
            <w:tcW w:w="0" w:type="dxa"/>
            <w:vAlign w:val="bottom"/>
          </w:tcPr>
          <w:p>
            <w:pPr>
              <w:spacing w:after="0"/>
              <w:rPr>
                <w:sz w:val="1"/>
                <w:szCs w:val="1"/>
                <w:color w:val="auto"/>
              </w:rPr>
            </w:pPr>
          </w:p>
        </w:tc>
      </w:tr>
      <w:tr>
        <w:trPr>
          <w:trHeight w:val="215"/>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6,782,422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8,540,318</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7,610,107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8,123,997</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Warrants to purchase shares of Series A</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(as converted to common</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70,000</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70,000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47,198,660</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58,677,438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56,999,572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72,936,555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13. Commitments and contingencies</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Lease agreements</w:t>
      </w:r>
    </w:p>
    <w:p>
      <w:pPr>
        <w:spacing w:after="0" w:line="143"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nine months ended September 30, 2019 and 2020 (unaudited) was $827 thousand, $964 thousand, $723 thousand and $899 thousand, respectively.</w:t>
      </w:r>
    </w:p>
    <w:p>
      <w:pPr>
        <w:spacing w:after="0" w:line="95"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Minimum annual rent payments under this lease for the remaining term, excluding operating expenses and taxes which are not fixed for future periods as of December 31, 2019, are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6"/>
                <w:szCs w:val="16"/>
                <w:color w:val="auto"/>
              </w:rPr>
            </w:pPr>
          </w:p>
        </w:tc>
        <w:tc>
          <w:tcPr>
            <w:tcW w:w="9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42"/>
        </w:trPr>
        <w:tc>
          <w:tcPr>
            <w:tcW w:w="5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2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4"/>
        </w:trPr>
        <w:tc>
          <w:tcPr>
            <w:tcW w:w="5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5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w:t>
      </w:r>
    </w:p>
    <w:p>
      <w:pPr>
        <w:spacing w:after="0" w:line="13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3" w:name="page294"/>
    <w:bookmarkEnd w:id="29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13. Commitments and contingencies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0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September 30, 2020 (unaudited).</w:t>
      </w:r>
    </w:p>
    <w:p>
      <w:pPr>
        <w:spacing w:after="0" w:line="95"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September 30, 2020 (unaudited).</w:t>
      </w:r>
    </w:p>
    <w:p>
      <w:pPr>
        <w:spacing w:after="0" w:line="11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12"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agreements</w:t>
      </w:r>
    </w:p>
    <w:p>
      <w:pPr>
        <w:spacing w:after="0" w:line="131"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4" w:name="page295"/>
    <w:bookmarkEnd w:id="29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13. Commitments and contingencies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September 30, 2020 (unaudited).</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43"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From time to time, the Company may become involved in legal proceedings arising in the ordinary course of business. As of December 31, 2018 and 2019, and September 30, 2020 (unaudited), the Company was not a party to any material legal matters or claims.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14. Benefit plans</w:t>
      </w:r>
    </w:p>
    <w:p>
      <w:pPr>
        <w:spacing w:after="0" w:line="129"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nine months ended September 30, 2019 and 2020 (unaudited), the Company contributed $124 thousand, $96 thousand and $103 thousand to the plan, respectively.</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15. Related party transactions</w:t>
      </w:r>
    </w:p>
    <w:p>
      <w:pPr>
        <w:spacing w:after="0" w:line="141"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The Company engaged a firm managed by an executive of the Company for professional services related to accounting, finance and other administrative functions. For the nine months ended September 30, 2020, the costs incurred under this arrangement totaled $366 thousand, which was recorded as general and administrative expense in the accompanying statement of operations. As of September 30, 2020, amounts owed under this arrangement totaled $322 thousand and is included in accounts payable in the accompanying balance sheet.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16. Subsequent events</w:t>
      </w:r>
    </w:p>
    <w:p>
      <w:pPr>
        <w:spacing w:after="0" w:line="141" w:lineRule="exact"/>
        <w:rPr>
          <w:sz w:val="20"/>
          <w:szCs w:val="20"/>
          <w:color w:val="auto"/>
        </w:rPr>
      </w:pPr>
    </w:p>
    <w:p>
      <w:pPr>
        <w:jc w:val="both"/>
        <w:ind w:left="920" w:right="939"/>
        <w:spacing w:after="0" w:line="278" w:lineRule="auto"/>
        <w:rPr>
          <w:sz w:val="20"/>
          <w:szCs w:val="20"/>
          <w:color w:val="auto"/>
        </w:rPr>
      </w:pPr>
      <w:r>
        <w:rPr>
          <w:rFonts w:ascii="Times New Roman" w:cs="Times New Roman" w:eastAsia="Times New Roman" w:hAnsi="Times New Roman"/>
          <w:sz w:val="15"/>
          <w:szCs w:val="15"/>
          <w:color w:val="auto"/>
        </w:rPr>
        <w:t>The Company has evaluated subsequent events through October 30, 2020, the issuance date of its financial statements as of December 31, 2019, to ensure that these financial statements include appropriate disclosure of events both recognized in the financial statements as of December 31, 2019,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Series B preferred stock financing</w:t>
      </w:r>
    </w:p>
    <w:p>
      <w:pPr>
        <w:spacing w:after="0" w:line="129"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On January 21, 2020, the Company issued 14,874,563 shares of Series B preferred stock at a price of $1.3513 per share in exchange for net proceeds of $20.1 million.</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Deferral of principal payments due under term loan facility</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Convertible promissory notes</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On August 21, 2020, the Company entered into a purchase agreement with various investors to issue $14,000,000 in convertible promissory notes (the “Notes”). The Notes accrue simple interest at 8% per annum and mature on February 21,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95" w:name="page296"/>
    <w:bookmarkEnd w:id="29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16. Subsequent events </w:t>
      </w:r>
      <w:r>
        <w:rPr>
          <w:rFonts w:ascii="Times New Roman" w:cs="Times New Roman" w:eastAsia="Times New Roman" w:hAnsi="Times New Roman"/>
          <w:sz w:val="16"/>
          <w:szCs w:val="16"/>
          <w:color w:val="auto"/>
        </w:rPr>
        <w:t>(cont.)</w:t>
      </w:r>
    </w:p>
    <w:p>
      <w:pPr>
        <w:spacing w:after="0" w:line="165"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06"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Merger of FS Development and Gemini</w:t>
      </w:r>
    </w:p>
    <w:p>
      <w:pPr>
        <w:spacing w:after="0" w:line="129"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On October 15, 2020, Gemini executed a definitive business combination agreement between it and FS Development Corp. As a result of the proposed business combination, FS Development Corp. will be renamed to Gemini Therapeutics, Inc., or Combined Entity, and Gemini will become a wholly owned subsidiary of Combined Entity. Upon the completion of the proposed business combination transaction, the shareholders of Gemini will exchange their interests in Gemini for shares of common stock of Combined Entity. In addition, Gemini’s existing equity incentive plan will be terminated; awards issued under Gemini’s existing equity incentive plan will be exchanged for awards issued under a new equity incentive plan to be adopted by Combined Entity. Lastly, immediately after the completion of the Business Combination, certain investors have agreed to subscribe for and purchase an aggregate of $95.1 million of common stock of Combined Entity. The combined company is expected to receive net proceeds of approximately $191.2 million at the closing of the transaction (assuming no redemptions are effected by shareholders of FS Development Corp.) and will continue to operate under the Gemini management team, led by chief executive officer Jason Meyenburg. The boards of directors of both FS Development Corp. and Gemini have approved the proposed transaction. Completion of the transaction, which is expected by the first quarter of 2021, is subject to approval of FS Development Corp.’s shareholders and the satisfaction or waiver of certain other customary closing conditions.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Stock Option Grants</w:t>
      </w:r>
    </w:p>
    <w:p>
      <w:pPr>
        <w:spacing w:after="0" w:line="141"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17. Subsequent events (unaudited)</w:t>
      </w:r>
    </w:p>
    <w:p>
      <w:pPr>
        <w:spacing w:after="0" w:line="141"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For the Company’s interim financial statements as of September 30, 2020 and for the nine months then ended, it evaluated subsequent events through December 7, 2020, the date on which those interim financial statements were issued.</w:t>
      </w:r>
    </w:p>
    <w:p>
      <w:pPr>
        <w:spacing w:after="0" w:line="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Stock Option Grant</w:t>
      </w:r>
    </w:p>
    <w:p>
      <w:pPr>
        <w:spacing w:after="0" w:line="141"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 December 2020, the Company granted under the 2017 Plan 306,222 stock options to an employee with an exercise price of $1.66 per share and a grant date fair value per share of $1.12. The stock option award vests in accordance with terms typically granted under the 2017 Plan. The Company will record equity-based compensation expense of $0.3 million related to the grant over the vesting term.</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6" w:name="page297"/>
    <w:bookmarkEnd w:id="29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26"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AGREEMENT AND PLAN OF MERGER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October 15, 2020</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by and among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Shareholder Representative Services LLC, as the Stockholders’ Representative,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242570</wp:posOffset>
            </wp:positionV>
            <wp:extent cx="455295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7" w:name="page298"/>
    <w:bookmarkEnd w:id="29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564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20" w:type="dxa"/>
            <w:vAlign w:val="bottom"/>
          </w:tcPr>
          <w:p>
            <w:pPr>
              <w:spacing w:after="0"/>
              <w:rPr>
                <w:sz w:val="18"/>
                <w:szCs w:val="18"/>
                <w:color w:val="auto"/>
              </w:rPr>
            </w:pPr>
          </w:p>
        </w:tc>
      </w:tr>
      <w:tr>
        <w:trPr>
          <w:trHeight w:val="320"/>
        </w:trPr>
        <w:tc>
          <w:tcPr>
            <w:tcW w:w="8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Annex A</w:t>
            </w:r>
          </w:p>
        </w:tc>
      </w:tr>
      <w:tr>
        <w:trPr>
          <w:trHeight w:val="188"/>
        </w:trPr>
        <w:tc>
          <w:tcPr>
            <w:tcW w:w="8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42"/>
        </w:trPr>
        <w:tc>
          <w:tcPr>
            <w:tcW w:w="644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DEFINITIONS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A-2</w:t>
            </w:r>
          </w:p>
        </w:tc>
      </w:tr>
      <w:tr>
        <w:trPr>
          <w:trHeight w:val="251"/>
        </w:trPr>
        <w:tc>
          <w:tcPr>
            <w:tcW w:w="8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Definitions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A-2</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A-11</w:t>
            </w:r>
          </w:p>
        </w:tc>
      </w:tr>
      <w:tr>
        <w:trPr>
          <w:trHeight w:val="36"/>
        </w:trPr>
        <w:tc>
          <w:tcPr>
            <w:tcW w:w="64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6440" w:type="dxa"/>
            <w:vAlign w:val="bottom"/>
            <w:gridSpan w:val="2"/>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MERGER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A-11</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800" w:type="dxa"/>
            <w:vAlign w:val="bottom"/>
            <w:shd w:val="clear" w:color="auto" w:fill="CCEEFF"/>
          </w:tcPr>
          <w:p>
            <w:pPr>
              <w:spacing w:after="0"/>
              <w:rPr>
                <w:sz w:val="21"/>
                <w:szCs w:val="21"/>
                <w:color w:val="auto"/>
              </w:rPr>
            </w:pPr>
          </w:p>
        </w:tc>
        <w:tc>
          <w:tcPr>
            <w:tcW w:w="5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2.1</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A-11</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2.2</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Effective Time</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A-12</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2.3</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the Merger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A-12</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2.4</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Tax Treatment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A-12</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2.5</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Certificate of Incorporation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A-12</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2.6</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Closing; Effective Time</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A-12</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2.7</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Board of Directors of Parent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A-13</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2.8</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Taking of Necessary Action; Further Action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A-13</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2.9</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 Further Ownership Rights in Company Securities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A-13</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2.10</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Appraisal Rights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A-13</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III [INTENTIONALLY OMITTED]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A-14</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IV CONSIDERATION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A-14</w:t>
            </w:r>
          </w:p>
        </w:tc>
      </w:tr>
      <w:tr>
        <w:trPr>
          <w:trHeight w:val="251"/>
        </w:trPr>
        <w:tc>
          <w:tcPr>
            <w:tcW w:w="8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of Company Securities; Convertible Notes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A-14</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4.2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 Fractional 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A-15</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4.3</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Withholding</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A-15</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THE COMPANY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A-16</w:t>
            </w:r>
          </w:p>
        </w:tc>
      </w:tr>
      <w:tr>
        <w:trPr>
          <w:trHeight w:val="251"/>
        </w:trPr>
        <w:tc>
          <w:tcPr>
            <w:tcW w:w="8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Existence and Power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A-16</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A-16</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5.3</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Governmental Authorization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A-16</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5.4</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Non-Contravention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A-16</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5.5</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A-17</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5.6</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Records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A-17</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5.7</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Subsidiaries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5.8</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5.9</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Financial Statements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5.10</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Books and Records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5.11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Internal Accounting Controls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5.12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Absence of Certain Changes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A-19</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5.13</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Properties; Title to the Company’s Assets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A-19</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5.14</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Litigation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A-19</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5.15</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A-19</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5.16</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Licenses and Permits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A-20</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5.17</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Compliance with Laws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A-21</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5.18</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Intellectual Property</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A-21</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5.19</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FDA</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A-23</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5.20</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Affiliate Loans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A-24</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5.21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Employment Matters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A-24</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5.22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A-25</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5.23</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Benefits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A-25</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5.24</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Property</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A-26</w:t>
            </w:r>
          </w:p>
        </w:tc>
      </w:tr>
    </w:tbl>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8" w:name="page299"/>
    <w:bookmarkEnd w:id="29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8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Annex A</w:t>
            </w:r>
          </w:p>
        </w:tc>
      </w:tr>
      <w:tr>
        <w:trPr>
          <w:trHeight w:val="188"/>
        </w:trPr>
        <w:tc>
          <w:tcPr>
            <w:tcW w:w="8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42"/>
        </w:trPr>
        <w:tc>
          <w:tcPr>
            <w:tcW w:w="800" w:type="dxa"/>
            <w:vAlign w:val="bottom"/>
            <w:tcBorders>
              <w:bottom w:val="single" w:sz="8" w:color="CCEEFF"/>
            </w:tcBorders>
          </w:tcPr>
          <w:p>
            <w:pPr>
              <w:spacing w:after="0"/>
              <w:rPr>
                <w:sz w:val="3"/>
                <w:szCs w:val="3"/>
                <w:color w:val="auto"/>
              </w:rPr>
            </w:pPr>
          </w:p>
        </w:tc>
        <w:tc>
          <w:tcPr>
            <w:tcW w:w="56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5.25</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Matters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A-27</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5.26</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Laws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5.27</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Finders’ Fees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5.28</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Powers of Attorney and Suretyships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5.29</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Directors and Officers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5.30</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Anti-Money Laundering Laws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5.31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5.32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Transactions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A-29</w:t>
            </w:r>
          </w:p>
        </w:tc>
      </w:tr>
      <w:tr>
        <w:trPr>
          <w:trHeight w:val="36"/>
        </w:trPr>
        <w:tc>
          <w:tcPr>
            <w:tcW w:w="64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6440" w:type="dxa"/>
            <w:vAlign w:val="bottom"/>
            <w:gridSpan w:val="2"/>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 REPRESENTATIONS AND WARRANTIES OF PARENT AND MERGER SUB</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A-29</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800" w:type="dxa"/>
            <w:vAlign w:val="bottom"/>
            <w:shd w:val="clear" w:color="auto" w:fill="CCEEFF"/>
          </w:tcPr>
          <w:p>
            <w:pPr>
              <w:spacing w:after="0"/>
              <w:rPr>
                <w:sz w:val="21"/>
                <w:szCs w:val="21"/>
                <w:color w:val="auto"/>
              </w:rPr>
            </w:pPr>
          </w:p>
        </w:tc>
        <w:tc>
          <w:tcPr>
            <w:tcW w:w="5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Existence and Power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A-29</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6.2</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Authorization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A-29</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6.3</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Governmental Authorization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A-29</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6.4</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Non-Contravention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A-29</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6.5</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Finders’ Fees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A-30</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6.6</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Shares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A-30</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6.7</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A-30</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6.8</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Information Supplied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A-30</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6.9</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Trust Fund</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A-30</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6.10</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Listing</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A-31</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6.11</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Board Approval</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A-31</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6.12</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Parent SEC Documents and Financial Statements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A-31</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6.13</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Certain Business Practices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A-31</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6.14</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Anti-Money Laundering Laws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A-32</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6.15</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Transactions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A-32</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6.16</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A-32</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6.17</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Expenses, Indebtedness and Other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A-32</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6.18</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Matters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A-32</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VII COVENANTS OF THE PARTIES PENDING CLOSING</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A-33</w:t>
            </w:r>
          </w:p>
        </w:tc>
      </w:tr>
      <w:tr>
        <w:trPr>
          <w:trHeight w:val="251"/>
        </w:trPr>
        <w:tc>
          <w:tcPr>
            <w:tcW w:w="8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Conduct of the Business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A-33</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7.2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Exclusivity</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A-35</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7.3</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Access to Information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A-35</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7.4</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Notices of Certain Events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A-36</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7.5</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Cooperation with Form S-4/Proxy Statement; Other Filings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A-36</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7.6</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Trust Account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7.7</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Obligations of Merger Sub</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7.8</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Private Placement, Parent Support Agreements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A-38</w:t>
            </w:r>
          </w:p>
        </w:tc>
      </w:tr>
      <w:tr>
        <w:trPr>
          <w:trHeight w:val="36"/>
        </w:trPr>
        <w:tc>
          <w:tcPr>
            <w:tcW w:w="64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6440" w:type="dxa"/>
            <w:vAlign w:val="bottom"/>
            <w:gridSpan w:val="2"/>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COVENANTS OF THE COMPANY</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800" w:type="dxa"/>
            <w:vAlign w:val="bottom"/>
            <w:shd w:val="clear" w:color="auto" w:fill="CCEEFF"/>
          </w:tcPr>
          <w:p>
            <w:pPr>
              <w:spacing w:after="0"/>
              <w:rPr>
                <w:sz w:val="21"/>
                <w:szCs w:val="21"/>
                <w:color w:val="auto"/>
              </w:rPr>
            </w:pPr>
          </w:p>
        </w:tc>
        <w:tc>
          <w:tcPr>
            <w:tcW w:w="5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8.1</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Reporting; Compliance with Laws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8.2</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Commercially Reasonable Efforts to Obtain Consents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A-38</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8.3</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Company’s Stockholders Approval</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A-38</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8.4</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280G</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A-39</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IX COVENANTS OF ALL PARTIES HERETO</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A-39</w:t>
            </w:r>
          </w:p>
        </w:tc>
      </w:tr>
      <w:tr>
        <w:trPr>
          <w:trHeight w:val="251"/>
        </w:trPr>
        <w:tc>
          <w:tcPr>
            <w:tcW w:w="8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9.1</w:t>
            </w: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Commercially Reasonable Efforts; Further Assurances; Governmental Consents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A-39</w:t>
            </w:r>
          </w:p>
        </w:tc>
      </w:tr>
      <w:tr>
        <w:trPr>
          <w:trHeight w:val="215"/>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9.2</w:t>
            </w:r>
          </w:p>
        </w:tc>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Confidentiality</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A-40</w:t>
            </w:r>
          </w:p>
        </w:tc>
      </w:tr>
      <w:tr>
        <w:trPr>
          <w:trHeight w:val="36"/>
        </w:trPr>
        <w:tc>
          <w:tcPr>
            <w:tcW w:w="8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5"/>
        </w:trPr>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9.3</w:t>
            </w: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Directors’ and Officers’ Indemnification and Liability Insurance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A-40</w:t>
            </w:r>
          </w:p>
        </w:tc>
      </w:tr>
      <w:tr>
        <w:trPr>
          <w:trHeight w:val="36"/>
        </w:trPr>
        <w:tc>
          <w:tcPr>
            <w:tcW w:w="80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9" w:name="page300"/>
    <w:bookmarkEnd w:id="29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8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Annex A</w:t>
            </w:r>
          </w:p>
        </w:tc>
      </w:tr>
      <w:tr>
        <w:trPr>
          <w:trHeight w:val="188"/>
        </w:trPr>
        <w:tc>
          <w:tcPr>
            <w:tcW w:w="8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42"/>
        </w:trPr>
        <w:tc>
          <w:tcPr>
            <w:tcW w:w="840" w:type="dxa"/>
            <w:vAlign w:val="bottom"/>
            <w:tcBorders>
              <w:bottom w:val="single" w:sz="8" w:color="CCEEFF"/>
            </w:tcBorders>
          </w:tcPr>
          <w:p>
            <w:pPr>
              <w:spacing w:after="0"/>
              <w:rPr>
                <w:sz w:val="3"/>
                <w:szCs w:val="3"/>
                <w:color w:val="auto"/>
              </w:rPr>
            </w:pPr>
          </w:p>
        </w:tc>
        <w:tc>
          <w:tcPr>
            <w:tcW w:w="56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9.4</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Nasdaq Listing</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9.5</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Certain Tax Matters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A-41</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9.6</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Incentive Plan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A-41</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 CONDITIONS TO CLOSING</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A-41</w:t>
            </w:r>
          </w:p>
        </w:tc>
      </w:tr>
      <w:tr>
        <w:trPr>
          <w:trHeight w:val="251"/>
        </w:trPr>
        <w:tc>
          <w:tcPr>
            <w:tcW w:w="8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10.1</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Condition to the Obligations of the Parties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10.2</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Conditions to Obligations of Parent and Merger Sub</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A-42</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10.3</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Conditions to Obligations of the Company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A-43</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 INDEMNIFICATION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A-44</w:t>
            </w:r>
          </w:p>
        </w:tc>
      </w:tr>
      <w:tr>
        <w:trPr>
          <w:trHeight w:val="251"/>
        </w:trPr>
        <w:tc>
          <w:tcPr>
            <w:tcW w:w="8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11.1</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Indemnification of Parent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A-44</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11.2</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Procedure</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A-44</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11.3</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Escrow of Escrow Shares by Escrow Participants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A-45</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11.4</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 of Indemnification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A-46</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11.5</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A-46</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11.6</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Survival of Indemnification Rights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A-46</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11.7</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Sole and Exclusive Remedy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A-47</w:t>
            </w:r>
          </w:p>
        </w:tc>
      </w:tr>
      <w:tr>
        <w:trPr>
          <w:trHeight w:val="251"/>
        </w:trPr>
        <w:tc>
          <w:tcPr>
            <w:tcW w:w="64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XII DISPUTE RESOLUTION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A-47</w:t>
            </w:r>
          </w:p>
        </w:tc>
      </w:tr>
      <w:tr>
        <w:trPr>
          <w:trHeight w:val="251"/>
        </w:trPr>
        <w:tc>
          <w:tcPr>
            <w:tcW w:w="8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12.1</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Arbitration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A-47</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12.2</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Waiver of Jury Trial; Exemplary Damages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A-48</w:t>
            </w:r>
          </w:p>
        </w:tc>
      </w:tr>
      <w:tr>
        <w:trPr>
          <w:trHeight w:val="36"/>
        </w:trPr>
        <w:tc>
          <w:tcPr>
            <w:tcW w:w="64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6440" w:type="dxa"/>
            <w:vAlign w:val="bottom"/>
            <w:gridSpan w:val="2"/>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XIII TERMINATION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A-48</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840" w:type="dxa"/>
            <w:vAlign w:val="bottom"/>
            <w:shd w:val="clear" w:color="auto" w:fill="CCEEFF"/>
          </w:tcPr>
          <w:p>
            <w:pPr>
              <w:spacing w:after="0"/>
              <w:rPr>
                <w:sz w:val="21"/>
                <w:szCs w:val="21"/>
                <w:color w:val="auto"/>
              </w:rPr>
            </w:pPr>
          </w:p>
        </w:tc>
        <w:tc>
          <w:tcPr>
            <w:tcW w:w="56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13.1</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Termination Without Default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A-48</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13.2</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Termination Upon Default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A-48</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13.3</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 of Termination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A-49</w:t>
            </w:r>
          </w:p>
        </w:tc>
      </w:tr>
      <w:tr>
        <w:trPr>
          <w:trHeight w:val="36"/>
        </w:trPr>
        <w:tc>
          <w:tcPr>
            <w:tcW w:w="64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6440" w:type="dxa"/>
            <w:vAlign w:val="bottom"/>
            <w:gridSpan w:val="2"/>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XIV MISCELLANEOUS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A-49</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1"/>
        </w:trPr>
        <w:tc>
          <w:tcPr>
            <w:tcW w:w="840" w:type="dxa"/>
            <w:vAlign w:val="bottom"/>
            <w:shd w:val="clear" w:color="auto" w:fill="CCEEFF"/>
          </w:tcPr>
          <w:p>
            <w:pPr>
              <w:spacing w:after="0"/>
              <w:rPr>
                <w:sz w:val="21"/>
                <w:szCs w:val="21"/>
                <w:color w:val="auto"/>
              </w:rPr>
            </w:pPr>
          </w:p>
        </w:tc>
        <w:tc>
          <w:tcPr>
            <w:tcW w:w="56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14.1</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A-49</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14.2</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Amendments; No Waivers; Remedies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A-50</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14.3</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Arm’s Length Bargaining; No Presumption Against Drafter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A-50</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14.4</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Publicity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A-50</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14.5</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Expenses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14.6</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 Assignment or Delegation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14.7</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Governing Law</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14.8</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Counterparts; Facsimile Signatures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14.9</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Entire Agreement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14.10</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Severability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14.11</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Further Assurances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14.12</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Third Party Beneficiaries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14.13</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Waiver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1"/>
        </w:trPr>
        <w:tc>
          <w:tcPr>
            <w:tcW w:w="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14.14</w:t>
            </w:r>
          </w:p>
        </w:tc>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Stockholders’ Representative</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14.15</w:t>
            </w:r>
          </w:p>
        </w:tc>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Non-Recourse</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A-52</w:t>
            </w:r>
          </w:p>
        </w:tc>
      </w:tr>
      <w:tr>
        <w:trPr>
          <w:trHeight w:val="36"/>
        </w:trPr>
        <w:tc>
          <w:tcPr>
            <w:tcW w:w="840" w:type="dxa"/>
            <w:vAlign w:val="bottom"/>
          </w:tcPr>
          <w:p>
            <w:pPr>
              <w:spacing w:after="0"/>
              <w:rPr>
                <w:sz w:val="3"/>
                <w:szCs w:val="3"/>
                <w:color w:val="auto"/>
              </w:rPr>
            </w:pPr>
          </w:p>
        </w:tc>
        <w:tc>
          <w:tcPr>
            <w:tcW w:w="5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5"/>
        </w:trPr>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14.16</w:t>
            </w:r>
          </w:p>
        </w:tc>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 Other Representations; No Reliance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A-53</w:t>
            </w:r>
          </w:p>
        </w:tc>
      </w:tr>
      <w:tr>
        <w:trPr>
          <w:trHeight w:val="36"/>
        </w:trPr>
        <w:tc>
          <w:tcPr>
            <w:tcW w:w="840" w:type="dxa"/>
            <w:vAlign w:val="bottom"/>
            <w:shd w:val="clear" w:color="auto" w:fill="CCEEFF"/>
          </w:tcPr>
          <w:p>
            <w:pPr>
              <w:spacing w:after="0"/>
              <w:rPr>
                <w:sz w:val="3"/>
                <w:szCs w:val="3"/>
                <w:color w:val="auto"/>
              </w:rPr>
            </w:pPr>
          </w:p>
        </w:tc>
        <w:tc>
          <w:tcPr>
            <w:tcW w:w="56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00" w:name="page301"/>
    <w:bookmarkEnd w:id="300"/>
    <w:p>
      <w:pPr>
        <w:ind w:left="920"/>
        <w:spacing w:after="0"/>
        <w:rPr>
          <w:rFonts w:ascii="Times New Roman" w:cs="Times New Roman" w:eastAsia="Times New Roman" w:hAnsi="Times New Roman"/>
          <w:sz w:val="15"/>
          <w:szCs w:val="15"/>
          <w:u w:val="single" w:color="auto"/>
          <w:color w:val="0000EE"/>
        </w:rPr>
      </w:pPr>
      <w:hyperlink w:anchor="page10">
        <w:r>
          <w:rPr>
            <w:rFonts w:ascii="Times New Roman" w:cs="Times New Roman" w:eastAsia="Times New Roman" w:hAnsi="Times New Roman"/>
            <w:sz w:val="15"/>
            <w:szCs w:val="15"/>
            <w:u w:val="single" w:color="auto"/>
            <w:color w:val="0000EE"/>
          </w:rPr>
          <w:t>Table of Contents</w:t>
        </w:r>
      </w:hyperlink>
    </w:p>
    <w:p>
      <w:pPr>
        <w:sectPr>
          <w:pgSz w:w="11900" w:h="16838" w:orient="portrait"/>
          <w:cols w:equalWidth="0" w:num="1">
            <w:col w:w="9019"/>
          </w:cols>
          <w:pgMar w:left="1440" w:top="254" w:right="1440" w:bottom="1440" w:gutter="0" w:footer="0" w:header="0"/>
        </w:sectPr>
      </w:pP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A</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B</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C</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D</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E</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F</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G</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H</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I</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J</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K</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L</w:t>
      </w:r>
    </w:p>
    <w:p>
      <w:pPr>
        <w:spacing w:after="0" w:line="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Exhibit M</w:t>
      </w:r>
    </w:p>
    <w:p>
      <w:pPr>
        <w:spacing w:after="0" w:line="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Exhibit 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Support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Subscription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Parent Support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Voting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Escrow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Registration Rights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Amended and Restated Certificate of Incorporation of Parent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and Restated Bylaws of Parent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Parent Equity Incentive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FIRPTA Certificate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Lockup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Certificate of Merger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representation Letters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representation Letters</w:t>
      </w:r>
    </w:p>
    <w:p>
      <w:pPr>
        <w:spacing w:after="0" w:line="198" w:lineRule="exact"/>
        <w:rPr>
          <w:sz w:val="20"/>
          <w:szCs w:val="20"/>
          <w:color w:val="auto"/>
        </w:rPr>
      </w:pPr>
    </w:p>
    <w:p>
      <w:pPr>
        <w:sectPr>
          <w:pgSz w:w="11900" w:h="16838" w:orient="portrait"/>
          <w:cols w:equalWidth="0" w:num="2">
            <w:col w:w="1560" w:space="480"/>
            <w:col w:w="6979"/>
          </w:cols>
          <w:pgMar w:left="1440" w:top="254"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Company Disclosure Schedules</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Parent Disclosure Schedules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22225</wp:posOffset>
            </wp:positionV>
            <wp:extent cx="455295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301" w:name="page302"/>
    <w:bookmarkEnd w:id="30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29"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AGREEMENT AND PLAN OF MERGER, dated as of October 15, 2020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entered into by and among Gemini Therapeutics,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6"/>
          <w:szCs w:val="16"/>
          <w:u w:val="single" w:color="auto"/>
          <w:color w:val="auto"/>
        </w:rPr>
        <w:t>Stockholders’ Representative</w:t>
      </w:r>
      <w:r>
        <w:rPr>
          <w:rFonts w:ascii="Times New Roman" w:cs="Times New Roman" w:eastAsia="Times New Roman" w:hAnsi="Times New Roman"/>
          <w:sz w:val="16"/>
          <w:szCs w:val="16"/>
          <w:color w:val="auto"/>
        </w:rPr>
        <w:t>”), FS Development Corp.,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FSG Merger Sub Inc., a Delaware corporation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WITNESETH:</w:t>
      </w:r>
    </w:p>
    <w:p>
      <w:pPr>
        <w:spacing w:after="0" w:line="141"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A. The Company is in the business of therapeutic drug development and commercialization and related activities (the “</w:t>
      </w:r>
      <w:r>
        <w:rPr>
          <w:rFonts w:ascii="Times New Roman" w:cs="Times New Roman" w:eastAsia="Times New Roman" w:hAnsi="Times New Roman"/>
          <w:sz w:val="16"/>
          <w:szCs w:val="16"/>
          <w:u w:val="single" w:color="auto"/>
          <w:color w:val="auto"/>
        </w:rPr>
        <w:t>Business</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84"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C. The Company Securityholders are listed on </w:t>
      </w:r>
      <w:r>
        <w:rPr>
          <w:rFonts w:ascii="Times New Roman" w:cs="Times New Roman" w:eastAsia="Times New Roman" w:hAnsi="Times New Roman"/>
          <w:sz w:val="16"/>
          <w:szCs w:val="16"/>
          <w:u w:val="single" w:color="auto"/>
          <w:color w:val="auto"/>
        </w:rPr>
        <w:t>the Capitalization Schedule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Annex 5.5(a)</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Schedule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5.5</w:t>
      </w:r>
      <w:r>
        <w:rPr>
          <w:rFonts w:ascii="Times New Roman" w:cs="Times New Roman" w:eastAsia="Times New Roman" w:hAnsi="Times New Roman"/>
          <w:sz w:val="16"/>
          <w:szCs w:val="16"/>
          <w:color w:val="auto"/>
        </w:rPr>
        <w:t xml:space="preserve"> and own 100% of the issued and outstanding Company Securities;</w:t>
      </w:r>
    </w:p>
    <w:p>
      <w:pPr>
        <w:spacing w:after="0" w:line="85"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D. Merger Sub will merge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after which the Company will be the surviving company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and a wholly-owned subsidiary of Parent and Parent shall change its name to “Gemini Therapeutics, Inc.”;</w:t>
      </w:r>
    </w:p>
    <w:p>
      <w:pPr>
        <w:spacing w:after="0" w:line="96"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Specified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Securityholders</w:t>
      </w:r>
      <w:r>
        <w:rPr>
          <w:rFonts w:ascii="Times New Roman" w:cs="Times New Roman" w:eastAsia="Times New Roman" w:hAnsi="Times New Roman"/>
          <w:sz w:val="16"/>
          <w:szCs w:val="16"/>
          <w:color w:val="auto"/>
        </w:rPr>
        <w:t xml:space="preserve">”) are entering into and delivering Support Agreements, substantially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u w:val="single" w:color="auto"/>
          <w:color w:val="auto"/>
        </w:rPr>
        <w:t>Company Support Agreement</w:t>
      </w:r>
      <w:r>
        <w:rPr>
          <w:rFonts w:ascii="Times New Roman" w:cs="Times New Roman" w:eastAsia="Times New Roman" w:hAnsi="Times New Roman"/>
          <w:sz w:val="16"/>
          <w:szCs w:val="16"/>
          <w:color w:val="auto"/>
        </w:rPr>
        <w:t>”), pursuant to which each of the Specified Company Securityholders has agreed to vote in favor of this Agreement and the Merger;</w:t>
      </w:r>
    </w:p>
    <w:p>
      <w:pPr>
        <w:spacing w:after="0" w:line="90"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G. The Subscription Agreements entered into by the Specified Company Securityholders represent an aggregate portion of the Private Placement equal to $15,600,000;</w:t>
      </w:r>
    </w:p>
    <w:p>
      <w:pPr>
        <w:spacing w:after="0" w:line="85"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u w:val="single" w:color="auto"/>
          <w:color w:val="auto"/>
        </w:rPr>
        <w:t>Parent Support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94"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w:t>
      </w:r>
    </w:p>
    <w:p>
      <w:pPr>
        <w:spacing w:after="0" w:line="2" w:lineRule="exact"/>
        <w:rPr>
          <w:sz w:val="20"/>
          <w:szCs w:val="20"/>
          <w:color w:val="auto"/>
        </w:rPr>
      </w:pPr>
    </w:p>
    <w:p>
      <w:pPr>
        <w:jc w:val="both"/>
        <w:ind w:left="920" w:right="939" w:hanging="1"/>
        <w:spacing w:after="0" w:line="252" w:lineRule="auto"/>
        <w:tabs>
          <w:tab w:leader="none" w:pos="1164"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2" w:name="page303"/>
    <w:bookmarkEnd w:id="30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Action</w:t>
      </w:r>
      <w:r>
        <w:rPr>
          <w:rFonts w:ascii="Times New Roman" w:cs="Times New Roman" w:eastAsia="Times New Roman" w:hAnsi="Times New Roman"/>
          <w:sz w:val="16"/>
          <w:szCs w:val="16"/>
          <w:color w:val="auto"/>
        </w:rPr>
        <w:t>” means any legal action, litigation, suit, claim, hearing or proceeding, including any audit, claim or assessment for Taxes or otherwise, by or before any Authority.</w:t>
      </w:r>
    </w:p>
    <w:p>
      <w:pPr>
        <w:spacing w:after="0" w:line="73"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Additional Agreements</w:t>
      </w:r>
      <w:r>
        <w:rPr>
          <w:rFonts w:ascii="Times New Roman" w:cs="Times New Roman" w:eastAsia="Times New Roman" w:hAnsi="Times New Roman"/>
          <w:sz w:val="16"/>
          <w:szCs w:val="16"/>
          <w:color w:val="auto"/>
        </w:rPr>
        <w:t xml:space="preserve">” means the Voting Agreement, substantially in the form attached hereto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the Registration Rights Agreement, the Escrow Agreement, the Company Support Agreements, the Subscription Agreements, the Parent Support Agreements, and the Lockup Agreement.</w:t>
      </w:r>
    </w:p>
    <w:p>
      <w:pPr>
        <w:spacing w:after="0" w:line="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Additional Parent SEC Documents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6.12</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 Transaction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5.32</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both"/>
        <w:ind w:left="920" w:right="939" w:firstLine="76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Aggregate Transaction Proceeds</w:t>
      </w:r>
      <w:r>
        <w:rPr>
          <w:rFonts w:ascii="Times New Roman" w:cs="Times New Roman" w:eastAsia="Times New Roman" w:hAnsi="Times New Roman"/>
          <w:sz w:val="16"/>
          <w:szCs w:val="16"/>
          <w:color w:val="auto"/>
        </w:rPr>
        <w:t xml:space="preserve">” means an amount equal to (a) the </w:t>
      </w:r>
      <w:r>
        <w:rPr>
          <w:rFonts w:ascii="Times New Roman" w:cs="Times New Roman" w:eastAsia="Times New Roman" w:hAnsi="Times New Roman"/>
          <w:sz w:val="16"/>
          <w:szCs w:val="16"/>
          <w:i w:val="1"/>
          <w:iCs w:val="1"/>
          <w:u w:val="single" w:color="auto"/>
          <w:color w:val="auto"/>
        </w:rPr>
        <w:t>sum</w:t>
      </w:r>
      <w:r>
        <w:rPr>
          <w:rFonts w:ascii="Times New Roman" w:cs="Times New Roman" w:eastAsia="Times New Roman" w:hAnsi="Times New Roman"/>
          <w:sz w:val="16"/>
          <w:szCs w:val="16"/>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6"/>
          <w:szCs w:val="16"/>
          <w:i w:val="1"/>
          <w:iCs w:val="1"/>
          <w:u w:val="single" w:color="auto"/>
          <w:color w:val="auto"/>
        </w:rPr>
        <w:t>plus</w:t>
      </w:r>
      <w:r>
        <w:rPr>
          <w:rFonts w:ascii="Times New Roman" w:cs="Times New Roman" w:eastAsia="Times New Roman" w:hAnsi="Times New Roman"/>
          <w:sz w:val="16"/>
          <w:szCs w:val="16"/>
          <w:color w:val="auto"/>
        </w:rPr>
        <w:t xml:space="preserve"> (ii) the aggregate cash proceeds actually received by Parent on the Closing Date in respect of the Private Placement, </w:t>
      </w:r>
      <w:r>
        <w:rPr>
          <w:rFonts w:ascii="Times New Roman" w:cs="Times New Roman" w:eastAsia="Times New Roman" w:hAnsi="Times New Roman"/>
          <w:sz w:val="16"/>
          <w:szCs w:val="16"/>
          <w:i w:val="1"/>
          <w:iCs w:val="1"/>
          <w:u w:val="single" w:color="auto"/>
          <w:color w:val="auto"/>
        </w:rPr>
        <w:t>minus</w:t>
      </w:r>
      <w:r>
        <w:rPr>
          <w:rFonts w:ascii="Times New Roman" w:cs="Times New Roman" w:eastAsia="Times New Roman" w:hAnsi="Times New Roman"/>
          <w:sz w:val="16"/>
          <w:szCs w:val="16"/>
          <w:color w:val="auto"/>
        </w:rPr>
        <w:t xml:space="preserve"> (b) the Unpaid Parent Liabilities.</w:t>
      </w:r>
    </w:p>
    <w:p>
      <w:pPr>
        <w:spacing w:after="0" w:line="8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preamble.</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Alternative Proposal</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7.2(b)</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Alternative Transaction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Annual Financial Statements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5.9(a)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Arbitrator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12.1(a)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Authority</w:t>
      </w:r>
      <w:r>
        <w:rPr>
          <w:rFonts w:ascii="Times New Roman" w:cs="Times New Roman" w:eastAsia="Times New Roman" w:hAnsi="Times New Roman"/>
          <w:sz w:val="16"/>
          <w:szCs w:val="16"/>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Balance Sheet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5.9(a)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Basket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Books and Records</w:t>
      </w:r>
      <w:r>
        <w:rPr>
          <w:rFonts w:ascii="Times New Roman" w:cs="Times New Roman" w:eastAsia="Times New Roman" w:hAnsi="Times New Roman"/>
          <w:sz w:val="16"/>
          <w:szCs w:val="16"/>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w:t>
      </w:r>
      <w:r>
        <w:rPr>
          <w:rFonts w:ascii="Times New Roman" w:cs="Times New Roman" w:eastAsia="Times New Roman" w:hAnsi="Times New Roman"/>
          <w:sz w:val="16"/>
          <w:szCs w:val="16"/>
          <w:color w:val="auto"/>
        </w:rPr>
        <w:t>” has the meaning set forth in the recitals to this Agreement.</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Sunday or a legal holiday on which commercial banking institutions in New York, New York are authorized to close for business.</w:t>
      </w:r>
    </w:p>
    <w:p>
      <w:pPr>
        <w:spacing w:after="0" w:line="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Capitalization Schedule</w:t>
      </w:r>
      <w:r>
        <w:rPr>
          <w:rFonts w:ascii="Times New Roman" w:cs="Times New Roman" w:eastAsia="Times New Roman" w:hAnsi="Times New Roman"/>
          <w:sz w:val="16"/>
          <w:szCs w:val="16"/>
          <w:color w:val="auto"/>
        </w:rPr>
        <w:t xml:space="preserve">” means </w:t>
      </w:r>
      <w:r>
        <w:rPr>
          <w:rFonts w:ascii="Times New Roman" w:cs="Times New Roman" w:eastAsia="Times New Roman" w:hAnsi="Times New Roman"/>
          <w:sz w:val="16"/>
          <w:szCs w:val="16"/>
          <w:u w:val="single" w:color="auto"/>
          <w:color w:val="auto"/>
        </w:rPr>
        <w:t>Schedule 4.1(j)</w:t>
      </w:r>
      <w:r>
        <w:rPr>
          <w:rFonts w:ascii="Times New Roman" w:cs="Times New Roman" w:eastAsia="Times New Roman" w:hAnsi="Times New Roman"/>
          <w:sz w:val="16"/>
          <w:szCs w:val="16"/>
          <w:color w:val="auto"/>
        </w:rPr>
        <w:t>, as updated as contemplated herein.</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 of Merger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3" w:name="page304"/>
    <w:bookmarkEnd w:id="30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Consideration Conversion Ratio</w:t>
      </w:r>
      <w:r>
        <w:rPr>
          <w:rFonts w:ascii="Times New Roman" w:cs="Times New Roman" w:eastAsia="Times New Roman" w:hAnsi="Times New Roman"/>
          <w:sz w:val="16"/>
          <w:szCs w:val="16"/>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Payment Shares</w:t>
      </w:r>
      <w:r>
        <w:rPr>
          <w:rFonts w:ascii="Times New Roman" w:cs="Times New Roman" w:eastAsia="Times New Roman" w:hAnsi="Times New Roman"/>
          <w:sz w:val="16"/>
          <w:szCs w:val="16"/>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9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COBRA</w:t>
      </w:r>
      <w:r>
        <w:rPr>
          <w:rFonts w:ascii="Times New Roman" w:cs="Times New Roman" w:eastAsia="Times New Roman" w:hAnsi="Times New Roman"/>
          <w:sz w:val="16"/>
          <w:szCs w:val="16"/>
          <w:color w:val="auto"/>
        </w:rPr>
        <w:t>” means collectively, the requirements of Sections 601 through 606 of ERISA and Section 4980B of the Code.</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Capital Stock</w:t>
      </w:r>
      <w:r>
        <w:rPr>
          <w:rFonts w:ascii="Times New Roman" w:cs="Times New Roman" w:eastAsia="Times New Roman" w:hAnsi="Times New Roman"/>
          <w:sz w:val="16"/>
          <w:szCs w:val="16"/>
          <w:color w:val="auto"/>
        </w:rPr>
        <w:t>” means Company Common Stock, Company Series A Preferred Stock and Company Series B Preferred Stock.</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Certificate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10.2(d)</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Certificate of Incorporation</w:t>
      </w:r>
      <w:r>
        <w:rPr>
          <w:rFonts w:ascii="Times New Roman" w:cs="Times New Roman" w:eastAsia="Times New Roman" w:hAnsi="Times New Roman"/>
          <w:sz w:val="16"/>
          <w:szCs w:val="16"/>
          <w:color w:val="auto"/>
        </w:rPr>
        <w:t>” means the Third Amended and Restated Certificate of Incorporation of the Company, as filed on or about September 26, 2019 with the Secretary of State of the State of Delaware pursuant to the DGCL.</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means common stock of the Company, par value $0.001 per share.</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Consent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5.9(a)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Fundamental Representations</w:t>
      </w:r>
      <w:r>
        <w:rPr>
          <w:rFonts w:ascii="Times New Roman" w:cs="Times New Roman" w:eastAsia="Times New Roman" w:hAnsi="Times New Roman"/>
          <w:sz w:val="16"/>
          <w:szCs w:val="16"/>
          <w:color w:val="auto"/>
        </w:rPr>
        <w:t xml:space="preserve">” means the representations and warranties of the Company set forth in </w:t>
      </w:r>
      <w:r>
        <w:rPr>
          <w:rFonts w:ascii="Times New Roman" w:cs="Times New Roman" w:eastAsia="Times New Roman" w:hAnsi="Times New Roman"/>
          <w:sz w:val="16"/>
          <w:szCs w:val="16"/>
          <w:u w:val="single" w:color="auto"/>
          <w:color w:val="auto"/>
        </w:rPr>
        <w:t>Sections 5.1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Corporate Existence and Power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Authorization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Finders’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Fees</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Option</w:t>
      </w:r>
      <w:r>
        <w:rPr>
          <w:rFonts w:ascii="Times New Roman" w:cs="Times New Roman" w:eastAsia="Times New Roman" w:hAnsi="Times New Roman"/>
          <w:sz w:val="16"/>
          <w:szCs w:val="16"/>
          <w:color w:val="auto"/>
        </w:rPr>
        <w:t>” means each option to purchase Company Common Stock granted, and that remains outstanding, under the Equity Incentive Plans.</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Preferred Stock</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5.5(a)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Stock</w:t>
      </w:r>
      <w:r>
        <w:rPr>
          <w:rFonts w:ascii="Times New Roman" w:cs="Times New Roman" w:eastAsia="Times New Roman" w:hAnsi="Times New Roman"/>
          <w:sz w:val="16"/>
          <w:szCs w:val="16"/>
          <w:color w:val="auto"/>
        </w:rPr>
        <w:t>” means any outstanding shares of Company Capital Stock that are unvested or subject to a risk of forfeiture or repurchase option in favor of the Company.</w:t>
      </w:r>
    </w:p>
    <w:p>
      <w:pPr>
        <w:spacing w:after="0" w:line="8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Securities</w:t>
      </w:r>
      <w:r>
        <w:rPr>
          <w:rFonts w:ascii="Times New Roman" w:cs="Times New Roman" w:eastAsia="Times New Roman" w:hAnsi="Times New Roman"/>
          <w:sz w:val="16"/>
          <w:szCs w:val="16"/>
          <w:color w:val="auto"/>
        </w:rPr>
        <w:t>” means the Company Common Stock, the Company Preferred Stock, the Company Options and the Company Warrant.</w:t>
      </w:r>
    </w:p>
    <w:p>
      <w:pPr>
        <w:spacing w:after="0" w:line="73"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Securityholder</w:t>
      </w:r>
      <w:r>
        <w:rPr>
          <w:rFonts w:ascii="Times New Roman" w:cs="Times New Roman" w:eastAsia="Times New Roman" w:hAnsi="Times New Roman"/>
          <w:sz w:val="16"/>
          <w:szCs w:val="16"/>
          <w:color w:val="auto"/>
        </w:rPr>
        <w:t>” means each Person who holds Company Securities immediately prior to the Effective Time, each of which is listed on the Capitalization Schedule delivered prior to Closing.</w:t>
      </w:r>
    </w:p>
    <w:p>
      <w:pPr>
        <w:spacing w:after="0" w:line="8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Series A Preferred Stock</w:t>
      </w:r>
      <w:r>
        <w:rPr>
          <w:rFonts w:ascii="Times New Roman" w:cs="Times New Roman" w:eastAsia="Times New Roman" w:hAnsi="Times New Roman"/>
          <w:sz w:val="16"/>
          <w:szCs w:val="16"/>
          <w:color w:val="auto"/>
        </w:rPr>
        <w:t>” means the series A preferred stock of the Company, par value $0.0001 per share.</w:t>
      </w:r>
    </w:p>
    <w:p>
      <w:pPr>
        <w:spacing w:after="0" w:line="8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Series B Preferred Stock</w:t>
      </w:r>
      <w:r>
        <w:rPr>
          <w:rFonts w:ascii="Times New Roman" w:cs="Times New Roman" w:eastAsia="Times New Roman" w:hAnsi="Times New Roman"/>
          <w:sz w:val="16"/>
          <w:szCs w:val="16"/>
          <w:color w:val="auto"/>
        </w:rPr>
        <w:t>” means the series B preferred stock of the Company, par value $0.0001 per share.</w:t>
      </w:r>
    </w:p>
    <w:p>
      <w:pPr>
        <w:spacing w:after="0" w:line="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Stockholders</w:t>
      </w:r>
      <w:r>
        <w:rPr>
          <w:rFonts w:ascii="Times New Roman" w:cs="Times New Roman" w:eastAsia="Times New Roman" w:hAnsi="Times New Roman"/>
          <w:sz w:val="16"/>
          <w:szCs w:val="16"/>
          <w:color w:val="auto"/>
        </w:rPr>
        <w:t>” means, at any given time, the holders of Company Common Stock.</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04" w:name="page305"/>
    <w:bookmarkEnd w:id="30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Written Consent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Written Consent Deadline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Support Agreement</w:t>
      </w:r>
      <w:r>
        <w:rPr>
          <w:rFonts w:ascii="Times New Roman" w:cs="Times New Roman" w:eastAsia="Times New Roman" w:hAnsi="Times New Roman"/>
          <w:sz w:val="16"/>
          <w:szCs w:val="16"/>
          <w:color w:val="auto"/>
        </w:rPr>
        <w:t>” has the meaning set forth in the recitals to this Agreement.</w:t>
      </w:r>
    </w:p>
    <w:p>
      <w:pPr>
        <w:spacing w:after="0" w:line="115"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Warrant</w:t>
      </w:r>
      <w:r>
        <w:rPr>
          <w:rFonts w:ascii="Times New Roman" w:cs="Times New Roman" w:eastAsia="Times New Roman" w:hAnsi="Times New Roman"/>
          <w:sz w:val="16"/>
          <w:szCs w:val="16"/>
          <w:color w:val="auto"/>
        </w:rPr>
        <w:t>” means the Warrant to Purchase Stock dated February 8, 2019, issued to Silicon Valley Bank, pursuant to which Silicon Valley Bank is entitled to purchase shares of Company Series A Preferred Stock.</w:t>
      </w:r>
    </w:p>
    <w:p>
      <w:pPr>
        <w:spacing w:after="0" w:line="72"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Contracts</w:t>
      </w:r>
      <w:r>
        <w:rPr>
          <w:rFonts w:ascii="Times New Roman" w:cs="Times New Roman" w:eastAsia="Times New Roman" w:hAnsi="Times New Roman"/>
          <w:sz w:val="16"/>
          <w:szCs w:val="16"/>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66"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6"/>
          <w:szCs w:val="16"/>
          <w:u w:val="single" w:color="auto"/>
          <w:color w:val="auto"/>
        </w:rPr>
        <w:t>Controlled Person</w:t>
      </w:r>
      <w:r>
        <w:rPr>
          <w:rFonts w:ascii="Times New Roman" w:cs="Times New Roman" w:eastAsia="Times New Roman" w:hAnsi="Times New Roman"/>
          <w:sz w:val="16"/>
          <w:szCs w:val="16"/>
          <w:color w:val="auto"/>
        </w:rPr>
        <w:t>”) shall be deemed Controlled by any other Person (the “</w:t>
      </w:r>
      <w:r>
        <w:rPr>
          <w:rFonts w:ascii="Times New Roman" w:cs="Times New Roman" w:eastAsia="Times New Roman" w:hAnsi="Times New Roman"/>
          <w:sz w:val="16"/>
          <w:szCs w:val="16"/>
          <w:u w:val="single" w:color="auto"/>
          <w:color w:val="auto"/>
        </w:rPr>
        <w:t>50% Owner</w:t>
      </w:r>
      <w:r>
        <w:rPr>
          <w:rFonts w:ascii="Times New Roman" w:cs="Times New Roman" w:eastAsia="Times New Roman" w:hAnsi="Times New Roman"/>
          <w:sz w:val="16"/>
          <w:szCs w:val="16"/>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Converted Company Option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Convertible Notes</w:t>
      </w:r>
      <w:r>
        <w:rPr>
          <w:rFonts w:ascii="Times New Roman" w:cs="Times New Roman" w:eastAsia="Times New Roman" w:hAnsi="Times New Roman"/>
          <w:sz w:val="16"/>
          <w:szCs w:val="16"/>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66"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Data Protection Laws</w:t>
      </w:r>
      <w:r>
        <w:rPr>
          <w:rFonts w:ascii="Times New Roman" w:cs="Times New Roman" w:eastAsia="Times New Roman" w:hAnsi="Times New Roman"/>
          <w:sz w:val="16"/>
          <w:szCs w:val="16"/>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7.5(c)</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jc w:val="both"/>
        <w:ind w:left="920" w:right="939" w:firstLine="76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6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Incentive Plans</w:t>
      </w:r>
      <w:r>
        <w:rPr>
          <w:rFonts w:ascii="Times New Roman" w:cs="Times New Roman" w:eastAsia="Times New Roman" w:hAnsi="Times New Roman"/>
          <w:sz w:val="16"/>
          <w:szCs w:val="16"/>
          <w:color w:val="auto"/>
        </w:rPr>
        <w:t>” means the Company’s 2015 Employee, Director and Consultant Stock Option Plan and the Company’s 2017 Stock Option and Grant Plan.</w:t>
      </w:r>
    </w:p>
    <w:p>
      <w:pPr>
        <w:spacing w:after="0" w:line="61" w:lineRule="exact"/>
        <w:rPr>
          <w:sz w:val="20"/>
          <w:szCs w:val="20"/>
          <w:color w:val="auto"/>
        </w:rPr>
      </w:pPr>
    </w:p>
    <w:p>
      <w:pPr>
        <w:jc w:val="both"/>
        <w:ind w:left="920" w:right="939" w:firstLine="7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Interest</w:t>
      </w:r>
      <w:r>
        <w:rPr>
          <w:rFonts w:ascii="Times New Roman" w:cs="Times New Roman" w:eastAsia="Times New Roman" w:hAnsi="Times New Roman"/>
          <w:sz w:val="16"/>
          <w:szCs w:val="16"/>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5" w:name="page306"/>
    <w:bookmarkEnd w:id="30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0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w:t>
      </w:r>
    </w:p>
    <w:p>
      <w:pPr>
        <w:spacing w:after="0" w:line="115"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Affiliate</w:t>
      </w:r>
      <w:r>
        <w:rPr>
          <w:rFonts w:ascii="Times New Roman" w:cs="Times New Roman" w:eastAsia="Times New Roman" w:hAnsi="Times New Roman"/>
          <w:sz w:val="16"/>
          <w:szCs w:val="16"/>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Agent</w:t>
      </w:r>
      <w:r>
        <w:rPr>
          <w:rFonts w:ascii="Times New Roman" w:cs="Times New Roman" w:eastAsia="Times New Roman" w:hAnsi="Times New Roman"/>
          <w:sz w:val="16"/>
          <w:szCs w:val="16"/>
          <w:color w:val="auto"/>
        </w:rPr>
        <w:t>” means Continental Stock Transfer &amp; Trust Company.</w:t>
      </w:r>
    </w:p>
    <w:p>
      <w:pPr>
        <w:spacing w:after="0" w:line="127"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Agreement</w:t>
      </w:r>
      <w:r>
        <w:rPr>
          <w:rFonts w:ascii="Times New Roman" w:cs="Times New Roman" w:eastAsia="Times New Roman" w:hAnsi="Times New Roman"/>
          <w:sz w:val="16"/>
          <w:szCs w:val="16"/>
          <w:color w:val="auto"/>
        </w:rPr>
        <w:t xml:space="preserve">” means an agreement in substantially the form attached hereto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6"/>
          <w:szCs w:val="16"/>
          <w:u w:val="single" w:color="auto"/>
          <w:color w:val="auto"/>
        </w:rPr>
        <w:t>Section 11.3</w:t>
      </w:r>
      <w:r>
        <w:rPr>
          <w:rFonts w:ascii="Times New Roman" w:cs="Times New Roman" w:eastAsia="Times New Roman" w:hAnsi="Times New Roman"/>
          <w:sz w:val="16"/>
          <w:szCs w:val="16"/>
          <w:color w:val="auto"/>
        </w:rPr>
        <w:t>.</w:t>
      </w:r>
    </w:p>
    <w:p>
      <w:pPr>
        <w:spacing w:after="0" w:line="7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Fund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11.3</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Participant</w:t>
      </w:r>
      <w:r>
        <w:rPr>
          <w:rFonts w:ascii="Times New Roman" w:cs="Times New Roman" w:eastAsia="Times New Roman" w:hAnsi="Times New Roman"/>
          <w:sz w:val="16"/>
          <w:szCs w:val="16"/>
          <w:color w:val="auto"/>
        </w:rPr>
        <w:t>” means each Person who holds Company Common Stock or Company Preferred Stock, in each case, as of immediately prior to the Effective Time.</w:t>
      </w:r>
    </w:p>
    <w:p>
      <w:pPr>
        <w:spacing w:after="0" w:line="71" w:lineRule="exact"/>
        <w:rPr>
          <w:sz w:val="20"/>
          <w:szCs w:val="20"/>
          <w:color w:val="auto"/>
        </w:rPr>
      </w:pPr>
    </w:p>
    <w:p>
      <w:pPr>
        <w:jc w:val="both"/>
        <w:ind w:left="920" w:right="939" w:firstLine="765"/>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Participant Company Securities</w:t>
      </w:r>
      <w:r>
        <w:rPr>
          <w:rFonts w:ascii="Times New Roman" w:cs="Times New Roman" w:eastAsia="Times New Roman" w:hAnsi="Times New Roman"/>
          <w:sz w:val="16"/>
          <w:szCs w:val="16"/>
          <w:color w:val="auto"/>
        </w:rPr>
        <w:t xml:space="preserve">” means the </w:t>
      </w:r>
      <w:r>
        <w:rPr>
          <w:rFonts w:ascii="Times New Roman" w:cs="Times New Roman" w:eastAsia="Times New Roman" w:hAnsi="Times New Roman"/>
          <w:sz w:val="16"/>
          <w:szCs w:val="16"/>
          <w:i w:val="1"/>
          <w:iCs w:val="1"/>
          <w:u w:val="single" w:color="auto"/>
          <w:color w:val="auto"/>
        </w:rPr>
        <w:t>sum</w:t>
      </w:r>
      <w:r>
        <w:rPr>
          <w:rFonts w:ascii="Times New Roman" w:cs="Times New Roman" w:eastAsia="Times New Roman" w:hAnsi="Times New Roman"/>
          <w:sz w:val="16"/>
          <w:szCs w:val="16"/>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6"/>
          <w:szCs w:val="16"/>
          <w:i w:val="1"/>
          <w:iCs w:val="1"/>
          <w:u w:val="single" w:color="auto"/>
          <w:color w:val="auto"/>
        </w:rPr>
        <w:t>plus</w:t>
      </w:r>
    </w:p>
    <w:p>
      <w:pPr>
        <w:spacing w:after="0" w:line="1" w:lineRule="exact"/>
        <w:rPr>
          <w:sz w:val="20"/>
          <w:szCs w:val="20"/>
          <w:color w:val="auto"/>
        </w:rPr>
      </w:pPr>
    </w:p>
    <w:p>
      <w:pPr>
        <w:ind w:left="920" w:right="939" w:hanging="1"/>
        <w:spacing w:after="0" w:line="258" w:lineRule="auto"/>
        <w:tabs>
          <w:tab w:leader="none" w:pos="1155"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Company Preferred Stock (on an as converted to Company Common Stock basis) that are issued and outstanding immediately prior to the Effective Time.</w:t>
      </w:r>
    </w:p>
    <w:p>
      <w:pPr>
        <w:spacing w:after="0" w:line="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Share Value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11.3</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Escrow Shares</w:t>
      </w:r>
      <w:r>
        <w:rPr>
          <w:rFonts w:ascii="Times New Roman" w:cs="Times New Roman" w:eastAsia="Times New Roman" w:hAnsi="Times New Roman"/>
          <w:sz w:val="16"/>
          <w:szCs w:val="16"/>
          <w:color w:val="auto"/>
        </w:rPr>
        <w:t>” means 2,150,000 Parent Class A Shares to be held in escrow for indemnification</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purposes.</w:t>
      </w:r>
    </w:p>
    <w:p>
      <w:pPr>
        <w:spacing w:after="0" w:line="1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Expense Fund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14.14</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FDA</w:t>
      </w:r>
      <w:r>
        <w:rPr>
          <w:rFonts w:ascii="Times New Roman" w:cs="Times New Roman" w:eastAsia="Times New Roman" w:hAnsi="Times New Roman"/>
          <w:sz w:val="16"/>
          <w:szCs w:val="16"/>
          <w:color w:val="auto"/>
        </w:rPr>
        <w:t>” means the U.S. Food and Drug Administration, or any successor agency thereto.</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Foreign Corrupt Practices Act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5.17(a)</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Fully Diluted Company Shares</w:t>
      </w:r>
      <w:r>
        <w:rPr>
          <w:rFonts w:ascii="Times New Roman" w:cs="Times New Roman" w:eastAsia="Times New Roman" w:hAnsi="Times New Roman"/>
          <w:sz w:val="16"/>
          <w:szCs w:val="16"/>
          <w:color w:val="auto"/>
        </w:rPr>
        <w:t xml:space="preserve">” means the </w:t>
      </w:r>
      <w:r>
        <w:rPr>
          <w:rFonts w:ascii="Times New Roman" w:cs="Times New Roman" w:eastAsia="Times New Roman" w:hAnsi="Times New Roman"/>
          <w:sz w:val="16"/>
          <w:szCs w:val="16"/>
          <w:i w:val="1"/>
          <w:iCs w:val="1"/>
          <w:u w:val="single" w:color="auto"/>
          <w:color w:val="auto"/>
        </w:rPr>
        <w:t>sum</w:t>
      </w:r>
      <w:r>
        <w:rPr>
          <w:rFonts w:ascii="Times New Roman" w:cs="Times New Roman" w:eastAsia="Times New Roman" w:hAnsi="Times New Roman"/>
          <w:sz w:val="16"/>
          <w:szCs w:val="16"/>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6"/>
          <w:szCs w:val="16"/>
          <w:i w:val="1"/>
          <w:iCs w:val="1"/>
          <w:u w:val="single" w:color="auto"/>
          <w:color w:val="auto"/>
        </w:rPr>
        <w:t>plus</w:t>
      </w:r>
      <w:r>
        <w:rPr>
          <w:rFonts w:ascii="Times New Roman" w:cs="Times New Roman" w:eastAsia="Times New Roman" w:hAnsi="Times New Roman"/>
          <w:sz w:val="16"/>
          <w:szCs w:val="16"/>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6"/>
          <w:szCs w:val="16"/>
          <w:i w:val="1"/>
          <w:iCs w:val="1"/>
          <w:u w:val="single" w:color="auto"/>
          <w:color w:val="auto"/>
        </w:rPr>
        <w:t>plus</w:t>
      </w:r>
      <w:r>
        <w:rPr>
          <w:rFonts w:ascii="Times New Roman" w:cs="Times New Roman" w:eastAsia="Times New Roman" w:hAnsi="Times New Roman"/>
          <w:sz w:val="16"/>
          <w:szCs w:val="16"/>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6"/>
          <w:szCs w:val="16"/>
          <w:i w:val="1"/>
          <w:iCs w:val="1"/>
          <w:u w:val="single" w:color="auto"/>
          <w:color w:val="auto"/>
        </w:rPr>
        <w:t>plus</w:t>
      </w:r>
      <w:r>
        <w:rPr>
          <w:rFonts w:ascii="Times New Roman" w:cs="Times New Roman" w:eastAsia="Times New Roman" w:hAnsi="Times New Roman"/>
          <w:sz w:val="16"/>
          <w:szCs w:val="16"/>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6"/>
          <w:szCs w:val="16"/>
          <w:i w:val="1"/>
          <w:iCs w:val="1"/>
          <w:u w:val="single" w:color="auto"/>
          <w:color w:val="auto"/>
        </w:rPr>
        <w:t>plus</w:t>
      </w:r>
      <w:r>
        <w:rPr>
          <w:rFonts w:ascii="Times New Roman" w:cs="Times New Roman" w:eastAsia="Times New Roman" w:hAnsi="Times New Roman"/>
          <w:sz w:val="16"/>
          <w:szCs w:val="16"/>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6"/>
          <w:szCs w:val="16"/>
          <w:i w:val="1"/>
          <w:iCs w:val="1"/>
          <w:u w:val="single" w:color="auto"/>
          <w:color w:val="auto"/>
        </w:rPr>
        <w:t>plus</w:t>
      </w:r>
      <w:r>
        <w:rPr>
          <w:rFonts w:ascii="Times New Roman" w:cs="Times New Roman" w:eastAsia="Times New Roman" w:hAnsi="Times New Roman"/>
          <w:sz w:val="16"/>
          <w:szCs w:val="16"/>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88"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Material</w:t>
      </w:r>
      <w:r>
        <w:rPr>
          <w:rFonts w:ascii="Times New Roman" w:cs="Times New Roman" w:eastAsia="Times New Roman" w:hAnsi="Times New Roman"/>
          <w:sz w:val="16"/>
          <w:szCs w:val="16"/>
          <w:color w:val="auto"/>
        </w:rPr>
        <w:t>” shall mean any material, emission, chemical, substance or waste that has been designated by any Authority to be radioactive, toxic, hazardous, a pollutant or a contaminant.</w:t>
      </w:r>
    </w:p>
    <w:p>
      <w:pPr>
        <w:spacing w:after="0" w:line="73" w:lineRule="exact"/>
        <w:rPr>
          <w:sz w:val="20"/>
          <w:szCs w:val="20"/>
          <w:color w:val="auto"/>
        </w:rPr>
      </w:pPr>
    </w:p>
    <w:p>
      <w:pPr>
        <w:jc w:val="both"/>
        <w:ind w:left="920" w:right="939" w:firstLine="76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Material Activity</w:t>
      </w:r>
      <w:r>
        <w:rPr>
          <w:rFonts w:ascii="Times New Roman" w:cs="Times New Roman" w:eastAsia="Times New Roman" w:hAnsi="Times New Roman"/>
          <w:sz w:val="16"/>
          <w:szCs w:val="16"/>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90"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HIPAA</w:t>
      </w:r>
      <w:r>
        <w:rPr>
          <w:rFonts w:ascii="Times New Roman" w:cs="Times New Roman" w:eastAsia="Times New Roman" w:hAnsi="Times New Roman"/>
          <w:sz w:val="16"/>
          <w:szCs w:val="16"/>
          <w:color w:val="auto"/>
        </w:rPr>
        <w:t>” means the Health Insurance Portability and Accountability Act of 1996, as amended by the Health Information Technology for Economic and Clinical Health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6" w:name="page307"/>
    <w:bookmarkEnd w:id="30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Healthcare Laws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5.19(a)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means the initial public offering of Parent pursuant to a prospectus dated August 13, 2020.</w:t>
      </w:r>
    </w:p>
    <w:p>
      <w:pPr>
        <w:spacing w:after="0" w:line="139" w:lineRule="exact"/>
        <w:rPr>
          <w:sz w:val="20"/>
          <w:szCs w:val="20"/>
          <w:color w:val="auto"/>
        </w:rPr>
      </w:pPr>
    </w:p>
    <w:p>
      <w:pPr>
        <w:jc w:val="both"/>
        <w:ind w:left="920" w:right="939" w:firstLine="765"/>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w:t>
      </w:r>
    </w:p>
    <w:p>
      <w:pPr>
        <w:spacing w:after="0" w:line="5" w:lineRule="exact"/>
        <w:rPr>
          <w:sz w:val="20"/>
          <w:szCs w:val="20"/>
          <w:color w:val="auto"/>
        </w:rPr>
      </w:pPr>
    </w:p>
    <w:p>
      <w:pPr>
        <w:ind w:left="1120" w:hanging="201"/>
        <w:spacing w:after="0"/>
        <w:tabs>
          <w:tab w:leader="none" w:pos="11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under leases required to be accounted for as capital leases under U.S. GAAP,</w:t>
      </w:r>
    </w:p>
    <w:p>
      <w:pPr>
        <w:spacing w:after="0" w:line="7"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174"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9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Indemnifiable Loss Limit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Indemnification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11.2(a)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Indemnifying Parties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11.2(a)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Interim Balance Sheet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5.9(a)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 of the 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to the Company’s Knowledge</w:t>
      </w:r>
      <w:r>
        <w:rPr>
          <w:rFonts w:ascii="Times New Roman" w:cs="Times New Roman" w:eastAsia="Times New Roman" w:hAnsi="Times New Roman"/>
          <w:sz w:val="16"/>
          <w:szCs w:val="16"/>
          <w:color w:val="auto"/>
        </w:rPr>
        <w:t>” or similar terms (whether or not capitalized) means the actual knowledge of Jason Meyenburg and Gregg Beloff.</w:t>
      </w:r>
    </w:p>
    <w:p>
      <w:pPr>
        <w:spacing w:after="0" w:line="8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 of Parent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to Parent’s Knowledge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Known by Parent</w:t>
      </w:r>
      <w:r>
        <w:rPr>
          <w:rFonts w:ascii="Times New Roman" w:cs="Times New Roman" w:eastAsia="Times New Roman" w:hAnsi="Times New Roman"/>
          <w:sz w:val="16"/>
          <w:szCs w:val="16"/>
          <w:color w:val="auto"/>
        </w:rPr>
        <w:t>” or similar terms (whether or not capitalized) means the actual knowledge of Jim Tananbaum and Dennis Ryan.</w:t>
      </w:r>
    </w:p>
    <w:p>
      <w:pPr>
        <w:spacing w:after="0" w:line="8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domestic or foreign, federal, state, municipality or local law, statute, ordinance, code, rule, or regulation.</w:t>
      </w:r>
    </w:p>
    <w:p>
      <w:pPr>
        <w:spacing w:after="0" w:line="73"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Lease</w:t>
      </w:r>
      <w:r>
        <w:rPr>
          <w:rFonts w:ascii="Times New Roman" w:cs="Times New Roman" w:eastAsia="Times New Roman" w:hAnsi="Times New Roman"/>
          <w:sz w:val="16"/>
          <w:szCs w:val="16"/>
          <w:color w:val="auto"/>
        </w:rPr>
        <w:t xml:space="preserve">” means the lease described on </w:t>
      </w:r>
      <w:r>
        <w:rPr>
          <w:rFonts w:ascii="Times New Roman" w:cs="Times New Roman" w:eastAsia="Times New Roman" w:hAnsi="Times New Roman"/>
          <w:sz w:val="16"/>
          <w:szCs w:val="16"/>
          <w:u w:val="single" w:color="auto"/>
          <w:color w:val="auto"/>
        </w:rPr>
        <w:t>Schedule 1.1(c)</w:t>
      </w:r>
      <w:r>
        <w:rPr>
          <w:rFonts w:ascii="Times New Roman" w:cs="Times New Roman" w:eastAsia="Times New Roman" w:hAnsi="Times New Roman"/>
          <w:sz w:val="16"/>
          <w:szCs w:val="16"/>
          <w:color w:val="auto"/>
        </w:rPr>
        <w:t>, together with all fixtures and improvements erected on the premises leased thereby.</w:t>
      </w:r>
    </w:p>
    <w:p>
      <w:pPr>
        <w:spacing w:after="0" w:line="85"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96"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Lockup Agreements</w:t>
      </w:r>
      <w:r>
        <w:rPr>
          <w:rFonts w:ascii="Times New Roman" w:cs="Times New Roman" w:eastAsia="Times New Roman" w:hAnsi="Times New Roman"/>
          <w:sz w:val="16"/>
          <w:szCs w:val="16"/>
          <w:color w:val="auto"/>
        </w:rPr>
        <w:t xml:space="preserve">” means the lockup agreements, in each case substantially in the form attached hereto as </w:t>
      </w:r>
      <w:r>
        <w:rPr>
          <w:rFonts w:ascii="Times New Roman" w:cs="Times New Roman" w:eastAsia="Times New Roman" w:hAnsi="Times New Roman"/>
          <w:sz w:val="16"/>
          <w:szCs w:val="16"/>
          <w:u w:val="single" w:color="auto"/>
          <w:color w:val="auto"/>
        </w:rPr>
        <w:t>Exhibit K</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7" w:name="page308"/>
    <w:bookmarkEnd w:id="30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Material Adverse Change</w:t>
      </w:r>
      <w:r>
        <w:rPr>
          <w:rFonts w:ascii="Times New Roman" w:cs="Times New Roman" w:eastAsia="Times New Roman" w:hAnsi="Times New Roman"/>
          <w:sz w:val="16"/>
          <w:szCs w:val="16"/>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exception in this subclause (g) shall not apply to any representation or warranty contained in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5.8</w:t>
      </w:r>
      <w:r>
        <w:rPr>
          <w:rFonts w:ascii="Times New Roman" w:cs="Times New Roman" w:eastAsia="Times New Roman" w:hAnsi="Times New Roman"/>
          <w:sz w:val="16"/>
          <w:szCs w:val="16"/>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6"/>
          <w:szCs w:val="16"/>
          <w:u w:val="single" w:color="auto"/>
          <w:color w:val="auto"/>
        </w:rPr>
        <w:t>Sections 10.2(b)</w:t>
      </w:r>
      <w:r>
        <w:rPr>
          <w:rFonts w:ascii="Times New Roman" w:cs="Times New Roman" w:eastAsia="Times New Roman" w:hAnsi="Times New Roman"/>
          <w:sz w:val="16"/>
          <w:szCs w:val="16"/>
          <w:color w:val="auto"/>
        </w:rPr>
        <w:t>); (h) 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5.15(a)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has the meaning set forth in the recitals to this Agreement.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has the meaning set forth in the Preamble.</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Sub Common Stock</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6.7(b)</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Money Laundering Laws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5.30</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Capital Market.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5.17(b)</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Offer Documents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Offering Shares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7.5(f)</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decree, order, judgment, writ, award, injunction, rule or consent of or by an</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Authority.</w:t>
      </w:r>
    </w:p>
    <w:p>
      <w:pPr>
        <w:spacing w:after="0" w:line="122"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Filings</w:t>
      </w:r>
      <w:r>
        <w:rPr>
          <w:rFonts w:ascii="Times New Roman" w:cs="Times New Roman" w:eastAsia="Times New Roman" w:hAnsi="Times New Roman"/>
          <w:sz w:val="16"/>
          <w:szCs w:val="16"/>
          <w:color w:val="auto"/>
        </w:rPr>
        <w:t>” means any filings to be made by Parent required under the Exchange Act, Securities Act or any other United States federal, foreign or blue sky laws, other than the SEC Statement and the other Offer Documents.</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Outside Closing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13.1(a)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Parachute Payment Waiver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8.4(a)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has the meaning set forth in the Preamble.</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Board Recommendation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Certificate of Incorporation</w:t>
      </w:r>
      <w:r>
        <w:rPr>
          <w:rFonts w:ascii="Times New Roman" w:cs="Times New Roman" w:eastAsia="Times New Roman" w:hAnsi="Times New Roman"/>
          <w:sz w:val="16"/>
          <w:szCs w:val="16"/>
          <w:color w:val="auto"/>
        </w:rPr>
        <w:t>” means the Amended and Restated Certificate of Incorporation of the Company, as filed on August 11, 2020 with the Secretary of State of the State of Delaware pursuant to the DGCL.</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Class A Shares</w:t>
      </w:r>
      <w:r>
        <w:rPr>
          <w:rFonts w:ascii="Times New Roman" w:cs="Times New Roman" w:eastAsia="Times New Roman" w:hAnsi="Times New Roman"/>
          <w:sz w:val="16"/>
          <w:szCs w:val="16"/>
          <w:color w:val="auto"/>
        </w:rPr>
        <w:t>” means the Class A common stock, $0.0001 par value, of Parent.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Class B Shares</w:t>
      </w:r>
      <w:r>
        <w:rPr>
          <w:rFonts w:ascii="Times New Roman" w:cs="Times New Roman" w:eastAsia="Times New Roman" w:hAnsi="Times New Roman"/>
          <w:sz w:val="16"/>
          <w:szCs w:val="16"/>
          <w:color w:val="auto"/>
        </w:rPr>
        <w:t>” means the Class B common stock, $0.0001 par value, of Parent.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Common Stock</w:t>
      </w:r>
      <w:r>
        <w:rPr>
          <w:rFonts w:ascii="Times New Roman" w:cs="Times New Roman" w:eastAsia="Times New Roman" w:hAnsi="Times New Roman"/>
          <w:sz w:val="16"/>
          <w:szCs w:val="16"/>
          <w:color w:val="auto"/>
        </w:rPr>
        <w:t>” means Parent Class A Shares and Parent Class B Shares.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8" w:name="page309"/>
    <w:bookmarkEnd w:id="30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Fundamental Representations</w:t>
      </w:r>
      <w:r>
        <w:rPr>
          <w:rFonts w:ascii="Times New Roman" w:cs="Times New Roman" w:eastAsia="Times New Roman" w:hAnsi="Times New Roman"/>
          <w:sz w:val="16"/>
          <w:szCs w:val="16"/>
          <w:color w:val="auto"/>
        </w:rPr>
        <w:t xml:space="preserve">” means the representations and warranties of Parent set forth in </w:t>
      </w:r>
      <w:r>
        <w:rPr>
          <w:rFonts w:ascii="Times New Roman" w:cs="Times New Roman" w:eastAsia="Times New Roman" w:hAnsi="Times New Roman"/>
          <w:sz w:val="16"/>
          <w:szCs w:val="16"/>
          <w:u w:val="single" w:color="auto"/>
          <w:color w:val="auto"/>
        </w:rPr>
        <w:t>Sections 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Corporate Existence and Power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Corporate Authorization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6.5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Finders’ Fees</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Equity Incentive Plan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Liabilities</w:t>
      </w:r>
      <w:r>
        <w:rPr>
          <w:rFonts w:ascii="Times New Roman" w:cs="Times New Roman" w:eastAsia="Times New Roman" w:hAnsi="Times New Roman"/>
          <w:sz w:val="16"/>
          <w:szCs w:val="16"/>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Parties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Preferred Stock</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6.7(a)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Proposals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7.5(e)</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Redemption Amount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SEC Documents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6.12(a)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Stockholder Approval</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Stockholder Meeting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Support Agreement</w:t>
      </w:r>
      <w:r>
        <w:rPr>
          <w:rFonts w:ascii="Times New Roman" w:cs="Times New Roman" w:eastAsia="Times New Roman" w:hAnsi="Times New Roman"/>
          <w:sz w:val="16"/>
          <w:szCs w:val="16"/>
          <w:color w:val="auto"/>
        </w:rPr>
        <w:t>” has the meaning set forth in the recitals to this Agreement.</w:t>
      </w:r>
    </w:p>
    <w:p>
      <w:pPr>
        <w:spacing w:after="0" w:line="139"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84"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6"/>
          <w:szCs w:val="16"/>
          <w:u w:val="single" w:color="auto"/>
          <w:color w:val="auto"/>
        </w:rPr>
        <w:t>Schedule 1.1(a)</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02" w:lineRule="exact"/>
        <w:rPr>
          <w:sz w:val="20"/>
          <w:szCs w:val="20"/>
          <w:color w:val="auto"/>
        </w:rPr>
      </w:pPr>
    </w:p>
    <w:p>
      <w:pPr>
        <w:jc w:val="both"/>
        <w:ind w:left="920" w:right="939" w:firstLine="76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Personal Information</w:t>
      </w:r>
      <w:r>
        <w:rPr>
          <w:rFonts w:ascii="Times New Roman" w:cs="Times New Roman" w:eastAsia="Times New Roman" w:hAnsi="Times New Roman"/>
          <w:sz w:val="15"/>
          <w:szCs w:val="15"/>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9" w:name="page310"/>
    <w:bookmarkEnd w:id="30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has the meaning set forth in the recitals to this Agreement.</w:t>
      </w:r>
    </w:p>
    <w:p>
      <w:pPr>
        <w:spacing w:after="0" w:line="139" w:lineRule="exact"/>
        <w:rPr>
          <w:sz w:val="20"/>
          <w:szCs w:val="20"/>
          <w:color w:val="auto"/>
        </w:rPr>
      </w:pPr>
    </w:p>
    <w:p>
      <w:pPr>
        <w:jc w:val="both"/>
        <w:ind w:left="920" w:right="939" w:firstLine="76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 Rata Portion</w:t>
      </w:r>
      <w:r>
        <w:rPr>
          <w:rFonts w:ascii="Times New Roman" w:cs="Times New Roman" w:eastAsia="Times New Roman" w:hAnsi="Times New Roman"/>
          <w:sz w:val="16"/>
          <w:szCs w:val="16"/>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6"/>
          <w:szCs w:val="16"/>
          <w:i w:val="1"/>
          <w:iCs w:val="1"/>
          <w:u w:val="single" w:color="auto"/>
          <w:color w:val="auto"/>
        </w:rPr>
        <w:t>dividing</w:t>
      </w:r>
      <w:r>
        <w:rPr>
          <w:rFonts w:ascii="Times New Roman" w:cs="Times New Roman" w:eastAsia="Times New Roman" w:hAnsi="Times New Roman"/>
          <w:sz w:val="16"/>
          <w:szCs w:val="16"/>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14.13</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Proxy Statement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0"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xml:space="preserve">” means the registration rights agreement, in substantially the form attached hereto as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Release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11.3(d)</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 Losses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14.14</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means the Sarbanes-Oxley Act of 2002.</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Securities and Exchange Commission.</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Statement</w:t>
      </w:r>
      <w:r>
        <w:rPr>
          <w:rFonts w:ascii="Times New Roman" w:cs="Times New Roman" w:eastAsia="Times New Roman" w:hAnsi="Times New Roman"/>
          <w:sz w:val="16"/>
          <w:szCs w:val="16"/>
          <w:color w:val="auto"/>
        </w:rPr>
        <w:t>” means the Form S-4, including the Proxy Statement, whether in preliminary or definitive form, and any amendments or supplements thereto.</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Company Securityholder</w:t>
      </w:r>
      <w:r>
        <w:rPr>
          <w:rFonts w:ascii="Times New Roman" w:cs="Times New Roman" w:eastAsia="Times New Roman" w:hAnsi="Times New Roman"/>
          <w:sz w:val="16"/>
          <w:szCs w:val="16"/>
          <w:color w:val="auto"/>
        </w:rPr>
        <w:t>” has the meaning set forth in the recitals to this Agreement.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means FS Development Holdings, LLC, a Delaware limited liability company.</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Standard Contracts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5.15(a)(vi)</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Stockholders’ Representative</w:t>
      </w:r>
      <w:r>
        <w:rPr>
          <w:rFonts w:ascii="Times New Roman" w:cs="Times New Roman" w:eastAsia="Times New Roman" w:hAnsi="Times New Roman"/>
          <w:sz w:val="16"/>
          <w:szCs w:val="16"/>
          <w:color w:val="auto"/>
        </w:rPr>
        <w:t>” has the meaning set forth in the Preamble.</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has the meaning set forth in the recitals to this Agreement.</w:t>
      </w:r>
    </w:p>
    <w:p>
      <w:pPr>
        <w:spacing w:after="0" w:line="139"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each entity of which at least fifty percent (50%) of the capital stock or other equity or voting securities are Controlled or owned, directly or indirectly, by the Company.</w:t>
      </w:r>
    </w:p>
    <w:p>
      <w:pPr>
        <w:spacing w:after="0" w:line="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Survival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has the meaning set forth in the recitals to this Agreement.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SVB</w:t>
      </w:r>
      <w:r>
        <w:rPr>
          <w:rFonts w:ascii="Times New Roman" w:cs="Times New Roman" w:eastAsia="Times New Roman" w:hAnsi="Times New Roman"/>
          <w:sz w:val="16"/>
          <w:szCs w:val="16"/>
          <w:color w:val="auto"/>
        </w:rPr>
        <w:t>” means Silicon Valley Bank.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0" w:name="page311"/>
    <w:bookmarkEnd w:id="31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SVB Loan</w:t>
      </w:r>
      <w:r>
        <w:rPr>
          <w:rFonts w:ascii="Times New Roman" w:cs="Times New Roman" w:eastAsia="Times New Roman" w:hAnsi="Times New Roman"/>
          <w:sz w:val="16"/>
          <w:szCs w:val="16"/>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96"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Tangible Personal Property</w:t>
      </w:r>
      <w:r>
        <w:rPr>
          <w:rFonts w:ascii="Times New Roman" w:cs="Times New Roman" w:eastAsia="Times New Roman" w:hAnsi="Times New Roman"/>
          <w:sz w:val="16"/>
          <w:szCs w:val="16"/>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6"/>
          <w:szCs w:val="16"/>
          <w:u w:val="single" w:color="auto"/>
          <w:color w:val="auto"/>
        </w:rPr>
        <w:t>Schedule 1.1(b)</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00"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Taxing Authority</w:t>
      </w:r>
      <w:r>
        <w:rPr>
          <w:rFonts w:ascii="Times New Roman" w:cs="Times New Roman" w:eastAsia="Times New Roman" w:hAnsi="Times New Roman"/>
          <w:sz w:val="16"/>
          <w:szCs w:val="16"/>
          <w:color w:val="auto"/>
        </w:rPr>
        <w:t>” means the Internal Revenue Service and any other Authority responsible for the collection, assessment or imposition of any Tax or the administration of any Law relating to any Tax.</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Opinion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Third-Party Claim</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11.2(a)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09"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to occur at or immediately prior to the Closing, including the Merger.</w:t>
      </w:r>
    </w:p>
    <w:p>
      <w:pPr>
        <w:spacing w:after="0" w:line="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 Taxes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9.5(c)</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Agreement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Fund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Unaudited Financial Statements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5.9(a)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Unpaid Parent Liabilities</w:t>
      </w:r>
      <w:r>
        <w:rPr>
          <w:rFonts w:ascii="Times New Roman" w:cs="Times New Roman" w:eastAsia="Times New Roman" w:hAnsi="Times New Roman"/>
          <w:sz w:val="16"/>
          <w:szCs w:val="16"/>
          <w:color w:val="auto"/>
        </w:rPr>
        <w:t>” means the Parent Liabilities that remain unpaid as of immediately prior to the Closing.</w:t>
      </w:r>
    </w:p>
    <w:p>
      <w:pPr>
        <w:spacing w:after="0" w:line="85"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Unvested Company Option</w:t>
      </w:r>
      <w:r>
        <w:rPr>
          <w:rFonts w:ascii="Times New Roman" w:cs="Times New Roman" w:eastAsia="Times New Roman" w:hAnsi="Times New Roman"/>
          <w:sz w:val="16"/>
          <w:szCs w:val="16"/>
          <w:color w:val="auto"/>
        </w:rPr>
        <w:t>” means each Company Option outstanding as of immediately prior to the Effective Time that is not a Vested Company Option.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1" w:name="page312"/>
    <w:bookmarkEnd w:id="31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GAAP</w:t>
      </w:r>
      <w:r>
        <w:rPr>
          <w:rFonts w:ascii="Times New Roman" w:cs="Times New Roman" w:eastAsia="Times New Roman" w:hAnsi="Times New Roman"/>
          <w:sz w:val="16"/>
          <w:szCs w:val="16"/>
          <w:color w:val="auto"/>
        </w:rPr>
        <w:t>” means U.S. generally accepted accounting principles, consistently applied.</w:t>
      </w:r>
    </w:p>
    <w:p>
      <w:pPr>
        <w:spacing w:after="0" w:line="139"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Vested Company Option</w:t>
      </w:r>
      <w:r>
        <w:rPr>
          <w:rFonts w:ascii="Times New Roman" w:cs="Times New Roman" w:eastAsia="Times New Roman" w:hAnsi="Times New Roman"/>
          <w:sz w:val="16"/>
          <w:szCs w:val="16"/>
          <w:color w:val="auto"/>
        </w:rPr>
        <w:t>” means each Company Option outstanding as of immediately prior to the Effective Time that is vested as of immediately prior to the Effective Time or will vest solely as a result of the consummation of the Merger.</w:t>
      </w:r>
    </w:p>
    <w:p>
      <w:pPr>
        <w:spacing w:after="0" w:line="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has the meaning set forth in the definition of Additional Agreements.</w:t>
      </w:r>
    </w:p>
    <w:p>
      <w:pPr>
        <w:spacing w:after="0" w:line="12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VWAP</w:t>
      </w:r>
      <w:r>
        <w:rPr>
          <w:rFonts w:ascii="Times New Roman" w:cs="Times New Roman" w:eastAsia="Times New Roman" w:hAnsi="Times New Roman"/>
          <w:sz w:val="16"/>
          <w:szCs w:val="16"/>
          <w:color w:val="auto"/>
        </w:rPr>
        <w:t>” means the volume weighted average price of the Parent Class A Shares for the ten (10) Trading Days ending on the Trading Day immediately preceding the Closing Date.</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Construction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65" w:lineRule="auto"/>
        <w:tabs>
          <w:tab w:leader="none" w:pos="1901"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5"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28"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64"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32"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11"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884"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22"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2" w:name="page313"/>
    <w:bookmarkEnd w:id="31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Merger Effective Time</w:t>
      </w:r>
      <w:r>
        <w:rPr>
          <w:rFonts w:ascii="Times New Roman" w:cs="Times New Roman" w:eastAsia="Times New Roman" w:hAnsi="Times New Roman"/>
          <w:sz w:val="16"/>
          <w:szCs w:val="16"/>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6"/>
          <w:szCs w:val="16"/>
          <w:u w:val="single" w:color="auto"/>
          <w:color w:val="auto"/>
        </w:rPr>
        <w:t>Certificate of Merger</w:t>
      </w:r>
      <w:r>
        <w:rPr>
          <w:rFonts w:ascii="Times New Roman" w:cs="Times New Roman" w:eastAsia="Times New Roman" w:hAnsi="Times New Roman"/>
          <w:sz w:val="16"/>
          <w:szCs w:val="16"/>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Effect of the Merger</w:t>
      </w:r>
      <w:r>
        <w:rPr>
          <w:rFonts w:ascii="Times New Roman" w:cs="Times New Roman" w:eastAsia="Times New Roman" w:hAnsi="Times New Roman"/>
          <w:sz w:val="16"/>
          <w:szCs w:val="16"/>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U.S. Tax Treatment</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1" w:lineRule="auto"/>
        <w:tabs>
          <w:tab w:leader="none" w:pos="19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6"/>
          <w:szCs w:val="16"/>
          <w:u w:val="single" w:color="auto"/>
          <w:color w:val="auto"/>
        </w:rPr>
        <w:t>Sections 5.25(d)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6.18(e)</w:t>
      </w:r>
      <w:r>
        <w:rPr>
          <w:rFonts w:ascii="Times New Roman" w:cs="Times New Roman" w:eastAsia="Times New Roman" w:hAnsi="Times New Roman"/>
          <w:sz w:val="16"/>
          <w:szCs w:val="16"/>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14" w:lineRule="exact"/>
        <w:rPr>
          <w:rFonts w:ascii="Times New Roman" w:cs="Times New Roman" w:eastAsia="Times New Roman" w:hAnsi="Times New Roman"/>
          <w:sz w:val="16"/>
          <w:szCs w:val="16"/>
          <w:color w:val="auto"/>
        </w:rPr>
      </w:pPr>
    </w:p>
    <w:p>
      <w:pPr>
        <w:jc w:val="both"/>
        <w:ind w:left="920" w:right="939" w:firstLine="764"/>
        <w:spacing w:after="0" w:line="270" w:lineRule="auto"/>
        <w:tabs>
          <w:tab w:leader="none" w:pos="1924"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5"/>
          <w:szCs w:val="15"/>
          <w:u w:val="single" w:color="auto"/>
          <w:color w:val="auto"/>
        </w:rPr>
        <w:t>Securities Filing</w:t>
      </w:r>
      <w:r>
        <w:rPr>
          <w:rFonts w:ascii="Times New Roman" w:cs="Times New Roman" w:eastAsia="Times New Roman" w:hAnsi="Times New Roman"/>
          <w:sz w:val="15"/>
          <w:szCs w:val="15"/>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Opinion</w:t>
      </w:r>
      <w:r>
        <w:rPr>
          <w:rFonts w:ascii="Times New Roman" w:cs="Times New Roman" w:eastAsia="Times New Roman" w:hAnsi="Times New Roman"/>
          <w:sz w:val="15"/>
          <w:szCs w:val="15"/>
          <w:color w:val="auto"/>
        </w:rPr>
        <w:t>”), (i) the Company shall use its reasonable best efforts to deliver to Goodwin Procter LLP (“</w:t>
      </w:r>
      <w:r>
        <w:rPr>
          <w:rFonts w:ascii="Times New Roman" w:cs="Times New Roman" w:eastAsia="Times New Roman" w:hAnsi="Times New Roman"/>
          <w:sz w:val="15"/>
          <w:szCs w:val="15"/>
          <w:u w:val="single" w:color="auto"/>
          <w:color w:val="auto"/>
        </w:rPr>
        <w:t>Goodwin</w:t>
      </w:r>
      <w:r>
        <w:rPr>
          <w:rFonts w:ascii="Times New Roman" w:cs="Times New Roman" w:eastAsia="Times New Roman" w:hAnsi="Times New Roman"/>
          <w:sz w:val="15"/>
          <w:szCs w:val="15"/>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94"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Certificate of Incorporation</w:t>
      </w:r>
      <w:r>
        <w:rPr>
          <w:rFonts w:ascii="Times New Roman" w:cs="Times New Roman" w:eastAsia="Times New Roman" w:hAnsi="Times New Roman"/>
          <w:sz w:val="16"/>
          <w:szCs w:val="16"/>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90" w:lineRule="exact"/>
        <w:rPr>
          <w:sz w:val="20"/>
          <w:szCs w:val="20"/>
          <w:color w:val="auto"/>
        </w:rPr>
      </w:pPr>
    </w:p>
    <w:p>
      <w:pPr>
        <w:jc w:val="both"/>
        <w:ind w:left="920" w:right="939" w:firstLine="382"/>
        <w:spacing w:after="0" w:line="249" w:lineRule="auto"/>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Closing; Effective Time</w:t>
      </w:r>
      <w:r>
        <w:rPr>
          <w:rFonts w:ascii="Times New Roman" w:cs="Times New Roman" w:eastAsia="Times New Roman" w:hAnsi="Times New Roman"/>
          <w:sz w:val="16"/>
          <w:szCs w:val="16"/>
          <w:color w:val="auto"/>
        </w:rPr>
        <w:t xml:space="preserve">. Unless this Agreement is earlier terminated in accordance with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XIII</w:t>
      </w:r>
      <w:r>
        <w:rPr>
          <w:rFonts w:ascii="Times New Roman" w:cs="Times New Roman" w:eastAsia="Times New Roman" w:hAnsi="Times New Roman"/>
          <w:sz w:val="16"/>
          <w:szCs w:val="16"/>
          <w:color w:val="auto"/>
        </w:rPr>
        <w: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take place virtually at 10:00 a.m. local time,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6"/>
          <w:szCs w:val="16"/>
          <w:color w:val="auto"/>
        </w:rPr>
        <w:t>) Business Day after the satisfaction or waiver (to the extent permitted by applicable law) of the conditions set forth</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13" w:name="page314"/>
    <w:bookmarkEnd w:id="31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 xml:space="preserve">in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Board of Directors of Parent</w:t>
      </w:r>
      <w:r>
        <w:rPr>
          <w:rFonts w:ascii="Times New Roman" w:cs="Times New Roman" w:eastAsia="Times New Roman" w:hAnsi="Times New Roman"/>
          <w:sz w:val="16"/>
          <w:szCs w:val="16"/>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07" w:lineRule="exact"/>
        <w:rPr>
          <w:sz w:val="20"/>
          <w:szCs w:val="20"/>
          <w:color w:val="auto"/>
        </w:rPr>
      </w:pPr>
    </w:p>
    <w:p>
      <w:pPr>
        <w:jc w:val="both"/>
        <w:ind w:left="920" w:right="939" w:firstLine="382"/>
        <w:spacing w:after="0" w:line="275" w:lineRule="auto"/>
        <w:rPr>
          <w:sz w:val="20"/>
          <w:szCs w:val="20"/>
          <w:color w:val="auto"/>
        </w:rPr>
      </w:pPr>
      <w:r>
        <w:rPr>
          <w:rFonts w:ascii="Times New Roman" w:cs="Times New Roman" w:eastAsia="Times New Roman" w:hAnsi="Times New Roman"/>
          <w:sz w:val="15"/>
          <w:szCs w:val="15"/>
          <w:color w:val="auto"/>
        </w:rPr>
        <w:t xml:space="preserve">2.8 </w:t>
      </w:r>
      <w:r>
        <w:rPr>
          <w:rFonts w:ascii="Times New Roman" w:cs="Times New Roman" w:eastAsia="Times New Roman" w:hAnsi="Times New Roman"/>
          <w:sz w:val="15"/>
          <w:szCs w:val="15"/>
          <w:u w:val="single" w:color="auto"/>
          <w:color w:val="auto"/>
        </w:rPr>
        <w:t>Taking of Necessary Action; Further Action</w:t>
      </w:r>
      <w:r>
        <w:rPr>
          <w:rFonts w:ascii="Times New Roman" w:cs="Times New Roman" w:eastAsia="Times New Roman" w:hAnsi="Times New Roman"/>
          <w:sz w:val="15"/>
          <w:szCs w:val="15"/>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81"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No Further Ownership Rights in Company Securities</w:t>
      </w:r>
      <w:r>
        <w:rPr>
          <w:rFonts w:ascii="Times New Roman" w:cs="Times New Roman" w:eastAsia="Times New Roman" w:hAnsi="Times New Roman"/>
          <w:sz w:val="16"/>
          <w:szCs w:val="16"/>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06" w:lineRule="exact"/>
        <w:rPr>
          <w:sz w:val="20"/>
          <w:szCs w:val="20"/>
          <w:color w:val="auto"/>
        </w:rPr>
      </w:pPr>
    </w:p>
    <w:p>
      <w:pPr>
        <w:jc w:val="both"/>
        <w:ind w:left="920" w:right="939" w:firstLine="382"/>
        <w:spacing w:after="0" w:line="250" w:lineRule="auto"/>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6"/>
          <w:szCs w:val="16"/>
          <w:u w:val="single" w:color="auto"/>
          <w:color w:val="auto"/>
        </w:rPr>
        <w:t>Dissenting Shares</w:t>
      </w:r>
      <w:r>
        <w:rPr>
          <w:rFonts w:ascii="Times New Roman" w:cs="Times New Roman" w:eastAsia="Times New Roman" w:hAnsi="Times New Roman"/>
          <w:sz w:val="16"/>
          <w:szCs w:val="16"/>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4" w:name="page315"/>
    <w:bookmarkEnd w:id="31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[INTENTIONALLY OMITTED]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CONSIDERATION</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Conversion of Company Securities; Convertible Notes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left="920" w:right="939" w:firstLine="764"/>
        <w:spacing w:after="0" w:line="252" w:lineRule="auto"/>
        <w:tabs>
          <w:tab w:leader="none" w:pos="1901"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Conversion of Company Capital Stock</w:t>
      </w:r>
      <w:r>
        <w:rPr>
          <w:rFonts w:ascii="Times New Roman" w:cs="Times New Roman" w:eastAsia="Times New Roman" w:hAnsi="Times New Roman"/>
          <w:sz w:val="16"/>
          <w:szCs w:val="16"/>
          <w:color w:val="auto"/>
        </w:rPr>
        <w:t>.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at the Effective Time, by virtue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the Merger and without any action 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6"/>
          <w:szCs w:val="16"/>
          <w:u w:val="single" w:color="auto"/>
          <w:color w:val="auto"/>
        </w:rPr>
        <w:t>Section 4.1(i)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69" w:lineRule="auto"/>
        <w:tabs>
          <w:tab w:leader="none" w:pos="1922" w:val="left"/>
        </w:tabs>
        <w:numPr>
          <w:ilvl w:val="1"/>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Treatment of Company Options. </w:t>
      </w:r>
      <w:r>
        <w:rPr>
          <w:rFonts w:ascii="Times New Roman" w:cs="Times New Roman" w:eastAsia="Times New Roman" w:hAnsi="Times New Roman"/>
          <w:sz w:val="15"/>
          <w:szCs w:val="15"/>
          <w:color w:val="auto"/>
        </w:rPr>
        <w:t>The Company shall terminate the Equity Incentive Plans at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prior to the Effective Time, contingent 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5"/>
          <w:szCs w:val="15"/>
          <w:u w:val="single" w:color="auto"/>
          <w:color w:val="auto"/>
        </w:rPr>
        <w:t>Section 4.1(b)</w:t>
      </w:r>
      <w:r>
        <w:rPr>
          <w:rFonts w:ascii="Times New Roman" w:cs="Times New Roman" w:eastAsia="Times New Roman" w:hAnsi="Times New Roman"/>
          <w:sz w:val="15"/>
          <w:szCs w:val="15"/>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5"/>
          <w:szCs w:val="15"/>
          <w:u w:val="single" w:color="auto"/>
          <w:color w:val="auto"/>
        </w:rPr>
        <w:t>Section 4.1(i)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XI</w:t>
      </w:r>
      <w:r>
        <w:rPr>
          <w:rFonts w:ascii="Times New Roman" w:cs="Times New Roman" w:eastAsia="Times New Roman" w:hAnsi="Times New Roman"/>
          <w:sz w:val="15"/>
          <w:szCs w:val="15"/>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5"/>
          <w:szCs w:val="15"/>
          <w:u w:val="single" w:color="auto"/>
          <w:color w:val="auto"/>
        </w:rPr>
        <w:t>Converted Company Option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 provided</w:t>
      </w:r>
      <w:r>
        <w:rPr>
          <w:rFonts w:ascii="Times New Roman" w:cs="Times New Roman" w:eastAsia="Times New Roman" w:hAnsi="Times New Roman"/>
          <w:sz w:val="15"/>
          <w:szCs w:val="15"/>
          <w:color w:val="auto"/>
        </w:rPr>
        <w:t xml:space="preserve"> that</w:t>
      </w:r>
    </w:p>
    <w:p>
      <w:pPr>
        <w:spacing w:after="0" w:line="180" w:lineRule="exact"/>
        <w:rPr>
          <w:rFonts w:ascii="Times New Roman" w:cs="Times New Roman" w:eastAsia="Times New Roman" w:hAnsi="Times New Roman"/>
          <w:sz w:val="15"/>
          <w:szCs w:val="15"/>
          <w:color w:val="auto"/>
        </w:rPr>
      </w:pPr>
    </w:p>
    <w:p>
      <w:pPr>
        <w:jc w:val="both"/>
        <w:ind w:left="920" w:right="939" w:hanging="1"/>
        <w:spacing w:after="0" w:line="250" w:lineRule="auto"/>
        <w:tabs>
          <w:tab w:leader="none" w:pos="1197"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6"/>
          <w:szCs w:val="16"/>
          <w:u w:val="single" w:color="auto"/>
          <w:color w:val="auto"/>
        </w:rPr>
        <w:t>further provided</w:t>
      </w:r>
      <w:r>
        <w:rPr>
          <w:rFonts w:ascii="Times New Roman" w:cs="Times New Roman" w:eastAsia="Times New Roman" w:hAnsi="Times New Roman"/>
          <w:sz w:val="16"/>
          <w:szCs w:val="16"/>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96" w:lineRule="exact"/>
        <w:rPr>
          <w:rFonts w:ascii="Times New Roman" w:cs="Times New Roman" w:eastAsia="Times New Roman" w:hAnsi="Times New Roman"/>
          <w:sz w:val="16"/>
          <w:szCs w:val="16"/>
          <w:color w:val="auto"/>
        </w:rPr>
      </w:pPr>
    </w:p>
    <w:p>
      <w:pPr>
        <w:ind w:left="920" w:right="939" w:firstLine="764"/>
        <w:spacing w:after="0" w:line="283" w:lineRule="auto"/>
        <w:tabs>
          <w:tab w:leader="none" w:pos="1901" w:val="left"/>
        </w:tabs>
        <w:numPr>
          <w:ilvl w:val="1"/>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Treatment of the Company Warrant</w:t>
      </w:r>
      <w:r>
        <w:rPr>
          <w:rFonts w:ascii="Times New Roman" w:cs="Times New Roman" w:eastAsia="Times New Roman" w:hAnsi="Times New Roman"/>
          <w:sz w:val="16"/>
          <w:szCs w:val="16"/>
          <w:color w:val="auto"/>
        </w:rPr>
        <w:t>. At the Effective Time, the Company Warrant will be treated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accordance with its terms.</w:t>
      </w:r>
    </w:p>
    <w:p>
      <w:pPr>
        <w:spacing w:after="0" w:line="79" w:lineRule="exact"/>
        <w:rPr>
          <w:rFonts w:ascii="Times New Roman" w:cs="Times New Roman" w:eastAsia="Times New Roman" w:hAnsi="Times New Roman"/>
          <w:sz w:val="16"/>
          <w:szCs w:val="16"/>
          <w:color w:val="auto"/>
        </w:rPr>
      </w:pPr>
    </w:p>
    <w:p>
      <w:pPr>
        <w:jc w:val="both"/>
        <w:ind w:left="920" w:right="939" w:firstLine="764"/>
        <w:spacing w:after="0" w:line="266" w:lineRule="auto"/>
        <w:tabs>
          <w:tab w:leader="none" w:pos="1922" w:val="left"/>
        </w:tabs>
        <w:numPr>
          <w:ilvl w:val="1"/>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Treatment of Convertible Notes. </w:t>
      </w:r>
      <w:r>
        <w:rPr>
          <w:rFonts w:ascii="Times New Roman" w:cs="Times New Roman" w:eastAsia="Times New Roman" w:hAnsi="Times New Roman"/>
          <w:sz w:val="16"/>
          <w:szCs w:val="16"/>
          <w:color w:val="auto"/>
        </w:rPr>
        <w:t>Prior to the Closing, each Convertible Note will be converted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into Company Series B Preferred Stock in accordance with the terms thereof, in each case, as set forth on Capitalization Schedule delivered prior to Closing.</w:t>
      </w:r>
    </w:p>
    <w:p>
      <w:pPr>
        <w:spacing w:after="0" w:line="93"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13" w:val="left"/>
        </w:tabs>
        <w:numPr>
          <w:ilvl w:val="1"/>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Conversion of Shares of Merger Sub</w:t>
      </w:r>
      <w:r>
        <w:rPr>
          <w:rFonts w:ascii="Times New Roman" w:cs="Times New Roman" w:eastAsia="Times New Roman" w:hAnsi="Times New Roman"/>
          <w:sz w:val="16"/>
          <w:szCs w:val="16"/>
          <w:color w:val="auto"/>
        </w:rPr>
        <w:t>. Each share of Merger Sub that is issued and outstanding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immediately prior to the Effective Time 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5" w:name="page316"/>
    <w:bookmarkEnd w:id="31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firstLine="764"/>
        <w:spacing w:after="0" w:line="266" w:lineRule="auto"/>
        <w:tabs>
          <w:tab w:leader="none" w:pos="1884"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Treatment of Shares of Company Common Stock Owned by the Company</w:t>
      </w:r>
      <w:r>
        <w:rPr>
          <w:rFonts w:ascii="Times New Roman" w:cs="Times New Roman" w:eastAsia="Times New Roman" w:hAnsi="Times New Roman"/>
          <w:sz w:val="16"/>
          <w:szCs w:val="16"/>
          <w:color w:val="auto"/>
        </w:rPr>
        <w:t>. At the Effective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 shares of Company Common Stock that are owned by the Company as treasury shares immediately prior to the Effective Time shall be canceled and extinguished without any conversion thereof.</w:t>
      </w:r>
    </w:p>
    <w:p>
      <w:pPr>
        <w:spacing w:after="0" w:line="93" w:lineRule="exact"/>
        <w:rPr>
          <w:rFonts w:ascii="Times New Roman" w:cs="Times New Roman" w:eastAsia="Times New Roman" w:hAnsi="Times New Roman"/>
          <w:sz w:val="16"/>
          <w:szCs w:val="16"/>
          <w:color w:val="auto"/>
        </w:rPr>
      </w:pPr>
    </w:p>
    <w:p>
      <w:pPr>
        <w:jc w:val="both"/>
        <w:ind w:left="920" w:right="939" w:firstLine="764"/>
        <w:spacing w:after="0" w:line="260" w:lineRule="auto"/>
        <w:tabs>
          <w:tab w:leader="none" w:pos="197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Surrender of Certificates</w:t>
      </w:r>
      <w:r>
        <w:rPr>
          <w:rFonts w:ascii="Times New Roman" w:cs="Times New Roman" w:eastAsia="Times New Roman" w:hAnsi="Times New Roman"/>
          <w:sz w:val="16"/>
          <w:szCs w:val="16"/>
          <w:color w:val="auto"/>
        </w:rPr>
        <w:t>. All Closing Payment Shares issued upon the surrender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cancellation of the Company Common Stock, in 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6"/>
          <w:szCs w:val="16"/>
          <w:u w:val="single" w:color="auto"/>
          <w:color w:val="auto"/>
        </w:rPr>
        <w:t>Section 11.3</w:t>
      </w:r>
      <w:r>
        <w:rPr>
          <w:rFonts w:ascii="Times New Roman" w:cs="Times New Roman" w:eastAsia="Times New Roman" w:hAnsi="Times New Roman"/>
          <w:sz w:val="16"/>
          <w:szCs w:val="16"/>
          <w:color w:val="auto"/>
        </w:rPr>
        <w:t>.</w:t>
      </w:r>
    </w:p>
    <w:p>
      <w:pPr>
        <w:spacing w:after="0" w:line="98"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34"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Lost or Destroyed Certificates</w:t>
      </w:r>
      <w:r>
        <w:rPr>
          <w:rFonts w:ascii="Times New Roman" w:cs="Times New Roman" w:eastAsia="Times New Roman" w:hAnsi="Times New Roman"/>
          <w:sz w:val="16"/>
          <w:szCs w:val="16"/>
          <w:color w:val="auto"/>
        </w:rPr>
        <w:t>. In the event any certificates representing shares of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Common Stock shall have been lost, 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11.3</w:t>
      </w:r>
      <w:r>
        <w:rPr>
          <w:rFonts w:ascii="Times New Roman" w:cs="Times New Roman" w:eastAsia="Times New Roman" w:hAnsi="Times New Roman"/>
          <w:sz w:val="16"/>
          <w:szCs w:val="16"/>
          <w:color w:val="auto"/>
        </w:rPr>
        <w:t>.</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6" w:lineRule="auto"/>
        <w:tabs>
          <w:tab w:leader="none" w:pos="1923"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Escrow Shares</w:t>
      </w:r>
      <w:r>
        <w:rPr>
          <w:rFonts w:ascii="Times New Roman" w:cs="Times New Roman" w:eastAsia="Times New Roman" w:hAnsi="Times New Roman"/>
          <w:sz w:val="16"/>
          <w:szCs w:val="16"/>
          <w:color w:val="auto"/>
        </w:rPr>
        <w:t>. Notwithstanding anything to the contrary in the other provisions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Parent shall withhold from the 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01" w:lineRule="exact"/>
        <w:rPr>
          <w:rFonts w:ascii="Times New Roman" w:cs="Times New Roman" w:eastAsia="Times New Roman" w:hAnsi="Times New Roman"/>
          <w:sz w:val="16"/>
          <w:szCs w:val="16"/>
          <w:color w:val="auto"/>
        </w:rPr>
      </w:pPr>
    </w:p>
    <w:p>
      <w:pPr>
        <w:jc w:val="both"/>
        <w:ind w:left="920" w:right="939" w:firstLine="764"/>
        <w:spacing w:after="0" w:line="250" w:lineRule="auto"/>
        <w:tabs>
          <w:tab w:leader="none" w:pos="1887"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Capitalization Schedule</w:t>
      </w:r>
      <w:r>
        <w:rPr>
          <w:rFonts w:ascii="Times New Roman" w:cs="Times New Roman" w:eastAsia="Times New Roman" w:hAnsi="Times New Roman"/>
          <w:sz w:val="16"/>
          <w:szCs w:val="16"/>
          <w:color w:val="auto"/>
        </w:rPr>
        <w:t>. No later than three (3) Business Days prior to the Closing Date,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Company shall deliver to Parent a final 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4.1(c)</w:t>
      </w:r>
      <w:r>
        <w:rPr>
          <w:rFonts w:ascii="Times New Roman" w:cs="Times New Roman" w:eastAsia="Times New Roman" w:hAnsi="Times New Roman"/>
          <w:sz w:val="16"/>
          <w:szCs w:val="16"/>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Times New Roman" w:cs="Times New Roman" w:eastAsia="Times New Roman" w:hAnsi="Times New Roman"/>
          <w:sz w:val="16"/>
          <w:szCs w:val="16"/>
          <w:u w:val="single" w:color="auto"/>
          <w:color w:val="auto"/>
        </w:rPr>
        <w:t>Section 4.1(i)</w:t>
      </w:r>
      <w:r>
        <w:rPr>
          <w:rFonts w:ascii="Times New Roman" w:cs="Times New Roman" w:eastAsia="Times New Roman" w:hAnsi="Times New Roman"/>
          <w:sz w:val="16"/>
          <w:szCs w:val="16"/>
          <w:color w:val="auto"/>
        </w:rPr>
        <w:t xml:space="preserve">; and (vii) such Company Securityholder’s Pro Rata Portion, if any. Nothing contained in this </w:t>
      </w:r>
      <w:r>
        <w:rPr>
          <w:rFonts w:ascii="Times New Roman" w:cs="Times New Roman" w:eastAsia="Times New Roman" w:hAnsi="Times New Roman"/>
          <w:sz w:val="16"/>
          <w:szCs w:val="16"/>
          <w:u w:val="single" w:color="auto"/>
          <w:color w:val="auto"/>
        </w:rPr>
        <w:t>Section 4.1(j)</w:t>
      </w:r>
      <w:r>
        <w:rPr>
          <w:rFonts w:ascii="Times New Roman" w:cs="Times New Roman" w:eastAsia="Times New Roman" w:hAnsi="Times New Roman"/>
          <w:sz w:val="16"/>
          <w:szCs w:val="16"/>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6"/>
          <w:szCs w:val="16"/>
          <w:u w:val="single" w:color="auto"/>
          <w:color w:val="auto"/>
        </w:rPr>
        <w:t>Section 7.1(a)(xvi)</w:t>
      </w:r>
      <w:r>
        <w:rPr>
          <w:rFonts w:ascii="Times New Roman" w:cs="Times New Roman" w:eastAsia="Times New Roman" w:hAnsi="Times New Roman"/>
          <w:sz w:val="16"/>
          <w:szCs w:val="16"/>
          <w:color w:val="auto"/>
        </w:rPr>
        <w:t>; or (y) alter or amend the total aggregate number of Closing Payment Shares issuable or reserved for issuance to the Company Securityholders; or (z) alter or amend the definition of Closing Consideration Conversion Ratio.</w:t>
      </w:r>
    </w:p>
    <w:p>
      <w:pPr>
        <w:spacing w:after="0" w:line="123"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No Fractional Shares</w:t>
      </w:r>
      <w:r>
        <w:rPr>
          <w:rFonts w:ascii="Times New Roman" w:cs="Times New Roman" w:eastAsia="Times New Roman" w:hAnsi="Times New Roman"/>
          <w:sz w:val="16"/>
          <w:szCs w:val="16"/>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6"/>
          <w:szCs w:val="16"/>
          <w:u w:val="single" w:color="auto"/>
          <w:color w:val="auto"/>
        </w:rPr>
        <w:t>Section 4.1(i)</w:t>
      </w:r>
      <w:r>
        <w:rPr>
          <w:rFonts w:ascii="Times New Roman" w:cs="Times New Roman" w:eastAsia="Times New Roman" w:hAnsi="Times New Roman"/>
          <w:sz w:val="16"/>
          <w:szCs w:val="16"/>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94"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6" w:name="page317"/>
    <w:bookmarkEnd w:id="31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11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02"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Corporate Existence and Power</w:t>
      </w:r>
      <w:r>
        <w:rPr>
          <w:rFonts w:ascii="Times New Roman" w:cs="Times New Roman" w:eastAsia="Times New Roman" w:hAnsi="Times New Roman"/>
          <w:sz w:val="16"/>
          <w:szCs w:val="16"/>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6"/>
          <w:szCs w:val="16"/>
          <w:u w:val="single" w:color="auto"/>
          <w:color w:val="auto"/>
        </w:rPr>
        <w:t>Schedule 5.1</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Authorization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3" w:lineRule="auto"/>
        <w:tabs>
          <w:tab w:leader="none" w:pos="1905"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6"/>
          <w:szCs w:val="16"/>
          <w:u w:val="single" w:color="auto"/>
          <w:color w:val="auto"/>
        </w:rPr>
        <w:t>Enforceability Exceptions</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2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11"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Governmental Authorization</w:t>
      </w:r>
      <w:r>
        <w:rPr>
          <w:rFonts w:ascii="Times New Roman" w:cs="Times New Roman" w:eastAsia="Times New Roman" w:hAnsi="Times New Roman"/>
          <w:sz w:val="16"/>
          <w:szCs w:val="16"/>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90"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Non-Contravention</w:t>
      </w:r>
      <w:r>
        <w:rPr>
          <w:rFonts w:ascii="Times New Roman" w:cs="Times New Roman" w:eastAsia="Times New Roman" w:hAnsi="Times New Roman"/>
          <w:sz w:val="16"/>
          <w:szCs w:val="16"/>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6"/>
          <w:szCs w:val="16"/>
          <w:u w:val="single" w:color="auto"/>
          <w:color w:val="auto"/>
        </w:rPr>
        <w:t>Schedule 5.8</w:t>
      </w:r>
      <w:r>
        <w:rPr>
          <w:rFonts w:ascii="Times New Roman" w:cs="Times New Roman" w:eastAsia="Times New Roman" w:hAnsi="Times New Roman"/>
          <w:sz w:val="16"/>
          <w:szCs w:val="16"/>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7" w:name="page318"/>
    <w:bookmarkEnd w:id="31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1" w:lineRule="auto"/>
        <w:tabs>
          <w:tab w:leader="none" w:pos="1925"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6"/>
          <w:szCs w:val="16"/>
          <w:u w:val="single" w:color="auto"/>
          <w:color w:val="auto"/>
        </w:rPr>
        <w:t>Company Preferred Stock</w:t>
      </w:r>
      <w:r>
        <w:rPr>
          <w:rFonts w:ascii="Times New Roman" w:cs="Times New Roman" w:eastAsia="Times New Roman" w:hAnsi="Times New Roman"/>
          <w:sz w:val="16"/>
          <w:szCs w:val="16"/>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6"/>
          <w:szCs w:val="16"/>
          <w:u w:val="single" w:color="auto"/>
          <w:color w:val="auto"/>
        </w:rPr>
        <w:t>Schedule 5.5(a)</w:t>
      </w:r>
      <w:r>
        <w:rPr>
          <w:rFonts w:ascii="Times New Roman" w:cs="Times New Roman" w:eastAsia="Times New Roman" w:hAnsi="Times New Roman"/>
          <w:sz w:val="16"/>
          <w:szCs w:val="16"/>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97"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33"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36"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37"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9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Corporate Records</w:t>
      </w:r>
      <w:r>
        <w:rPr>
          <w:rFonts w:ascii="Times New Roman" w:cs="Times New Roman" w:eastAsia="Times New Roman" w:hAnsi="Times New Roman"/>
          <w:sz w:val="16"/>
          <w:szCs w:val="16"/>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18" w:name="page319"/>
    <w:bookmarkEnd w:id="31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Subsidiaries</w:t>
      </w:r>
      <w:r>
        <w:rPr>
          <w:rFonts w:ascii="Times New Roman" w:cs="Times New Roman" w:eastAsia="Times New Roman" w:hAnsi="Times New Roman"/>
          <w:sz w:val="16"/>
          <w:szCs w:val="16"/>
          <w:color w:val="auto"/>
        </w:rPr>
        <w:t>. The Company does not directly or indirectly own, or hold any rights to acquire, any capital stock or any other securities or interests in any Person.</w:t>
      </w:r>
    </w:p>
    <w:p>
      <w:pPr>
        <w:spacing w:after="0" w:line="85"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xml:space="preserve">. The Contracts listed on </w:t>
      </w:r>
      <w:r>
        <w:rPr>
          <w:rFonts w:ascii="Times New Roman" w:cs="Times New Roman" w:eastAsia="Times New Roman" w:hAnsi="Times New Roman"/>
          <w:sz w:val="16"/>
          <w:szCs w:val="16"/>
          <w:u w:val="single" w:color="auto"/>
          <w:color w:val="auto"/>
        </w:rPr>
        <w:t>Schedule 5.8</w:t>
      </w:r>
      <w:r>
        <w:rPr>
          <w:rFonts w:ascii="Times New Roman" w:cs="Times New Roman" w:eastAsia="Times New Roman" w:hAnsi="Times New Roman"/>
          <w:sz w:val="16"/>
          <w:szCs w:val="16"/>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6"/>
          <w:szCs w:val="16"/>
          <w:u w:val="single" w:color="auto"/>
          <w:color w:val="auto"/>
        </w:rPr>
        <w:t>Company Consent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1" w:lineRule="auto"/>
        <w:tabs>
          <w:tab w:leader="none" w:pos="1918"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6"/>
          <w:szCs w:val="16"/>
          <w:u w:val="single" w:color="auto"/>
          <w:color w:val="auto"/>
        </w:rPr>
        <w:t>Annual Financial Statements</w:t>
      </w:r>
      <w:r>
        <w:rPr>
          <w:rFonts w:ascii="Times New Roman" w:cs="Times New Roman" w:eastAsia="Times New Roman" w:hAnsi="Times New Roman"/>
          <w:sz w:val="16"/>
          <w:szCs w:val="16"/>
          <w:color w:val="auto"/>
        </w:rPr>
        <w:t>”), and (b) the unaudited balance sheet of the Company as of June 30, 2020 (the “</w:t>
      </w:r>
      <w:r>
        <w:rPr>
          <w:rFonts w:ascii="Times New Roman" w:cs="Times New Roman" w:eastAsia="Times New Roman" w:hAnsi="Times New Roman"/>
          <w:sz w:val="16"/>
          <w:szCs w:val="16"/>
          <w:u w:val="single" w:color="auto"/>
          <w:color w:val="auto"/>
        </w:rPr>
        <w:t>Interim Balance Sheet</w:t>
      </w:r>
      <w:r>
        <w:rPr>
          <w:rFonts w:ascii="Times New Roman" w:cs="Times New Roman" w:eastAsia="Times New Roman" w:hAnsi="Times New Roman"/>
          <w:sz w:val="16"/>
          <w:szCs w:val="16"/>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6"/>
          <w:szCs w:val="16"/>
          <w:u w:val="single" w:color="auto"/>
          <w:color w:val="auto"/>
        </w:rPr>
        <w:t>Unaudited Financial Statements</w:t>
      </w:r>
      <w:r>
        <w:rPr>
          <w:rFonts w:ascii="Times New Roman" w:cs="Times New Roman" w:eastAsia="Times New Roman" w:hAnsi="Times New Roman"/>
          <w:sz w:val="16"/>
          <w:szCs w:val="16"/>
          <w:color w:val="auto"/>
        </w:rPr>
        <w:t>” and, together with the Annual Financial Statements, the “</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6"/>
          <w:szCs w:val="16"/>
          <w:u w:val="single" w:color="auto"/>
          <w:color w:val="auto"/>
        </w:rPr>
        <w:t>Balance Sheet Date</w:t>
      </w:r>
      <w:r>
        <w:rPr>
          <w:rFonts w:ascii="Times New Roman" w:cs="Times New Roman" w:eastAsia="Times New Roman" w:hAnsi="Times New Roman"/>
          <w:sz w:val="16"/>
          <w:szCs w:val="16"/>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11" w:lineRule="exact"/>
        <w:rPr>
          <w:rFonts w:ascii="Times New Roman" w:cs="Times New Roman" w:eastAsia="Times New Roman" w:hAnsi="Times New Roman"/>
          <w:sz w:val="16"/>
          <w:szCs w:val="16"/>
          <w:color w:val="auto"/>
        </w:rPr>
      </w:pPr>
    </w:p>
    <w:p>
      <w:pPr>
        <w:ind w:left="1920" w:hanging="236"/>
        <w:spacing w:after="0"/>
        <w:tabs>
          <w:tab w:leader="none" w:pos="1920"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 specifically disclosed, reflected or fully reserved against on the Balance Sheet;</w:t>
      </w:r>
    </w:p>
    <w:p>
      <w:pPr>
        <w:spacing w:after="0" w:line="23" w:lineRule="exact"/>
        <w:rPr>
          <w:rFonts w:ascii="Times New Roman" w:cs="Times New Roman" w:eastAsia="Times New Roman" w:hAnsi="Times New Roman"/>
          <w:sz w:val="16"/>
          <w:szCs w:val="16"/>
          <w:color w:val="auto"/>
        </w:rPr>
      </w:pPr>
    </w:p>
    <w:p>
      <w:pPr>
        <w:ind w:left="1160" w:hanging="241"/>
        <w:spacing w:after="0"/>
        <w:tabs>
          <w:tab w:leader="none" w:pos="116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liabilities and obligations incurred in the ordinary course of business since the date of the Balance Sheet;</w:t>
      </w:r>
    </w:p>
    <w:p>
      <w:pPr>
        <w:spacing w:after="0" w:line="7" w:lineRule="exact"/>
        <w:rPr>
          <w:rFonts w:ascii="Times New Roman" w:cs="Times New Roman" w:eastAsia="Times New Roman" w:hAnsi="Times New Roman"/>
          <w:sz w:val="16"/>
          <w:szCs w:val="16"/>
          <w:color w:val="auto"/>
        </w:rPr>
      </w:pPr>
    </w:p>
    <w:p>
      <w:pPr>
        <w:jc w:val="both"/>
        <w:ind w:left="920" w:right="939" w:hanging="1"/>
        <w:spacing w:after="0" w:line="250" w:lineRule="auto"/>
        <w:tabs>
          <w:tab w:leader="none" w:pos="1208"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6"/>
          <w:szCs w:val="16"/>
          <w:u w:val="single" w:color="auto"/>
          <w:color w:val="auto"/>
        </w:rPr>
        <w:t>Schedule 5.9(b)</w:t>
      </w:r>
      <w:r>
        <w:rPr>
          <w:rFonts w:ascii="Times New Roman" w:cs="Times New Roman" w:eastAsia="Times New Roman" w:hAnsi="Times New Roman"/>
          <w:sz w:val="16"/>
          <w:szCs w:val="16"/>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10"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u w:val="single" w:color="auto"/>
          <w:color w:val="auto"/>
        </w:rPr>
        <w:t>Books and Records</w:t>
      </w:r>
      <w:r>
        <w:rPr>
          <w:rFonts w:ascii="Times New Roman" w:cs="Times New Roman" w:eastAsia="Times New Roman" w:hAnsi="Times New Roman"/>
          <w:sz w:val="16"/>
          <w:szCs w:val="16"/>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97"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u w:val="single" w:color="auto"/>
          <w:color w:val="auto"/>
        </w:rPr>
        <w:t>Internal Accounting Controls</w:t>
      </w:r>
      <w:r>
        <w:rPr>
          <w:rFonts w:ascii="Times New Roman" w:cs="Times New Roman" w:eastAsia="Times New Roman" w:hAnsi="Times New Roman"/>
          <w:sz w:val="16"/>
          <w:szCs w:val="16"/>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9" w:name="page320"/>
    <w:bookmarkEnd w:id="31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5.12 </w:t>
      </w:r>
      <w:r>
        <w:rPr>
          <w:rFonts w:ascii="Times New Roman" w:cs="Times New Roman" w:eastAsia="Times New Roman" w:hAnsi="Times New Roman"/>
          <w:sz w:val="16"/>
          <w:szCs w:val="16"/>
          <w:u w:val="single" w:color="auto"/>
          <w:color w:val="auto"/>
        </w:rPr>
        <w:t>Absence of Certain Changes</w:t>
      </w:r>
      <w:r>
        <w:rPr>
          <w:rFonts w:ascii="Times New Roman" w:cs="Times New Roman" w:eastAsia="Times New Roman" w:hAnsi="Times New Roman"/>
          <w:sz w:val="16"/>
          <w:szCs w:val="16"/>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5.13 </w:t>
      </w:r>
      <w:r>
        <w:rPr>
          <w:rFonts w:ascii="Times New Roman" w:cs="Times New Roman" w:eastAsia="Times New Roman" w:hAnsi="Times New Roman"/>
          <w:sz w:val="16"/>
          <w:szCs w:val="16"/>
          <w:u w:val="single" w:color="auto"/>
          <w:color w:val="auto"/>
        </w:rPr>
        <w:t>Properties; Title to the Company’s Assets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82" w:lineRule="auto"/>
        <w:tabs>
          <w:tab w:leader="none" w:pos="1920"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73" w:lineRule="exact"/>
        <w:rPr>
          <w:rFonts w:ascii="Times New Roman" w:cs="Times New Roman" w:eastAsia="Times New Roman" w:hAnsi="Times New Roman"/>
          <w:sz w:val="15"/>
          <w:szCs w:val="15"/>
          <w:color w:val="auto"/>
        </w:rPr>
      </w:pPr>
    </w:p>
    <w:p>
      <w:pPr>
        <w:jc w:val="both"/>
        <w:ind w:left="920" w:right="939" w:firstLine="764"/>
        <w:spacing w:after="0" w:line="254" w:lineRule="auto"/>
        <w:tabs>
          <w:tab w:leader="none" w:pos="1916"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6"/>
          <w:szCs w:val="16"/>
          <w:u w:val="single" w:color="auto"/>
          <w:color w:val="auto"/>
        </w:rPr>
        <w:t>Schedule 5.13(b),</w:t>
      </w:r>
      <w:r>
        <w:rPr>
          <w:rFonts w:ascii="Times New Roman" w:cs="Times New Roman" w:eastAsia="Times New Roman" w:hAnsi="Times New Roman"/>
          <w:sz w:val="16"/>
          <w:szCs w:val="16"/>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07"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5.14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5.15 </w:t>
      </w:r>
      <w:r>
        <w:rPr>
          <w:rFonts w:ascii="Times New Roman" w:cs="Times New Roman" w:eastAsia="Times New Roman" w:hAnsi="Times New Roman"/>
          <w:sz w:val="16"/>
          <w:szCs w:val="16"/>
          <w:u w:val="single" w:color="auto"/>
          <w:color w:val="auto"/>
        </w:rPr>
        <w:t>Contracts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65" w:lineRule="auto"/>
        <w:tabs>
          <w:tab w:leader="none" w:pos="1901"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5.15(a)</w:t>
      </w:r>
      <w:r>
        <w:rPr>
          <w:rFonts w:ascii="Times New Roman" w:cs="Times New Roman" w:eastAsia="Times New Roman" w:hAnsi="Times New Roman"/>
          <w:sz w:val="16"/>
          <w:szCs w:val="16"/>
          <w:color w:val="auto"/>
        </w:rPr>
        <w:t xml:space="preserve"> lists all of the following Contracts (collectively, such Contracts that are listed or should be listed on </w:t>
      </w:r>
      <w:r>
        <w:rPr>
          <w:rFonts w:ascii="Times New Roman" w:cs="Times New Roman" w:eastAsia="Times New Roman" w:hAnsi="Times New Roman"/>
          <w:sz w:val="16"/>
          <w:szCs w:val="16"/>
          <w:u w:val="single" w:color="auto"/>
          <w:color w:val="auto"/>
        </w:rPr>
        <w:t>Schedule 5.15(a)</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 to which, as of the date of this Agreement, the Company is a party or by which any of its assets is bound and which are currently in effect:</w:t>
      </w:r>
    </w:p>
    <w:p>
      <w:pPr>
        <w:spacing w:after="0" w:line="95"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452"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95"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532"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83" w:lineRule="exact"/>
        <w:rPr>
          <w:rFonts w:ascii="Times New Roman" w:cs="Times New Roman" w:eastAsia="Times New Roman" w:hAnsi="Times New Roman"/>
          <w:sz w:val="16"/>
          <w:szCs w:val="16"/>
          <w:color w:val="auto"/>
        </w:rPr>
      </w:pPr>
    </w:p>
    <w:p>
      <w:pPr>
        <w:jc w:val="both"/>
        <w:ind w:left="1300" w:right="939" w:firstLine="957"/>
        <w:spacing w:after="0" w:line="253" w:lineRule="auto"/>
        <w:tabs>
          <w:tab w:leader="none" w:pos="2581"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09"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544"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creating a joint venture, strategic alliance, limited liability company or partnership arrangement to which the Company is a party;</w:t>
      </w:r>
    </w:p>
    <w:p>
      <w:pPr>
        <w:spacing w:after="0" w:line="84"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518"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relating to any acquisitions or dispositions of material assets by the Company (other than acquisitions or dispositions of inventory in the ordinary course of business consistent with past practice);</w:t>
      </w:r>
    </w:p>
    <w:p>
      <w:pPr>
        <w:spacing w:after="0" w:line="83" w:lineRule="exact"/>
        <w:rPr>
          <w:rFonts w:ascii="Times New Roman" w:cs="Times New Roman" w:eastAsia="Times New Roman" w:hAnsi="Times New Roman"/>
          <w:sz w:val="16"/>
          <w:szCs w:val="16"/>
          <w:color w:val="auto"/>
        </w:rPr>
      </w:pPr>
    </w:p>
    <w:p>
      <w:pPr>
        <w:jc w:val="both"/>
        <w:ind w:left="1300" w:right="939" w:firstLine="957"/>
        <w:spacing w:after="0" w:line="257" w:lineRule="auto"/>
        <w:tabs>
          <w:tab w:leader="none" w:pos="2526"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0" w:name="page321"/>
    <w:bookmarkEnd w:id="32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for generally commercially available software (including open source software) or hosted services,</w:t>
      </w:r>
    </w:p>
    <w:p>
      <w:pPr>
        <w:spacing w:after="0" w:line="24" w:lineRule="exact"/>
        <w:rPr>
          <w:sz w:val="20"/>
          <w:szCs w:val="20"/>
          <w:color w:val="auto"/>
        </w:rPr>
      </w:pPr>
    </w:p>
    <w:p>
      <w:pPr>
        <w:jc w:val="both"/>
        <w:ind w:left="1300" w:right="939" w:firstLine="1"/>
        <w:spacing w:after="0" w:line="254" w:lineRule="auto"/>
        <w:tabs>
          <w:tab w:leader="none" w:pos="1555"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6"/>
          <w:szCs w:val="16"/>
          <w:u w:val="single" w:color="auto"/>
          <w:color w:val="auto"/>
        </w:rPr>
        <w:t>Standard Contracts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576"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limiting the freedom of the Company to compete in any line of business or industry, with any Person or in any geographic area;</w:t>
      </w:r>
    </w:p>
    <w:p>
      <w:pPr>
        <w:spacing w:after="0" w:line="84"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646"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83"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545"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95"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485"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with or pertaining to the Company to which any Affiliate of the Company is a party, other than any Contracts relating to such Affiliate’s status as a Company Securityholder;</w:t>
      </w:r>
    </w:p>
    <w:p>
      <w:pPr>
        <w:spacing w:after="0" w:line="84"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563"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83"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592"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creating or otherwise relating to outstanding Indebtedness (other than intercompany Indebtedness);</w:t>
      </w:r>
    </w:p>
    <w:p>
      <w:pPr>
        <w:spacing w:after="0" w:line="84"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624"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relating to the voting or control of the equity interests of the Company or the election of directors of the Company (other than the organizational documents of the Company);</w:t>
      </w:r>
    </w:p>
    <w:p>
      <w:pPr>
        <w:spacing w:after="0" w:line="84"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629"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83"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571"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95" w:lineRule="exact"/>
        <w:rPr>
          <w:rFonts w:ascii="Times New Roman" w:cs="Times New Roman" w:eastAsia="Times New Roman" w:hAnsi="Times New Roman"/>
          <w:sz w:val="16"/>
          <w:szCs w:val="16"/>
          <w:color w:val="auto"/>
        </w:rPr>
      </w:pPr>
    </w:p>
    <w:p>
      <w:pPr>
        <w:jc w:val="both"/>
        <w:ind w:left="1300" w:right="939" w:firstLine="957"/>
        <w:spacing w:after="0" w:line="259" w:lineRule="auto"/>
        <w:tabs>
          <w:tab w:leader="none" w:pos="2634"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02" w:lineRule="exact"/>
        <w:rPr>
          <w:rFonts w:ascii="Times New Roman" w:cs="Times New Roman" w:eastAsia="Times New Roman" w:hAnsi="Times New Roman"/>
          <w:sz w:val="16"/>
          <w:szCs w:val="16"/>
          <w:color w:val="auto"/>
        </w:rPr>
      </w:pPr>
    </w:p>
    <w:p>
      <w:pPr>
        <w:ind w:left="2720" w:hanging="463"/>
        <w:spacing w:after="0"/>
        <w:tabs>
          <w:tab w:leader="none" w:pos="2720"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collective  bargaining  or  other  agreements  with  a  labor  union  or  labor</w:t>
      </w:r>
    </w:p>
    <w:p>
      <w:pPr>
        <w:spacing w:after="0" w:line="23"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organization; and</w:t>
      </w:r>
    </w:p>
    <w:p>
      <w:pPr>
        <w:spacing w:after="0" w:line="109" w:lineRule="exact"/>
        <w:rPr>
          <w:rFonts w:ascii="Times New Roman" w:cs="Times New Roman" w:eastAsia="Times New Roman" w:hAnsi="Times New Roman"/>
          <w:sz w:val="16"/>
          <w:szCs w:val="16"/>
          <w:color w:val="auto"/>
        </w:rPr>
      </w:pPr>
    </w:p>
    <w:p>
      <w:pPr>
        <w:ind w:left="2700" w:hanging="443"/>
        <w:spacing w:after="0"/>
        <w:tabs>
          <w:tab w:leader="none" w:pos="2700" w:val="left"/>
        </w:tabs>
        <w:numPr>
          <w:ilvl w:val="3"/>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address the provisions for business associate contracts required by</w:t>
      </w:r>
    </w:p>
    <w:p>
      <w:pPr>
        <w:spacing w:after="0" w:line="23"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w:t>
      </w:r>
    </w:p>
    <w:p>
      <w:pPr>
        <w:spacing w:after="0" w:line="121" w:lineRule="exact"/>
        <w:rPr>
          <w:rFonts w:ascii="Times New Roman" w:cs="Times New Roman" w:eastAsia="Times New Roman" w:hAnsi="Times New Roman"/>
          <w:sz w:val="16"/>
          <w:szCs w:val="16"/>
          <w:color w:val="auto"/>
        </w:rPr>
      </w:pPr>
    </w:p>
    <w:p>
      <w:pPr>
        <w:ind w:left="1940" w:hanging="256"/>
        <w:spacing w:after="0"/>
        <w:tabs>
          <w:tab w:leader="none" w:pos="1940" w:val="left"/>
        </w:tabs>
        <w:numPr>
          <w:ilvl w:val="2"/>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Material Contract is (i) a valid and binding agreement, (ii) in full force and effect and</w:t>
      </w:r>
    </w:p>
    <w:p>
      <w:pPr>
        <w:spacing w:after="0" w:line="23"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205"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07"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03" w:val="left"/>
        </w:tabs>
        <w:numPr>
          <w:ilvl w:val="2"/>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with all covenants, including all financial covenants, in all notes, indentures, bonds and other instruments or Contracts establishing or evidencing any Indebtedness.</w:t>
      </w:r>
    </w:p>
    <w:p>
      <w:pPr>
        <w:spacing w:after="0" w:line="73"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5.16 </w:t>
      </w:r>
      <w:r>
        <w:rPr>
          <w:rFonts w:ascii="Times New Roman" w:cs="Times New Roman" w:eastAsia="Times New Roman" w:hAnsi="Times New Roman"/>
          <w:sz w:val="16"/>
          <w:szCs w:val="16"/>
          <w:u w:val="single" w:color="auto"/>
          <w:color w:val="auto"/>
        </w:rPr>
        <w:t>Licenses and Permits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Schedule 5.16</w:t>
      </w:r>
      <w:r>
        <w:rPr>
          <w:rFonts w:ascii="Times New Roman" w:cs="Times New Roman" w:eastAsia="Times New Roman" w:hAnsi="Times New Roman"/>
          <w:sz w:val="16"/>
          <w:szCs w:val="16"/>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6"/>
          <w:szCs w:val="16"/>
          <w:u w:val="single" w:color="auto"/>
          <w:color w:val="auto"/>
        </w:rPr>
        <w:t>Permits</w:t>
      </w:r>
      <w:r>
        <w:rPr>
          <w:rFonts w:ascii="Times New Roman" w:cs="Times New Roman" w:eastAsia="Times New Roman" w:hAnsi="Times New Roman"/>
          <w:sz w:val="16"/>
          <w:szCs w:val="16"/>
          <w:color w:val="auto"/>
        </w:rPr>
        <w:t>”). Such Permits are valid and in full force and effect, and none of the Permits will, assuming the related Company Consent has been obtained or waived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1" w:name="page322"/>
    <w:bookmarkEnd w:id="32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5.17 </w:t>
      </w: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3" w:lineRule="auto"/>
        <w:tabs>
          <w:tab w:leader="none" w:pos="1905"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w:t>
      </w:r>
    </w:p>
    <w:p>
      <w:pPr>
        <w:jc w:val="both"/>
        <w:ind w:left="920" w:right="939" w:hanging="1"/>
        <w:spacing w:after="0" w:line="250" w:lineRule="auto"/>
        <w:tabs>
          <w:tab w:leader="none" w:pos="1174"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Foreign Corrupt Practices Act of 1977 (the “</w:t>
      </w:r>
      <w:r>
        <w:rPr>
          <w:rFonts w:ascii="Times New Roman" w:cs="Times New Roman" w:eastAsia="Times New Roman" w:hAnsi="Times New Roman"/>
          <w:sz w:val="16"/>
          <w:szCs w:val="16"/>
          <w:u w:val="single" w:color="auto"/>
          <w:color w:val="auto"/>
        </w:rPr>
        <w:t>Foreign Corrupt Practices Act</w:t>
      </w:r>
      <w:r>
        <w:rPr>
          <w:rFonts w:ascii="Times New Roman" w:cs="Times New Roman" w:eastAsia="Times New Roman" w:hAnsi="Times New Roman"/>
          <w:sz w:val="16"/>
          <w:szCs w:val="16"/>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99"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45"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5.18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0" w:lineRule="auto"/>
        <w:tabs>
          <w:tab w:leader="none" w:pos="1937"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 (2) 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4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as being owned by the Company (other than any co-owners disclosed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The Company has a valid right to use the Intellectual Property Rights set forth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that are used (but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2" w:name="page323"/>
    <w:bookmarkEnd w:id="32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02" w:lineRule="exact"/>
        <w:rPr>
          <w:sz w:val="20"/>
          <w:szCs w:val="20"/>
          <w:color w:val="auto"/>
        </w:rPr>
      </w:pPr>
    </w:p>
    <w:p>
      <w:pPr>
        <w:jc w:val="both"/>
        <w:ind w:left="920" w:right="939" w:firstLine="764"/>
        <w:spacing w:after="0" w:line="252" w:lineRule="auto"/>
        <w:tabs>
          <w:tab w:leader="none" w:pos="1952"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Knowledge of the Company, all registered Intellectual Property Rights listed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1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Schedule 5.18(d)</w:t>
      </w:r>
      <w:r>
        <w:rPr>
          <w:rFonts w:ascii="Times New Roman" w:cs="Times New Roman" w:eastAsia="Times New Roman" w:hAnsi="Times New Roman"/>
          <w:sz w:val="16"/>
          <w:szCs w:val="16"/>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6"/>
          <w:szCs w:val="16"/>
          <w:u w:val="single" w:color="auto"/>
          <w:color w:val="auto"/>
        </w:rPr>
        <w:t>Schedule 5.18(a)</w:t>
      </w:r>
      <w:r>
        <w:rPr>
          <w:rFonts w:ascii="Times New Roman" w:cs="Times New Roman" w:eastAsia="Times New Roman" w:hAnsi="Times New Roman"/>
          <w:sz w:val="16"/>
          <w:szCs w:val="16"/>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99" w:lineRule="exact"/>
        <w:rPr>
          <w:rFonts w:ascii="Times New Roman" w:cs="Times New Roman" w:eastAsia="Times New Roman" w:hAnsi="Times New Roman"/>
          <w:sz w:val="16"/>
          <w:szCs w:val="16"/>
          <w:color w:val="auto"/>
        </w:rPr>
      </w:pPr>
    </w:p>
    <w:p>
      <w:pPr>
        <w:jc w:val="both"/>
        <w:ind w:left="920" w:right="939" w:firstLine="764"/>
        <w:spacing w:after="0" w:line="282" w:lineRule="auto"/>
        <w:tabs>
          <w:tab w:leader="none" w:pos="1969"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85" w:lineRule="exact"/>
        <w:rPr>
          <w:rFonts w:ascii="Times New Roman" w:cs="Times New Roman" w:eastAsia="Times New Roman" w:hAnsi="Times New Roman"/>
          <w:sz w:val="15"/>
          <w:szCs w:val="15"/>
          <w:color w:val="auto"/>
        </w:rPr>
      </w:pPr>
    </w:p>
    <w:p>
      <w:pPr>
        <w:jc w:val="both"/>
        <w:ind w:left="920" w:right="939" w:firstLine="764"/>
        <w:spacing w:after="0" w:line="252" w:lineRule="auto"/>
        <w:tabs>
          <w:tab w:leader="none" w:pos="1884"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11"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2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disclosed on </w:t>
      </w:r>
      <w:r>
        <w:rPr>
          <w:rFonts w:ascii="Times New Roman" w:cs="Times New Roman" w:eastAsia="Times New Roman" w:hAnsi="Times New Roman"/>
          <w:sz w:val="16"/>
          <w:szCs w:val="16"/>
          <w:u w:val="single" w:color="auto"/>
          <w:color w:val="auto"/>
        </w:rPr>
        <w:t>Schedule 5.18(g</w:t>
      </w:r>
      <w:r>
        <w:rPr>
          <w:rFonts w:ascii="Times New Roman" w:cs="Times New Roman" w:eastAsia="Times New Roman" w:hAnsi="Times New Roman"/>
          <w:sz w:val="16"/>
          <w:szCs w:val="16"/>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6"/>
          <w:szCs w:val="16"/>
          <w:u w:val="single" w:color="auto"/>
          <w:color w:val="auto"/>
        </w:rPr>
        <w:t>Section 5.18(g)</w:t>
      </w:r>
      <w:r>
        <w:rPr>
          <w:rFonts w:ascii="Times New Roman" w:cs="Times New Roman" w:eastAsia="Times New Roman" w:hAnsi="Times New Roman"/>
          <w:sz w:val="16"/>
          <w:szCs w:val="16"/>
          <w:color w:val="auto"/>
        </w:rPr>
        <w:t>, has licensed to the Company rights to use such Intellectual Property Rights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3" w:name="page324"/>
    <w:bookmarkEnd w:id="32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65" w:lineRule="auto"/>
        <w:tabs>
          <w:tab w:leader="none" w:pos="1954"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875"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878"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97"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46"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the agreements listed on </w:t>
      </w:r>
      <w:r>
        <w:rPr>
          <w:rFonts w:ascii="Times New Roman" w:cs="Times New Roman" w:eastAsia="Times New Roman" w:hAnsi="Times New Roman"/>
          <w:sz w:val="16"/>
          <w:szCs w:val="16"/>
          <w:u w:val="single" w:color="auto"/>
          <w:color w:val="auto"/>
        </w:rPr>
        <w:t>Schedule 5.15(a)(vi)</w:t>
      </w:r>
      <w:r>
        <w:rPr>
          <w:rFonts w:ascii="Times New Roman" w:cs="Times New Roman" w:eastAsia="Times New Roman" w:hAnsi="Times New Roman"/>
          <w:sz w:val="16"/>
          <w:szCs w:val="16"/>
          <w:color w:val="auto"/>
        </w:rPr>
        <w:t>, the Company is not obligated under any Contract to make any payments by way of royalties, fees, or otherwise to any owner or licensor of, or other claimant to, any Intellectual Property Rights.</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893"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5.19 </w:t>
      </w:r>
      <w:r>
        <w:rPr>
          <w:rFonts w:ascii="Times New Roman" w:cs="Times New Roman" w:eastAsia="Times New Roman" w:hAnsi="Times New Roman"/>
          <w:sz w:val="16"/>
          <w:szCs w:val="16"/>
          <w:u w:val="single" w:color="auto"/>
          <w:color w:val="auto"/>
        </w:rPr>
        <w:t>FDA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2" w:lineRule="auto"/>
        <w:tabs>
          <w:tab w:leader="none" w:pos="1903"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and has been since January 1, 2018, in compliance in all material respects with all applicable healthcare Laws, including (i) the Federal Food, Drug and Cosmetic Act (“</w:t>
      </w:r>
      <w:r>
        <w:rPr>
          <w:rFonts w:ascii="Times New Roman" w:cs="Times New Roman" w:eastAsia="Times New Roman" w:hAnsi="Times New Roman"/>
          <w:sz w:val="16"/>
          <w:szCs w:val="16"/>
          <w:u w:val="single" w:color="auto"/>
          <w:color w:val="auto"/>
        </w:rPr>
        <w:t>FDCA</w:t>
      </w:r>
      <w:r>
        <w:rPr>
          <w:rFonts w:ascii="Times New Roman" w:cs="Times New Roman" w:eastAsia="Times New Roman" w:hAnsi="Times New Roman"/>
          <w:sz w:val="16"/>
          <w:szCs w:val="16"/>
          <w:color w:val="auto"/>
        </w:rPr>
        <w:t>”); (ii) the Public Health Service Act (“</w:t>
      </w:r>
      <w:r>
        <w:rPr>
          <w:rFonts w:ascii="Times New Roman" w:cs="Times New Roman" w:eastAsia="Times New Roman" w:hAnsi="Times New Roman"/>
          <w:sz w:val="16"/>
          <w:szCs w:val="16"/>
          <w:u w:val="single" w:color="auto"/>
          <w:color w:val="auto"/>
        </w:rPr>
        <w:t>PHSA</w:t>
      </w:r>
      <w:r>
        <w:rPr>
          <w:rFonts w:ascii="Times New Roman" w:cs="Times New Roman" w:eastAsia="Times New Roman" w:hAnsi="Times New Roman"/>
          <w:sz w:val="16"/>
          <w:szCs w:val="16"/>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6"/>
          <w:szCs w:val="16"/>
          <w:u w:val="single" w:color="auto"/>
          <w:color w:val="auto"/>
        </w:rPr>
        <w:t>Healthcare Laws</w:t>
      </w:r>
      <w:r>
        <w:rPr>
          <w:rFonts w:ascii="Times New Roman" w:cs="Times New Roman" w:eastAsia="Times New Roman" w:hAnsi="Times New Roman"/>
          <w:sz w:val="16"/>
          <w:szCs w:val="16"/>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68" w:lineRule="auto"/>
        <w:tabs>
          <w:tab w:leader="none" w:pos="1917"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spacing w:after="0" w:line="5" w:lineRule="exact"/>
        <w:rPr>
          <w:rFonts w:ascii="Times New Roman" w:cs="Times New Roman" w:eastAsia="Times New Roman" w:hAnsi="Times New Roman"/>
          <w:sz w:val="15"/>
          <w:szCs w:val="15"/>
          <w:color w:val="auto"/>
        </w:rPr>
      </w:pPr>
    </w:p>
    <w:p>
      <w:pPr>
        <w:ind w:left="9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HIPAA.</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4" w:name="page325"/>
    <w:bookmarkEnd w:id="32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3" w:lineRule="auto"/>
        <w:tabs>
          <w:tab w:leader="none" w:pos="1911"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w:t>
      </w:r>
    </w:p>
    <w:p>
      <w:pPr>
        <w:spacing w:after="0" w:line="2" w:lineRule="exact"/>
        <w:rPr>
          <w:rFonts w:ascii="Times New Roman" w:cs="Times New Roman" w:eastAsia="Times New Roman" w:hAnsi="Times New Roman"/>
          <w:sz w:val="16"/>
          <w:szCs w:val="16"/>
          <w:color w:val="auto"/>
        </w:rPr>
      </w:pPr>
    </w:p>
    <w:p>
      <w:pPr>
        <w:jc w:val="both"/>
        <w:ind w:left="920" w:right="939" w:hanging="1"/>
        <w:spacing w:after="0" w:line="249" w:lineRule="auto"/>
        <w:tabs>
          <w:tab w:leader="none" w:pos="1119"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20"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04"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83" w:lineRule="exact"/>
        <w:rPr>
          <w:rFonts w:ascii="Times New Roman" w:cs="Times New Roman" w:eastAsia="Times New Roman" w:hAnsi="Times New Roman"/>
          <w:sz w:val="16"/>
          <w:szCs w:val="16"/>
          <w:color w:val="auto"/>
        </w:rPr>
      </w:pPr>
    </w:p>
    <w:p>
      <w:pPr>
        <w:ind w:left="1920" w:hanging="236"/>
        <w:spacing w:after="0"/>
        <w:tabs>
          <w:tab w:leader="none" w:pos="192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no product manufactured or distributed by the Company is</w:t>
      </w:r>
    </w:p>
    <w:p>
      <w:pPr>
        <w:spacing w:after="0" w:line="23" w:lineRule="exact"/>
        <w:rPr>
          <w:rFonts w:ascii="Times New Roman" w:cs="Times New Roman" w:eastAsia="Times New Roman" w:hAnsi="Times New Roman"/>
          <w:sz w:val="16"/>
          <w:szCs w:val="16"/>
          <w:color w:val="auto"/>
        </w:rPr>
      </w:pPr>
    </w:p>
    <w:p>
      <w:pPr>
        <w:jc w:val="both"/>
        <w:ind w:left="920" w:right="939" w:hanging="1"/>
        <w:spacing w:after="0" w:line="269" w:lineRule="auto"/>
        <w:tabs>
          <w:tab w:leader="none" w:pos="1112"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5.20 </w:t>
      </w:r>
      <w:r>
        <w:rPr>
          <w:rFonts w:ascii="Times New Roman" w:cs="Times New Roman" w:eastAsia="Times New Roman" w:hAnsi="Times New Roman"/>
          <w:sz w:val="16"/>
          <w:szCs w:val="16"/>
          <w:u w:val="single" w:color="auto"/>
          <w:color w:val="auto"/>
        </w:rPr>
        <w:t>Accounts Payable; Affiliate Loans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65" w:lineRule="auto"/>
        <w:tabs>
          <w:tab w:leader="none" w:pos="1921"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52"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information set forth on </w:t>
      </w:r>
      <w:r>
        <w:rPr>
          <w:rFonts w:ascii="Times New Roman" w:cs="Times New Roman" w:eastAsia="Times New Roman" w:hAnsi="Times New Roman"/>
          <w:sz w:val="16"/>
          <w:szCs w:val="16"/>
          <w:u w:val="single" w:color="auto"/>
          <w:color w:val="auto"/>
        </w:rPr>
        <w:t>Schedule 5.20(b)</w:t>
      </w:r>
      <w:r>
        <w:rPr>
          <w:rFonts w:ascii="Times New Roman" w:cs="Times New Roman" w:eastAsia="Times New Roman" w:hAnsi="Times New Roman"/>
          <w:sz w:val="16"/>
          <w:szCs w:val="16"/>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6"/>
          <w:szCs w:val="16"/>
          <w:u w:val="single" w:color="auto"/>
          <w:color w:val="auto"/>
        </w:rPr>
        <w:t>Schedule 5.20(b)</w:t>
      </w:r>
      <w:r>
        <w:rPr>
          <w:rFonts w:ascii="Times New Roman" w:cs="Times New Roman" w:eastAsia="Times New Roman" w:hAnsi="Times New Roman"/>
          <w:sz w:val="16"/>
          <w:szCs w:val="16"/>
          <w:color w:val="auto"/>
        </w:rPr>
        <w:t>, the Company is not indebted to any of its Affiliates and no Affiliates are indebted to the Company.</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5.21 </w:t>
      </w:r>
      <w:r>
        <w:rPr>
          <w:rFonts w:ascii="Times New Roman" w:cs="Times New Roman" w:eastAsia="Times New Roman" w:hAnsi="Times New Roman"/>
          <w:sz w:val="16"/>
          <w:szCs w:val="16"/>
          <w:u w:val="single" w:color="auto"/>
          <w:color w:val="auto"/>
        </w:rPr>
        <w:t>Employees; Employment Matters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9" w:lineRule="auto"/>
        <w:tabs>
          <w:tab w:leader="none" w:pos="1937"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5.21(a)</w:t>
      </w:r>
      <w:r>
        <w:rPr>
          <w:rFonts w:ascii="Times New Roman" w:cs="Times New Roman" w:eastAsia="Times New Roman" w:hAnsi="Times New Roman"/>
          <w:sz w:val="16"/>
          <w:szCs w:val="16"/>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5" w:name="page326"/>
    <w:bookmarkEnd w:id="32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4" w:lineRule="auto"/>
        <w:tabs>
          <w:tab w:leader="none" w:pos="1944"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Schedule 5.21(b</w:t>
      </w:r>
      <w:r>
        <w:rPr>
          <w:rFonts w:ascii="Times New Roman" w:cs="Times New Roman" w:eastAsia="Times New Roman" w:hAnsi="Times New Roman"/>
          <w:sz w:val="16"/>
          <w:szCs w:val="16"/>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5"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25"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94"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09"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07"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9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0"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Schedule 5.21(g)</w:t>
      </w:r>
      <w:r>
        <w:rPr>
          <w:rFonts w:ascii="Times New Roman" w:cs="Times New Roman" w:eastAsia="Times New Roman" w:hAnsi="Times New Roman"/>
          <w:sz w:val="16"/>
          <w:szCs w:val="16"/>
          <w:color w:val="auto"/>
        </w:rPr>
        <w:t>, the Company has not paid or promised to pay any bonus to any employee in connection with the consummation of the transactions contemplated hereby.</w:t>
      </w:r>
    </w:p>
    <w:p>
      <w:pPr>
        <w:spacing w:after="0" w:line="73"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5.22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xml:space="preserve">. Except as disclosed on </w:t>
      </w:r>
      <w:r>
        <w:rPr>
          <w:rFonts w:ascii="Times New Roman" w:cs="Times New Roman" w:eastAsia="Times New Roman" w:hAnsi="Times New Roman"/>
          <w:sz w:val="16"/>
          <w:szCs w:val="16"/>
          <w:u w:val="single" w:color="auto"/>
          <w:color w:val="auto"/>
        </w:rPr>
        <w:t>Schedule 5.22,</w:t>
      </w:r>
      <w:r>
        <w:rPr>
          <w:rFonts w:ascii="Times New Roman" w:cs="Times New Roman" w:eastAsia="Times New Roman" w:hAnsi="Times New Roman"/>
          <w:sz w:val="16"/>
          <w:szCs w:val="16"/>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6"/>
          <w:szCs w:val="16"/>
          <w:u w:val="single" w:color="auto"/>
          <w:color w:val="auto"/>
        </w:rPr>
        <w:t>Schedule 5.22</w:t>
      </w:r>
      <w:r>
        <w:rPr>
          <w:rFonts w:ascii="Times New Roman" w:cs="Times New Roman" w:eastAsia="Times New Roman" w:hAnsi="Times New Roman"/>
          <w:sz w:val="16"/>
          <w:szCs w:val="16"/>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5.23 </w:t>
      </w:r>
      <w:r>
        <w:rPr>
          <w:rFonts w:ascii="Times New Roman" w:cs="Times New Roman" w:eastAsia="Times New Roman" w:hAnsi="Times New Roman"/>
          <w:sz w:val="16"/>
          <w:szCs w:val="16"/>
          <w:u w:val="single" w:color="auto"/>
          <w:color w:val="auto"/>
        </w:rPr>
        <w:t>Employee Benefits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3" w:lineRule="auto"/>
        <w:tabs>
          <w:tab w:leader="none" w:pos="1901"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5.23(a)</w:t>
      </w:r>
      <w:r>
        <w:rPr>
          <w:rFonts w:ascii="Times New Roman" w:cs="Times New Roman" w:eastAsia="Times New Roman" w:hAnsi="Times New Roman"/>
          <w:sz w:val="16"/>
          <w:szCs w:val="16"/>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94" w:lineRule="exact"/>
        <w:rPr>
          <w:rFonts w:ascii="Times New Roman" w:cs="Times New Roman" w:eastAsia="Times New Roman" w:hAnsi="Times New Roman"/>
          <w:sz w:val="16"/>
          <w:szCs w:val="16"/>
          <w:color w:val="auto"/>
        </w:rPr>
      </w:pPr>
    </w:p>
    <w:p>
      <w:pPr>
        <w:ind w:left="1920" w:hanging="236"/>
        <w:spacing w:after="0"/>
        <w:tabs>
          <w:tab w:leader="none" w:pos="1920"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Plan is (i) subject to Title IV or Section 302 of ERISA or Section 412 or 4971 of the Code,</w:t>
      </w:r>
    </w:p>
    <w:p>
      <w:pPr>
        <w:spacing w:after="0" w:line="23"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19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6" w:name="page327"/>
    <w:bookmarkEnd w:id="32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3" w:lineRule="auto"/>
        <w:tabs>
          <w:tab w:leader="none" w:pos="1901" w:val="left"/>
        </w:tabs>
        <w:numPr>
          <w:ilvl w:val="1"/>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40" w:val="left"/>
        </w:tabs>
        <w:numPr>
          <w:ilvl w:val="1"/>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25" w:val="left"/>
        </w:tabs>
        <w:numPr>
          <w:ilvl w:val="1"/>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9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890" w:val="left"/>
        </w:tabs>
        <w:numPr>
          <w:ilvl w:val="1"/>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Plans provide retiree health or life insurance benefits, except as may be required by Section 4980B of the Code, Section 601 of ERISA or any other applicable Law.</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18" w:val="left"/>
        </w:tabs>
        <w:numPr>
          <w:ilvl w:val="1"/>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w:t>
      </w:r>
    </w:p>
    <w:p>
      <w:pPr>
        <w:spacing w:after="0" w:line="2" w:lineRule="exact"/>
        <w:rPr>
          <w:rFonts w:ascii="Times New Roman" w:cs="Times New Roman" w:eastAsia="Times New Roman" w:hAnsi="Times New Roman"/>
          <w:sz w:val="16"/>
          <w:szCs w:val="16"/>
          <w:color w:val="auto"/>
        </w:rPr>
      </w:pPr>
    </w:p>
    <w:p>
      <w:pPr>
        <w:jc w:val="both"/>
        <w:ind w:left="920" w:right="939" w:hanging="1"/>
        <w:spacing w:after="0" w:line="252" w:lineRule="auto"/>
        <w:tabs>
          <w:tab w:leader="none" w:pos="1199"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8"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878"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5.24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4" w:lineRule="auto"/>
        <w:tabs>
          <w:tab w:leader="none" w:pos="1907"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Schedule 5.24</w:t>
      </w:r>
      <w:r>
        <w:rPr>
          <w:rFonts w:ascii="Times New Roman" w:cs="Times New Roman" w:eastAsia="Times New Roman" w:hAnsi="Times New Roman"/>
          <w:sz w:val="16"/>
          <w:szCs w:val="16"/>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6"/>
          <w:szCs w:val="16"/>
          <w:u w:val="single" w:color="auto"/>
          <w:color w:val="auto"/>
        </w:rPr>
        <w:t>Schedule 5.24</w:t>
      </w:r>
      <w:r>
        <w:rPr>
          <w:rFonts w:ascii="Times New Roman" w:cs="Times New Roman" w:eastAsia="Times New Roman" w:hAnsi="Times New Roman"/>
          <w:sz w:val="16"/>
          <w:szCs w:val="16"/>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94"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25"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7" w:name="page328"/>
    <w:bookmarkEnd w:id="32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5.25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5.25</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6" w:lineRule="auto"/>
        <w:tabs>
          <w:tab w:leader="none" w:pos="1906"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w:t>
      </w:r>
    </w:p>
    <w:p>
      <w:pPr>
        <w:spacing w:after="0" w:line="1" w:lineRule="exact"/>
        <w:rPr>
          <w:rFonts w:ascii="Times New Roman" w:cs="Times New Roman" w:eastAsia="Times New Roman" w:hAnsi="Times New Roman"/>
          <w:sz w:val="16"/>
          <w:szCs w:val="16"/>
          <w:color w:val="auto"/>
        </w:rPr>
      </w:pPr>
    </w:p>
    <w:p>
      <w:pPr>
        <w:jc w:val="both"/>
        <w:ind w:left="920" w:right="939" w:hanging="1"/>
        <w:spacing w:after="0" w:line="249" w:lineRule="auto"/>
        <w:tabs>
          <w:tab w:leader="none" w:pos="1208"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113"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43"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8" w:name="page329"/>
    <w:bookmarkEnd w:id="32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96" w:lineRule="exact"/>
        <w:rPr>
          <w:sz w:val="20"/>
          <w:szCs w:val="20"/>
          <w:color w:val="auto"/>
        </w:rPr>
      </w:pPr>
    </w:p>
    <w:p>
      <w:pPr>
        <w:jc w:val="both"/>
        <w:ind w:left="920" w:right="939" w:firstLine="764"/>
        <w:spacing w:after="0" w:line="257" w:lineRule="auto"/>
        <w:tabs>
          <w:tab w:leader="none" w:pos="1905"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7"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01"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0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894"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 “United States real property holding corporation” within the meaning of Section 897(c)(2) of the Code at any time during the five-year period ending on the Closing Date.</w:t>
      </w:r>
    </w:p>
    <w:p>
      <w:pPr>
        <w:spacing w:after="0" w:line="8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2"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engaged in a “reportable transaction” within the meaning of United States Treasury regulations Section 1.6011-4(b).</w:t>
      </w:r>
    </w:p>
    <w:p>
      <w:pPr>
        <w:spacing w:after="0" w:line="73"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5.26 </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1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5.27 </w:t>
      </w:r>
      <w:r>
        <w:rPr>
          <w:rFonts w:ascii="Times New Roman" w:cs="Times New Roman" w:eastAsia="Times New Roman" w:hAnsi="Times New Roman"/>
          <w:sz w:val="16"/>
          <w:szCs w:val="16"/>
          <w:u w:val="single" w:color="auto"/>
          <w:color w:val="auto"/>
        </w:rPr>
        <w:t>Finders’ Fees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5.27</w:t>
      </w:r>
      <w:r>
        <w:rPr>
          <w:rFonts w:ascii="Times New Roman" w:cs="Times New Roman" w:eastAsia="Times New Roman" w:hAnsi="Times New Roman"/>
          <w:sz w:val="16"/>
          <w:szCs w:val="16"/>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02"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5.28 </w:t>
      </w:r>
      <w:r>
        <w:rPr>
          <w:rFonts w:ascii="Times New Roman" w:cs="Times New Roman" w:eastAsia="Times New Roman" w:hAnsi="Times New Roman"/>
          <w:sz w:val="16"/>
          <w:szCs w:val="16"/>
          <w:u w:val="single" w:color="auto"/>
          <w:color w:val="auto"/>
        </w:rPr>
        <w:t>Powers of Attorney and Suretyships</w:t>
      </w:r>
      <w:r>
        <w:rPr>
          <w:rFonts w:ascii="Times New Roman" w:cs="Times New Roman" w:eastAsia="Times New Roman" w:hAnsi="Times New Roman"/>
          <w:sz w:val="16"/>
          <w:szCs w:val="16"/>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90"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5.29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Schedule 5.29</w:t>
      </w:r>
      <w:r>
        <w:rPr>
          <w:rFonts w:ascii="Times New Roman" w:cs="Times New Roman" w:eastAsia="Times New Roman" w:hAnsi="Times New Roman"/>
          <w:sz w:val="16"/>
          <w:szCs w:val="16"/>
          <w:color w:val="auto"/>
        </w:rPr>
        <w:t xml:space="preserve"> sets forth a true, correct and complete list of all directors and officers of the Company.</w:t>
      </w:r>
    </w:p>
    <w:p>
      <w:pPr>
        <w:spacing w:after="0" w:line="85"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5.30 </w:t>
      </w:r>
      <w:r>
        <w:rPr>
          <w:rFonts w:ascii="Times New Roman" w:cs="Times New Roman" w:eastAsia="Times New Roman" w:hAnsi="Times New Roman"/>
          <w:sz w:val="16"/>
          <w:szCs w:val="16"/>
          <w:u w:val="single" w:color="auto"/>
          <w:color w:val="auto"/>
        </w:rPr>
        <w:t>Anti-Money Laundering Laws</w:t>
      </w:r>
      <w:r>
        <w:rPr>
          <w:rFonts w:ascii="Times New Roman" w:cs="Times New Roman" w:eastAsia="Times New Roman" w:hAnsi="Times New Roman"/>
          <w:sz w:val="16"/>
          <w:szCs w:val="16"/>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6"/>
          <w:szCs w:val="16"/>
          <w:u w:val="single" w:color="auto"/>
          <w:color w:val="auto"/>
        </w:rPr>
        <w:t>Money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Laundering Laws</w:t>
      </w:r>
      <w:r>
        <w:rPr>
          <w:rFonts w:ascii="Times New Roman" w:cs="Times New Roman" w:eastAsia="Times New Roman" w:hAnsi="Times New Roman"/>
          <w:sz w:val="16"/>
          <w:szCs w:val="16"/>
          <w:color w:val="auto"/>
        </w:rPr>
        <w:t>”), and no Action involving the Company with respect to the Money Laundering Laws is pending or, to the Knowledge of the Company, threatened.</w:t>
      </w:r>
    </w:p>
    <w:p>
      <w:pPr>
        <w:spacing w:after="0" w:line="10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5.31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All forms of insurance owned or held by and insuring the Company are set forth on </w:t>
      </w:r>
      <w:r>
        <w:rPr>
          <w:rFonts w:ascii="Times New Roman" w:cs="Times New Roman" w:eastAsia="Times New Roman" w:hAnsi="Times New Roman"/>
          <w:sz w:val="16"/>
          <w:szCs w:val="16"/>
          <w:u w:val="single" w:color="auto"/>
          <w:color w:val="auto"/>
        </w:rPr>
        <w:t>Schedule 5.31</w:t>
      </w:r>
      <w:r>
        <w:rPr>
          <w:rFonts w:ascii="Times New Roman" w:cs="Times New Roman" w:eastAsia="Times New Roman" w:hAnsi="Times New Roman"/>
          <w:sz w:val="16"/>
          <w:szCs w:val="16"/>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9" w:name="page330"/>
    <w:bookmarkEnd w:id="32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07"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5.32 </w:t>
      </w:r>
      <w:r>
        <w:rPr>
          <w:rFonts w:ascii="Times New Roman" w:cs="Times New Roman" w:eastAsia="Times New Roman" w:hAnsi="Times New Roman"/>
          <w:sz w:val="16"/>
          <w:szCs w:val="16"/>
          <w:u w:val="single" w:color="auto"/>
          <w:color w:val="auto"/>
        </w:rPr>
        <w:t>Related Party Transactions</w:t>
      </w:r>
      <w:r>
        <w:rPr>
          <w:rFonts w:ascii="Times New Roman" w:cs="Times New Roman" w:eastAsia="Times New Roman" w:hAnsi="Times New Roman"/>
          <w:sz w:val="16"/>
          <w:szCs w:val="16"/>
          <w:color w:val="auto"/>
        </w:rPr>
        <w:t xml:space="preserve">. Except as set forth in </w:t>
      </w:r>
      <w:r>
        <w:rPr>
          <w:rFonts w:ascii="Times New Roman" w:cs="Times New Roman" w:eastAsia="Times New Roman" w:hAnsi="Times New Roman"/>
          <w:sz w:val="16"/>
          <w:szCs w:val="16"/>
          <w:u w:val="single" w:color="auto"/>
          <w:color w:val="auto"/>
        </w:rPr>
        <w:t>Schedule 5.32</w:t>
      </w:r>
      <w:r>
        <w:rPr>
          <w:rFonts w:ascii="Times New Roman" w:cs="Times New Roman" w:eastAsia="Times New Roman" w:hAnsi="Times New Roman"/>
          <w:sz w:val="16"/>
          <w:szCs w:val="16"/>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6"/>
          <w:szCs w:val="16"/>
          <w:u w:val="single" w:color="auto"/>
          <w:color w:val="auto"/>
        </w:rPr>
        <w:t>Affiliate Transaction</w:t>
      </w:r>
      <w:r>
        <w:rPr>
          <w:rFonts w:ascii="Times New Roman" w:cs="Times New Roman" w:eastAsia="Times New Roman" w:hAnsi="Times New Roman"/>
          <w:sz w:val="16"/>
          <w:szCs w:val="16"/>
          <w:color w:val="auto"/>
        </w:rPr>
        <w:t xml:space="preserve">”). None of the Contracts listed in </w:t>
      </w:r>
      <w:r>
        <w:rPr>
          <w:rFonts w:ascii="Times New Roman" w:cs="Times New Roman" w:eastAsia="Times New Roman" w:hAnsi="Times New Roman"/>
          <w:sz w:val="16"/>
          <w:szCs w:val="16"/>
          <w:u w:val="single" w:color="auto"/>
          <w:color w:val="auto"/>
        </w:rPr>
        <w:t>Schedule 5.32</w:t>
      </w:r>
      <w:r>
        <w:rPr>
          <w:rFonts w:ascii="Times New Roman" w:cs="Times New Roman" w:eastAsia="Times New Roman" w:hAnsi="Times New Roman"/>
          <w:sz w:val="16"/>
          <w:szCs w:val="16"/>
          <w:color w:val="auto"/>
        </w:rPr>
        <w:t xml:space="preserve"> was entered into on a basis other than on arm’s length.</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REPRESENTATIONS AND WARRANTIES OF PARENT AND MERGER SUB</w:t>
      </w:r>
    </w:p>
    <w:p>
      <w:pPr>
        <w:spacing w:after="0" w:line="12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6"/>
          <w:szCs w:val="16"/>
          <w:u w:val="single" w:color="auto"/>
          <w:color w:val="auto"/>
        </w:rPr>
        <w:t>Parent Parties</w:t>
      </w:r>
      <w:r>
        <w:rPr>
          <w:rFonts w:ascii="Times New Roman" w:cs="Times New Roman" w:eastAsia="Times New Roman" w:hAnsi="Times New Roman"/>
          <w:sz w:val="16"/>
          <w:szCs w:val="16"/>
          <w:color w:val="auto"/>
        </w:rPr>
        <w:t>”) hereby represent and warrant to the Company that each of the following representations and warranties are true, correct and complete as of the date of this Agreement and as of the Closing Date:</w:t>
      </w:r>
    </w:p>
    <w:p>
      <w:pPr>
        <w:spacing w:after="0" w:line="9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Corporate Existence and Power</w:t>
      </w:r>
      <w:r>
        <w:rPr>
          <w:rFonts w:ascii="Times New Roman" w:cs="Times New Roman" w:eastAsia="Times New Roman" w:hAnsi="Times New Roman"/>
          <w:sz w:val="16"/>
          <w:szCs w:val="16"/>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02" w:lineRule="exact"/>
        <w:rPr>
          <w:sz w:val="20"/>
          <w:szCs w:val="20"/>
          <w:color w:val="auto"/>
        </w:rPr>
      </w:pPr>
    </w:p>
    <w:p>
      <w:pPr>
        <w:jc w:val="both"/>
        <w:ind w:left="920" w:right="939" w:firstLine="382"/>
        <w:spacing w:after="0" w:line="269"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u w:val="single" w:color="auto"/>
          <w:color w:val="auto"/>
        </w:rPr>
        <w:t>Corporate Authorization</w:t>
      </w:r>
      <w:r>
        <w:rPr>
          <w:rFonts w:ascii="Times New Roman" w:cs="Times New Roman" w:eastAsia="Times New Roman" w:hAnsi="Times New Roman"/>
          <w:sz w:val="15"/>
          <w:szCs w:val="15"/>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5"/>
          <w:szCs w:val="15"/>
          <w:u w:val="single" w:color="auto"/>
          <w:color w:val="auto"/>
        </w:rPr>
        <w:t>Parent Stockholder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Approval</w:t>
      </w:r>
      <w:r>
        <w:rPr>
          <w:rFonts w:ascii="Times New Roman" w:cs="Times New Roman" w:eastAsia="Times New Roman" w:hAnsi="Times New Roman"/>
          <w:sz w:val="15"/>
          <w:szCs w:val="15"/>
          <w:color w:val="auto"/>
        </w:rPr>
        <w:t>”), is the only vote of the holders of any of Parent’s capital stock necessary to adopt this Agreement and approve the Merger and the consummation of the other transactions contemplated hereby.</w:t>
      </w:r>
    </w:p>
    <w:p>
      <w:pPr>
        <w:spacing w:after="0" w:line="102" w:lineRule="exact"/>
        <w:rPr>
          <w:sz w:val="20"/>
          <w:szCs w:val="20"/>
          <w:color w:val="auto"/>
        </w:rPr>
      </w:pPr>
    </w:p>
    <w:p>
      <w:pPr>
        <w:jc w:val="both"/>
        <w:ind w:left="920" w:right="939" w:firstLine="382"/>
        <w:spacing w:after="0" w:line="282" w:lineRule="auto"/>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u w:val="single" w:color="auto"/>
          <w:color w:val="auto"/>
        </w:rPr>
        <w:t>Governmental Authorization</w:t>
      </w:r>
      <w:r>
        <w:rPr>
          <w:rFonts w:ascii="Times New Roman" w:cs="Times New Roman" w:eastAsia="Times New Roman" w:hAnsi="Times New Roman"/>
          <w:sz w:val="15"/>
          <w:szCs w:val="15"/>
          <w:color w:val="auto"/>
        </w:rPr>
        <w:t xml:space="preserve">. Assuming the accuracy of the representations and warranties set forth in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74"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Non-Contravention</w:t>
      </w:r>
      <w:r>
        <w:rPr>
          <w:rFonts w:ascii="Times New Roman" w:cs="Times New Roman" w:eastAsia="Times New Roman" w:hAnsi="Times New Roman"/>
          <w:sz w:val="16"/>
          <w:szCs w:val="16"/>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0" w:name="page331"/>
    <w:bookmarkEnd w:id="33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Finders’ Fees</w:t>
      </w:r>
      <w:r>
        <w:rPr>
          <w:rFonts w:ascii="Times New Roman" w:cs="Times New Roman" w:eastAsia="Times New Roman" w:hAnsi="Times New Roman"/>
          <w:sz w:val="16"/>
          <w:szCs w:val="16"/>
          <w:color w:val="auto"/>
        </w:rPr>
        <w:t xml:space="preserve">. Except for the Persons identified on </w:t>
      </w:r>
      <w:r>
        <w:rPr>
          <w:rFonts w:ascii="Times New Roman" w:cs="Times New Roman" w:eastAsia="Times New Roman" w:hAnsi="Times New Roman"/>
          <w:sz w:val="16"/>
          <w:szCs w:val="16"/>
          <w:u w:val="single" w:color="auto"/>
          <w:color w:val="auto"/>
        </w:rPr>
        <w:t>Schedule 5.27</w:t>
      </w:r>
      <w:r>
        <w:rPr>
          <w:rFonts w:ascii="Times New Roman" w:cs="Times New Roman" w:eastAsia="Times New Roman" w:hAnsi="Times New Roman"/>
          <w:sz w:val="16"/>
          <w:szCs w:val="16"/>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02"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The Closing Payment Shares, when issued in accordance with this Agreement, will be duly authorized and validly issued, and will be fully paid and nonassessable.</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6.7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2" w:lineRule="auto"/>
        <w:tabs>
          <w:tab w:leader="none" w:pos="1913"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6"/>
          <w:szCs w:val="16"/>
          <w:u w:val="single" w:color="auto"/>
          <w:color w:val="auto"/>
        </w:rPr>
        <w:t>Parent Preferred Stock</w:t>
      </w:r>
      <w:r>
        <w:rPr>
          <w:rFonts w:ascii="Times New Roman" w:cs="Times New Roman" w:eastAsia="Times New Roman" w:hAnsi="Times New Roman"/>
          <w:sz w:val="16"/>
          <w:szCs w:val="16"/>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07"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27"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Sub is authorized to issue 100 shares, par value $0.0001 per share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10"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6.8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95"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u w:val="single" w:color="auto"/>
          <w:color w:val="auto"/>
        </w:rPr>
        <w:t>Trust Fund</w:t>
      </w:r>
      <w:r>
        <w:rPr>
          <w:rFonts w:ascii="Times New Roman" w:cs="Times New Roman" w:eastAsia="Times New Roman" w:hAnsi="Times New Roman"/>
          <w:sz w:val="16"/>
          <w:szCs w:val="16"/>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6"/>
          <w:szCs w:val="16"/>
          <w:u w:val="single" w:color="auto"/>
          <w:color w:val="auto"/>
        </w:rPr>
        <w:t>Trust Fund</w:t>
      </w:r>
      <w:r>
        <w:rPr>
          <w:rFonts w:ascii="Times New Roman" w:cs="Times New Roman" w:eastAsia="Times New Roman" w:hAnsi="Times New Roman"/>
          <w:sz w:val="16"/>
          <w:szCs w:val="16"/>
          <w:color w:val="auto"/>
        </w:rPr>
        <w:t>”) in a trust account (the “</w:t>
      </w:r>
      <w:r>
        <w:rPr>
          <w:rFonts w:ascii="Times New Roman" w:cs="Times New Roman" w:eastAsia="Times New Roman" w:hAnsi="Times New Roman"/>
          <w:sz w:val="16"/>
          <w:szCs w:val="16"/>
          <w:u w:val="single" w:color="auto"/>
          <w:color w:val="auto"/>
        </w:rPr>
        <w:t>Trust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Account</w:t>
      </w:r>
      <w:r>
        <w:rPr>
          <w:rFonts w:ascii="Times New Roman" w:cs="Times New Roman" w:eastAsia="Times New Roman" w:hAnsi="Times New Roman"/>
          <w:sz w:val="16"/>
          <w:szCs w:val="16"/>
          <w:color w:val="auto"/>
        </w:rPr>
        <w:t>”) maintained by Continental Stock Transfer &amp; Trust Company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6"/>
          <w:szCs w:val="16"/>
          <w:u w:val="single" w:color="auto"/>
          <w:color w:val="auto"/>
        </w:rPr>
        <w:t>Trust Agreement</w:t>
      </w:r>
      <w:r>
        <w:rPr>
          <w:rFonts w:ascii="Times New Roman" w:cs="Times New Roman" w:eastAsia="Times New Roman" w:hAnsi="Times New Roman"/>
          <w:sz w:val="16"/>
          <w:szCs w:val="16"/>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31" w:name="page332"/>
    <w:bookmarkEnd w:id="33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6.10 </w:t>
      </w: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Parent Class A Shares are listed on Nasdaq, with trading ticker “FSDC.”</w:t>
      </w:r>
    </w:p>
    <w:p>
      <w:pPr>
        <w:spacing w:after="0" w:line="115"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Board Approval</w:t>
      </w:r>
      <w:r>
        <w:rPr>
          <w:rFonts w:ascii="Times New Roman" w:cs="Times New Roman" w:eastAsia="Times New Roman" w:hAnsi="Times New Roman"/>
          <w:sz w:val="16"/>
          <w:szCs w:val="16"/>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6"/>
          <w:szCs w:val="16"/>
          <w:u w:val="single" w:color="auto"/>
          <w:color w:val="auto"/>
        </w:rPr>
        <w:t>Parent Board Recommendation</w:t>
      </w:r>
      <w:r>
        <w:rPr>
          <w:rFonts w:ascii="Times New Roman" w:cs="Times New Roman" w:eastAsia="Times New Roman" w:hAnsi="Times New Roman"/>
          <w:sz w:val="16"/>
          <w:szCs w:val="16"/>
          <w:color w:val="auto"/>
        </w:rPr>
        <w:t>”).</w:t>
      </w:r>
    </w:p>
    <w:p>
      <w:pPr>
        <w:spacing w:after="0" w:line="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6.12 </w:t>
      </w:r>
      <w:r>
        <w:rPr>
          <w:rFonts w:ascii="Times New Roman" w:cs="Times New Roman" w:eastAsia="Times New Roman" w:hAnsi="Times New Roman"/>
          <w:sz w:val="16"/>
          <w:szCs w:val="16"/>
          <w:u w:val="single" w:color="auto"/>
          <w:color w:val="auto"/>
        </w:rPr>
        <w:t>Parent SEC Documents and Financial Statements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1" w:lineRule="auto"/>
        <w:tabs>
          <w:tab w:leader="none" w:pos="1901"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6"/>
          <w:szCs w:val="16"/>
          <w:u w:val="single" w:color="auto"/>
          <w:color w:val="auto"/>
        </w:rPr>
        <w:t>Additional Parent SEC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Documents</w:t>
      </w:r>
      <w:r>
        <w:rPr>
          <w:rFonts w:ascii="Times New Roman" w:cs="Times New Roman" w:eastAsia="Times New Roman" w:hAnsi="Times New Roman"/>
          <w:sz w:val="16"/>
          <w:szCs w:val="16"/>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6"/>
          <w:szCs w:val="16"/>
          <w:u w:val="single" w:color="auto"/>
          <w:color w:val="auto"/>
        </w:rPr>
        <w:t>Section 6.12</w:t>
      </w:r>
      <w:r>
        <w:rPr>
          <w:rFonts w:ascii="Times New Roman" w:cs="Times New Roman" w:eastAsia="Times New Roman" w:hAnsi="Times New Roman"/>
          <w:sz w:val="16"/>
          <w:szCs w:val="16"/>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 Documents</w:t>
      </w:r>
      <w:r>
        <w:rPr>
          <w:rFonts w:ascii="Times New Roman" w:cs="Times New Roman" w:eastAsia="Times New Roman" w:hAnsi="Times New Roman"/>
          <w:sz w:val="16"/>
          <w:szCs w:val="16"/>
          <w:color w:val="auto"/>
        </w:rPr>
        <w:t>”).</w:t>
      </w:r>
    </w:p>
    <w:p>
      <w:pPr>
        <w:spacing w:after="0" w:line="86"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18"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foregoing does not apply to statements in or omissions in any information supplied or to be supplied by the Company expressly for inclusion or incorporation by reference in the SEC Statement or Other Filing.</w:t>
      </w:r>
    </w:p>
    <w:p>
      <w:pPr>
        <w:spacing w:after="0" w:line="8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04"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used in this </w:t>
      </w:r>
      <w:r>
        <w:rPr>
          <w:rFonts w:ascii="Times New Roman" w:cs="Times New Roman" w:eastAsia="Times New Roman" w:hAnsi="Times New Roman"/>
          <w:sz w:val="16"/>
          <w:szCs w:val="16"/>
          <w:u w:val="single" w:color="auto"/>
          <w:color w:val="auto"/>
        </w:rPr>
        <w:t>Section 6.12</w:t>
      </w:r>
      <w:r>
        <w:rPr>
          <w:rFonts w:ascii="Times New Roman" w:cs="Times New Roman" w:eastAsia="Times New Roman" w:hAnsi="Times New Roman"/>
          <w:sz w:val="16"/>
          <w:szCs w:val="16"/>
          <w:color w:val="auto"/>
        </w:rPr>
        <w:t>, the term “file” shall be broadly construed to include any manner in which a document or information is furnished, supplied or otherwise made available to the SEC.</w:t>
      </w:r>
    </w:p>
    <w:p>
      <w:pPr>
        <w:spacing w:after="0" w:line="73"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6.13 </w:t>
      </w:r>
      <w:r>
        <w:rPr>
          <w:rFonts w:ascii="Times New Roman" w:cs="Times New Roman" w:eastAsia="Times New Roman" w:hAnsi="Times New Roman"/>
          <w:sz w:val="16"/>
          <w:szCs w:val="16"/>
          <w:u w:val="single" w:color="auto"/>
          <w:color w:val="auto"/>
        </w:rPr>
        <w:t>Certain Business Practices</w:t>
      </w:r>
      <w:r>
        <w:rPr>
          <w:rFonts w:ascii="Times New Roman" w:cs="Times New Roman" w:eastAsia="Times New Roman" w:hAnsi="Times New Roman"/>
          <w:sz w:val="16"/>
          <w:szCs w:val="16"/>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w:t>
      </w:r>
    </w:p>
    <w:p>
      <w:pPr>
        <w:spacing w:after="0" w:line="5" w:lineRule="exact"/>
        <w:rPr>
          <w:sz w:val="20"/>
          <w:szCs w:val="20"/>
          <w:color w:val="auto"/>
        </w:rPr>
      </w:pPr>
    </w:p>
    <w:p>
      <w:pPr>
        <w:ind w:left="920" w:right="939" w:hanging="1"/>
        <w:spacing w:after="0" w:line="258" w:lineRule="auto"/>
        <w:tabs>
          <w:tab w:leader="none" w:pos="1114"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adversely affect the business or prospects of Parent and (ii) subject Parent to suit or penalty in any private or governmental 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2" w:name="page333"/>
    <w:bookmarkEnd w:id="33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6.14 </w:t>
      </w:r>
      <w:r>
        <w:rPr>
          <w:rFonts w:ascii="Times New Roman" w:cs="Times New Roman" w:eastAsia="Times New Roman" w:hAnsi="Times New Roman"/>
          <w:sz w:val="16"/>
          <w:szCs w:val="16"/>
          <w:u w:val="single" w:color="auto"/>
          <w:color w:val="auto"/>
        </w:rPr>
        <w:t>Anti-Money Laundering Laws</w:t>
      </w:r>
      <w:r>
        <w:rPr>
          <w:rFonts w:ascii="Times New Roman" w:cs="Times New Roman" w:eastAsia="Times New Roman" w:hAnsi="Times New Roman"/>
          <w:sz w:val="16"/>
          <w:szCs w:val="16"/>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96"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6.15 </w:t>
      </w:r>
      <w:r>
        <w:rPr>
          <w:rFonts w:ascii="Times New Roman" w:cs="Times New Roman" w:eastAsia="Times New Roman" w:hAnsi="Times New Roman"/>
          <w:sz w:val="16"/>
          <w:szCs w:val="16"/>
          <w:u w:val="single" w:color="auto"/>
          <w:color w:val="auto"/>
        </w:rPr>
        <w:t>Affiliate Transactions</w:t>
      </w:r>
      <w:r>
        <w:rPr>
          <w:rFonts w:ascii="Times New Roman" w:cs="Times New Roman" w:eastAsia="Times New Roman" w:hAnsi="Times New Roman"/>
          <w:sz w:val="16"/>
          <w:szCs w:val="16"/>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02"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6.16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94"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6.17 </w:t>
      </w:r>
      <w:r>
        <w:rPr>
          <w:rFonts w:ascii="Times New Roman" w:cs="Times New Roman" w:eastAsia="Times New Roman" w:hAnsi="Times New Roman"/>
          <w:sz w:val="16"/>
          <w:szCs w:val="16"/>
          <w:u w:val="single" w:color="auto"/>
          <w:color w:val="auto"/>
        </w:rPr>
        <w:t>Expenses, Indebtedness and Other Liabilities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6.17</w:t>
      </w:r>
      <w:r>
        <w:rPr>
          <w:rFonts w:ascii="Times New Roman" w:cs="Times New Roman" w:eastAsia="Times New Roman" w:hAnsi="Times New Roman"/>
          <w:sz w:val="16"/>
          <w:szCs w:val="16"/>
          <w:color w:val="auto"/>
        </w:rPr>
        <w:t>, Parent does not have any Indebtedness or other liabilities.</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6.18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6.18</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77" w:lineRule="auto"/>
        <w:tabs>
          <w:tab w:leader="none" w:pos="1902" w:val="left"/>
        </w:tabs>
        <w:numPr>
          <w:ilvl w:val="1"/>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Parent has duly and timely filed all income and other material Tax Returns which are required to be filed by or with respect to it, and has paid all income and other material Taxes which have become due;</w:t>
      </w:r>
    </w:p>
    <w:p>
      <w:pPr>
        <w:jc w:val="both"/>
        <w:ind w:left="920" w:right="939" w:hanging="1"/>
        <w:spacing w:after="0" w:line="266" w:lineRule="auto"/>
        <w:tabs>
          <w:tab w:leader="none" w:pos="1173"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w:t>
      </w:r>
    </w:p>
    <w:p>
      <w:pPr>
        <w:jc w:val="both"/>
        <w:ind w:left="920" w:right="939" w:hanging="1"/>
        <w:spacing w:after="0" w:line="249" w:lineRule="auto"/>
        <w:tabs>
          <w:tab w:leader="none" w:pos="1284"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108"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16" w:val="left"/>
        </w:tabs>
        <w:numPr>
          <w:ilvl w:val="1"/>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3" w:name="page334"/>
    <w:bookmarkEnd w:id="33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07" w:lineRule="exact"/>
        <w:rPr>
          <w:sz w:val="20"/>
          <w:szCs w:val="20"/>
          <w:color w:val="auto"/>
        </w:rPr>
      </w:pPr>
    </w:p>
    <w:p>
      <w:pPr>
        <w:jc w:val="both"/>
        <w:ind w:left="920" w:right="939" w:firstLine="764"/>
        <w:spacing w:after="0" w:line="273" w:lineRule="auto"/>
        <w:tabs>
          <w:tab w:leader="none" w:pos="1901" w:val="left"/>
        </w:tabs>
        <w:numPr>
          <w:ilvl w:val="1"/>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w:t>
      </w:r>
    </w:p>
    <w:p>
      <w:pPr>
        <w:spacing w:after="0" w:line="1" w:lineRule="exact"/>
        <w:rPr>
          <w:rFonts w:ascii="Times New Roman" w:cs="Times New Roman" w:eastAsia="Times New Roman" w:hAnsi="Times New Roman"/>
          <w:sz w:val="15"/>
          <w:szCs w:val="15"/>
          <w:color w:val="auto"/>
        </w:rPr>
      </w:pPr>
    </w:p>
    <w:p>
      <w:pPr>
        <w:ind w:left="920" w:right="939" w:hanging="1"/>
        <w:spacing w:after="0" w:line="258" w:lineRule="auto"/>
        <w:tabs>
          <w:tab w:leader="none" w:pos="1158"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exceed that reserve as adjusted for the passage of time through the Closing Date in accordance with the past custom and practice of Parent in filing its Tax Return.</w:t>
      </w:r>
    </w:p>
    <w:p>
      <w:pPr>
        <w:spacing w:after="0" w:line="101"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23"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0"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9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31"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is not a “United States real property holding corporation” within the meaning of Section 897(c)(2) of the Code at any time during the five-year period ending on the Closing Date.</w:t>
      </w:r>
    </w:p>
    <w:p>
      <w:pPr>
        <w:spacing w:after="0" w:line="8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48"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not engaged in a “reportable transaction” within the meaning of United States Treasury regulations Section 1.6011-4(b).</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COVENANTS OF THE PARTIES PENDING CLOSING</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Conduct of the Business</w:t>
      </w:r>
      <w:r>
        <w:rPr>
          <w:rFonts w:ascii="Times New Roman" w:cs="Times New Roman" w:eastAsia="Times New Roman" w:hAnsi="Times New Roman"/>
          <w:sz w:val="16"/>
          <w:szCs w:val="16"/>
          <w:color w:val="auto"/>
        </w:rPr>
        <w:t>. Each of the Company and Parent covenants and agrees that:</w:t>
      </w:r>
    </w:p>
    <w:p>
      <w:pPr>
        <w:spacing w:after="0" w:line="139" w:lineRule="exact"/>
        <w:rPr>
          <w:sz w:val="20"/>
          <w:szCs w:val="20"/>
          <w:color w:val="auto"/>
        </w:rPr>
      </w:pPr>
    </w:p>
    <w:p>
      <w:pPr>
        <w:jc w:val="both"/>
        <w:ind w:left="920" w:right="939" w:firstLine="764"/>
        <w:spacing w:after="0" w:line="253" w:lineRule="auto"/>
        <w:tabs>
          <w:tab w:leader="none" w:pos="1919"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06"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495"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modify or supplement its certificate of incorporation or bylaws or other organizational or governing documents, or engage in any reorganization, reclassification, liquidation, dissolution or similar transaction;</w:t>
      </w:r>
    </w:p>
    <w:p>
      <w:pPr>
        <w:spacing w:after="0" w:line="83"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518"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95" w:lineRule="exact"/>
        <w:rPr>
          <w:rFonts w:ascii="Times New Roman" w:cs="Times New Roman" w:eastAsia="Times New Roman" w:hAnsi="Times New Roman"/>
          <w:sz w:val="16"/>
          <w:szCs w:val="16"/>
          <w:color w:val="auto"/>
        </w:rPr>
      </w:pPr>
    </w:p>
    <w:p>
      <w:pPr>
        <w:jc w:val="both"/>
        <w:ind w:left="1300" w:right="939" w:firstLine="957"/>
        <w:spacing w:after="0" w:line="259" w:lineRule="auto"/>
        <w:tabs>
          <w:tab w:leader="none" w:pos="2583"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02" w:lineRule="exact"/>
        <w:rPr>
          <w:rFonts w:ascii="Times New Roman" w:cs="Times New Roman" w:eastAsia="Times New Roman" w:hAnsi="Times New Roman"/>
          <w:sz w:val="16"/>
          <w:szCs w:val="16"/>
          <w:color w:val="auto"/>
        </w:rPr>
      </w:pPr>
    </w:p>
    <w:p>
      <w:pPr>
        <w:ind w:left="4100" w:right="939" w:hanging="1843"/>
        <w:spacing w:after="0" w:line="483" w:lineRule="auto"/>
        <w:tabs>
          <w:tab w:leader="none" w:pos="2519"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capital expenditures in excess of $200,000 (individually or in the aggregate); 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-117475</wp:posOffset>
            </wp:positionV>
            <wp:extent cx="455295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4" w:name="page335"/>
    <w:bookmarkEnd w:id="33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300" w:right="939" w:firstLine="957"/>
        <w:spacing w:after="0" w:line="265" w:lineRule="auto"/>
        <w:tabs>
          <w:tab w:leader="none" w:pos="2522" w:val="left"/>
        </w:tabs>
        <w:numPr>
          <w:ilvl w:val="1"/>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95" w:lineRule="exact"/>
        <w:rPr>
          <w:rFonts w:ascii="Times New Roman" w:cs="Times New Roman" w:eastAsia="Times New Roman" w:hAnsi="Times New Roman"/>
          <w:sz w:val="16"/>
          <w:szCs w:val="16"/>
          <w:color w:val="auto"/>
        </w:rPr>
      </w:pPr>
    </w:p>
    <w:p>
      <w:pPr>
        <w:jc w:val="both"/>
        <w:ind w:left="1300" w:right="939" w:firstLine="957"/>
        <w:spacing w:after="0" w:line="254" w:lineRule="auto"/>
        <w:tabs>
          <w:tab w:leader="none" w:pos="2532" w:val="left"/>
        </w:tabs>
        <w:numPr>
          <w:ilvl w:val="1"/>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06" w:lineRule="exact"/>
        <w:rPr>
          <w:rFonts w:ascii="Times New Roman" w:cs="Times New Roman" w:eastAsia="Times New Roman" w:hAnsi="Times New Roman"/>
          <w:sz w:val="16"/>
          <w:szCs w:val="16"/>
          <w:color w:val="auto"/>
        </w:rPr>
      </w:pPr>
    </w:p>
    <w:p>
      <w:pPr>
        <w:jc w:val="both"/>
        <w:ind w:left="1300" w:right="939" w:firstLine="957"/>
        <w:spacing w:after="0" w:line="256" w:lineRule="auto"/>
        <w:tabs>
          <w:tab w:leader="none" w:pos="2601" w:val="left"/>
        </w:tabs>
        <w:numPr>
          <w:ilvl w:val="1"/>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spacing w:after="0" w:line="1" w:lineRule="exact"/>
        <w:rPr>
          <w:rFonts w:ascii="Times New Roman" w:cs="Times New Roman" w:eastAsia="Times New Roman" w:hAnsi="Times New Roman"/>
          <w:sz w:val="16"/>
          <w:szCs w:val="16"/>
          <w:color w:val="auto"/>
        </w:rPr>
      </w:pPr>
    </w:p>
    <w:p>
      <w:pPr>
        <w:jc w:val="both"/>
        <w:ind w:left="1300" w:right="939" w:firstLine="1"/>
        <w:spacing w:after="0" w:line="254" w:lineRule="auto"/>
        <w:tabs>
          <w:tab w:leader="none" w:pos="1549"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92" w:lineRule="exact"/>
        <w:rPr>
          <w:rFonts w:ascii="Times New Roman" w:cs="Times New Roman" w:eastAsia="Times New Roman" w:hAnsi="Times New Roman"/>
          <w:sz w:val="16"/>
          <w:szCs w:val="16"/>
          <w:color w:val="auto"/>
        </w:rPr>
      </w:pPr>
    </w:p>
    <w:p>
      <w:pPr>
        <w:ind w:left="2620" w:hanging="363"/>
        <w:spacing w:after="0"/>
        <w:tabs>
          <w:tab w:leader="none" w:pos="2620"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suffer or incur any Lien, except for Permitted Liens, on the Company’s or Parent’s, as</w:t>
      </w:r>
    </w:p>
    <w:p>
      <w:pPr>
        <w:spacing w:after="0" w:line="35"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applicable, assets;</w:t>
      </w:r>
    </w:p>
    <w:p>
      <w:pPr>
        <w:spacing w:after="0" w:line="121" w:lineRule="exact"/>
        <w:rPr>
          <w:rFonts w:ascii="Times New Roman" w:cs="Times New Roman" w:eastAsia="Times New Roman" w:hAnsi="Times New Roman"/>
          <w:sz w:val="15"/>
          <w:szCs w:val="15"/>
          <w:color w:val="auto"/>
        </w:rPr>
      </w:pPr>
    </w:p>
    <w:p>
      <w:pPr>
        <w:jc w:val="both"/>
        <w:ind w:left="1300" w:right="939" w:firstLine="957"/>
        <w:spacing w:after="0" w:line="265" w:lineRule="auto"/>
        <w:tabs>
          <w:tab w:leader="none" w:pos="2528"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accelerate or cancel, or waive any material right with respect to, any receivables or Indebtedness owed to the Company or Parent, as applicable, or write off or make reserves against the same;</w:t>
      </w:r>
    </w:p>
    <w:p>
      <w:pPr>
        <w:spacing w:after="0" w:line="95"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492"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 or consolidate or enter a similar transaction with, or acquire all or substantially all of the assets or business of, any other Person; make any material investment in any Person; or be acquired by any other Person;</w:t>
      </w:r>
    </w:p>
    <w:p>
      <w:pPr>
        <w:spacing w:after="0" w:line="83" w:lineRule="exact"/>
        <w:rPr>
          <w:rFonts w:ascii="Times New Roman" w:cs="Times New Roman" w:eastAsia="Times New Roman" w:hAnsi="Times New Roman"/>
          <w:sz w:val="16"/>
          <w:szCs w:val="16"/>
          <w:color w:val="auto"/>
        </w:rPr>
      </w:pPr>
    </w:p>
    <w:p>
      <w:pPr>
        <w:jc w:val="both"/>
        <w:ind w:left="1300" w:right="939" w:firstLine="957"/>
        <w:spacing w:after="0" w:line="257" w:lineRule="auto"/>
        <w:tabs>
          <w:tab w:leader="none" w:pos="2540"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02"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594"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any severance, retention or other employee plan or fail to continue to make timely contributions to each benefit plan in accordance with the terms thereof;</w:t>
      </w:r>
    </w:p>
    <w:p>
      <w:pPr>
        <w:spacing w:after="0" w:line="84" w:lineRule="exact"/>
        <w:rPr>
          <w:rFonts w:ascii="Times New Roman" w:cs="Times New Roman" w:eastAsia="Times New Roman" w:hAnsi="Times New Roman"/>
          <w:sz w:val="16"/>
          <w:szCs w:val="16"/>
          <w:color w:val="auto"/>
        </w:rPr>
      </w:pPr>
    </w:p>
    <w:p>
      <w:pPr>
        <w:jc w:val="both"/>
        <w:ind w:left="1300" w:right="939" w:firstLine="957"/>
        <w:spacing w:after="0" w:line="265" w:lineRule="auto"/>
        <w:tabs>
          <w:tab w:leader="none" w:pos="2636"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institute, settle or agree to settle any Action before any Authority, in each case in excess of $100,000 (exclusive of any amounts covered by insurance) or that imposes injunctive or other non-monetary relief on such party;</w:t>
      </w:r>
    </w:p>
    <w:p>
      <w:pPr>
        <w:spacing w:after="0" w:line="83"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644"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by U.S. GAAP, make any material change in its accounting principles, methods or practices or write down the value of its assets;</w:t>
      </w:r>
    </w:p>
    <w:p>
      <w:pPr>
        <w:spacing w:after="0" w:line="84" w:lineRule="exact"/>
        <w:rPr>
          <w:rFonts w:ascii="Times New Roman" w:cs="Times New Roman" w:eastAsia="Times New Roman" w:hAnsi="Times New Roman"/>
          <w:sz w:val="16"/>
          <w:szCs w:val="16"/>
          <w:color w:val="auto"/>
        </w:rPr>
      </w:pPr>
    </w:p>
    <w:p>
      <w:pPr>
        <w:ind w:left="2560" w:hanging="303"/>
        <w:spacing w:after="0"/>
        <w:tabs>
          <w:tab w:leader="none" w:pos="2560"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its principal place of business or jurisdiction of organization;</w:t>
      </w:r>
    </w:p>
    <w:p>
      <w:pPr>
        <w:spacing w:after="0" w:line="138" w:lineRule="exact"/>
        <w:rPr>
          <w:rFonts w:ascii="Times New Roman" w:cs="Times New Roman" w:eastAsia="Times New Roman" w:hAnsi="Times New Roman"/>
          <w:sz w:val="16"/>
          <w:szCs w:val="16"/>
          <w:color w:val="auto"/>
        </w:rPr>
      </w:pPr>
    </w:p>
    <w:p>
      <w:pPr>
        <w:jc w:val="both"/>
        <w:ind w:left="1300" w:right="939" w:firstLine="957"/>
        <w:spacing w:after="0" w:line="257" w:lineRule="auto"/>
        <w:tabs>
          <w:tab w:leader="none" w:pos="2619"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or (C) with respect to Parent, as otherwise contemplated by this Agreement or any Additional Agreement);</w:t>
      </w:r>
    </w:p>
    <w:p>
      <w:pPr>
        <w:spacing w:after="0" w:line="90" w:lineRule="exact"/>
        <w:rPr>
          <w:rFonts w:ascii="Times New Roman" w:cs="Times New Roman" w:eastAsia="Times New Roman" w:hAnsi="Times New Roman"/>
          <w:sz w:val="16"/>
          <w:szCs w:val="16"/>
          <w:color w:val="auto"/>
        </w:rPr>
      </w:pPr>
    </w:p>
    <w:p>
      <w:pPr>
        <w:jc w:val="both"/>
        <w:ind w:left="1300" w:right="939" w:firstLine="957"/>
        <w:spacing w:after="0" w:line="257" w:lineRule="auto"/>
        <w:tabs>
          <w:tab w:leader="none" w:pos="2664"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02"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696"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transaction with or distribute or advance any assets or property to any of its Affiliates, other than the payment of salary and benefits in the ordinary course;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5" w:name="page336"/>
    <w:bookmarkEnd w:id="33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300" w:right="939" w:firstLine="957"/>
        <w:spacing w:after="0" w:line="252" w:lineRule="auto"/>
        <w:tabs>
          <w:tab w:leader="none" w:pos="2619"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solely in the case of the Company, other than as required by a Plan, as set forth on </w:t>
      </w:r>
      <w:r>
        <w:rPr>
          <w:rFonts w:ascii="Times New Roman" w:cs="Times New Roman" w:eastAsia="Times New Roman" w:hAnsi="Times New Roman"/>
          <w:sz w:val="16"/>
          <w:szCs w:val="16"/>
          <w:u w:val="single" w:color="auto"/>
          <w:color w:val="auto"/>
        </w:rPr>
        <w:t>Schedule 7.1(a)(xix)</w:t>
      </w:r>
      <w:r>
        <w:rPr>
          <w:rFonts w:ascii="Times New Roman" w:cs="Times New Roman" w:eastAsia="Times New Roman" w:hAnsi="Times New Roman"/>
          <w:sz w:val="16"/>
          <w:szCs w:val="16"/>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07" w:lineRule="exact"/>
        <w:rPr>
          <w:rFonts w:ascii="Times New Roman" w:cs="Times New Roman" w:eastAsia="Times New Roman" w:hAnsi="Times New Roman"/>
          <w:sz w:val="16"/>
          <w:szCs w:val="16"/>
          <w:color w:val="auto"/>
        </w:rPr>
      </w:pPr>
    </w:p>
    <w:p>
      <w:pPr>
        <w:ind w:left="2560" w:hanging="303"/>
        <w:spacing w:after="0"/>
        <w:tabs>
          <w:tab w:leader="none" w:pos="256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in the case of the Company, enter into any Affiliate Transactions;</w:t>
      </w:r>
    </w:p>
    <w:p>
      <w:pPr>
        <w:spacing w:after="0" w:line="138" w:lineRule="exact"/>
        <w:rPr>
          <w:rFonts w:ascii="Times New Roman" w:cs="Times New Roman" w:eastAsia="Times New Roman" w:hAnsi="Times New Roman"/>
          <w:sz w:val="16"/>
          <w:szCs w:val="16"/>
          <w:color w:val="auto"/>
        </w:rPr>
      </w:pPr>
    </w:p>
    <w:p>
      <w:pPr>
        <w:ind w:left="1300" w:right="939" w:firstLine="957"/>
        <w:spacing w:after="0" w:line="280" w:lineRule="auto"/>
        <w:tabs>
          <w:tab w:leader="none" w:pos="2641"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 to duly observe and conform in all material respects to all applicable Law, including the Exchange Act, and Orders; or</w:t>
      </w:r>
    </w:p>
    <w:p>
      <w:pPr>
        <w:spacing w:after="0" w:line="72" w:lineRule="exact"/>
        <w:rPr>
          <w:rFonts w:ascii="Times New Roman" w:cs="Times New Roman" w:eastAsia="Times New Roman" w:hAnsi="Times New Roman"/>
          <w:sz w:val="16"/>
          <w:szCs w:val="16"/>
          <w:color w:val="auto"/>
        </w:rPr>
      </w:pPr>
    </w:p>
    <w:p>
      <w:pPr>
        <w:ind w:left="2660" w:hanging="403"/>
        <w:spacing w:after="0"/>
        <w:tabs>
          <w:tab w:leader="none" w:pos="266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to do any of the foregoing.</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Exclusivity</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0" w:lineRule="auto"/>
        <w:tabs>
          <w:tab w:leader="none" w:pos="1928"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6"/>
          <w:szCs w:val="16"/>
          <w:u w:val="single" w:color="auto"/>
          <w:color w:val="auto"/>
        </w:rPr>
        <w:t>Alternative Transaction</w:t>
      </w:r>
      <w:r>
        <w:rPr>
          <w:rFonts w:ascii="Times New Roman" w:cs="Times New Roman" w:eastAsia="Times New Roman" w:hAnsi="Times New Roman"/>
          <w:sz w:val="16"/>
          <w:szCs w:val="16"/>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16"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6"/>
          <w:szCs w:val="16"/>
          <w:u w:val="single" w:color="auto"/>
          <w:color w:val="auto"/>
        </w:rPr>
        <w:t>Alternative Proposal</w:t>
      </w:r>
      <w:r>
        <w:rPr>
          <w:rFonts w:ascii="Times New Roman" w:cs="Times New Roman" w:eastAsia="Times New Roman" w:hAnsi="Times New Roman"/>
          <w:sz w:val="16"/>
          <w:szCs w:val="16"/>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08"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6" w:name="page337"/>
    <w:bookmarkEnd w:id="33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investigation of the Business (in the case of the Company) or the business of Parent (in the case of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investigation pursuant to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any investigation pursuant to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Notices of Certain Events</w:t>
      </w:r>
      <w:r>
        <w:rPr>
          <w:rFonts w:ascii="Times New Roman" w:cs="Times New Roman" w:eastAsia="Times New Roman" w:hAnsi="Times New Roman"/>
          <w:sz w:val="16"/>
          <w:szCs w:val="16"/>
          <w:color w:val="auto"/>
        </w:rPr>
        <w:t>. Each of Parent and the Company shall promptly notify the other party of:</w:t>
      </w:r>
    </w:p>
    <w:p>
      <w:pPr>
        <w:spacing w:after="0" w:line="139" w:lineRule="exact"/>
        <w:rPr>
          <w:sz w:val="20"/>
          <w:szCs w:val="20"/>
          <w:color w:val="auto"/>
        </w:rPr>
      </w:pPr>
    </w:p>
    <w:p>
      <w:pPr>
        <w:jc w:val="both"/>
        <w:ind w:left="920" w:right="939" w:firstLine="764"/>
        <w:spacing w:after="0" w:line="257" w:lineRule="auto"/>
        <w:tabs>
          <w:tab w:leader="none" w:pos="1916"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90"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42"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other communication from any Authority in connection with the transactions contemplated by this Agreement or the Additional Agreements;</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21"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9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8"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fact or circumstance which constitutes or results, or would reasonably be expected to constitute or result in a Material Adverse Change; and</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4"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X not to be satisfied.</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Cooperation with Form S-4/Proxy Statement; Other Filings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2" w:lineRule="auto"/>
        <w:tabs>
          <w:tab w:leader="none" w:pos="1912" w:val="left"/>
        </w:tabs>
        <w:numPr>
          <w:ilvl w:val="1"/>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6"/>
          <w:szCs w:val="16"/>
          <w:u w:val="single" w:color="auto"/>
          <w:color w:val="auto"/>
        </w:rPr>
        <w:t>Parent Stockholder Meeting</w:t>
      </w:r>
      <w:r>
        <w:rPr>
          <w:rFonts w:ascii="Times New Roman" w:cs="Times New Roman" w:eastAsia="Times New Roman" w:hAnsi="Times New Roman"/>
          <w:sz w:val="16"/>
          <w:szCs w:val="16"/>
          <w:color w:val="auto"/>
        </w:rPr>
        <w:t>”). Such proxy materials shall be in the form of a proxy statement (the “</w:t>
      </w:r>
      <w:r>
        <w:rPr>
          <w:rFonts w:ascii="Times New Roman" w:cs="Times New Roman" w:eastAsia="Times New Roman" w:hAnsi="Times New Roman"/>
          <w:sz w:val="16"/>
          <w:szCs w:val="16"/>
          <w:u w:val="single" w:color="auto"/>
          <w:color w:val="auto"/>
        </w:rPr>
        <w:t>Proxy Statement</w:t>
      </w:r>
      <w:r>
        <w:rPr>
          <w:rFonts w:ascii="Times New Roman" w:cs="Times New Roman" w:eastAsia="Times New Roman" w:hAnsi="Times New Roman"/>
          <w:sz w:val="16"/>
          <w:szCs w:val="16"/>
          <w:color w:val="auto"/>
        </w:rPr>
        <w:t>”), which shall be included in a Registration Statement on Form S-4 (the “</w:t>
      </w:r>
      <w:r>
        <w:rPr>
          <w:rFonts w:ascii="Times New Roman" w:cs="Times New Roman" w:eastAsia="Times New Roman" w:hAnsi="Times New Roman"/>
          <w:sz w:val="16"/>
          <w:szCs w:val="16"/>
          <w:u w:val="single" w:color="auto"/>
          <w:color w:val="auto"/>
        </w:rPr>
        <w:t>Form S-4</w:t>
      </w:r>
      <w:r>
        <w:rPr>
          <w:rFonts w:ascii="Times New Roman" w:cs="Times New Roman" w:eastAsia="Times New Roman" w:hAnsi="Times New Roman"/>
          <w:sz w:val="16"/>
          <w:szCs w:val="16"/>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6"/>
          <w:szCs w:val="16"/>
          <w:u w:val="single" w:color="auto"/>
          <w:color w:val="auto"/>
        </w:rPr>
        <w:t>Offer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Documents</w:t>
      </w:r>
      <w:r>
        <w:rPr>
          <w:rFonts w:ascii="Times New Roman" w:cs="Times New Roman" w:eastAsia="Times New Roman" w:hAnsi="Times New Roman"/>
          <w:sz w:val="16"/>
          <w:szCs w:val="16"/>
          <w:color w:val="auto"/>
        </w:rPr>
        <w:t>”.</w:t>
      </w:r>
    </w:p>
    <w:p>
      <w:pPr>
        <w:spacing w:after="0" w:line="93" w:lineRule="exact"/>
        <w:rPr>
          <w:rFonts w:ascii="Times New Roman" w:cs="Times New Roman" w:eastAsia="Times New Roman" w:hAnsi="Times New Roman"/>
          <w:sz w:val="16"/>
          <w:szCs w:val="16"/>
          <w:color w:val="auto"/>
        </w:rPr>
      </w:pPr>
    </w:p>
    <w:p>
      <w:pPr>
        <w:jc w:val="both"/>
        <w:ind w:left="920" w:right="939" w:firstLine="764"/>
        <w:spacing w:after="0" w:line="260" w:lineRule="auto"/>
        <w:tabs>
          <w:tab w:leader="none" w:pos="1942" w:val="left"/>
        </w:tabs>
        <w:numPr>
          <w:ilvl w:val="1"/>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(i) permit the Company and its counsel to review and comment on the Proxy Statement and Form S-4 and any exhibits, amendments or supplements thereto (or other related documents);</w:t>
      </w:r>
    </w:p>
    <w:p>
      <w:pPr>
        <w:jc w:val="both"/>
        <w:ind w:left="920" w:right="939" w:hanging="1"/>
        <w:spacing w:after="0" w:line="250" w:lineRule="auto"/>
        <w:tabs>
          <w:tab w:leader="none" w:pos="1159"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7" w:name="page338"/>
    <w:bookmarkEnd w:id="33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06" w:lineRule="exact"/>
        <w:rPr>
          <w:sz w:val="20"/>
          <w:szCs w:val="20"/>
          <w:color w:val="auto"/>
        </w:rPr>
      </w:pPr>
    </w:p>
    <w:p>
      <w:pPr>
        <w:jc w:val="both"/>
        <w:ind w:left="920" w:right="939" w:firstLine="764"/>
        <w:spacing w:after="0" w:line="254" w:lineRule="auto"/>
        <w:tabs>
          <w:tab w:leader="none" w:pos="1918"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following the date on which the Form S-4 is declared effective by the SEC (such effective date,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6"/>
          <w:szCs w:val="16"/>
          <w:u w:val="single" w:color="auto"/>
          <w:color w:val="auto"/>
        </w:rPr>
        <w:t>Section 7.5(e)</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0" w:lineRule="auto"/>
        <w:tabs>
          <w:tab w:leader="none" w:pos="1937"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08" w:lineRule="exact"/>
        <w:rPr>
          <w:rFonts w:ascii="Times New Roman" w:cs="Times New Roman" w:eastAsia="Times New Roman" w:hAnsi="Times New Roman"/>
          <w:sz w:val="16"/>
          <w:szCs w:val="16"/>
          <w:color w:val="auto"/>
        </w:rPr>
      </w:pPr>
    </w:p>
    <w:p>
      <w:pPr>
        <w:jc w:val="both"/>
        <w:ind w:left="920" w:right="939" w:firstLine="764"/>
        <w:spacing w:after="0" w:line="256" w:lineRule="auto"/>
        <w:tabs>
          <w:tab w:leader="none" w:pos="1925"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w:t>
      </w:r>
    </w:p>
    <w:p>
      <w:pPr>
        <w:spacing w:after="0" w:line="1" w:lineRule="exact"/>
        <w:rPr>
          <w:rFonts w:ascii="Times New Roman" w:cs="Times New Roman" w:eastAsia="Times New Roman" w:hAnsi="Times New Roman"/>
          <w:sz w:val="16"/>
          <w:szCs w:val="16"/>
          <w:color w:val="auto"/>
        </w:rPr>
      </w:pPr>
    </w:p>
    <w:p>
      <w:pPr>
        <w:jc w:val="both"/>
        <w:ind w:left="920" w:right="939" w:hanging="1"/>
        <w:spacing w:after="0" w:line="250" w:lineRule="auto"/>
        <w:tabs>
          <w:tab w:leader="none" w:pos="1132"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Parent Stockholder Approval; (ii) adoption and approval of the Amended and Restated Certificate of Incorporation of Parent, in the form attached hereto as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6"/>
          <w:szCs w:val="16"/>
          <w:u w:val="single" w:color="auto"/>
          <w:color w:val="auto"/>
        </w:rPr>
        <w:t>Exhibit H</w:t>
      </w:r>
      <w:r>
        <w:rPr>
          <w:rFonts w:ascii="Times New Roman" w:cs="Times New Roman" w:eastAsia="Times New Roman" w:hAnsi="Times New Roman"/>
          <w:sz w:val="16"/>
          <w:szCs w:val="16"/>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Times New Roman" w:cs="Times New Roman" w:eastAsia="Times New Roman" w:hAnsi="Times New Roman"/>
          <w:sz w:val="16"/>
          <w:szCs w:val="16"/>
          <w:u w:val="single" w:color="auto"/>
          <w:color w:val="auto"/>
        </w:rPr>
        <w:t>Parent Proposals</w:t>
      </w:r>
      <w:r>
        <w:rPr>
          <w:rFonts w:ascii="Times New Roman" w:cs="Times New Roman" w:eastAsia="Times New Roman" w:hAnsi="Times New Roman"/>
          <w:sz w:val="16"/>
          <w:szCs w:val="16"/>
          <w:color w:val="auto"/>
        </w:rPr>
        <w:t>”).</w:t>
      </w:r>
    </w:p>
    <w:p>
      <w:pPr>
        <w:spacing w:after="0" w:line="110"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891" w:val="left"/>
        </w:tabs>
        <w:numPr>
          <w:ilvl w:val="1"/>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6"/>
          <w:szCs w:val="16"/>
          <w:u w:val="single" w:color="auto"/>
          <w:color w:val="auto"/>
        </w:rPr>
        <w:t>Offering Shares</w:t>
      </w:r>
      <w:r>
        <w:rPr>
          <w:rFonts w:ascii="Times New Roman" w:cs="Times New Roman" w:eastAsia="Times New Roman" w:hAnsi="Times New Roman"/>
          <w:sz w:val="16"/>
          <w:szCs w:val="16"/>
          <w:color w:val="auto"/>
        </w:rPr>
        <w:t>”), at a price per share determined in accordance with the Parent Certificate of Incorporation, all in accordance with applicable Law and any applicable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8" w:name="page339"/>
    <w:bookmarkEnd w:id="33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96" w:lineRule="exact"/>
        <w:rPr>
          <w:sz w:val="20"/>
          <w:szCs w:val="20"/>
          <w:color w:val="auto"/>
        </w:rPr>
      </w:pPr>
    </w:p>
    <w:p>
      <w:pPr>
        <w:ind w:left="920" w:right="939" w:firstLine="764"/>
        <w:spacing w:after="0" w:line="280" w:lineRule="auto"/>
        <w:tabs>
          <w:tab w:leader="none" w:pos="1915"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else to the contrary in this Agreement or any Additional Agreements, Parent may make any public filing with respect to the Merger to the extent required by applicable Law.</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25"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02"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6"/>
          <w:szCs w:val="16"/>
          <w:u w:val="single" w:color="auto"/>
          <w:color w:val="auto"/>
        </w:rPr>
        <w:t>Parent Redemption Amount</w:t>
      </w:r>
      <w:r>
        <w:rPr>
          <w:rFonts w:ascii="Times New Roman" w:cs="Times New Roman" w:eastAsia="Times New Roman" w:hAnsi="Times New Roman"/>
          <w:sz w:val="16"/>
          <w:szCs w:val="16"/>
          <w:color w:val="auto"/>
        </w:rPr>
        <w:t>”),</w:t>
      </w:r>
    </w:p>
    <w:p>
      <w:pPr>
        <w:spacing w:after="0" w:line="3" w:lineRule="exact"/>
        <w:rPr>
          <w:sz w:val="20"/>
          <w:szCs w:val="20"/>
          <w:color w:val="auto"/>
        </w:rPr>
      </w:pPr>
    </w:p>
    <w:p>
      <w:pPr>
        <w:ind w:left="920" w:right="939" w:hanging="1"/>
        <w:spacing w:after="0" w:line="258" w:lineRule="auto"/>
        <w:tabs>
          <w:tab w:leader="none" w:pos="1163"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underwriting commissions and the expenses to third parties to which they are owed, and (c) the remaining monies in the Trust Account to Parent after the Closing.</w:t>
      </w:r>
    </w:p>
    <w:p>
      <w:pPr>
        <w:spacing w:after="0" w:line="102"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Obligations of Merger Sub</w:t>
      </w:r>
      <w:r>
        <w:rPr>
          <w:rFonts w:ascii="Times New Roman" w:cs="Times New Roman" w:eastAsia="Times New Roman" w:hAnsi="Times New Roman"/>
          <w:sz w:val="16"/>
          <w:szCs w:val="16"/>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96"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Private Placement, Parent Support Agreements</w:t>
      </w:r>
      <w:r>
        <w:rPr>
          <w:rFonts w:ascii="Times New Roman" w:cs="Times New Roman" w:eastAsia="Times New Roman" w:hAnsi="Times New Roman"/>
          <w:sz w:val="16"/>
          <w:szCs w:val="16"/>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COVENANTS OF THE COMPANY</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Reporting; Compliance with Laws</w:t>
      </w:r>
      <w:r>
        <w:rPr>
          <w:rFonts w:ascii="Times New Roman" w:cs="Times New Roman" w:eastAsia="Times New Roman" w:hAnsi="Times New Roman"/>
          <w:sz w:val="16"/>
          <w:szCs w:val="16"/>
          <w:color w:val="auto"/>
        </w:rPr>
        <w:t>. From the date hereof through and including the Closing Date:</w:t>
      </w:r>
    </w:p>
    <w:p>
      <w:pPr>
        <w:spacing w:after="0" w:line="139" w:lineRule="exact"/>
        <w:rPr>
          <w:sz w:val="20"/>
          <w:szCs w:val="20"/>
          <w:color w:val="auto"/>
        </w:rPr>
      </w:pPr>
    </w:p>
    <w:p>
      <w:pPr>
        <w:jc w:val="both"/>
        <w:ind w:left="920" w:right="939" w:firstLine="764"/>
        <w:spacing w:after="0" w:line="254" w:lineRule="auto"/>
        <w:tabs>
          <w:tab w:leader="none" w:pos="1917"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07"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Commercially Reasonable Efforts to Obtain Consents</w:t>
      </w:r>
      <w:r>
        <w:rPr>
          <w:rFonts w:ascii="Times New Roman" w:cs="Times New Roman" w:eastAsia="Times New Roman" w:hAnsi="Times New Roman"/>
          <w:sz w:val="16"/>
          <w:szCs w:val="16"/>
          <w:color w:val="auto"/>
        </w:rPr>
        <w:t xml:space="preserve">. The Company shall use its commercially reasonable efforts to obtain each Company Consent set forth on </w:t>
      </w:r>
      <w:r>
        <w:rPr>
          <w:rFonts w:ascii="Times New Roman" w:cs="Times New Roman" w:eastAsia="Times New Roman" w:hAnsi="Times New Roman"/>
          <w:sz w:val="16"/>
          <w:szCs w:val="16"/>
          <w:u w:val="single" w:color="auto"/>
          <w:color w:val="auto"/>
        </w:rPr>
        <w:t>Schedule 8.2</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Company’s Stockholders Approval</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7" w:lineRule="auto"/>
        <w:tabs>
          <w:tab w:leader="none" w:pos="1904"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reasonably practicable, and in any event within two (2) Business Days following the Effective Date (the “</w:t>
      </w:r>
      <w:r>
        <w:rPr>
          <w:rFonts w:ascii="Times New Roman" w:cs="Times New Roman" w:eastAsia="Times New Roman" w:hAnsi="Times New Roman"/>
          <w:sz w:val="16"/>
          <w:szCs w:val="16"/>
          <w:u w:val="single" w:color="auto"/>
          <w:color w:val="auto"/>
        </w:rPr>
        <w:t>Company Stockholder Written Consent Deadline</w:t>
      </w:r>
      <w:r>
        <w:rPr>
          <w:rFonts w:ascii="Times New Roman" w:cs="Times New Roman" w:eastAsia="Times New Roman" w:hAnsi="Times New Roman"/>
          <w:sz w:val="16"/>
          <w:szCs w:val="16"/>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9" w:name="page340"/>
    <w:bookmarkEnd w:id="33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6"/>
          <w:szCs w:val="16"/>
          <w:u w:val="single" w:color="auto"/>
          <w:color w:val="auto"/>
        </w:rPr>
        <w:t>Company Stockholder Written Consent</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920" w:right="939" w:firstLine="764"/>
        <w:spacing w:after="0" w:line="265" w:lineRule="auto"/>
        <w:tabs>
          <w:tab w:leader="none" w:pos="1910"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Section 280G</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2" w:lineRule="auto"/>
        <w:tabs>
          <w:tab w:leader="none" w:pos="1914"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obtained prior to the initiation of the requisite Company Stockholder approval procedure under </w:t>
      </w:r>
      <w:r>
        <w:rPr>
          <w:rFonts w:ascii="Times New Roman" w:cs="Times New Roman" w:eastAsia="Times New Roman" w:hAnsi="Times New Roman"/>
          <w:sz w:val="16"/>
          <w:szCs w:val="16"/>
          <w:u w:val="single" w:color="auto"/>
          <w:color w:val="auto"/>
        </w:rPr>
        <w:t>Section 8.4(b)</w:t>
      </w:r>
      <w:r>
        <w:rPr>
          <w:rFonts w:ascii="Times New Roman" w:cs="Times New Roman" w:eastAsia="Times New Roman" w:hAnsi="Times New Roman"/>
          <w:sz w:val="16"/>
          <w:szCs w:val="16"/>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6"/>
          <w:szCs w:val="16"/>
          <w:u w:val="single" w:color="auto"/>
          <w:color w:val="auto"/>
        </w:rPr>
        <w:t>Parachute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Payment Waiver</w:t>
      </w:r>
      <w:r>
        <w:rPr>
          <w:rFonts w:ascii="Times New Roman" w:cs="Times New Roman" w:eastAsia="Times New Roman" w:hAnsi="Times New Roman"/>
          <w:sz w:val="16"/>
          <w:szCs w:val="16"/>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6"/>
          <w:szCs w:val="16"/>
          <w:u w:val="single" w:color="auto"/>
          <w:color w:val="auto"/>
        </w:rPr>
        <w:t>Section 8.4(b)</w:t>
      </w:r>
      <w:r>
        <w:rPr>
          <w:rFonts w:ascii="Times New Roman" w:cs="Times New Roman" w:eastAsia="Times New Roman" w:hAnsi="Times New Roman"/>
          <w:sz w:val="16"/>
          <w:szCs w:val="16"/>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11"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32"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6"/>
          <w:szCs w:val="16"/>
          <w:u w:val="single" w:color="auto"/>
          <w:color w:val="auto"/>
        </w:rPr>
        <w:t>Section 8.4(a)</w:t>
      </w:r>
      <w:r>
        <w:rPr>
          <w:rFonts w:ascii="Times New Roman" w:cs="Times New Roman" w:eastAsia="Times New Roman" w:hAnsi="Times New Roman"/>
          <w:sz w:val="16"/>
          <w:szCs w:val="16"/>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COVENANTS OF ALL PARTIES HERETO</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Commercially Reasonable Efforts; Further Assurances; Governmental Consents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2" w:lineRule="auto"/>
        <w:tabs>
          <w:tab w:leader="none" w:pos="1915"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the matters set forth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(which shall be subject to the terms and conditions of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07"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22"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the matters set forth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(which shall be subject to the terms and conditions of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0" w:name="page341"/>
    <w:bookmarkEnd w:id="34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 xml:space="preserve">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each of clauses (ii), (iii) and (iv) above, that materials may be redacted</w:t>
      </w:r>
    </w:p>
    <w:p>
      <w:pPr>
        <w:spacing w:after="0" w:line="3" w:lineRule="exact"/>
        <w:rPr>
          <w:sz w:val="20"/>
          <w:szCs w:val="20"/>
          <w:color w:val="auto"/>
        </w:rPr>
      </w:pPr>
    </w:p>
    <w:p>
      <w:pPr>
        <w:jc w:val="both"/>
        <w:ind w:left="920" w:right="939" w:hanging="1"/>
        <w:spacing w:after="0" w:line="254" w:lineRule="auto"/>
        <w:tabs>
          <w:tab w:leader="none" w:pos="1191"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04" w:lineRule="exact"/>
        <w:rPr>
          <w:sz w:val="20"/>
          <w:szCs w:val="20"/>
          <w:color w:val="auto"/>
        </w:rPr>
      </w:pPr>
    </w:p>
    <w:p>
      <w:pPr>
        <w:jc w:val="both"/>
        <w:ind w:left="920" w:right="939" w:firstLine="382"/>
        <w:spacing w:after="0" w:line="250"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Directors’ and Officers’ Indemnification and Liability Insurance</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9" w:lineRule="auto"/>
        <w:tabs>
          <w:tab w:leader="none" w:pos="193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37"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06"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12"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6"/>
          <w:szCs w:val="16"/>
          <w:u w:val="single" w:color="auto"/>
          <w:color w:val="auto"/>
        </w:rPr>
        <w:t>Tail Policy</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1" w:name="page342"/>
    <w:bookmarkEnd w:id="34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Certain Tax Matters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5" w:lineRule="auto"/>
        <w:tabs>
          <w:tab w:leader="none" w:pos="1927"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93"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49"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38"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6"/>
          <w:szCs w:val="16"/>
          <w:u w:val="single" w:color="auto"/>
          <w:color w:val="auto"/>
        </w:rPr>
        <w:t>Transfer Taxes</w:t>
      </w:r>
      <w:r>
        <w:rPr>
          <w:rFonts w:ascii="Times New Roman" w:cs="Times New Roman" w:eastAsia="Times New Roman" w:hAnsi="Times New Roman"/>
          <w:sz w:val="16"/>
          <w:szCs w:val="16"/>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07"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Equity Incentive Plan</w:t>
      </w:r>
      <w:r>
        <w:rPr>
          <w:rFonts w:ascii="Times New Roman" w:cs="Times New Roman" w:eastAsia="Times New Roman" w:hAnsi="Times New Roman"/>
          <w:sz w:val="16"/>
          <w:szCs w:val="16"/>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6"/>
          <w:szCs w:val="16"/>
          <w:u w:val="single" w:color="auto"/>
          <w:color w:val="auto"/>
        </w:rPr>
        <w:t>Exhibit I</w:t>
      </w:r>
      <w:r>
        <w:rPr>
          <w:rFonts w:ascii="Times New Roman" w:cs="Times New Roman" w:eastAsia="Times New Roman" w:hAnsi="Times New Roman"/>
          <w:sz w:val="16"/>
          <w:szCs w:val="16"/>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6"/>
          <w:szCs w:val="16"/>
          <w:u w:val="single" w:color="auto"/>
          <w:color w:val="auto"/>
        </w:rPr>
        <w:t>Parent Equity Incentive Plan</w:t>
      </w:r>
      <w:r>
        <w:rPr>
          <w:rFonts w:ascii="Times New Roman" w:cs="Times New Roman" w:eastAsia="Times New Roman" w:hAnsi="Times New Roman"/>
          <w:sz w:val="16"/>
          <w:szCs w:val="16"/>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CONDITIONS TO CLOSING</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Condition to the Obligations of the Parties</w:t>
      </w:r>
      <w:r>
        <w:rPr>
          <w:rFonts w:ascii="Times New Roman" w:cs="Times New Roman" w:eastAsia="Times New Roman" w:hAnsi="Times New Roman"/>
          <w:sz w:val="16"/>
          <w:szCs w:val="16"/>
          <w:color w:val="auto"/>
        </w:rPr>
        <w:t>. The obligations of all of the parties to consummate the</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Merger are subject to the satisfaction of all the following conditions:</w:t>
      </w:r>
    </w:p>
    <w:p>
      <w:pPr>
        <w:spacing w:after="0" w:line="122" w:lineRule="exact"/>
        <w:rPr>
          <w:sz w:val="20"/>
          <w:szCs w:val="20"/>
          <w:color w:val="auto"/>
        </w:rPr>
      </w:pPr>
    </w:p>
    <w:p>
      <w:pPr>
        <w:ind w:left="920" w:right="939" w:firstLine="764"/>
        <w:spacing w:after="0" w:line="280" w:lineRule="auto"/>
        <w:tabs>
          <w:tab w:leader="none" w:pos="1928"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provisions of any applicable Law and no Order shall restrain or prohibit or impose any condition on the consummation of the Transactions.</w:t>
      </w:r>
    </w:p>
    <w:p>
      <w:pPr>
        <w:spacing w:after="0" w:line="8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36"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consent or approval required to be obtained from any Authority set forth on </w:t>
      </w:r>
      <w:r>
        <w:rPr>
          <w:rFonts w:ascii="Times New Roman" w:cs="Times New Roman" w:eastAsia="Times New Roman" w:hAnsi="Times New Roman"/>
          <w:sz w:val="16"/>
          <w:szCs w:val="16"/>
          <w:u w:val="single" w:color="auto"/>
          <w:color w:val="auto"/>
        </w:rPr>
        <w:t>Schedule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10.1(b)</w:t>
      </w:r>
      <w:r>
        <w:rPr>
          <w:rFonts w:ascii="Times New Roman" w:cs="Times New Roman" w:eastAsia="Times New Roman" w:hAnsi="Times New Roman"/>
          <w:sz w:val="16"/>
          <w:szCs w:val="16"/>
          <w:color w:val="auto"/>
        </w:rPr>
        <w:t xml:space="preserve"> shall have been obtained.</w:t>
      </w:r>
    </w:p>
    <w:p>
      <w:pPr>
        <w:spacing w:after="0" w:line="7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21"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be any Action brought by any governmental Authority to enjoin or otherwise restrict the consummation of the Transactions.</w:t>
      </w:r>
    </w:p>
    <w:p>
      <w:pPr>
        <w:spacing w:after="0" w:line="8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5"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not have redeemed the Parent Class A Shares in an amount that would cause Parent to have net tangible assets of less than $5,000,001 upon consummation of the Merger.</w:t>
      </w:r>
    </w:p>
    <w:p>
      <w:pPr>
        <w:spacing w:after="0" w:line="84" w:lineRule="exact"/>
        <w:rPr>
          <w:rFonts w:ascii="Times New Roman" w:cs="Times New Roman" w:eastAsia="Times New Roman" w:hAnsi="Times New Roman"/>
          <w:sz w:val="16"/>
          <w:szCs w:val="16"/>
          <w:color w:val="auto"/>
        </w:rPr>
      </w:pPr>
    </w:p>
    <w:p>
      <w:pPr>
        <w:ind w:left="1900" w:hanging="216"/>
        <w:spacing w:after="0"/>
        <w:tabs>
          <w:tab w:leader="none" w:pos="19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Parent Proposals shall have been duly approved at the Parent Stockholder Meeting;</w:t>
      </w:r>
    </w:p>
    <w:p>
      <w:pPr>
        <w:spacing w:after="0" w:line="126" w:lineRule="exact"/>
        <w:rPr>
          <w:rFonts w:ascii="Times New Roman" w:cs="Times New Roman" w:eastAsia="Times New Roman" w:hAnsi="Times New Roman"/>
          <w:sz w:val="16"/>
          <w:szCs w:val="16"/>
          <w:color w:val="auto"/>
        </w:rPr>
      </w:pPr>
    </w:p>
    <w:p>
      <w:pPr>
        <w:ind w:left="1880" w:hanging="196"/>
        <w:spacing w:after="0"/>
        <w:tabs>
          <w:tab w:leader="none" w:pos="188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Stockholder Approval shall have been obtained.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2" w:name="page343"/>
    <w:bookmarkEnd w:id="34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u w:val="single" w:color="auto"/>
          <w:color w:val="auto"/>
        </w:rPr>
        <w:t>Conditions to Obligations of Parent and Merger Sub</w:t>
      </w:r>
      <w:r>
        <w:rPr>
          <w:rFonts w:ascii="Times New Roman" w:cs="Times New Roman" w:eastAsia="Times New Roman" w:hAnsi="Times New Roman"/>
          <w:sz w:val="16"/>
          <w:szCs w:val="16"/>
          <w:color w:val="auto"/>
        </w:rPr>
        <w:t>. The obligation of Parent and Merger Sub to consummate the Merger is subject to the satisfaction, or the waiver in Parent’s sole and absolute discretion, of all the following further conditions:</w:t>
      </w:r>
    </w:p>
    <w:p>
      <w:pPr>
        <w:spacing w:after="0" w:line="96" w:lineRule="exact"/>
        <w:rPr>
          <w:sz w:val="20"/>
          <w:szCs w:val="20"/>
          <w:color w:val="auto"/>
        </w:rPr>
      </w:pPr>
    </w:p>
    <w:p>
      <w:pPr>
        <w:jc w:val="both"/>
        <w:ind w:left="920" w:right="939" w:firstLine="764"/>
        <w:spacing w:after="0" w:line="265" w:lineRule="auto"/>
        <w:tabs>
          <w:tab w:leader="none" w:pos="1922"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23"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94"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41"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41"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Company Certificate</w:t>
      </w:r>
      <w:r>
        <w:rPr>
          <w:rFonts w:ascii="Times New Roman" w:cs="Times New Roman" w:eastAsia="Times New Roman" w:hAnsi="Times New Roman"/>
          <w:sz w:val="16"/>
          <w:szCs w:val="16"/>
          <w:color w:val="auto"/>
        </w:rPr>
        <w:t>”).</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17"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9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32"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Specified Company Securityholders shall have duly executed and delivered to Parent a copy of the Registration Rights Agreement.</w:t>
      </w:r>
    </w:p>
    <w:p>
      <w:pPr>
        <w:spacing w:after="0" w:line="8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1"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Parent and Sponsor a copy of the Escrow Agreement, duly executed by the Company.</w:t>
      </w:r>
    </w:p>
    <w:p>
      <w:pPr>
        <w:spacing w:after="0" w:line="84"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55"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Specified Company Securityholders shall have duly executed and delivered to Parent a copy of the Voting Agreement.</w:t>
      </w:r>
    </w:p>
    <w:p>
      <w:pPr>
        <w:spacing w:after="0" w:line="72" w:lineRule="exact"/>
        <w:rPr>
          <w:rFonts w:ascii="Times New Roman" w:cs="Times New Roman" w:eastAsia="Times New Roman" w:hAnsi="Times New Roman"/>
          <w:sz w:val="16"/>
          <w:szCs w:val="16"/>
          <w:color w:val="auto"/>
        </w:rPr>
      </w:pPr>
    </w:p>
    <w:p>
      <w:pPr>
        <w:ind w:left="1880" w:hanging="196"/>
        <w:spacing w:after="0"/>
        <w:tabs>
          <w:tab w:leader="none" w:pos="1880"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 Material Adverse Effect since the date hereof that is continuing.</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892"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three percent (3%) of the issued and outstanding shares of Company Common Stock (including shares of Company Common Stock issuable upon conversion of Company Preferred Stock) shall continue Dissenting Shares.</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42"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6"/>
          <w:szCs w:val="16"/>
          <w:u w:val="single" w:color="auto"/>
          <w:color w:val="auto"/>
        </w:rPr>
        <w:t>Exhibit J</w:t>
      </w:r>
      <w:r>
        <w:rPr>
          <w:rFonts w:ascii="Times New Roman" w:cs="Times New Roman" w:eastAsia="Times New Roman" w:hAnsi="Times New Roman"/>
          <w:sz w:val="16"/>
          <w:szCs w:val="16"/>
          <w:color w:val="auto"/>
        </w:rPr>
        <w:t>.</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8"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the Closing.</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3" w:name="page344"/>
    <w:bookmarkEnd w:id="34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960" w:hanging="276"/>
        <w:spacing w:after="0"/>
        <w:tabs>
          <w:tab w:leader="none" w:pos="196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each Company Consent set forth on Schedule 10.2(m).</w:t>
      </w:r>
    </w:p>
    <w:p>
      <w:pPr>
        <w:spacing w:after="0" w:line="126"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31"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delivered to Parent evidence of termination of the Equity Incentive Plans in accordance with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26"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90"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3"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executed and delivered to Parent a copy of each Additional Agreement to which it or any of its stockholders is a party.</w:t>
      </w:r>
    </w:p>
    <w:p>
      <w:pPr>
        <w:spacing w:after="0" w:line="7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24"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6"/>
          <w:szCs w:val="16"/>
          <w:u w:val="single" w:color="auto"/>
          <w:color w:val="auto"/>
        </w:rPr>
        <w:t>Schedule 10.2(q)</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auto"/>
        </w:rPr>
        <w:t>Conditions to Obligations of the Company</w:t>
      </w:r>
      <w:r>
        <w:rPr>
          <w:rFonts w:ascii="Times New Roman" w:cs="Times New Roman" w:eastAsia="Times New Roman" w:hAnsi="Times New Roman"/>
          <w:sz w:val="16"/>
          <w:szCs w:val="16"/>
          <w:color w:val="auto"/>
        </w:rPr>
        <w:t>. The obligations of the Company to consummate the Merger is subject to the satisfaction, or the waiver in the Company’s sole and absolute discretion, of all of the following further conditions:</w:t>
      </w:r>
    </w:p>
    <w:p>
      <w:pPr>
        <w:spacing w:after="0" w:line="84" w:lineRule="exact"/>
        <w:rPr>
          <w:sz w:val="20"/>
          <w:szCs w:val="20"/>
          <w:color w:val="auto"/>
        </w:rPr>
      </w:pPr>
    </w:p>
    <w:p>
      <w:pPr>
        <w:jc w:val="both"/>
        <w:ind w:left="920" w:right="939" w:firstLine="764"/>
        <w:spacing w:after="0" w:line="259" w:lineRule="auto"/>
        <w:tabs>
          <w:tab w:leader="none" w:pos="194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43"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97"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65"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w:t>
      </w:r>
    </w:p>
    <w:p>
      <w:pPr>
        <w:spacing w:after="0" w:line="93"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3"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Amended and Restated Certificate of Incorporation of Parent, in the form attached hereto as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shall have been filed with, and declared effective by, the Delaware Secretary of State.</w:t>
      </w:r>
    </w:p>
    <w:p>
      <w:pPr>
        <w:spacing w:after="0" w:line="7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44"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ind w:left="1900" w:hanging="216"/>
        <w:spacing w:after="0"/>
        <w:tabs>
          <w:tab w:leader="none" w:pos="190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shall have executed and delivered to the Company a copy of the Registration Rights</w:t>
      </w:r>
    </w:p>
    <w:p>
      <w:pPr>
        <w:spacing w:after="0" w:line="23"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109" w:lineRule="exact"/>
        <w:rPr>
          <w:rFonts w:ascii="Times New Roman" w:cs="Times New Roman" w:eastAsia="Times New Roman" w:hAnsi="Times New Roman"/>
          <w:sz w:val="16"/>
          <w:szCs w:val="16"/>
          <w:color w:val="auto"/>
        </w:rPr>
      </w:pPr>
    </w:p>
    <w:p>
      <w:pPr>
        <w:ind w:left="1900" w:hanging="216"/>
        <w:spacing w:after="0"/>
        <w:tabs>
          <w:tab w:leader="none" w:pos="190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shall have executed and delivered to the Company a copy of the Escrow Agreement.</w:t>
      </w:r>
    </w:p>
    <w:p>
      <w:pPr>
        <w:spacing w:after="0" w:line="126" w:lineRule="exact"/>
        <w:rPr>
          <w:rFonts w:ascii="Times New Roman" w:cs="Times New Roman" w:eastAsia="Times New Roman" w:hAnsi="Times New Roman"/>
          <w:sz w:val="16"/>
          <w:szCs w:val="16"/>
          <w:color w:val="auto"/>
        </w:rPr>
      </w:pPr>
    </w:p>
    <w:p>
      <w:pPr>
        <w:ind w:left="1940" w:hanging="256"/>
        <w:spacing w:after="0"/>
        <w:tabs>
          <w:tab w:leader="none" w:pos="194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the Sponsor shall have executed and delivered to Parent a copy of the Voting</w:t>
      </w:r>
    </w:p>
    <w:p>
      <w:pPr>
        <w:spacing w:after="0" w:line="23"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109"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883"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have executed and delivered to the Company a copy of each Additional Agreement to which it or any of its stockholders is a party.</w:t>
      </w:r>
    </w:p>
    <w:p>
      <w:pPr>
        <w:spacing w:after="0" w:line="7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8"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size and composition of the post-Closing Parent Board of Directors shall have been appointed as set forth in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ind w:left="1900" w:hanging="216"/>
        <w:spacing w:after="0"/>
        <w:tabs>
          <w:tab w:leader="none" w:pos="190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Transaction Proceeds shall be equal to or greater than $170,000,000.</w:t>
      </w:r>
    </w:p>
    <w:p>
      <w:pPr>
        <w:spacing w:after="0" w:line="126"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883"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4" w:name="page345"/>
    <w:bookmarkEnd w:id="34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10"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Indemnification of Parent</w:t>
      </w:r>
      <w:r>
        <w:rPr>
          <w:rFonts w:ascii="Times New Roman" w:cs="Times New Roman" w:eastAsia="Times New Roman" w:hAnsi="Times New Roman"/>
          <w:sz w:val="16"/>
          <w:szCs w:val="16"/>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or otherwise in connection with the transactions contemplated by this Agreement, shall in no event exceed an amount equal to (i) the Escrow Share Value, </w:t>
      </w:r>
      <w:r>
        <w:rPr>
          <w:rFonts w:ascii="Times New Roman" w:cs="Times New Roman" w:eastAsia="Times New Roman" w:hAnsi="Times New Roman"/>
          <w:sz w:val="16"/>
          <w:szCs w:val="16"/>
          <w:i w:val="1"/>
          <w:iCs w:val="1"/>
          <w:u w:val="single" w:color="auto"/>
          <w:color w:val="auto"/>
        </w:rPr>
        <w:t>multiplied</w:t>
      </w:r>
      <w:r>
        <w:rPr>
          <w:rFonts w:ascii="Times New Roman" w:cs="Times New Roman" w:eastAsia="Times New Roman" w:hAnsi="Times New Roman"/>
          <w:sz w:val="16"/>
          <w:szCs w:val="16"/>
          <w:color w:val="auto"/>
        </w:rPr>
        <w:t xml:space="preserve"> by</w:t>
      </w:r>
    </w:p>
    <w:p>
      <w:pPr>
        <w:spacing w:after="0" w:line="1" w:lineRule="exact"/>
        <w:rPr>
          <w:sz w:val="20"/>
          <w:szCs w:val="20"/>
          <w:color w:val="auto"/>
        </w:rPr>
      </w:pPr>
    </w:p>
    <w:p>
      <w:pPr>
        <w:jc w:val="both"/>
        <w:ind w:left="920" w:right="939" w:hanging="1"/>
        <w:spacing w:after="0" w:line="250" w:lineRule="auto"/>
        <w:tabs>
          <w:tab w:leader="none" w:pos="1154"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Escrow Shares (the “</w:t>
      </w:r>
      <w:r>
        <w:rPr>
          <w:rFonts w:ascii="Times New Roman" w:cs="Times New Roman" w:eastAsia="Times New Roman" w:hAnsi="Times New Roman"/>
          <w:sz w:val="16"/>
          <w:szCs w:val="16"/>
          <w:u w:val="single" w:color="auto"/>
          <w:color w:val="auto"/>
        </w:rPr>
        <w:t>Indemnifiable Loss Limit</w:t>
      </w:r>
      <w:r>
        <w:rPr>
          <w:rFonts w:ascii="Times New Roman" w:cs="Times New Roman" w:eastAsia="Times New Roman" w:hAnsi="Times New Roman"/>
          <w:sz w:val="16"/>
          <w:szCs w:val="16"/>
          <w:color w:val="auto"/>
        </w:rPr>
        <w:t xml:space="preserve">”). Parent shall not be entitled to indemnification pursuant to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unless and until the aggregate amount of Losses incurred by Parent equals at least $1,612,500 (the “</w:t>
      </w:r>
      <w:r>
        <w:rPr>
          <w:rFonts w:ascii="Times New Roman" w:cs="Times New Roman" w:eastAsia="Times New Roman" w:hAnsi="Times New Roman"/>
          <w:sz w:val="16"/>
          <w:szCs w:val="16"/>
          <w:u w:val="single" w:color="auto"/>
          <w:color w:val="auto"/>
        </w:rPr>
        <w:t>Basket</w:t>
      </w:r>
      <w:r>
        <w:rPr>
          <w:rFonts w:ascii="Times New Roman" w:cs="Times New Roman" w:eastAsia="Times New Roman" w:hAnsi="Times New Roman"/>
          <w:sz w:val="16"/>
          <w:szCs w:val="16"/>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12"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Procedure</w:t>
      </w:r>
      <w:r>
        <w:rPr>
          <w:rFonts w:ascii="Times New Roman" w:cs="Times New Roman" w:eastAsia="Times New Roman" w:hAnsi="Times New Roman"/>
          <w:sz w:val="16"/>
          <w:szCs w:val="16"/>
          <w:color w:val="auto"/>
        </w:rPr>
        <w:t xml:space="preserve">. The following shall apply with respect to all claims by an Indemnified Party for indemnification pursuant to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jc w:val="both"/>
        <w:ind w:left="920" w:right="939" w:firstLine="764"/>
        <w:spacing w:after="0" w:line="252" w:lineRule="auto"/>
        <w:tabs>
          <w:tab w:leader="none" w:pos="1976" w:val="left"/>
        </w:tabs>
        <w:numPr>
          <w:ilvl w:val="1"/>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Indemnified Party shall give the Stockholders’ Representative prompt notice (an “</w:t>
      </w:r>
      <w:r>
        <w:rPr>
          <w:rFonts w:ascii="Times New Roman" w:cs="Times New Roman" w:eastAsia="Times New Roman" w:hAnsi="Times New Roman"/>
          <w:sz w:val="16"/>
          <w:szCs w:val="16"/>
          <w:u w:val="single" w:color="auto"/>
          <w:color w:val="auto"/>
        </w:rPr>
        <w:t>Indemnification Notice</w:t>
      </w:r>
      <w:r>
        <w:rPr>
          <w:rFonts w:ascii="Times New Roman" w:cs="Times New Roman" w:eastAsia="Times New Roman" w:hAnsi="Times New Roman"/>
          <w:sz w:val="16"/>
          <w:szCs w:val="16"/>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6"/>
          <w:szCs w:val="16"/>
          <w:u w:val="single" w:color="auto"/>
          <w:color w:val="auto"/>
        </w:rPr>
        <w:t>Third-Party Claim</w:t>
      </w:r>
      <w:r>
        <w:rPr>
          <w:rFonts w:ascii="Times New Roman" w:cs="Times New Roman" w:eastAsia="Times New Roman" w:hAnsi="Times New Roman"/>
          <w:sz w:val="16"/>
          <w:szCs w:val="16"/>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6"/>
          <w:szCs w:val="16"/>
          <w:u w:val="single" w:color="auto"/>
          <w:color w:val="auto"/>
        </w:rPr>
        <w:t>Indemnifying Parties</w:t>
      </w:r>
      <w:r>
        <w:rPr>
          <w:rFonts w:ascii="Times New Roman" w:cs="Times New Roman" w:eastAsia="Times New Roman" w:hAnsi="Times New Roman"/>
          <w:sz w:val="16"/>
          <w:szCs w:val="16"/>
          <w:color w:val="auto"/>
        </w:rPr>
        <w:t>”), to defend such claim or increases the amount of such liability.</w:t>
      </w:r>
    </w:p>
    <w:p>
      <w:pPr>
        <w:spacing w:after="0" w:line="99"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14" w:val="left"/>
        </w:tabs>
        <w:numPr>
          <w:ilvl w:val="1"/>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w:t>
      </w:r>
    </w:p>
    <w:p>
      <w:pPr>
        <w:ind w:left="920" w:right="939" w:hanging="1"/>
        <w:spacing w:after="0" w:line="258" w:lineRule="auto"/>
        <w:tabs>
          <w:tab w:leader="none" w:pos="1157"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 legal counsel reasonably satisfactory to the Indemnified Party to conduct the defense of such Third-Party Claim.</w:t>
      </w:r>
    </w:p>
    <w:p>
      <w:pPr>
        <w:spacing w:after="0" w:line="101"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09" w:val="left"/>
        </w:tabs>
        <w:numPr>
          <w:ilvl w:val="1"/>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6"/>
          <w:szCs w:val="16"/>
          <w:u w:val="single" w:color="auto"/>
          <w:color w:val="auto"/>
        </w:rPr>
        <w:t>Section 11.2(b)</w:t>
      </w:r>
      <w:r>
        <w:rPr>
          <w:rFonts w:ascii="Times New Roman" w:cs="Times New Roman" w:eastAsia="Times New Roman" w:hAnsi="Times New Roman"/>
          <w:sz w:val="16"/>
          <w:szCs w:val="16"/>
          <w:color w:val="auto"/>
        </w:rPr>
        <w:t>,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w:t>
      </w:r>
    </w:p>
    <w:p>
      <w:pPr>
        <w:spacing w:after="0" w:line="5"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13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5" w:name="page346"/>
    <w:bookmarkEnd w:id="34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 xml:space="preserve">fees and expenses of such separate counsel of the Indemnified Party shall be borne by the Indemnifying Parties, subject to the limitations set forth in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jc w:val="both"/>
        <w:ind w:left="920" w:right="939" w:firstLine="764"/>
        <w:spacing w:after="0" w:line="251" w:lineRule="auto"/>
        <w:tabs>
          <w:tab w:leader="none" w:pos="1943"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Stockholders’ Representative elects to assume the defense of any Third-Party Claim pursuant to </w:t>
      </w:r>
      <w:r>
        <w:rPr>
          <w:rFonts w:ascii="Times New Roman" w:cs="Times New Roman" w:eastAsia="Times New Roman" w:hAnsi="Times New Roman"/>
          <w:sz w:val="16"/>
          <w:szCs w:val="16"/>
          <w:u w:val="single" w:color="auto"/>
          <w:color w:val="auto"/>
        </w:rPr>
        <w:t>Section 11.2(b)</w:t>
      </w:r>
      <w:r>
        <w:rPr>
          <w:rFonts w:ascii="Times New Roman" w:cs="Times New Roman" w:eastAsia="Times New Roman" w:hAnsi="Times New Roman"/>
          <w:sz w:val="16"/>
          <w:szCs w:val="16"/>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08"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32"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Indemnified Party undertakes the defense of any such Third-Party Claim pursuant to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11.2</w:t>
      </w:r>
      <w:r>
        <w:rPr>
          <w:rFonts w:ascii="Times New Roman" w:cs="Times New Roman" w:eastAsia="Times New Roman" w:hAnsi="Times New Roman"/>
          <w:sz w:val="16"/>
          <w:szCs w:val="16"/>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01"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89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96" w:lineRule="exact"/>
        <w:rPr>
          <w:sz w:val="20"/>
          <w:szCs w:val="20"/>
          <w:color w:val="auto"/>
        </w:rPr>
      </w:pPr>
    </w:p>
    <w:p>
      <w:pPr>
        <w:jc w:val="both"/>
        <w:ind w:left="920" w:right="939" w:firstLine="382"/>
        <w:spacing w:after="0" w:line="278"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Escrow of Escrow Shares by Escrow Participants</w:t>
      </w:r>
      <w:r>
        <w:rPr>
          <w:rFonts w:ascii="Times New Roman" w:cs="Times New Roman" w:eastAsia="Times New Roman" w:hAnsi="Times New Roman"/>
          <w:sz w:val="15"/>
          <w:szCs w:val="15"/>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5"/>
          <w:szCs w:val="15"/>
          <w:u w:val="single" w:color="auto"/>
          <w:color w:val="auto"/>
        </w:rPr>
        <w:t>Escrow Fund</w:t>
      </w:r>
      <w:r>
        <w:rPr>
          <w:rFonts w:ascii="Times New Roman" w:cs="Times New Roman" w:eastAsia="Times New Roman" w:hAnsi="Times New Roman"/>
          <w:sz w:val="15"/>
          <w:szCs w:val="15"/>
          <w:color w:val="auto"/>
        </w:rPr>
        <w:t xml:space="preserve">”) pursuant to the Escrow Agreement. For purposes of this </w:t>
      </w:r>
      <w:r>
        <w:rPr>
          <w:rFonts w:ascii="Times New Roman" w:cs="Times New Roman" w:eastAsia="Times New Roman" w:hAnsi="Times New Roman"/>
          <w:sz w:val="15"/>
          <w:szCs w:val="15"/>
          <w:u w:val="single" w:color="auto"/>
          <w:color w:val="auto"/>
        </w:rPr>
        <w:t>ARTICLE XI</w:t>
      </w:r>
      <w:r>
        <w:rPr>
          <w:rFonts w:ascii="Times New Roman" w:cs="Times New Roman" w:eastAsia="Times New Roman" w:hAnsi="Times New Roman"/>
          <w:sz w:val="15"/>
          <w:szCs w:val="15"/>
          <w:color w:val="auto"/>
        </w:rPr>
        <w:t>, the Escrow Shares are valued at the greater of: (a) $10.00 per share and (b) the VWAP (the “</w:t>
      </w:r>
      <w:r>
        <w:rPr>
          <w:rFonts w:ascii="Times New Roman" w:cs="Times New Roman" w:eastAsia="Times New Roman" w:hAnsi="Times New Roman"/>
          <w:sz w:val="15"/>
          <w:szCs w:val="15"/>
          <w:u w:val="single" w:color="auto"/>
          <w:color w:val="auto"/>
        </w:rPr>
        <w:t>Escrow Share Value</w:t>
      </w:r>
      <w:r>
        <w:rPr>
          <w:rFonts w:ascii="Times New Roman" w:cs="Times New Roman" w:eastAsia="Times New Roman" w:hAnsi="Times New Roman"/>
          <w:sz w:val="15"/>
          <w:szCs w:val="15"/>
          <w:color w:val="auto"/>
        </w:rPr>
        <w:t>”).</w:t>
      </w:r>
    </w:p>
    <w:p>
      <w:pPr>
        <w:spacing w:after="0" w:line="88" w:lineRule="exact"/>
        <w:rPr>
          <w:sz w:val="20"/>
          <w:szCs w:val="20"/>
          <w:color w:val="auto"/>
        </w:rPr>
      </w:pPr>
    </w:p>
    <w:p>
      <w:pPr>
        <w:jc w:val="both"/>
        <w:ind w:left="920" w:right="939" w:firstLine="764"/>
        <w:spacing w:after="0" w:line="254" w:lineRule="auto"/>
        <w:tabs>
          <w:tab w:leader="none" w:pos="1913"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94"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34"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times provided for in </w:t>
      </w:r>
      <w:r>
        <w:rPr>
          <w:rFonts w:ascii="Times New Roman" w:cs="Times New Roman" w:eastAsia="Times New Roman" w:hAnsi="Times New Roman"/>
          <w:sz w:val="16"/>
          <w:szCs w:val="16"/>
          <w:u w:val="single" w:color="auto"/>
          <w:color w:val="auto"/>
        </w:rPr>
        <w:t>Section 11.3(d)</w:t>
      </w:r>
      <w:r>
        <w:rPr>
          <w:rFonts w:ascii="Times New Roman" w:cs="Times New Roman" w:eastAsia="Times New Roman" w:hAnsi="Times New Roman"/>
          <w:sz w:val="16"/>
          <w:szCs w:val="16"/>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6" w:name="page347"/>
    <w:bookmarkEnd w:id="34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96" w:lineRule="exact"/>
        <w:rPr>
          <w:sz w:val="20"/>
          <w:szCs w:val="20"/>
          <w:color w:val="auto"/>
        </w:rPr>
      </w:pPr>
    </w:p>
    <w:p>
      <w:pPr>
        <w:jc w:val="both"/>
        <w:ind w:left="920" w:right="939" w:firstLine="764"/>
        <w:spacing w:after="0" w:line="259" w:lineRule="auto"/>
        <w:tabs>
          <w:tab w:leader="none" w:pos="1953"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12"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but in no event later than five (5) Business Days, following expiration of the Survival Period (the “</w:t>
      </w:r>
      <w:r>
        <w:rPr>
          <w:rFonts w:ascii="Times New Roman" w:cs="Times New Roman" w:eastAsia="Times New Roman" w:hAnsi="Times New Roman"/>
          <w:sz w:val="16"/>
          <w:szCs w:val="16"/>
          <w:u w:val="single" w:color="auto"/>
          <w:color w:val="auto"/>
        </w:rPr>
        <w:t>Release Date</w:t>
      </w:r>
      <w:r>
        <w:rPr>
          <w:rFonts w:ascii="Times New Roman" w:cs="Times New Roman" w:eastAsia="Times New Roman" w:hAnsi="Times New Roman"/>
          <w:sz w:val="16"/>
          <w:szCs w:val="16"/>
          <w:color w:val="auto"/>
        </w:rPr>
        <w:t xml:space="preserve">”), the Escrow Shares, </w:t>
      </w:r>
      <w:r>
        <w:rPr>
          <w:rFonts w:ascii="Times New Roman" w:cs="Times New Roman" w:eastAsia="Times New Roman" w:hAnsi="Times New Roman"/>
          <w:sz w:val="16"/>
          <w:szCs w:val="16"/>
          <w:i w:val="1"/>
          <w:iCs w:val="1"/>
          <w:u w:val="single" w:color="auto"/>
          <w:color w:val="auto"/>
        </w:rPr>
        <w:t>less</w:t>
      </w:r>
      <w:r>
        <w:rPr>
          <w:rFonts w:ascii="Times New Roman" w:cs="Times New Roman" w:eastAsia="Times New Roman" w:hAnsi="Times New Roman"/>
          <w:sz w:val="16"/>
          <w:szCs w:val="16"/>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6"/>
          <w:szCs w:val="16"/>
          <w:u w:val="single" w:color="auto"/>
          <w:color w:val="auto"/>
        </w:rPr>
        <w:t>Section 11.3(d)</w:t>
      </w:r>
      <w:r>
        <w:rPr>
          <w:rFonts w:ascii="Times New Roman" w:cs="Times New Roman" w:eastAsia="Times New Roman" w:hAnsi="Times New Roman"/>
          <w:sz w:val="16"/>
          <w:szCs w:val="16"/>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00"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Payment of Indemnification</w:t>
      </w:r>
      <w:r>
        <w:rPr>
          <w:rFonts w:ascii="Times New Roman" w:cs="Times New Roman" w:eastAsia="Times New Roman" w:hAnsi="Times New Roman"/>
          <w:sz w:val="16"/>
          <w:szCs w:val="16"/>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08"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96" w:lineRule="exact"/>
        <w:rPr>
          <w:sz w:val="20"/>
          <w:szCs w:val="20"/>
          <w:color w:val="auto"/>
        </w:rPr>
      </w:pPr>
    </w:p>
    <w:p>
      <w:pPr>
        <w:jc w:val="both"/>
        <w:ind w:left="920" w:right="939" w:firstLine="382"/>
        <w:spacing w:after="0" w:line="269" w:lineRule="auto"/>
        <w:rPr>
          <w:sz w:val="20"/>
          <w:szCs w:val="20"/>
          <w:color w:val="auto"/>
        </w:rPr>
      </w:pPr>
      <w:r>
        <w:rPr>
          <w:rFonts w:ascii="Times New Roman" w:cs="Times New Roman" w:eastAsia="Times New Roman" w:hAnsi="Times New Roman"/>
          <w:sz w:val="15"/>
          <w:szCs w:val="15"/>
          <w:color w:val="auto"/>
        </w:rPr>
        <w:t xml:space="preserve">11.6 </w:t>
      </w:r>
      <w:r>
        <w:rPr>
          <w:rFonts w:ascii="Times New Roman" w:cs="Times New Roman" w:eastAsia="Times New Roman" w:hAnsi="Times New Roman"/>
          <w:sz w:val="15"/>
          <w:szCs w:val="15"/>
          <w:u w:val="single" w:color="auto"/>
          <w:color w:val="auto"/>
        </w:rPr>
        <w:t>Survival of Indemnification Rights</w:t>
      </w:r>
      <w:r>
        <w:rPr>
          <w:rFonts w:ascii="Times New Roman" w:cs="Times New Roman" w:eastAsia="Times New Roman" w:hAnsi="Times New Roman"/>
          <w:sz w:val="15"/>
          <w:szCs w:val="15"/>
          <w:color w:val="auto"/>
        </w:rPr>
        <w:t>. The representations and warranties of the Company shall survive until twelve (12) months (the “</w:t>
      </w:r>
      <w:r>
        <w:rPr>
          <w:rFonts w:ascii="Times New Roman" w:cs="Times New Roman" w:eastAsia="Times New Roman" w:hAnsi="Times New Roman"/>
          <w:sz w:val="15"/>
          <w:szCs w:val="15"/>
          <w:u w:val="single" w:color="auto"/>
          <w:color w:val="auto"/>
        </w:rPr>
        <w:t>Survival Period</w:t>
      </w:r>
      <w:r>
        <w:rPr>
          <w:rFonts w:ascii="Times New Roman" w:cs="Times New Roman" w:eastAsia="Times New Roman" w:hAnsi="Times New Roman"/>
          <w:sz w:val="15"/>
          <w:szCs w:val="15"/>
          <w:color w:val="auto"/>
        </w:rPr>
        <w:t xml:space="preserve">”) following the Closing. The covenants of the Company contained in this Agreement to be performed prior to the Closing shall expire and be of no further force or effect as of the Closing;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5"/>
          <w:szCs w:val="15"/>
          <w:u w:val="single" w:color="auto"/>
          <w:color w:val="auto"/>
        </w:rPr>
        <w:t>Section 11.6</w:t>
      </w:r>
      <w:r>
        <w:rPr>
          <w:rFonts w:ascii="Times New Roman" w:cs="Times New Roman" w:eastAsia="Times New Roman" w:hAnsi="Times New Roman"/>
          <w:sz w:val="15"/>
          <w:szCs w:val="15"/>
          <w:color w:val="auto"/>
        </w:rPr>
        <w:t xml:space="preserve">. The indemnification to which any Indemnified Party is entitled from the Indemnifying Parties pursuant to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5"/>
          <w:szCs w:val="15"/>
          <w:u w:val="single" w:color="auto"/>
          <w:color w:val="auto"/>
        </w:rPr>
        <w:t>Section 11.6</w:t>
      </w:r>
      <w:r>
        <w:rPr>
          <w:rFonts w:ascii="Times New Roman" w:cs="Times New Roman" w:eastAsia="Times New Roman" w:hAnsi="Times New Roman"/>
          <w:sz w:val="15"/>
          <w:szCs w:val="15"/>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7" w:name="page348"/>
    <w:bookmarkEnd w:id="34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Sole and Exclusive Remedy</w:t>
      </w:r>
      <w:r>
        <w:rPr>
          <w:rFonts w:ascii="Times New Roman" w:cs="Times New Roman" w:eastAsia="Times New Roman" w:hAnsi="Times New Roman"/>
          <w:sz w:val="16"/>
          <w:szCs w:val="16"/>
          <w:color w:val="auto"/>
        </w:rPr>
        <w:t xml:space="preserve">. The remedies provided in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DISPUTE RESOLUTION</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u w:val="single" w:color="auto"/>
          <w:color w:val="auto"/>
        </w:rPr>
        <w:t>Arbitration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74" w:lineRule="auto"/>
        <w:tabs>
          <w:tab w:leader="none" w:pos="1906"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5"/>
          <w:szCs w:val="15"/>
          <w:u w:val="single" w:color="auto"/>
          <w:color w:val="auto"/>
        </w:rPr>
        <w:t>Arbitrator</w:t>
      </w:r>
      <w:r>
        <w:rPr>
          <w:rFonts w:ascii="Times New Roman" w:cs="Times New Roman" w:eastAsia="Times New Roman" w:hAnsi="Times New Roman"/>
          <w:sz w:val="15"/>
          <w:szCs w:val="15"/>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79" w:lineRule="exact"/>
        <w:rPr>
          <w:rFonts w:ascii="Times New Roman" w:cs="Times New Roman" w:eastAsia="Times New Roman" w:hAnsi="Times New Roman"/>
          <w:sz w:val="15"/>
          <w:szCs w:val="15"/>
          <w:color w:val="auto"/>
        </w:rPr>
      </w:pPr>
    </w:p>
    <w:p>
      <w:pPr>
        <w:jc w:val="both"/>
        <w:ind w:left="920" w:right="939" w:firstLine="764"/>
        <w:spacing w:after="0" w:line="265" w:lineRule="auto"/>
        <w:tabs>
          <w:tab w:leader="none" w:pos="1914"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19"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0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27"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arbitration shall be held in New York, New York in accordance with and under the then-current provisions of the rules of the American Arbitration Association, except as otherwise provided herein.</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5"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6"/>
          <w:szCs w:val="16"/>
          <w:u w:val="single" w:color="auto"/>
          <w:color w:val="auto"/>
        </w:rPr>
        <w:t>Section 12.1(c)</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886"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Arbitrator may, at his discretion and at the expense of the party who will bear the cost of the arbitration, employ experts to assist him in his determinations.</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25"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6"/>
          <w:szCs w:val="16"/>
          <w:u w:val="single" w:color="auto"/>
          <w:color w:val="auto"/>
        </w:rPr>
        <w:t>Section 12.1(h)</w:t>
      </w:r>
      <w:r>
        <w:rPr>
          <w:rFonts w:ascii="Times New Roman" w:cs="Times New Roman" w:eastAsia="Times New Roman" w:hAnsi="Times New Roman"/>
          <w:sz w:val="16"/>
          <w:szCs w:val="16"/>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93"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26"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892"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(in the case of the Stockholders’ Representative, solely on behalf of the Company Securityholders) shall indemnify the Arbitrator and any experts employed by the Arbitrator and hold them harmless from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8" w:name="page349"/>
    <w:bookmarkEnd w:id="34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and against any claim or demand arising out of any arbitration under this Agreement or any agreement contemplated hereby, unless resulting from the gross negligence or willful misconduct of the person indemnified.</w:t>
      </w:r>
    </w:p>
    <w:p>
      <w:pPr>
        <w:spacing w:after="0" w:line="96" w:lineRule="exact"/>
        <w:rPr>
          <w:sz w:val="20"/>
          <w:szCs w:val="20"/>
          <w:color w:val="auto"/>
        </w:rPr>
      </w:pPr>
    </w:p>
    <w:p>
      <w:pPr>
        <w:jc w:val="both"/>
        <w:ind w:left="920" w:right="939" w:firstLine="764"/>
        <w:spacing w:after="0" w:line="254" w:lineRule="auto"/>
        <w:tabs>
          <w:tab w:leader="none" w:pos="1879"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12.2 </w:t>
      </w:r>
      <w:r>
        <w:rPr>
          <w:rFonts w:ascii="Times New Roman" w:cs="Times New Roman" w:eastAsia="Times New Roman" w:hAnsi="Times New Roman"/>
          <w:sz w:val="16"/>
          <w:szCs w:val="16"/>
          <w:u w:val="single" w:color="auto"/>
          <w:color w:val="auto"/>
        </w:rPr>
        <w:t>Waiver of Jury Trial; Exemplary Damages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5" w:lineRule="auto"/>
        <w:tabs>
          <w:tab w:leader="none" w:pos="1935"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23"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6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ARTICLE XIII</w:t>
      </w:r>
    </w:p>
    <w:p>
      <w:pPr>
        <w:spacing w:after="0" w:line="2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13.1 </w:t>
      </w:r>
      <w:r>
        <w:rPr>
          <w:rFonts w:ascii="Times New Roman" w:cs="Times New Roman" w:eastAsia="Times New Roman" w:hAnsi="Times New Roman"/>
          <w:sz w:val="16"/>
          <w:szCs w:val="16"/>
          <w:u w:val="single" w:color="auto"/>
          <w:color w:val="auto"/>
        </w:rPr>
        <w:t>Termination Without Default</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3" w:lineRule="auto"/>
        <w:tabs>
          <w:tab w:leader="none" w:pos="1909"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42"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13.2 </w:t>
      </w:r>
      <w:r>
        <w:rPr>
          <w:rFonts w:ascii="Times New Roman" w:cs="Times New Roman" w:eastAsia="Times New Roman" w:hAnsi="Times New Roman"/>
          <w:sz w:val="16"/>
          <w:szCs w:val="16"/>
          <w:u w:val="single" w:color="auto"/>
          <w:color w:val="auto"/>
        </w:rPr>
        <w:t>Termination Upon Default</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52" w:lineRule="auto"/>
        <w:tabs>
          <w:tab w:leader="none" w:pos="1912"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6"/>
          <w:szCs w:val="16"/>
          <w:u w:val="single" w:color="auto"/>
          <w:color w:val="auto"/>
        </w:rPr>
        <w:t>Section 13.2(a)(ii)</w:t>
      </w:r>
      <w:r>
        <w:rPr>
          <w:rFonts w:ascii="Times New Roman" w:cs="Times New Roman" w:eastAsia="Times New Roman" w:hAnsi="Times New Roman"/>
          <w:sz w:val="16"/>
          <w:szCs w:val="16"/>
          <w:color w:val="auto"/>
        </w:rPr>
        <w:t xml:space="preserve"> at any time (A) prior to the Company Stockholder Written Consent Deadline or (B) after such evidence has been delivered to Parent).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9" w:name="page350"/>
    <w:bookmarkEnd w:id="34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75" w:lineRule="auto"/>
        <w:tabs>
          <w:tab w:leader="none" w:pos="1917"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5"/>
          <w:szCs w:val="15"/>
          <w:u w:val="single" w:color="auto"/>
          <w:color w:val="auto"/>
        </w:rPr>
        <w:t>Section 10.3</w:t>
      </w:r>
      <w:r>
        <w:rPr>
          <w:rFonts w:ascii="Times New Roman" w:cs="Times New Roman" w:eastAsia="Times New Roman" w:hAnsi="Times New Roman"/>
          <w:sz w:val="15"/>
          <w:szCs w:val="15"/>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93"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13.3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If this Agreement is terminated pursuant to this </w:t>
      </w:r>
      <w:r>
        <w:rPr>
          <w:rFonts w:ascii="Times New Roman" w:cs="Times New Roman" w:eastAsia="Times New Roman" w:hAnsi="Times New Roman"/>
          <w:sz w:val="16"/>
          <w:szCs w:val="16"/>
          <w:u w:val="single" w:color="auto"/>
          <w:color w:val="auto"/>
        </w:rPr>
        <w:t>ARTICLE XIII</w:t>
      </w:r>
      <w:r>
        <w:rPr>
          <w:rFonts w:ascii="Times New Roman" w:cs="Times New Roman" w:eastAsia="Times New Roman" w:hAnsi="Times New Roman"/>
          <w:sz w:val="16"/>
          <w:szCs w:val="16"/>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XII, this </w:t>
      </w:r>
      <w:r>
        <w:rPr>
          <w:rFonts w:ascii="Times New Roman" w:cs="Times New Roman" w:eastAsia="Times New Roman" w:hAnsi="Times New Roman"/>
          <w:sz w:val="16"/>
          <w:szCs w:val="16"/>
          <w:u w:val="single" w:color="auto"/>
          <w:color w:val="auto"/>
        </w:rPr>
        <w:t>Section 13.3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XIV</w:t>
      </w:r>
      <w:r>
        <w:rPr>
          <w:rFonts w:ascii="Times New Roman" w:cs="Times New Roman" w:eastAsia="Times New Roman" w:hAnsi="Times New Roman"/>
          <w:sz w:val="16"/>
          <w:szCs w:val="16"/>
          <w:color w:val="auto"/>
        </w:rPr>
        <w:t xml:space="preserve"> shall survive any termination hereof pursuant to this </w:t>
      </w:r>
      <w:r>
        <w:rPr>
          <w:rFonts w:ascii="Times New Roman" w:cs="Times New Roman" w:eastAsia="Times New Roman" w:hAnsi="Times New Roman"/>
          <w:sz w:val="16"/>
          <w:szCs w:val="16"/>
          <w:u w:val="single" w:color="auto"/>
          <w:color w:val="auto"/>
        </w:rPr>
        <w:t>ARTICLE XIII</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22"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color w:val="auto"/>
        </w:rPr>
        <w:t xml:space="preserve">14.1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w:t>
      </w:r>
    </w:p>
    <w:p>
      <w:pPr>
        <w:spacing w:after="0" w:line="2" w:lineRule="exact"/>
        <w:rPr>
          <w:sz w:val="20"/>
          <w:szCs w:val="20"/>
          <w:color w:val="auto"/>
        </w:rPr>
      </w:pPr>
    </w:p>
    <w:p>
      <w:pPr>
        <w:jc w:val="both"/>
        <w:ind w:left="920" w:right="939" w:hanging="1"/>
        <w:spacing w:after="0" w:line="251" w:lineRule="auto"/>
        <w:tabs>
          <w:tab w:leader="none" w:pos="1174"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if to the Company (or, following the Closing, the Surviving Corporation or Parent),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300 One Kendall Square,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w:t>
      </w:r>
    </w:p>
    <w:p>
      <w:pPr>
        <w:ind w:left="1680"/>
        <w:spacing w:after="0"/>
        <w:rPr>
          <w:sz w:val="20"/>
          <w:szCs w:val="20"/>
          <w:color w:val="auto"/>
        </w:rPr>
      </w:pPr>
      <w:r>
        <w:rPr>
          <w:rFonts w:ascii="Times New Roman" w:cs="Times New Roman" w:eastAsia="Times New Roman" w:hAnsi="Times New Roman"/>
          <w:sz w:val="16"/>
          <w:szCs w:val="16"/>
          <w:color w:val="auto"/>
        </w:rPr>
        <w:t>Cambridge, MA 02139</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Jason Meyenburg</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100 Northern Avenue</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Boston, MA 02210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Mitchell S. Bloom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Jocelyn M. Arel</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Laurie A. Burlingame</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Daniel J. Espinoza</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mbloom@goodwinlaw.com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jarel@goodwinlaw.com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lburlingame@goodwinlaw.com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despinoza@goodwinlaw.com</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if to the Stockholders’ Representative, or to the Company Securityholders after Closing,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Shareholder Representative Services LLC</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950 17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Suite 1400</w:t>
      </w:r>
    </w:p>
    <w:p>
      <w:pPr>
        <w:ind w:left="1680"/>
        <w:spacing w:after="0"/>
        <w:rPr>
          <w:sz w:val="20"/>
          <w:szCs w:val="20"/>
          <w:color w:val="auto"/>
        </w:rPr>
      </w:pPr>
      <w:r>
        <w:rPr>
          <w:rFonts w:ascii="Times New Roman" w:cs="Times New Roman" w:eastAsia="Times New Roman" w:hAnsi="Times New Roman"/>
          <w:sz w:val="16"/>
          <w:szCs w:val="16"/>
          <w:color w:val="auto"/>
        </w:rPr>
        <w:t>Denver, CO 80202</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Managing Director</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Facsimile: (303) 623-0294</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Telephone: (303) 648-4085</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0" w:name="page351"/>
    <w:bookmarkEnd w:id="35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if to Parent or Merger Sub:</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Dennis Ryan</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docs-Investments@foresitecapital.com</w:t>
      </w: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New York, New York 10020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Joel L. Rubinstein, Esq.</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joel.rubinstein@whitecase.com</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14.2 </w:t>
      </w:r>
      <w:r>
        <w:rPr>
          <w:rFonts w:ascii="Times New Roman" w:cs="Times New Roman" w:eastAsia="Times New Roman" w:hAnsi="Times New Roman"/>
          <w:sz w:val="16"/>
          <w:szCs w:val="16"/>
          <w:u w:val="single" w:color="auto"/>
          <w:color w:val="auto"/>
        </w:rPr>
        <w:t>Amendments; No Waivers; Remedies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4"/>
        <w:spacing w:after="0" w:line="259" w:lineRule="auto"/>
        <w:tabs>
          <w:tab w:leader="none" w:pos="1919"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52"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09"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07"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provided herein, no statement herein of any right or remedy shall impair any other right or remedy stated herein or that otherwise may be available.</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1"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90"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14.3 </w:t>
      </w:r>
      <w:r>
        <w:rPr>
          <w:rFonts w:ascii="Times New Roman" w:cs="Times New Roman" w:eastAsia="Times New Roman" w:hAnsi="Times New Roman"/>
          <w:sz w:val="16"/>
          <w:szCs w:val="16"/>
          <w:u w:val="single" w:color="auto"/>
          <w:color w:val="auto"/>
        </w:rPr>
        <w:t>Arm’s Length Bargaining; No Presumption Against Drafter</w:t>
      </w:r>
      <w:r>
        <w:rPr>
          <w:rFonts w:ascii="Times New Roman" w:cs="Times New Roman" w:eastAsia="Times New Roman" w:hAnsi="Times New Roman"/>
          <w:sz w:val="16"/>
          <w:szCs w:val="16"/>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06"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14.4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1" w:name="page352"/>
    <w:bookmarkEnd w:id="35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14.5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6"/>
          <w:szCs w:val="16"/>
          <w:u w:val="single" w:color="auto"/>
          <w:color w:val="auto"/>
        </w:rPr>
        <w:t>Schedule 14.5</w:t>
      </w:r>
      <w:r>
        <w:rPr>
          <w:rFonts w:ascii="Times New Roman" w:cs="Times New Roman" w:eastAsia="Times New Roman" w:hAnsi="Times New Roman"/>
          <w:sz w:val="16"/>
          <w:szCs w:val="16"/>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02"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14.6 </w:t>
      </w:r>
      <w:r>
        <w:rPr>
          <w:rFonts w:ascii="Times New Roman" w:cs="Times New Roman" w:eastAsia="Times New Roman" w:hAnsi="Times New Roman"/>
          <w:sz w:val="16"/>
          <w:szCs w:val="16"/>
          <w:u w:val="single" w:color="auto"/>
          <w:color w:val="auto"/>
        </w:rPr>
        <w:t>No Assignment or Delegation</w:t>
      </w:r>
      <w:r>
        <w:rPr>
          <w:rFonts w:ascii="Times New Roman" w:cs="Times New Roman" w:eastAsia="Times New Roman" w:hAnsi="Times New Roman"/>
          <w:sz w:val="16"/>
          <w:szCs w:val="16"/>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02"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14.7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 accordance with and governed by the laws of the State of Delaware, without giving effect to the conflict of laws principles thereof.</w:t>
      </w:r>
    </w:p>
    <w:p>
      <w:pPr>
        <w:spacing w:after="0" w:line="73"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14.8 </w:t>
      </w:r>
      <w:r>
        <w:rPr>
          <w:rFonts w:ascii="Times New Roman" w:cs="Times New Roman" w:eastAsia="Times New Roman" w:hAnsi="Times New Roman"/>
          <w:sz w:val="16"/>
          <w:szCs w:val="16"/>
          <w:u w:val="single" w:color="auto"/>
          <w:color w:val="auto"/>
        </w:rPr>
        <w:t>Counterparts; Facsimile Signatures</w:t>
      </w:r>
      <w:r>
        <w:rPr>
          <w:rFonts w:ascii="Times New Roman" w:cs="Times New Roman" w:eastAsia="Times New Roman" w:hAnsi="Times New Roman"/>
          <w:sz w:val="16"/>
          <w:szCs w:val="16"/>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02"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14.9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0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14.10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90"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14.11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9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14.12 </w:t>
      </w:r>
      <w:r>
        <w:rPr>
          <w:rFonts w:ascii="Times New Roman" w:cs="Times New Roman" w:eastAsia="Times New Roman" w:hAnsi="Times New Roman"/>
          <w:sz w:val="16"/>
          <w:szCs w:val="16"/>
          <w:u w:val="single" w:color="auto"/>
          <w:color w:val="auto"/>
        </w:rPr>
        <w:t>Third Party Beneficiaries</w:t>
      </w:r>
      <w:r>
        <w:rPr>
          <w:rFonts w:ascii="Times New Roman" w:cs="Times New Roman" w:eastAsia="Times New Roman" w:hAnsi="Times New Roman"/>
          <w:sz w:val="16"/>
          <w:szCs w:val="16"/>
          <w:color w:val="auto"/>
        </w:rPr>
        <w:t xml:space="preserve">. Except as provided in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14.15</w:t>
      </w:r>
      <w:r>
        <w:rPr>
          <w:rFonts w:ascii="Times New Roman" w:cs="Times New Roman" w:eastAsia="Times New Roman" w:hAnsi="Times New Roman"/>
          <w:sz w:val="16"/>
          <w:szCs w:val="16"/>
          <w:color w:val="auto"/>
        </w:rPr>
        <w:t>, neither this Agreement nor any provision hereof confers any benefit or right upon or may be enforced by any Person not a signatory hereto.</w:t>
      </w:r>
    </w:p>
    <w:p>
      <w:pPr>
        <w:spacing w:after="0" w:line="96"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14.13 </w:t>
      </w: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Reference is made to the final prospectus of Parent, dated August 13, 2020 (the “</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00"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14.14 </w:t>
      </w:r>
      <w:r>
        <w:rPr>
          <w:rFonts w:ascii="Times New Roman" w:cs="Times New Roman" w:eastAsia="Times New Roman" w:hAnsi="Times New Roman"/>
          <w:sz w:val="16"/>
          <w:szCs w:val="16"/>
          <w:u w:val="single" w:color="auto"/>
          <w:color w:val="auto"/>
        </w:rPr>
        <w:t>Stockholders’ Representative</w:t>
      </w:r>
      <w:r>
        <w:rPr>
          <w:rFonts w:ascii="Times New Roman" w:cs="Times New Roman" w:eastAsia="Times New Roman" w:hAnsi="Times New Roman"/>
          <w:sz w:val="16"/>
          <w:szCs w:val="16"/>
          <w:color w:val="auto"/>
        </w:rPr>
        <w:t>.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2" w:name="page353"/>
    <w:bookmarkEnd w:id="35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 xml:space="preserve">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6"/>
          <w:szCs w:val="16"/>
          <w:u w:val="single" w:color="auto"/>
          <w:color w:val="auto"/>
        </w:rPr>
        <w:t>Representative Losses</w:t>
      </w:r>
      <w:r>
        <w:rPr>
          <w:rFonts w:ascii="Times New Roman" w:cs="Times New Roman" w:eastAsia="Times New Roman" w:hAnsi="Times New Roman"/>
          <w:sz w:val="16"/>
          <w:szCs w:val="16"/>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6"/>
          <w:szCs w:val="16"/>
          <w:u w:val="single" w:color="auto"/>
          <w:color w:val="auto"/>
        </w:rPr>
        <w:t>Section 14.14</w:t>
      </w:r>
      <w:r>
        <w:rPr>
          <w:rFonts w:ascii="Times New Roman" w:cs="Times New Roman" w:eastAsia="Times New Roman" w:hAnsi="Times New Roman"/>
          <w:sz w:val="16"/>
          <w:szCs w:val="16"/>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6"/>
          <w:szCs w:val="16"/>
          <w:u w:val="single" w:color="auto"/>
          <w:color w:val="auto"/>
        </w:rPr>
        <w:t>Expense Fund</w:t>
      </w:r>
      <w:r>
        <w:rPr>
          <w:rFonts w:ascii="Times New Roman" w:cs="Times New Roman" w:eastAsia="Times New Roman" w:hAnsi="Times New Roman"/>
          <w:sz w:val="16"/>
          <w:szCs w:val="16"/>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149"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14.15 </w:t>
      </w:r>
      <w:r>
        <w:rPr>
          <w:rFonts w:ascii="Times New Roman" w:cs="Times New Roman" w:eastAsia="Times New Roman" w:hAnsi="Times New Roman"/>
          <w:sz w:val="16"/>
          <w:szCs w:val="16"/>
          <w:u w:val="single" w:color="auto"/>
          <w:color w:val="auto"/>
        </w:rPr>
        <w:t>Non-Recourse</w:t>
      </w:r>
      <w:r>
        <w:rPr>
          <w:rFonts w:ascii="Times New Roman" w:cs="Times New Roman" w:eastAsia="Times New Roman" w:hAnsi="Times New Roman"/>
          <w:sz w:val="16"/>
          <w:szCs w:val="16"/>
          <w:color w:val="auto"/>
        </w:rPr>
        <w:t>.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3" w:name="page354"/>
    <w:bookmarkEnd w:id="35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6"/>
          <w:szCs w:val="16"/>
          <w:u w:val="single" w:color="auto"/>
          <w:color w:val="auto"/>
        </w:rPr>
        <w:t>Section 14.15</w:t>
      </w:r>
      <w:r>
        <w:rPr>
          <w:rFonts w:ascii="Times New Roman" w:cs="Times New Roman" w:eastAsia="Times New Roman" w:hAnsi="Times New Roman"/>
          <w:sz w:val="16"/>
          <w:szCs w:val="16"/>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6"/>
          <w:szCs w:val="16"/>
          <w:u w:val="single" w:color="auto"/>
          <w:color w:val="auto"/>
        </w:rPr>
        <w:t>Section 14.15</w:t>
      </w:r>
      <w:r>
        <w:rPr>
          <w:rFonts w:ascii="Times New Roman" w:cs="Times New Roman" w:eastAsia="Times New Roman" w:hAnsi="Times New Roman"/>
          <w:sz w:val="16"/>
          <w:szCs w:val="16"/>
          <w:color w:val="auto"/>
        </w:rPr>
        <w:t xml:space="preserve"> shall not apply to </w:t>
      </w:r>
      <w:r>
        <w:rPr>
          <w:rFonts w:ascii="Times New Roman" w:cs="Times New Roman" w:eastAsia="Times New Roman" w:hAnsi="Times New Roman"/>
          <w:sz w:val="16"/>
          <w:szCs w:val="16"/>
          <w:u w:val="single" w:color="auto"/>
          <w:color w:val="auto"/>
        </w:rPr>
        <w:t>Section 14.14</w:t>
      </w:r>
      <w:r>
        <w:rPr>
          <w:rFonts w:ascii="Times New Roman" w:cs="Times New Roman" w:eastAsia="Times New Roman" w:hAnsi="Times New Roman"/>
          <w:sz w:val="16"/>
          <w:szCs w:val="16"/>
          <w:color w:val="auto"/>
        </w:rPr>
        <w:t>, which shall be enforceable by the Stockholders’ Representative in its entirety against the Company Securityholders.</w:t>
      </w:r>
    </w:p>
    <w:p>
      <w:pPr>
        <w:spacing w:after="0" w:line="107" w:lineRule="exact"/>
        <w:rPr>
          <w:sz w:val="20"/>
          <w:szCs w:val="20"/>
          <w:color w:val="auto"/>
        </w:rPr>
      </w:pPr>
    </w:p>
    <w:p>
      <w:pPr>
        <w:jc w:val="both"/>
        <w:ind w:left="920" w:right="939" w:firstLine="382"/>
        <w:spacing w:after="0" w:line="267" w:lineRule="auto"/>
        <w:rPr>
          <w:sz w:val="20"/>
          <w:szCs w:val="20"/>
          <w:color w:val="auto"/>
        </w:rPr>
      </w:pPr>
      <w:r>
        <w:rPr>
          <w:rFonts w:ascii="Times New Roman" w:cs="Times New Roman" w:eastAsia="Times New Roman" w:hAnsi="Times New Roman"/>
          <w:sz w:val="15"/>
          <w:szCs w:val="15"/>
          <w:color w:val="auto"/>
        </w:rPr>
        <w:t xml:space="preserve">14.16 </w:t>
      </w:r>
      <w:r>
        <w:rPr>
          <w:rFonts w:ascii="Times New Roman" w:cs="Times New Roman" w:eastAsia="Times New Roman" w:hAnsi="Times New Roman"/>
          <w:sz w:val="15"/>
          <w:szCs w:val="15"/>
          <w:u w:val="single" w:color="auto"/>
          <w:color w:val="auto"/>
        </w:rPr>
        <w:t>No Other Representations; No Reliance</w:t>
      </w:r>
      <w:r>
        <w:rPr>
          <w:rFonts w:ascii="Times New Roman" w:cs="Times New Roman" w:eastAsia="Times New Roman" w:hAnsi="Times New Roman"/>
          <w:sz w:val="15"/>
          <w:szCs w:val="15"/>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5"/>
          <w:szCs w:val="15"/>
          <w:u w:val="single" w:color="auto"/>
          <w:color w:val="auto"/>
        </w:rPr>
        <w:t>ARTICLE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V</w:t>
      </w:r>
      <w:r>
        <w:rPr>
          <w:rFonts w:ascii="Times New Roman" w:cs="Times New Roman" w:eastAsia="Times New Roman" w:hAnsi="Times New Roman"/>
          <w:sz w:val="15"/>
          <w:szCs w:val="15"/>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remainder of this page intentionally left blank; signature pages to follow]</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4" w:name="page355"/>
    <w:bookmarkEnd w:id="35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as of the day and year first above written.</w:t>
      </w:r>
    </w:p>
    <w:p>
      <w:pPr>
        <w:spacing w:after="0" w:line="1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Parent:</w:t>
      </w:r>
    </w:p>
    <w:p>
      <w:pPr>
        <w:spacing w:after="0" w:line="1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175" w:lineRule="exact"/>
        <w:rPr>
          <w:sz w:val="20"/>
          <w:szCs w:val="20"/>
          <w:color w:val="auto"/>
        </w:rPr>
      </w:pPr>
    </w:p>
    <w:p>
      <w:pPr>
        <w:ind w:left="4400"/>
        <w:spacing w:after="0"/>
        <w:tabs>
          <w:tab w:leader="none" w:pos="47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45720</wp:posOffset>
            </wp:positionV>
            <wp:extent cx="211709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17090" cy="7620"/>
                    </a:xfrm>
                    <a:prstGeom prst="rect">
                      <a:avLst/>
                    </a:prstGeom>
                    <a:noFill/>
                  </pic:spPr>
                </pic:pic>
              </a:graphicData>
            </a:graphic>
          </wp:anchor>
        </w:drawing>
      </w:r>
    </w:p>
    <w:p>
      <w:pPr>
        <w:spacing w:after="0" w:line="5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Name: Jim Tananbaum</w:t>
      </w:r>
    </w:p>
    <w:p>
      <w:pPr>
        <w:spacing w:after="0" w:line="6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Merger Sub:</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FSG MERGER SUB, INC.</w:t>
      </w:r>
    </w:p>
    <w:p>
      <w:pPr>
        <w:spacing w:after="0" w:line="175" w:lineRule="exact"/>
        <w:rPr>
          <w:sz w:val="20"/>
          <w:szCs w:val="20"/>
          <w:color w:val="auto"/>
        </w:rPr>
      </w:pPr>
    </w:p>
    <w:p>
      <w:pPr>
        <w:ind w:left="4400"/>
        <w:spacing w:after="0"/>
        <w:tabs>
          <w:tab w:leader="none" w:pos="47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45720</wp:posOffset>
            </wp:positionV>
            <wp:extent cx="211709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17090" cy="7620"/>
                    </a:xfrm>
                    <a:prstGeom prst="rect">
                      <a:avLst/>
                    </a:prstGeom>
                    <a:noFill/>
                  </pic:spPr>
                </pic:pic>
              </a:graphicData>
            </a:graphic>
          </wp:anchor>
        </w:drawing>
      </w:r>
    </w:p>
    <w:p>
      <w:pPr>
        <w:spacing w:after="0" w:line="5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Name: Jim Tananbaum</w:t>
      </w:r>
    </w:p>
    <w:p>
      <w:pPr>
        <w:spacing w:after="0" w:line="6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Title: Director</w:t>
      </w:r>
    </w:p>
    <w:p>
      <w:pPr>
        <w:spacing w:after="0" w:line="1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175" w:lineRule="exact"/>
        <w:rPr>
          <w:sz w:val="20"/>
          <w:szCs w:val="20"/>
          <w:color w:val="auto"/>
        </w:rPr>
      </w:pPr>
    </w:p>
    <w:p>
      <w:pPr>
        <w:ind w:left="4400"/>
        <w:spacing w:after="0"/>
        <w:tabs>
          <w:tab w:leader="none" w:pos="47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45720</wp:posOffset>
            </wp:positionV>
            <wp:extent cx="211709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17090" cy="7620"/>
                    </a:xfrm>
                    <a:prstGeom prst="rect">
                      <a:avLst/>
                    </a:prstGeom>
                    <a:noFill/>
                  </pic:spPr>
                </pic:pic>
              </a:graphicData>
            </a:graphic>
          </wp:anchor>
        </w:drawing>
      </w:r>
    </w:p>
    <w:p>
      <w:pPr>
        <w:spacing w:after="0" w:line="5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Name: Jason Meyenburg</w:t>
      </w:r>
    </w:p>
    <w:p>
      <w:pPr>
        <w:spacing w:after="0" w:line="6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Stockholders’ Representative:</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SHAREHOLDER REPRESENTATIVE SERVICES LLC,</w:t>
      </w:r>
    </w:p>
    <w:p>
      <w:pPr>
        <w:spacing w:after="0" w:line="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solely in its capacity as the Stockholders’ Representative</w:t>
      </w:r>
    </w:p>
    <w:p>
      <w:pPr>
        <w:spacing w:after="0" w:line="158" w:lineRule="exact"/>
        <w:rPr>
          <w:sz w:val="20"/>
          <w:szCs w:val="20"/>
          <w:color w:val="auto"/>
        </w:rPr>
      </w:pPr>
    </w:p>
    <w:p>
      <w:pPr>
        <w:ind w:left="4400"/>
        <w:spacing w:after="0"/>
        <w:tabs>
          <w:tab w:leader="none" w:pos="47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45720</wp:posOffset>
            </wp:positionV>
            <wp:extent cx="211709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17090" cy="7620"/>
                    </a:xfrm>
                    <a:prstGeom prst="rect">
                      <a:avLst/>
                    </a:prstGeom>
                    <a:noFill/>
                  </pic:spPr>
                </pic:pic>
              </a:graphicData>
            </a:graphic>
          </wp:anchor>
        </w:drawing>
      </w:r>
    </w:p>
    <w:p>
      <w:pPr>
        <w:spacing w:after="0" w:line="5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Name: Sam Riffe</w:t>
      </w:r>
    </w:p>
    <w:p>
      <w:pPr>
        <w:spacing w:after="0" w:line="6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5" w:name="page356"/>
    <w:bookmarkEnd w:id="35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COMPANY SUPPORT AGREEMENT</w:t>
      </w:r>
    </w:p>
    <w:p>
      <w:pPr>
        <w:spacing w:after="0" w:line="139"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COMPANY SUPPORT AGREEMENT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entered into as of October 15, 2020, by and among FS Development Corp.,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the persons set forth on Schedule I attached hereto (each, a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 Each of Parent and each Stockholder are sometimes referred to herein individually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Capitalized terms used but not otherwise defined herein shall have the meanings ascribed to them in the Merger Agreement (as defined below).</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39"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herewith, Parent, FSG Merger Sub, Inc., a Delaware corporation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Sub</w:t>
      </w:r>
      <w:r>
        <w:rPr>
          <w:rFonts w:ascii="Times New Roman" w:cs="Times New Roman" w:eastAsia="Times New Roman" w:hAnsi="Times New Roman"/>
          <w:sz w:val="16"/>
          <w:szCs w:val="16"/>
          <w:color w:val="auto"/>
        </w:rPr>
        <w:t>”), FS Development Holdings, LLC, a 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92"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Stockholder is the record and beneficial owner of the number and type of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Securities set forth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 (together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6"/>
          <w:szCs w:val="16"/>
          <w:u w:val="single" w:color="auto"/>
          <w:color w:val="auto"/>
        </w:rPr>
        <w:t>Subject Company Shares</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in consideration for the benefits to be received by each Stockholder under the terms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Merger Agreement and as a material 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83"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acknowledge and agree that Parent and the other Parent Parties would not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entered into and agreed to consummate the transactions contemplated by the Merger Agreement without each Stockholder entering into this Agreement and agreeing to be bound by the agreements, covenants and obligations contained in this Agreement.</w:t>
      </w:r>
    </w:p>
    <w:p>
      <w:pPr>
        <w:spacing w:after="0" w:line="87"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premises and the mutual promises set forth herein and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good and valuable consideration, the receipt and sufficiency of which are hereby acknowledged, the Parties, each intending to be legally bound, hereby agree as follows: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41" w:lineRule="exact"/>
        <w:rPr>
          <w:sz w:val="20"/>
          <w:szCs w:val="20"/>
          <w:color w:val="auto"/>
        </w:rPr>
      </w:pPr>
    </w:p>
    <w:p>
      <w:pPr>
        <w:ind w:left="1460" w:hanging="159"/>
        <w:spacing w:after="0"/>
        <w:tabs>
          <w:tab w:leader="none" w:pos="146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Stockholder Consent and Related Matters</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28" w:val="left"/>
        </w:tabs>
        <w:numPr>
          <w:ilvl w:val="1"/>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95" w:lineRule="exact"/>
        <w:rPr>
          <w:rFonts w:ascii="Times New Roman" w:cs="Times New Roman" w:eastAsia="Times New Roman" w:hAnsi="Times New Roman"/>
          <w:sz w:val="16"/>
          <w:szCs w:val="16"/>
          <w:color w:val="auto"/>
        </w:rPr>
      </w:pPr>
    </w:p>
    <w:p>
      <w:pPr>
        <w:ind w:left="1680" w:right="939" w:firstLine="577"/>
        <w:spacing w:after="0" w:line="280" w:lineRule="auto"/>
        <w:tabs>
          <w:tab w:leader="none" w:pos="2449" w:val="left"/>
        </w:tabs>
        <w:numPr>
          <w:ilvl w:val="2"/>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and adopt the Merger Agreement and the transactions contemplated thereby, including the Merger;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6" w:name="page357"/>
    <w:bookmarkEnd w:id="35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firstLine="577"/>
        <w:spacing w:after="0" w:line="257" w:lineRule="auto"/>
        <w:tabs>
          <w:tab w:leader="none" w:pos="2503"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02" w:lineRule="exact"/>
        <w:rPr>
          <w:rFonts w:ascii="Times New Roman" w:cs="Times New Roman" w:eastAsia="Times New Roman" w:hAnsi="Times New Roman"/>
          <w:sz w:val="16"/>
          <w:szCs w:val="16"/>
          <w:color w:val="auto"/>
        </w:rPr>
      </w:pPr>
    </w:p>
    <w:p>
      <w:pPr>
        <w:jc w:val="both"/>
        <w:ind w:left="1680" w:right="939" w:firstLine="577"/>
        <w:spacing w:after="0" w:line="259" w:lineRule="auto"/>
        <w:tabs>
          <w:tab w:leader="none" w:pos="2600"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02" w:lineRule="exact"/>
        <w:rPr>
          <w:rFonts w:ascii="Times New Roman" w:cs="Times New Roman" w:eastAsia="Times New Roman" w:hAnsi="Times New Roman"/>
          <w:sz w:val="16"/>
          <w:szCs w:val="16"/>
          <w:color w:val="auto"/>
        </w:rPr>
      </w:pPr>
    </w:p>
    <w:p>
      <w:pPr>
        <w:jc w:val="both"/>
        <w:ind w:left="1680" w:right="939" w:firstLine="577"/>
        <w:spacing w:after="0" w:line="257" w:lineRule="auto"/>
        <w:tabs>
          <w:tab w:leader="none" w:pos="2529"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30"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27"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proxy granted by each Stockholder pursuant to </w:t>
      </w:r>
      <w:r>
        <w:rPr>
          <w:rFonts w:ascii="Times New Roman" w:cs="Times New Roman" w:eastAsia="Times New Roman" w:hAnsi="Times New Roman"/>
          <w:sz w:val="16"/>
          <w:szCs w:val="16"/>
          <w:u w:val="single" w:color="auto"/>
          <w:color w:val="auto"/>
        </w:rPr>
        <w:t>Section 1(b)</w:t>
      </w:r>
      <w:r>
        <w:rPr>
          <w:rFonts w:ascii="Times New Roman" w:cs="Times New Roman" w:eastAsia="Times New Roman" w:hAnsi="Times New Roman"/>
          <w:sz w:val="16"/>
          <w:szCs w:val="16"/>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6"/>
          <w:szCs w:val="16"/>
          <w:u w:val="single" w:color="auto"/>
          <w:color w:val="auto"/>
        </w:rPr>
        <w:t>Section 1(b)</w:t>
      </w:r>
      <w:r>
        <w:rPr>
          <w:rFonts w:ascii="Times New Roman" w:cs="Times New Roman" w:eastAsia="Times New Roman" w:hAnsi="Times New Roman"/>
          <w:sz w:val="16"/>
          <w:szCs w:val="16"/>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6"/>
          <w:szCs w:val="16"/>
          <w:u w:val="single" w:color="auto"/>
          <w:color w:val="auto"/>
        </w:rPr>
        <w:t>Section 1(b)</w:t>
      </w:r>
      <w:r>
        <w:rPr>
          <w:rFonts w:ascii="Times New Roman" w:cs="Times New Roman" w:eastAsia="Times New Roman" w:hAnsi="Times New Roman"/>
          <w:sz w:val="16"/>
          <w:szCs w:val="16"/>
          <w:color w:val="auto"/>
        </w:rPr>
        <w:t xml:space="preserve"> and with respect to the matters in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The proxyholder may not exercise the proxy granted pursuant to </w:t>
      </w:r>
      <w:r>
        <w:rPr>
          <w:rFonts w:ascii="Times New Roman" w:cs="Times New Roman" w:eastAsia="Times New Roman" w:hAnsi="Times New Roman"/>
          <w:sz w:val="16"/>
          <w:szCs w:val="16"/>
          <w:u w:val="single" w:color="auto"/>
          <w:color w:val="auto"/>
        </w:rPr>
        <w:t>Section 1(b)</w:t>
      </w:r>
      <w:r>
        <w:rPr>
          <w:rFonts w:ascii="Times New Roman" w:cs="Times New Roman" w:eastAsia="Times New Roman" w:hAnsi="Times New Roman"/>
          <w:sz w:val="16"/>
          <w:szCs w:val="16"/>
          <w:color w:val="auto"/>
        </w:rPr>
        <w:t xml:space="preserve"> on any matter except those provided in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37"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97"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3"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7" w:name="page358"/>
    <w:bookmarkEnd w:id="35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460" w:hanging="159"/>
        <w:spacing w:after="0"/>
        <w:tabs>
          <w:tab w:leader="none" w:pos="146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Covenants and Agreements</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34" w:val="left"/>
        </w:tabs>
        <w:numPr>
          <w:ilvl w:val="2"/>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however, that the indemnification provisions that are contemplated to survive the agreement marked with an asterisk (*)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15" w:val="left"/>
        </w:tabs>
        <w:numPr>
          <w:ilvl w:val="2"/>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94" w:lineRule="exact"/>
        <w:rPr>
          <w:rFonts w:ascii="Times New Roman" w:cs="Times New Roman" w:eastAsia="Times New Roman" w:hAnsi="Times New Roman"/>
          <w:sz w:val="16"/>
          <w:szCs w:val="16"/>
          <w:color w:val="auto"/>
        </w:rPr>
      </w:pPr>
    </w:p>
    <w:p>
      <w:pPr>
        <w:ind w:left="1920" w:hanging="236"/>
        <w:spacing w:after="0"/>
        <w:tabs>
          <w:tab w:leader="none" w:pos="1920" w:val="left"/>
        </w:tabs>
        <w:numPr>
          <w:ilvl w:val="2"/>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each Stockholder shall deliver to Parent a duly executed copy of that</w:t>
      </w:r>
    </w:p>
    <w:p>
      <w:pPr>
        <w:spacing w:after="0" w:line="23" w:lineRule="exact"/>
        <w:rPr>
          <w:rFonts w:ascii="Times New Roman" w:cs="Times New Roman" w:eastAsia="Times New Roman" w:hAnsi="Times New Roman"/>
          <w:sz w:val="16"/>
          <w:szCs w:val="16"/>
          <w:color w:val="auto"/>
        </w:rPr>
      </w:pPr>
    </w:p>
    <w:p>
      <w:pPr>
        <w:jc w:val="both"/>
        <w:ind w:left="920" w:right="939" w:hanging="1"/>
        <w:spacing w:after="0" w:line="249" w:lineRule="auto"/>
        <w:tabs>
          <w:tab w:leader="none" w:pos="1136"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Registration Rights Agreement, by and among Parent, the Company and the Specified Company Securityholders party thereto, in substantially the form attached as Exhibit F to the Merger Agreement and</w:t>
      </w:r>
    </w:p>
    <w:p>
      <w:pPr>
        <w:ind w:left="920" w:right="939" w:hanging="1"/>
        <w:spacing w:after="0" w:line="258" w:lineRule="auto"/>
        <w:tabs>
          <w:tab w:leader="none" w:pos="116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Voting Agreement, by and among Parent, the Company and the Specified Company Securityholders party thereto, in substantially the form attached as Exhibit D to the Merger Agreement.</w:t>
      </w:r>
    </w:p>
    <w:p>
      <w:pPr>
        <w:spacing w:after="0" w:line="101" w:lineRule="exact"/>
        <w:rPr>
          <w:rFonts w:ascii="Times New Roman" w:cs="Times New Roman" w:eastAsia="Times New Roman" w:hAnsi="Times New Roman"/>
          <w:sz w:val="16"/>
          <w:szCs w:val="16"/>
          <w:color w:val="auto"/>
        </w:rPr>
      </w:pPr>
    </w:p>
    <w:p>
      <w:pPr>
        <w:ind w:left="1480" w:hanging="179"/>
        <w:spacing w:after="0"/>
        <w:tabs>
          <w:tab w:leader="none" w:pos="1480"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Representations and Warranties</w:t>
      </w:r>
      <w:r>
        <w:rPr>
          <w:rFonts w:ascii="Times New Roman" w:cs="Times New Roman" w:eastAsia="Times New Roman" w:hAnsi="Times New Roman"/>
          <w:sz w:val="16"/>
          <w:szCs w:val="16"/>
          <w:color w:val="auto"/>
        </w:rPr>
        <w:t>. Each Stockholder represents and warrants to Parent as</w:t>
      </w:r>
    </w:p>
    <w:p>
      <w:pPr>
        <w:spacing w:after="0" w:line="23"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follows:</w:t>
      </w:r>
    </w:p>
    <w:p>
      <w:pPr>
        <w:spacing w:after="0" w:line="121"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03" w:val="left"/>
        </w:tabs>
        <w:numPr>
          <w:ilvl w:val="2"/>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20" w:val="left"/>
        </w:tabs>
        <w:numPr>
          <w:ilvl w:val="2"/>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50" w:val="left"/>
        </w:tabs>
        <w:numPr>
          <w:ilvl w:val="2"/>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23" w:val="left"/>
        </w:tabs>
        <w:numPr>
          <w:ilvl w:val="2"/>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8" w:name="page359"/>
    <w:bookmarkEnd w:id="35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6"/>
          <w:szCs w:val="16"/>
          <w:u w:val="single" w:color="auto"/>
          <w:color w:val="auto"/>
        </w:rPr>
        <w:t>clauses (ii)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directly above, as would not adversely affect the ability of such Stockholder to perform, or otherwise comply with, any of its covenants, agreements or obligations hereunder in any material respect.</w:t>
      </w:r>
    </w:p>
    <w:p>
      <w:pPr>
        <w:spacing w:after="0" w:line="107" w:lineRule="exact"/>
        <w:rPr>
          <w:sz w:val="20"/>
          <w:szCs w:val="20"/>
          <w:color w:val="auto"/>
        </w:rPr>
      </w:pPr>
    </w:p>
    <w:p>
      <w:pPr>
        <w:jc w:val="both"/>
        <w:ind w:left="920" w:right="939" w:firstLine="764"/>
        <w:spacing w:after="0" w:line="268" w:lineRule="auto"/>
        <w:tabs>
          <w:tab w:leader="none" w:pos="1921" w:val="left"/>
        </w:tabs>
        <w:numPr>
          <w:ilvl w:val="2"/>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w:t>
      </w:r>
    </w:p>
    <w:p>
      <w:pPr>
        <w:spacing w:after="0" w:line="1" w:lineRule="exact"/>
        <w:rPr>
          <w:rFonts w:ascii="Times New Roman" w:cs="Times New Roman" w:eastAsia="Times New Roman" w:hAnsi="Times New Roman"/>
          <w:sz w:val="15"/>
          <w:szCs w:val="15"/>
          <w:color w:val="auto"/>
        </w:rPr>
      </w:pPr>
    </w:p>
    <w:p>
      <w:pPr>
        <w:ind w:left="920" w:right="939" w:hanging="1"/>
        <w:spacing w:after="0" w:line="258" w:lineRule="auto"/>
        <w:tabs>
          <w:tab w:leader="none" w:pos="1185"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voting trust, proxy or other Contract with respect to the voting or Transfer of any of the Subject Company Shares.</w:t>
      </w:r>
    </w:p>
    <w:p>
      <w:pPr>
        <w:spacing w:after="0" w:line="101"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10" w:val="left"/>
        </w:tabs>
        <w:numPr>
          <w:ilvl w:val="2"/>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93"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23" w:val="left"/>
        </w:tabs>
        <w:numPr>
          <w:ilvl w:val="2"/>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15" w:val="left"/>
        </w:tabs>
        <w:numPr>
          <w:ilvl w:val="2"/>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07" w:lineRule="exact"/>
        <w:rPr>
          <w:rFonts w:ascii="Times New Roman" w:cs="Times New Roman" w:eastAsia="Times New Roman" w:hAnsi="Times New Roman"/>
          <w:sz w:val="16"/>
          <w:szCs w:val="16"/>
          <w:color w:val="auto"/>
        </w:rPr>
      </w:pPr>
    </w:p>
    <w:p>
      <w:pPr>
        <w:jc w:val="both"/>
        <w:ind w:left="920" w:right="939" w:firstLine="381"/>
        <w:spacing w:after="0" w:line="256" w:lineRule="auto"/>
        <w:tabs>
          <w:tab w:leader="none" w:pos="1462" w:val="left"/>
        </w:tabs>
        <w:numPr>
          <w:ilvl w:val="1"/>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Subject Securities</w:t>
      </w:r>
      <w:r>
        <w:rPr>
          <w:rFonts w:ascii="Times New Roman" w:cs="Times New Roman" w:eastAsia="Times New Roman" w:hAnsi="Times New Roman"/>
          <w:sz w:val="16"/>
          <w:szCs w:val="16"/>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w:t>
      </w:r>
    </w:p>
    <w:p>
      <w:pPr>
        <w:spacing w:after="0" w:line="1"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12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option, warrant, purchase right, or other Contract that would (either alone or in connection with one or more events or developments (including the satisfaction or waiver of any conditions precedent)) require such Stockholder to Transfer the Subject Company Shares or (ii) 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9" w:name="page360"/>
    <w:bookmarkEnd w:id="35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For purposes of this Agreement,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02" w:lineRule="exact"/>
        <w:rPr>
          <w:sz w:val="20"/>
          <w:szCs w:val="20"/>
          <w:color w:val="auto"/>
        </w:rPr>
      </w:pPr>
    </w:p>
    <w:p>
      <w:pPr>
        <w:jc w:val="both"/>
        <w:ind w:left="920" w:right="939" w:firstLine="381"/>
        <w:spacing w:after="0" w:line="257" w:lineRule="auto"/>
        <w:tabs>
          <w:tab w:leader="none" w:pos="1462"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automatically terminate, without any notice or other action by any Party, and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474"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Fiduciary Duties</w:t>
      </w:r>
      <w:r>
        <w:rPr>
          <w:rFonts w:ascii="Times New Roman" w:cs="Times New Roman" w:eastAsia="Times New Roman" w:hAnsi="Times New Roman"/>
          <w:sz w:val="16"/>
          <w:szCs w:val="16"/>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94"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462"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If to Parent,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c/o FS Development Corp.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Jim Tananbaum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Jim@foresitecapital.com</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New York, New York 10020-1095</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Joel L. Rubinstein, Esq.</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joel.rubinstein@whitecase.com</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If to a Stockholder, to the address specified by such Stockholder in writing.</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100 Northern Avenue</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Boston, MA 02210</w:t>
      </w:r>
    </w:p>
    <w:p>
      <w:pPr>
        <w:sectPr>
          <w:pgSz w:w="11900" w:h="16838" w:orient="portrait"/>
          <w:cols w:equalWidth="0" w:num="1">
            <w:col w:w="9019"/>
          </w:cols>
          <w:pgMar w:left="1440" w:top="254" w:right="1440" w:bottom="1440" w:gutter="0" w:footer="0" w:header="0"/>
        </w:sectPr>
      </w:pP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Attention:</w:t>
      </w:r>
    </w:p>
    <w:p>
      <w:pPr>
        <w:spacing w:after="0" w:line="200" w:lineRule="exact"/>
        <w:rPr>
          <w:sz w:val="20"/>
          <w:szCs w:val="20"/>
          <w:color w:val="auto"/>
        </w:rPr>
      </w:pPr>
    </w:p>
    <w:p>
      <w:pPr>
        <w:spacing w:after="0" w:line="20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Mitchell S. Bloom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Jocelyn M. Arel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Daniel J. Espinoza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mbloom@goodwinlaw.com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jarel@goodwinlaw.com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despinoza@goodwinlaw.com</w:t>
      </w:r>
    </w:p>
    <w:p>
      <w:pPr>
        <w:spacing w:after="0" w:line="121" w:lineRule="exact"/>
        <w:rPr>
          <w:sz w:val="20"/>
          <w:szCs w:val="20"/>
          <w:color w:val="auto"/>
        </w:rPr>
      </w:pPr>
    </w:p>
    <w:p>
      <w:pPr>
        <w:sectPr>
          <w:pgSz w:w="11900" w:h="16838" w:orient="portrait"/>
          <w:cols w:equalWidth="0" w:num="2">
            <w:col w:w="2320" w:space="280"/>
            <w:col w:w="6419"/>
          </w:cols>
          <w:pgMar w:left="1440" w:top="254" w:right="1440" w:bottom="1440" w:gutter="0" w:footer="0" w:header="0"/>
          <w:type w:val="continuous"/>
        </w:sect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or to such other address as the Party to whom notice is given may have previously furnished to the others in writing in the manner set forth above.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360" w:name="page361"/>
    <w:bookmarkEnd w:id="36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9" w:lineRule="auto"/>
        <w:tabs>
          <w:tab w:leader="none" w:pos="1486"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462"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 Assignment</w:t>
      </w:r>
      <w:r>
        <w:rPr>
          <w:rFonts w:ascii="Times New Roman" w:cs="Times New Roman" w:eastAsia="Times New Roman" w:hAnsi="Times New Roman"/>
          <w:sz w:val="16"/>
          <w:szCs w:val="16"/>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553"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90"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535"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05"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553"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Beneficiaries</w:t>
      </w:r>
      <w:r>
        <w:rPr>
          <w:rFonts w:ascii="Times New Roman" w:cs="Times New Roman" w:eastAsia="Times New Roman" w:hAnsi="Times New Roman"/>
          <w:sz w:val="16"/>
          <w:szCs w:val="16"/>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565"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1" w:name="page362"/>
    <w:bookmarkEnd w:id="36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IN WITNESS WHEREOF, the Parties have executed and delivered this Company Support Agreement as of the date first above written.</w:t>
      </w:r>
    </w:p>
    <w:p>
      <w:pPr>
        <w:spacing w:after="0" w:line="14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1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45720</wp:posOffset>
            </wp:positionV>
            <wp:extent cx="20485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048510" cy="7620"/>
                    </a:xfrm>
                    <a:prstGeom prst="rect">
                      <a:avLst/>
                    </a:prstGeom>
                    <a:noFill/>
                  </pic:spPr>
                </pic:pic>
              </a:graphicData>
            </a:graphic>
          </wp:anchor>
        </w:drawing>
      </w:r>
    </w:p>
    <w:p>
      <w:pPr>
        <w:spacing w:after="0" w:line="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Company Support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2" w:name="page363"/>
    <w:bookmarkEnd w:id="36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LIGHTSTONE VENTURES, L.P.</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LSV Associates,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Title:</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LIGHTSTONE VENTURES (A), L.P.</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LSV Associates,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Title:</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LIGHTSTONE SINGAPORE, L.P.</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LSV Associates,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Company Support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3" w:name="page364"/>
    <w:bookmarkEnd w:id="36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ORBIMED PRIVATE INVESTMENTS VI, L.P.</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OrbiMed Capital GP VI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OrbiMed Advisors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Managing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Company Support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4" w:name="page365"/>
    <w:bookmarkEnd w:id="36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ATLAS VENTURE FUND X, L.P.</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Atlas Venture Associates X, L.P.</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color w:val="auto"/>
        </w:rPr>
        <w:t>By: Atlas Venture Associates X, LLC</w:t>
      </w:r>
    </w:p>
    <w:p>
      <w:pPr>
        <w:spacing w:after="0" w:line="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Company Support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5" w:name="page366"/>
    <w:bookmarkEnd w:id="36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WU CAPITAL INVESTMENT LLC</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Wu Capital Investment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Director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Company Support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6" w:name="page367"/>
    <w:bookmarkEnd w:id="36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SCHEDULE I</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79"/>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under</w:t>
            </w:r>
          </w:p>
        </w:tc>
      </w:tr>
      <w:tr>
        <w:trPr>
          <w:trHeight w:val="179"/>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88"/>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r>
      <w:tr>
        <w:trPr>
          <w:trHeight w:val="42"/>
        </w:trPr>
        <w:tc>
          <w:tcPr>
            <w:tcW w:w="4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3"/>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Lightstone Ventures, L.P.</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11,653,137</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976,931</w:t>
            </w:r>
          </w:p>
        </w:tc>
        <w:tc>
          <w:tcPr>
            <w:tcW w:w="920" w:type="dxa"/>
            <w:vAlign w:val="bottom"/>
            <w:tcBorders>
              <w:bottom w:val="single" w:sz="8" w:color="CCEEFF"/>
            </w:tcBorders>
            <w:shd w:val="clear" w:color="auto" w:fill="CCEEFF"/>
          </w:tcPr>
          <w:p>
            <w:pPr>
              <w:spacing w:after="0"/>
              <w:rPr>
                <w:sz w:val="19"/>
                <w:szCs w:val="19"/>
                <w:color w:val="auto"/>
              </w:rPr>
            </w:pPr>
          </w:p>
        </w:tc>
      </w:tr>
      <w:tr>
        <w:trPr>
          <w:trHeight w:val="215"/>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Lightstone Ventures (A), L.P.</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1,587,559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133,112</w:t>
            </w:r>
          </w:p>
        </w:tc>
        <w:tc>
          <w:tcPr>
            <w:tcW w:w="920" w:type="dxa"/>
            <w:vAlign w:val="bottom"/>
          </w:tcPr>
          <w:p>
            <w:pPr>
              <w:spacing w:after="0"/>
              <w:rPr>
                <w:sz w:val="18"/>
                <w:szCs w:val="18"/>
                <w:color w:val="auto"/>
              </w:rPr>
            </w:pPr>
          </w:p>
        </w:tc>
      </w:tr>
      <w:tr>
        <w:trPr>
          <w:trHeight w:val="36"/>
        </w:trPr>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31"/>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Lightstone Singapore L.P.</w:t>
            </w: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3,700,139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r>
      <w:tr>
        <w:trPr>
          <w:trHeight w:val="215"/>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OrbiMed Private Investments VI, L.P.</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13,240,696</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7,400,280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4,887,000</w:t>
            </w:r>
          </w:p>
        </w:tc>
      </w:tr>
      <w:tr>
        <w:trPr>
          <w:trHeight w:val="36"/>
        </w:trPr>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31"/>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Atlas Venture Fund X, L.P.</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13,240,696</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5,180,196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4,361,000</w:t>
            </w:r>
          </w:p>
        </w:tc>
      </w:tr>
      <w:tr>
        <w:trPr>
          <w:trHeight w:val="215"/>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Wu Capital Investment LLC</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7,400,280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1,752,000</w:t>
            </w:r>
          </w:p>
        </w:tc>
      </w:tr>
    </w:tbl>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7" w:name="page368"/>
    <w:bookmarkEnd w:id="36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B</w:t>
      </w:r>
    </w:p>
    <w:p>
      <w:pPr>
        <w:spacing w:after="0" w:line="129" w:lineRule="exact"/>
        <w:rPr>
          <w:sz w:val="20"/>
          <w:szCs w:val="20"/>
          <w:color w:val="auto"/>
        </w:rPr>
      </w:pPr>
    </w:p>
    <w:p>
      <w:pPr>
        <w:jc w:val="both"/>
        <w:ind w:left="1300" w:right="939" w:hanging="381"/>
        <w:spacing w:after="0" w:line="265" w:lineRule="auto"/>
        <w:tabs>
          <w:tab w:leader="none" w:pos="1362"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95" w:lineRule="exact"/>
        <w:rPr>
          <w:rFonts w:ascii="Times New Roman" w:cs="Times New Roman" w:eastAsia="Times New Roman" w:hAnsi="Times New Roman"/>
          <w:sz w:val="16"/>
          <w:szCs w:val="16"/>
          <w:color w:val="auto"/>
        </w:rPr>
      </w:pPr>
    </w:p>
    <w:p>
      <w:pPr>
        <w:ind w:left="1300" w:right="939" w:hanging="381"/>
        <w:spacing w:after="0" w:line="315" w:lineRule="auto"/>
        <w:tabs>
          <w:tab w:leader="none" w:pos="1272" w:val="left"/>
        </w:tabs>
        <w:numPr>
          <w:ilvl w:val="0"/>
          <w:numId w:val="3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Amended and Restated Right of First Refusal and Co-Sale Agreement, dated as of September 26, 2019, by and among the Company, the Investors (as defined below) and the persons named on Schedule B thereto.</w:t>
      </w:r>
    </w:p>
    <w:p>
      <w:pPr>
        <w:spacing w:after="0" w:line="61" w:lineRule="exact"/>
        <w:rPr>
          <w:rFonts w:ascii="Times New Roman" w:cs="Times New Roman" w:eastAsia="Times New Roman" w:hAnsi="Times New Roman"/>
          <w:sz w:val="15"/>
          <w:szCs w:val="15"/>
          <w:color w:val="auto"/>
        </w:rPr>
      </w:pPr>
    </w:p>
    <w:p>
      <w:pPr>
        <w:ind w:left="1300" w:right="939" w:hanging="381"/>
        <w:spacing w:after="0" w:line="280" w:lineRule="auto"/>
        <w:tabs>
          <w:tab w:leader="none" w:pos="131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Amended and Restated Investors’ Rights Agreement, dated as of September 26, 2019, by and among the Company and the Investors.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8" w:name="page369"/>
    <w:bookmarkEnd w:id="36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SUBSCRIPTION AGREEMENT</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1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2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In connection with the proposed business combination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between FS Development Corp., a Delaware corporation (“</w:t>
      </w:r>
      <w:r>
        <w:rPr>
          <w:rFonts w:ascii="Times New Roman" w:cs="Times New Roman" w:eastAsia="Times New Roman" w:hAnsi="Times New Roman"/>
          <w:sz w:val="16"/>
          <w:szCs w:val="16"/>
          <w:u w:val="single" w:color="auto"/>
          <w:color w:val="auto"/>
        </w:rPr>
        <w:t>FSD</w:t>
      </w:r>
      <w:r>
        <w:rPr>
          <w:rFonts w:ascii="Times New Roman" w:cs="Times New Roman" w:eastAsia="Times New Roman" w:hAnsi="Times New Roman"/>
          <w:sz w:val="16"/>
          <w:szCs w:val="16"/>
          <w:color w:val="auto"/>
        </w:rPr>
        <w:t>”), and Gemini Therapeutics, Inc., a Delaware corporation (“</w:t>
      </w:r>
      <w:r>
        <w:rPr>
          <w:rFonts w:ascii="Times New Roman" w:cs="Times New Roman" w:eastAsia="Times New Roman" w:hAnsi="Times New Roman"/>
          <w:sz w:val="16"/>
          <w:szCs w:val="16"/>
          <w:u w:val="single" w:color="auto"/>
          <w:color w:val="auto"/>
        </w:rPr>
        <w:t>Target</w:t>
      </w:r>
      <w:r>
        <w:rPr>
          <w:rFonts w:ascii="Times New Roman" w:cs="Times New Roman" w:eastAsia="Times New Roman" w:hAnsi="Times New Roman"/>
          <w:sz w:val="16"/>
          <w:szCs w:val="16"/>
          <w:color w:val="auto"/>
        </w:rPr>
        <w:t>”), pursuant to a merger agreement to be entered into among FSD, Target, and the other parties thereto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FSD is seeking commitments from interested investors to purchase shares of Class A common stock, par value $0.0001 per share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of FSD, for a purchase price of $10.00 per share (the “</w:t>
      </w:r>
      <w:r>
        <w:rPr>
          <w:rFonts w:ascii="Times New Roman" w:cs="Times New Roman" w:eastAsia="Times New Roman" w:hAnsi="Times New Roman"/>
          <w:sz w:val="16"/>
          <w:szCs w:val="16"/>
          <w:u w:val="single" w:color="auto"/>
          <w:color w:val="auto"/>
        </w:rPr>
        <w:t>Per Share Purchase Price</w:t>
      </w:r>
      <w:r>
        <w:rPr>
          <w:rFonts w:ascii="Times New Roman" w:cs="Times New Roman" w:eastAsia="Times New Roman" w:hAnsi="Times New Roman"/>
          <w:sz w:val="16"/>
          <w:szCs w:val="16"/>
          <w:color w:val="auto"/>
        </w:rPr>
        <w:t>”). The aggregate purchase price to be paid by the undersigned (the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for the subscribed Shares (as set forth on the signature page hereto) is referred to herein as the “</w:t>
      </w:r>
      <w:r>
        <w:rPr>
          <w:rFonts w:ascii="Times New Roman" w:cs="Times New Roman" w:eastAsia="Times New Roman" w:hAnsi="Times New Roman"/>
          <w:sz w:val="16"/>
          <w:szCs w:val="16"/>
          <w:u w:val="single" w:color="auto"/>
          <w:color w:val="auto"/>
        </w:rPr>
        <w:t>Subscription Amount</w:t>
      </w:r>
      <w:r>
        <w:rPr>
          <w:rFonts w:ascii="Times New Roman" w:cs="Times New Roman" w:eastAsia="Times New Roman" w:hAnsi="Times New Roman"/>
          <w:sz w:val="16"/>
          <w:szCs w:val="16"/>
          <w:color w:val="auto"/>
        </w:rPr>
        <w:t>.” On or about the date of this Subscription Agreement, FSD is entering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with certain other investors (the “</w:t>
      </w:r>
      <w:r>
        <w:rPr>
          <w:rFonts w:ascii="Times New Roman" w:cs="Times New Roman" w:eastAsia="Times New Roman" w:hAnsi="Times New Roman"/>
          <w:sz w:val="16"/>
          <w:szCs w:val="16"/>
          <w:u w:val="single" w:color="auto"/>
          <w:color w:val="auto"/>
        </w:rPr>
        <w:t>Other Investors</w:t>
      </w:r>
      <w:r>
        <w:rPr>
          <w:rFonts w:ascii="Times New Roman" w:cs="Times New Roman" w:eastAsia="Times New Roman" w:hAnsi="Times New Roman"/>
          <w:sz w:val="16"/>
          <w:szCs w:val="16"/>
          <w:color w:val="auto"/>
        </w:rPr>
        <w:t>” and together with the Investor,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0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96" w:lineRule="exact"/>
        <w:rPr>
          <w:sz w:val="20"/>
          <w:szCs w:val="20"/>
          <w:color w:val="auto"/>
        </w:rPr>
      </w:pPr>
    </w:p>
    <w:p>
      <w:pPr>
        <w:jc w:val="both"/>
        <w:ind w:left="920" w:right="939" w:firstLine="381"/>
        <w:spacing w:after="0" w:line="265" w:lineRule="auto"/>
        <w:tabs>
          <w:tab w:leader="none" w:pos="1474"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50" w:lineRule="auto"/>
        <w:tabs>
          <w:tab w:leader="none" w:pos="1462"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closing of the sale of the Shares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Subscription Agreement and (ii) delivery of written notice from (or on behalf of) FSD to the Investor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21"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06" w:val="left"/>
        </w:tabs>
        <w:numPr>
          <w:ilvl w:val="1"/>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parties hereto to consummate the purchase and sale of the Shares pursuant to this Subscription Agreement is subject to the following conditions:</w:t>
      </w:r>
    </w:p>
    <w:p>
      <w:pPr>
        <w:spacing w:after="0" w:line="72" w:lineRule="exact"/>
        <w:rPr>
          <w:rFonts w:ascii="Times New Roman" w:cs="Times New Roman" w:eastAsia="Times New Roman" w:hAnsi="Times New Roman"/>
          <w:sz w:val="16"/>
          <w:szCs w:val="16"/>
          <w:color w:val="auto"/>
        </w:rPr>
      </w:pPr>
    </w:p>
    <w:p>
      <w:pPr>
        <w:jc w:val="both"/>
        <w:ind w:left="1680" w:right="939" w:firstLine="960"/>
        <w:spacing w:after="0" w:line="265" w:lineRule="auto"/>
        <w:tabs>
          <w:tab w:leader="none" w:pos="2855" w:val="left"/>
        </w:tabs>
        <w:numPr>
          <w:ilvl w:val="2"/>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applicable governmental authority shall have enacted, issued, promulgated, enforced or entered any judgment, order, law, rule or regulation (whether temporary, preliminary or permanent)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9" w:name="page370"/>
    <w:bookmarkEnd w:id="36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spacing w:after="0" w:line="265" w:lineRule="auto"/>
        <w:rPr>
          <w:sz w:val="20"/>
          <w:szCs w:val="20"/>
          <w:color w:val="auto"/>
        </w:rPr>
      </w:pPr>
      <w:r>
        <w:rPr>
          <w:rFonts w:ascii="Times New Roman" w:cs="Times New Roman" w:eastAsia="Times New Roman" w:hAnsi="Times New Roman"/>
          <w:sz w:val="16"/>
          <w:szCs w:val="16"/>
          <w:color w:val="auto"/>
        </w:rPr>
        <w:t>which is then in effect and has the effect of making consummation of the transactions contemplated hereby illegal or otherwise restraining or prohibiting consummation of the transactions contemplated hereby;</w:t>
      </w:r>
    </w:p>
    <w:p>
      <w:pPr>
        <w:spacing w:after="0" w:line="96" w:lineRule="exact"/>
        <w:rPr>
          <w:sz w:val="20"/>
          <w:szCs w:val="20"/>
          <w:color w:val="auto"/>
        </w:rPr>
      </w:pPr>
    </w:p>
    <w:p>
      <w:pPr>
        <w:jc w:val="both"/>
        <w:ind w:left="1680" w:right="939" w:firstLine="960"/>
        <w:spacing w:after="0" w:line="265" w:lineRule="auto"/>
        <w:tabs>
          <w:tab w:leader="none" w:pos="2874" w:val="left"/>
        </w:tabs>
        <w:numPr>
          <w:ilvl w:val="2"/>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95" w:lineRule="exact"/>
        <w:rPr>
          <w:rFonts w:ascii="Times New Roman" w:cs="Times New Roman" w:eastAsia="Times New Roman" w:hAnsi="Times New Roman"/>
          <w:sz w:val="16"/>
          <w:szCs w:val="16"/>
          <w:color w:val="auto"/>
        </w:rPr>
      </w:pPr>
    </w:p>
    <w:p>
      <w:pPr>
        <w:jc w:val="both"/>
        <w:ind w:left="1680" w:right="939" w:firstLine="960"/>
        <w:spacing w:after="0" w:line="265" w:lineRule="auto"/>
        <w:tabs>
          <w:tab w:leader="none" w:pos="2958" w:val="left"/>
        </w:tabs>
        <w:numPr>
          <w:ilvl w:val="2"/>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83" w:lineRule="exact"/>
        <w:rPr>
          <w:rFonts w:ascii="Times New Roman" w:cs="Times New Roman" w:eastAsia="Times New Roman" w:hAnsi="Times New Roman"/>
          <w:sz w:val="16"/>
          <w:szCs w:val="16"/>
          <w:color w:val="auto"/>
        </w:rPr>
      </w:pPr>
    </w:p>
    <w:p>
      <w:pPr>
        <w:ind w:left="2900" w:hanging="260"/>
        <w:spacing w:after="0"/>
        <w:tabs>
          <w:tab w:leader="none" w:pos="2900" w:val="left"/>
        </w:tabs>
        <w:numPr>
          <w:ilvl w:val="2"/>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shall have been approved for listing on the Nasdaq Capital Market.</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39" w:val="left"/>
        </w:tabs>
        <w:numPr>
          <w:ilvl w:val="1"/>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06"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37" w:val="left"/>
        </w:tabs>
        <w:numPr>
          <w:ilvl w:val="1"/>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Investor to consummate the purchase of the Shares pursuant to this Subscription Agreement shall be subject to the following conditions:</w:t>
      </w:r>
    </w:p>
    <w:p>
      <w:pPr>
        <w:spacing w:after="0" w:line="72" w:lineRule="exact"/>
        <w:rPr>
          <w:rFonts w:ascii="Times New Roman" w:cs="Times New Roman" w:eastAsia="Times New Roman" w:hAnsi="Times New Roman"/>
          <w:sz w:val="16"/>
          <w:szCs w:val="16"/>
          <w:color w:val="auto"/>
        </w:rPr>
      </w:pPr>
    </w:p>
    <w:p>
      <w:pPr>
        <w:jc w:val="both"/>
        <w:ind w:left="1680" w:right="939" w:firstLine="960"/>
        <w:spacing w:after="0" w:line="255" w:lineRule="auto"/>
        <w:tabs>
          <w:tab w:leader="none" w:pos="2893" w:val="left"/>
        </w:tabs>
        <w:numPr>
          <w:ilvl w:val="2"/>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05" w:lineRule="exact"/>
        <w:rPr>
          <w:rFonts w:ascii="Times New Roman" w:cs="Times New Roman" w:eastAsia="Times New Roman" w:hAnsi="Times New Roman"/>
          <w:sz w:val="16"/>
          <w:szCs w:val="16"/>
          <w:color w:val="auto"/>
        </w:rPr>
      </w:pPr>
    </w:p>
    <w:p>
      <w:pPr>
        <w:jc w:val="both"/>
        <w:ind w:left="1680" w:right="939" w:firstLine="960"/>
        <w:spacing w:after="0" w:line="265" w:lineRule="auto"/>
        <w:tabs>
          <w:tab w:leader="none" w:pos="2872" w:val="left"/>
        </w:tabs>
        <w:numPr>
          <w:ilvl w:val="2"/>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95" w:lineRule="exact"/>
        <w:rPr>
          <w:rFonts w:ascii="Times New Roman" w:cs="Times New Roman" w:eastAsia="Times New Roman" w:hAnsi="Times New Roman"/>
          <w:sz w:val="16"/>
          <w:szCs w:val="16"/>
          <w:color w:val="auto"/>
        </w:rPr>
      </w:pPr>
    </w:p>
    <w:p>
      <w:pPr>
        <w:jc w:val="both"/>
        <w:ind w:left="1680" w:right="939" w:firstLine="960"/>
        <w:spacing w:after="0" w:line="290" w:lineRule="auto"/>
        <w:tabs>
          <w:tab w:leader="none" w:pos="2951" w:val="left"/>
        </w:tabs>
        <w:numPr>
          <w:ilvl w:val="2"/>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67" w:lineRule="exact"/>
        <w:rPr>
          <w:rFonts w:ascii="Times New Roman" w:cs="Times New Roman" w:eastAsia="Times New Roman" w:hAnsi="Times New Roman"/>
          <w:sz w:val="15"/>
          <w:szCs w:val="15"/>
          <w:color w:val="auto"/>
        </w:rPr>
      </w:pPr>
    </w:p>
    <w:p>
      <w:pPr>
        <w:jc w:val="both"/>
        <w:ind w:left="1680" w:right="939" w:firstLine="960"/>
        <w:spacing w:after="0" w:line="265" w:lineRule="auto"/>
        <w:tabs>
          <w:tab w:leader="none" w:pos="2949" w:val="left"/>
        </w:tabs>
        <w:numPr>
          <w:ilvl w:val="2"/>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498"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9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462"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FSD Representations and Warranties</w:t>
      </w:r>
      <w:r>
        <w:rPr>
          <w:rFonts w:ascii="Times New Roman" w:cs="Times New Roman" w:eastAsia="Times New Roman" w:hAnsi="Times New Roman"/>
          <w:sz w:val="16"/>
          <w:szCs w:val="16"/>
          <w:color w:val="auto"/>
        </w:rPr>
        <w:t>. FSD represents and warrants to the Investor, as of the date hereof and as of the Closing Date that:</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22" w:val="left"/>
        </w:tabs>
        <w:numPr>
          <w:ilvl w:val="1"/>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12" w:val="left"/>
        </w:tabs>
        <w:numPr>
          <w:ilvl w:val="1"/>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0" w:name="page371"/>
    <w:bookmarkEnd w:id="37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5" w:lineRule="auto"/>
        <w:tabs>
          <w:tab w:leader="none" w:pos="1923"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69" w:lineRule="auto"/>
        <w:tabs>
          <w:tab w:leader="none" w:pos="1918"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5"/>
          <w:szCs w:val="15"/>
          <w:u w:val="single" w:color="auto"/>
          <w:color w:val="auto"/>
        </w:rPr>
        <w:t>Material Adverse Effect</w:t>
      </w:r>
      <w:r>
        <w:rPr>
          <w:rFonts w:ascii="Times New Roman" w:cs="Times New Roman" w:eastAsia="Times New Roman" w:hAnsi="Times New Roman"/>
          <w:sz w:val="15"/>
          <w:szCs w:val="15"/>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97" w:lineRule="exact"/>
        <w:rPr>
          <w:rFonts w:ascii="Times New Roman" w:cs="Times New Roman" w:eastAsia="Times New Roman" w:hAnsi="Times New Roman"/>
          <w:sz w:val="15"/>
          <w:szCs w:val="15"/>
          <w:color w:val="auto"/>
        </w:rPr>
      </w:pPr>
    </w:p>
    <w:p>
      <w:pPr>
        <w:jc w:val="both"/>
        <w:ind w:left="920" w:right="939" w:firstLine="764"/>
        <w:spacing w:after="0" w:line="251" w:lineRule="auto"/>
        <w:tabs>
          <w:tab w:leader="none" w:pos="1933"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made all filings required to be filed by it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and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99"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03"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17"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6"/>
          <w:szCs w:val="16"/>
          <w:u w:val="single" w:color="auto"/>
          <w:color w:val="auto"/>
        </w:rPr>
        <w:t>Stock Exchange</w:t>
      </w:r>
      <w:r>
        <w:rPr>
          <w:rFonts w:ascii="Times New Roman" w:cs="Times New Roman" w:eastAsia="Times New Roman" w:hAnsi="Times New Roman"/>
          <w:sz w:val="16"/>
          <w:szCs w:val="16"/>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29"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FSD consists of 100,000,000 Shares of which 12,516,500 are outstanding, 10,000,000 shares of Class B common stock, par value $0.0001 per share of which 3,018,750 are issued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1" w:name="page372"/>
    <w:bookmarkEnd w:id="37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06" w:lineRule="exact"/>
        <w:rPr>
          <w:sz w:val="20"/>
          <w:szCs w:val="20"/>
          <w:color w:val="auto"/>
        </w:rPr>
      </w:pPr>
    </w:p>
    <w:p>
      <w:pPr>
        <w:jc w:val="both"/>
        <w:ind w:left="920" w:right="939" w:firstLine="764"/>
        <w:spacing w:after="0" w:line="257" w:lineRule="auto"/>
        <w:tabs>
          <w:tab w:leader="none" w:pos="1880" w:val="left"/>
        </w:tabs>
        <w:numPr>
          <w:ilvl w:val="2"/>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879" w:val="left"/>
        </w:tabs>
        <w:numPr>
          <w:ilvl w:val="2"/>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Investor’s representations and warranties set forth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73" w:lineRule="auto"/>
        <w:tabs>
          <w:tab w:leader="none" w:pos="1911" w:val="left"/>
        </w:tabs>
        <w:numPr>
          <w:ilvl w:val="2"/>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w:t>
      </w:r>
    </w:p>
    <w:p>
      <w:pPr>
        <w:spacing w:after="0" w:line="1" w:lineRule="exact"/>
        <w:rPr>
          <w:rFonts w:ascii="Times New Roman" w:cs="Times New Roman" w:eastAsia="Times New Roman" w:hAnsi="Times New Roman"/>
          <w:sz w:val="15"/>
          <w:szCs w:val="15"/>
          <w:color w:val="auto"/>
        </w:rPr>
      </w:pPr>
    </w:p>
    <w:p>
      <w:pPr>
        <w:ind w:left="920" w:right="939" w:hanging="1"/>
        <w:spacing w:after="0" w:line="258" w:lineRule="auto"/>
        <w:tabs>
          <w:tab w:leader="none" w:pos="1173"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judgment, decree, injunction, ruling or order of any governmental entity or arbitrator outstanding against FSD.</w:t>
      </w:r>
    </w:p>
    <w:p>
      <w:pPr>
        <w:spacing w:after="0" w:line="101"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877" w:val="left"/>
        </w:tabs>
        <w:numPr>
          <w:ilvl w:val="2"/>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9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63" w:val="left"/>
        </w:tabs>
        <w:numPr>
          <w:ilvl w:val="2"/>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is not under any obligation to pay any broker’s fee or commission in connection with the sale of the Shares hereunder other than to the Placement Agents (as defined herein).</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19" w:val="left"/>
        </w:tabs>
        <w:numPr>
          <w:ilvl w:val="2"/>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05"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1"/>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Investor Representations and Warranties</w:t>
      </w:r>
      <w:r>
        <w:rPr>
          <w:rFonts w:ascii="Times New Roman" w:cs="Times New Roman" w:eastAsia="Times New Roman" w:hAnsi="Times New Roman"/>
          <w:sz w:val="16"/>
          <w:szCs w:val="16"/>
          <w:color w:val="auto"/>
        </w:rPr>
        <w:t>. The Investor represents and warrants to FSD that:</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04" w:val="left"/>
        </w:tabs>
        <w:numPr>
          <w:ilvl w:val="2"/>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The Investor is not an entity formed for the specific purpose of acquiring the Shares.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2" w:name="page373"/>
    <w:bookmarkEnd w:id="37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1" w:lineRule="auto"/>
        <w:tabs>
          <w:tab w:leader="none" w:pos="1929"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13"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4"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1"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21"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11"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u w:val="single" w:color="auto"/>
          <w:color w:val="auto"/>
        </w:rPr>
        <w:t>Placement Agents</w:t>
      </w:r>
      <w:r>
        <w:rPr>
          <w:rFonts w:ascii="Times New Roman" w:cs="Times New Roman" w:eastAsia="Times New Roman" w:hAnsi="Times New Roman"/>
          <w:sz w:val="16"/>
          <w:szCs w:val="16"/>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48"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28"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3" w:name="page374"/>
    <w:bookmarkEnd w:id="37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5" w:lineRule="auto"/>
        <w:tabs>
          <w:tab w:leader="none" w:pos="1891"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879"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understands and agrees that no federal or state agency has passed upon or endorsed the merits of the offering of the Shares or made any findings or determination as to the fairness of this investment.</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36"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88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14"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91"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6"/>
          <w:szCs w:val="16"/>
          <w:u w:val="single" w:color="auto"/>
          <w:color w:val="auto"/>
        </w:rPr>
        <w:t>PATRIOT Act</w:t>
      </w:r>
      <w:r>
        <w:rPr>
          <w:rFonts w:ascii="Times New Roman" w:cs="Times New Roman" w:eastAsia="Times New Roman" w:hAnsi="Times New Roman"/>
          <w:sz w:val="16"/>
          <w:szCs w:val="16"/>
          <w:color w:val="auto"/>
        </w:rPr>
        <w:t>”),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11"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5"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disclosure or offering document has been prepared by either of the Placement Agents or any of their respective affiliates in connection with the offer and sale of the Shares.</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9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2"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issue and purchase of the Shares, the Placement Agents have not acted as the Investor’s financial advisor or fiduciary.</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24"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4" w:name="page375"/>
    <w:bookmarkEnd w:id="37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65" w:lineRule="auto"/>
        <w:tabs>
          <w:tab w:leader="none" w:pos="1916" w:val="left"/>
        </w:tabs>
        <w:numPr>
          <w:ilvl w:val="1"/>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95"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66" w:lineRule="auto"/>
        <w:tabs>
          <w:tab w:leader="none" w:pos="1931" w:val="left"/>
        </w:tabs>
        <w:numPr>
          <w:ilvl w:val="1"/>
          <w:numId w:val="3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5"/>
          <w:szCs w:val="15"/>
          <w:u w:val="single" w:color="auto"/>
          <w:color w:val="auto"/>
        </w:rPr>
        <w:t>Filing Deadline</w:t>
      </w:r>
      <w:r>
        <w:rPr>
          <w:rFonts w:ascii="Times New Roman" w:cs="Times New Roman" w:eastAsia="Times New Roman" w:hAnsi="Times New Roman"/>
          <w:sz w:val="15"/>
          <w:szCs w:val="15"/>
          <w:color w:val="auto"/>
        </w:rPr>
        <w:t>”), it will file with the SEC (at the its sole cost and expense) a registration statement registering the resale of such Shares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and it shall use its commercially reasonable efforts to have the Registration Statement declared effective as soon as practicable after the filing thereof, but no later than the earlier of (1) the 90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5"/>
          <w:szCs w:val="15"/>
          <w:color w:val="auto"/>
        </w:rPr>
        <w:t xml:space="preserve"> calendar day after the consummation of the Transaction (or 120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5"/>
          <w:szCs w:val="15"/>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5"/>
          <w:szCs w:val="15"/>
          <w:u w:val="single" w:color="auto"/>
          <w:color w:val="auto"/>
        </w:rPr>
        <w:t>Effectiveness Date</w:t>
      </w:r>
      <w:r>
        <w:rPr>
          <w:rFonts w:ascii="Times New Roman" w:cs="Times New Roman" w:eastAsia="Times New Roman" w:hAnsi="Times New Roman"/>
          <w:sz w:val="15"/>
          <w:szCs w:val="15"/>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200" w:lineRule="exact"/>
        <w:rPr>
          <w:rFonts w:ascii="Times New Roman" w:cs="Times New Roman" w:eastAsia="Times New Roman" w:hAnsi="Times New Roman"/>
          <w:sz w:val="15"/>
          <w:szCs w:val="15"/>
          <w:color w:val="auto"/>
        </w:rPr>
      </w:pPr>
    </w:p>
    <w:p>
      <w:pPr>
        <w:spacing w:after="0" w:line="277" w:lineRule="exact"/>
        <w:rPr>
          <w:rFonts w:ascii="Times New Roman" w:cs="Times New Roman" w:eastAsia="Times New Roman" w:hAnsi="Times New Roman"/>
          <w:sz w:val="15"/>
          <w:szCs w:val="15"/>
          <w:color w:val="auto"/>
        </w:rPr>
      </w:pPr>
    </w:p>
    <w:p>
      <w:pPr>
        <w:jc w:val="both"/>
        <w:ind w:left="920" w:right="939" w:firstLine="764"/>
        <w:spacing w:after="0" w:line="254" w:lineRule="auto"/>
        <w:tabs>
          <w:tab w:leader="none" w:pos="1913" w:val="left"/>
        </w:tabs>
        <w:numPr>
          <w:ilvl w:val="1"/>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5" w:name="page376"/>
    <w:bookmarkEnd w:id="37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(each such circumstance, a “</w:t>
      </w:r>
      <w:r>
        <w:rPr>
          <w:rFonts w:ascii="Times New Roman" w:cs="Times New Roman" w:eastAsia="Times New Roman" w:hAnsi="Times New Roman"/>
          <w:sz w:val="16"/>
          <w:szCs w:val="16"/>
          <w:u w:val="single" w:color="auto"/>
          <w:color w:val="auto"/>
        </w:rPr>
        <w:t>Suspension Event</w:t>
      </w:r>
      <w:r>
        <w:rPr>
          <w:rFonts w:ascii="Times New Roman" w:cs="Times New Roman" w:eastAsia="Times New Roman" w:hAnsi="Times New Roman"/>
          <w:sz w:val="16"/>
          <w:szCs w:val="16"/>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10" w:lineRule="exact"/>
        <w:rPr>
          <w:sz w:val="20"/>
          <w:szCs w:val="20"/>
          <w:color w:val="auto"/>
        </w:rPr>
      </w:pPr>
    </w:p>
    <w:p>
      <w:pPr>
        <w:jc w:val="both"/>
        <w:ind w:left="920" w:right="939" w:firstLine="764"/>
        <w:spacing w:after="0" w:line="250" w:lineRule="auto"/>
        <w:tabs>
          <w:tab w:leader="none" w:pos="195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16"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16"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6" w:name="page377"/>
    <w:bookmarkEnd w:id="37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06" w:lineRule="exact"/>
        <w:rPr>
          <w:sz w:val="20"/>
          <w:szCs w:val="20"/>
          <w:color w:val="auto"/>
        </w:rPr>
      </w:pPr>
    </w:p>
    <w:p>
      <w:pPr>
        <w:jc w:val="both"/>
        <w:ind w:left="920" w:right="939" w:firstLine="764"/>
        <w:spacing w:after="0" w:line="251" w:lineRule="auto"/>
        <w:tabs>
          <w:tab w:leader="none" w:pos="1899" w:val="left"/>
        </w:tabs>
        <w:numPr>
          <w:ilvl w:val="1"/>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14"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17" w:val="left"/>
        </w:tabs>
        <w:numPr>
          <w:ilvl w:val="1"/>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96"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486"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07"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466"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Trust Account Waiver. The Investor hereby acknowledges that FSD has established a trust account (the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containing the proceeds of its initial public offering (the “</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7" w:name="page378"/>
    <w:bookmarkEnd w:id="37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6"/>
          <w:szCs w:val="16"/>
          <w:u w:val="single" w:color="auto"/>
          <w:color w:val="auto"/>
        </w:rPr>
        <w:t>Released Claims</w:t>
      </w:r>
      <w:r>
        <w:rPr>
          <w:rFonts w:ascii="Times New Roman" w:cs="Times New Roman" w:eastAsia="Times New Roman" w:hAnsi="Times New Roman"/>
          <w:sz w:val="16"/>
          <w:szCs w:val="16"/>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11" w:lineRule="exact"/>
        <w:rPr>
          <w:sz w:val="20"/>
          <w:szCs w:val="20"/>
          <w:color w:val="auto"/>
        </w:rPr>
      </w:pPr>
    </w:p>
    <w:p>
      <w:pPr>
        <w:ind w:left="1540" w:hanging="239"/>
        <w:spacing w:after="0"/>
        <w:tabs>
          <w:tab w:leader="none" w:pos="154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8"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17"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48"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33"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90"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47"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agreements, representations and warranties made by each party hereto in this Subscription Agreement shall survive the Closing.</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36"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27"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6"/>
          <w:szCs w:val="16"/>
          <w:u w:val="single" w:color="auto"/>
          <w:color w:val="auto"/>
        </w:rPr>
        <w:t>Sections 10(c)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10(d)</w:t>
      </w:r>
      <w:r>
        <w:rPr>
          <w:rFonts w:ascii="Times New Roman" w:cs="Times New Roman" w:eastAsia="Times New Roman" w:hAnsi="Times New Roman"/>
          <w:sz w:val="16"/>
          <w:szCs w:val="16"/>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8" w:name="page379"/>
    <w:bookmarkEnd w:id="37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7" w:lineRule="auto"/>
        <w:tabs>
          <w:tab w:leader="none" w:pos="1928"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895"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5"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43"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89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6"/>
          <w:szCs w:val="16"/>
          <w:u w:val="single" w:color="auto"/>
          <w:color w:val="auto"/>
        </w:rPr>
        <w:t>SECTION 10(m)</w:t>
      </w:r>
      <w:r>
        <w:rPr>
          <w:rFonts w:ascii="Times New Roman" w:cs="Times New Roman" w:eastAsia="Times New Roman" w:hAnsi="Times New Roman"/>
          <w:sz w:val="16"/>
          <w:szCs w:val="16"/>
          <w:color w:val="auto"/>
        </w:rPr>
        <w:t xml:space="preserve"> OF THIS SUBSCRIPTION AGREEMENT OR IN SUCH OTHER MANNER AS MAY BE PERMITTED BY LAW SHALL BE VALID AND SUFFICIENT SERVICE THEREOF.</w:t>
      </w:r>
    </w:p>
    <w:p>
      <w:pPr>
        <w:spacing w:after="0" w:line="10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6"/>
          <w:szCs w:val="16"/>
          <w:u w:val="single" w:color="auto"/>
          <w:color w:val="auto"/>
        </w:rPr>
        <w:t>SECTION 10(l)</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left="920" w:right="939" w:firstLine="764"/>
        <w:spacing w:after="0" w:line="259" w:lineRule="auto"/>
        <w:tabs>
          <w:tab w:leader="none" w:pos="1956"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9" w:name="page380"/>
    <w:bookmarkEnd w:id="37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6"/>
          <w:szCs w:val="16"/>
          <w:u w:val="single" w:color="auto"/>
          <w:color w:val="auto"/>
        </w:rPr>
        <w:t>Section 10(m)</w:t>
      </w:r>
      <w:r>
        <w:rPr>
          <w:rFonts w:ascii="Times New Roman" w:cs="Times New Roman" w:eastAsia="Times New Roman" w:hAnsi="Times New Roman"/>
          <w:sz w:val="16"/>
          <w:szCs w:val="16"/>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10(m)</w:t>
      </w:r>
      <w:r>
        <w:rPr>
          <w:rFonts w:ascii="Times New Roman" w:cs="Times New Roman" w:eastAsia="Times New Roman" w:hAnsi="Times New Roman"/>
          <w:sz w:val="16"/>
          <w:szCs w:val="16"/>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Times New Roman" w:cs="Times New Roman" w:eastAsia="Times New Roman" w:hAnsi="Times New Roman"/>
          <w:sz w:val="16"/>
          <w:szCs w:val="16"/>
          <w:u w:val="single" w:color="auto"/>
          <w:color w:val="auto"/>
        </w:rPr>
        <w:t>joel.rubinstein@whitecase.com</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both"/>
        <w:ind w:left="920" w:right="939" w:firstLine="381"/>
        <w:spacing w:after="0" w:line="251" w:lineRule="auto"/>
        <w:tabs>
          <w:tab w:leader="none" w:pos="1559"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13"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589"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Exculpation</w:t>
      </w:r>
      <w:r>
        <w:rPr>
          <w:rFonts w:ascii="Times New Roman" w:cs="Times New Roman" w:eastAsia="Times New Roman" w:hAnsi="Times New Roman"/>
          <w:sz w:val="16"/>
          <w:szCs w:val="16"/>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0" w:name="page381"/>
    <w:bookmarkEnd w:id="38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Investor has executed or caused this Subscription Agreement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executed by its duly authorized representative as of the date set forth below.</w:t>
      </w:r>
    </w:p>
    <w:p>
      <w:pPr>
        <w:sectPr>
          <w:pgSz w:w="11900" w:h="16838" w:orient="portrait"/>
          <w:cols w:equalWidth="0" w:num="1">
            <w:col w:w="9019"/>
          </w:cols>
          <w:pgMar w:left="1440" w:top="254" w:right="1440" w:bottom="1440" w:gutter="0" w:footer="0" w:header="0"/>
        </w:sectPr>
      </w:pP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Name of Investor:</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By: ________________________________</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Name: ______________________________</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Title: _______________________________</w:t>
      </w:r>
    </w:p>
    <w:p>
      <w:pPr>
        <w:spacing w:after="0" w:line="175" w:lineRule="exact"/>
        <w:rPr>
          <w:sz w:val="20"/>
          <w:szCs w:val="20"/>
          <w:color w:val="auto"/>
        </w:rPr>
      </w:pPr>
    </w:p>
    <w:p>
      <w:pPr>
        <w:ind w:left="920"/>
        <w:spacing w:after="0" w:line="280" w:lineRule="auto"/>
        <w:rPr>
          <w:sz w:val="20"/>
          <w:szCs w:val="20"/>
          <w:color w:val="auto"/>
        </w:rPr>
      </w:pPr>
      <w:r>
        <w:rPr>
          <w:rFonts w:ascii="Times New Roman" w:cs="Times New Roman" w:eastAsia="Times New Roman" w:hAnsi="Times New Roman"/>
          <w:sz w:val="16"/>
          <w:szCs w:val="16"/>
          <w:color w:val="auto"/>
        </w:rPr>
        <w:t>Name in which Shares are to be registered (if different):</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Investor’s EIN:</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Business Address-Street:</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City, State, Zip:</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Attn: _______________________________</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Telephone No.:</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Facsimile No.:</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Number of Shares subscribed for:</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Aggregate Subscription Amount: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 2020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Mailing Address-Street (if different):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_______________________________</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 No.:</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 Per Share: $10</w:t>
      </w:r>
    </w:p>
    <w:p>
      <w:pPr>
        <w:spacing w:after="0" w:line="200" w:lineRule="exact"/>
        <w:rPr>
          <w:sz w:val="20"/>
          <w:szCs w:val="20"/>
          <w:color w:val="auto"/>
        </w:rPr>
      </w:pPr>
    </w:p>
    <w:p>
      <w:pPr>
        <w:sectPr>
          <w:pgSz w:w="11900" w:h="16838" w:orient="portrait"/>
          <w:cols w:equalWidth="0" w:num="2">
            <w:col w:w="3800" w:space="700"/>
            <w:col w:w="4519"/>
          </w:cols>
          <w:pgMar w:left="1440" w:top="254" w:right="1440" w:bottom="1440" w:gutter="0" w:footer="0" w:header="0"/>
          <w:type w:val="continuous"/>
        </w:sectPr>
      </w:pPr>
    </w:p>
    <w:p>
      <w:pPr>
        <w:spacing w:after="0" w:line="10"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You must pay the Subscription Amount by wire transfer of United States dollars in immediately available funds to the account specified by FSD in the Closing Notice.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381" w:name="page382"/>
    <w:bookmarkEnd w:id="38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color w:val="auto"/>
        </w:rPr>
        <w:t>IN WITNESS WHEREOF, FSD has accepted this Subscription Agreement as of the date set forth below.</w:t>
      </w: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67"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 2020</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2" w:name="page383"/>
    <w:bookmarkEnd w:id="38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ELIGIBILITY REPRESENTATIONS OF THE INVESTOR</w:t>
      </w:r>
    </w:p>
    <w:p>
      <w:pPr>
        <w:spacing w:after="0" w:line="188" w:lineRule="exact"/>
        <w:rPr>
          <w:sz w:val="20"/>
          <w:szCs w:val="20"/>
          <w:color w:val="auto"/>
        </w:rPr>
      </w:pPr>
    </w:p>
    <w:p>
      <w:pPr>
        <w:ind w:left="1280" w:right="4439" w:hanging="361"/>
        <w:spacing w:after="0" w:line="398" w:lineRule="auto"/>
        <w:tabs>
          <w:tab w:leader="none" w:pos="1280" w:val="left"/>
        </w:tabs>
        <w:numPr>
          <w:ilvl w:val="0"/>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INSTITUTIONAL BUYER STATUS (Please check the applicable subparagraphs):</w:t>
      </w:r>
    </w:p>
    <w:p>
      <w:pPr>
        <w:spacing w:after="0" w:line="61" w:lineRule="exact"/>
        <w:rPr>
          <w:rFonts w:ascii="Times New Roman" w:cs="Times New Roman" w:eastAsia="Times New Roman" w:hAnsi="Times New Roman"/>
          <w:sz w:val="15"/>
          <w:szCs w:val="15"/>
          <w:color w:val="auto"/>
        </w:rPr>
      </w:pPr>
    </w:p>
    <w:p>
      <w:pPr>
        <w:ind w:left="1480" w:hanging="179"/>
        <w:spacing w:after="0"/>
        <w:tabs>
          <w:tab w:leader="none" w:pos="1480" w:val="left"/>
        </w:tabs>
        <w:numPr>
          <w:ilvl w:val="1"/>
          <w:numId w:val="35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 “qualified institutional buyer” (as defined in Rule 144A under the Securities Act (a “</w:t>
      </w:r>
      <w:r>
        <w:rPr>
          <w:rFonts w:ascii="Times New Roman" w:cs="Times New Roman" w:eastAsia="Times New Roman" w:hAnsi="Times New Roman"/>
          <w:sz w:val="16"/>
          <w:szCs w:val="16"/>
          <w:u w:val="single" w:color="auto"/>
          <w:color w:val="auto"/>
        </w:rPr>
        <w:t>QIB</w:t>
      </w:r>
      <w:r>
        <w:rPr>
          <w:rFonts w:ascii="Times New Roman" w:cs="Times New Roman" w:eastAsia="Times New Roman" w:hAnsi="Times New Roman"/>
          <w:sz w:val="16"/>
          <w:szCs w:val="16"/>
          <w:color w:val="auto"/>
        </w:rPr>
        <w:t>”)).</w:t>
      </w:r>
    </w:p>
    <w:p>
      <w:pPr>
        <w:spacing w:after="0" w:line="198" w:lineRule="exact"/>
        <w:rPr>
          <w:rFonts w:ascii="MS PGothic" w:cs="MS PGothic" w:eastAsia="MS PGothic" w:hAnsi="MS PGothic"/>
          <w:sz w:val="16"/>
          <w:szCs w:val="16"/>
          <w:color w:val="auto"/>
        </w:rPr>
      </w:pPr>
    </w:p>
    <w:p>
      <w:pPr>
        <w:ind w:left="1280" w:right="4039" w:hanging="361"/>
        <w:spacing w:after="0" w:line="358" w:lineRule="auto"/>
        <w:tabs>
          <w:tab w:leader="none" w:pos="128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ACCREDITED INVESTOR STATUS (Please check the applicable subparagraphs):</w:t>
      </w:r>
    </w:p>
    <w:p>
      <w:pPr>
        <w:spacing w:after="0" w:line="59" w:lineRule="exact"/>
        <w:rPr>
          <w:sz w:val="20"/>
          <w:szCs w:val="20"/>
          <w:color w:val="auto"/>
        </w:rPr>
      </w:pPr>
    </w:p>
    <w:p>
      <w:pPr>
        <w:jc w:val="both"/>
        <w:ind w:left="1680" w:right="939" w:hanging="379"/>
        <w:spacing w:after="0" w:line="202" w:lineRule="exact"/>
        <w:tabs>
          <w:tab w:leader="none" w:pos="1668" w:val="left"/>
        </w:tabs>
        <w:numPr>
          <w:ilvl w:val="0"/>
          <w:numId w:val="360"/>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89" w:lineRule="exact"/>
        <w:rPr>
          <w:rFonts w:ascii="Times New Roman" w:cs="Times New Roman" w:eastAsia="Times New Roman" w:hAnsi="Times New Roman"/>
          <w:sz w:val="16"/>
          <w:szCs w:val="16"/>
          <w:color w:val="auto"/>
        </w:rPr>
      </w:pPr>
    </w:p>
    <w:p>
      <w:pPr>
        <w:ind w:left="1660" w:hanging="359"/>
        <w:spacing w:after="0" w:line="184" w:lineRule="exact"/>
        <w:tabs>
          <w:tab w:leader="none" w:pos="1660" w:val="left"/>
        </w:tabs>
        <w:numPr>
          <w:ilvl w:val="0"/>
          <w:numId w:val="360"/>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We are not a natural person.</w:t>
      </w:r>
    </w:p>
    <w:p>
      <w:pPr>
        <w:spacing w:after="0" w:line="153"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2" w:lineRule="exact"/>
        <w:rPr>
          <w:sz w:val="20"/>
          <w:szCs w:val="20"/>
          <w:color w:val="auto"/>
        </w:rPr>
      </w:pPr>
    </w:p>
    <w:p>
      <w:pPr>
        <w:ind w:left="1300" w:right="939" w:firstLine="1"/>
        <w:spacing w:after="0" w:line="280" w:lineRule="auto"/>
        <w:tabs>
          <w:tab w:leader="none" w:pos="1503" w:val="left"/>
        </w:tabs>
        <w:numPr>
          <w:ilvl w:val="1"/>
          <w:numId w:val="3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84" w:lineRule="exact"/>
        <w:rPr>
          <w:rFonts w:ascii="MS PGothic" w:cs="MS PGothic" w:eastAsia="MS PGothic" w:hAnsi="MS PGothic"/>
          <w:sz w:val="16"/>
          <w:szCs w:val="16"/>
          <w:color w:val="auto"/>
        </w:rPr>
      </w:pPr>
    </w:p>
    <w:p>
      <w:pPr>
        <w:jc w:val="both"/>
        <w:ind w:left="1300" w:right="939" w:firstLine="1"/>
        <w:spacing w:after="0" w:line="265" w:lineRule="auto"/>
        <w:tabs>
          <w:tab w:leader="none" w:pos="1539" w:val="left"/>
        </w:tabs>
        <w:numPr>
          <w:ilvl w:val="1"/>
          <w:numId w:val="3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83" w:lineRule="exact"/>
        <w:rPr>
          <w:rFonts w:ascii="MS PGothic" w:cs="MS PGothic" w:eastAsia="MS PGothic" w:hAnsi="MS PGothic"/>
          <w:sz w:val="16"/>
          <w:szCs w:val="16"/>
          <w:color w:val="auto"/>
        </w:rPr>
      </w:pPr>
    </w:p>
    <w:p>
      <w:pPr>
        <w:jc w:val="both"/>
        <w:ind w:left="1300" w:right="939" w:firstLine="1"/>
        <w:spacing w:after="0" w:line="265" w:lineRule="auto"/>
        <w:tabs>
          <w:tab w:leader="none" w:pos="1496" w:val="left"/>
        </w:tabs>
        <w:numPr>
          <w:ilvl w:val="1"/>
          <w:numId w:val="3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5" w:lineRule="exact"/>
        <w:rPr>
          <w:rFonts w:ascii="MS PGothic" w:cs="MS PGothic" w:eastAsia="MS PGothic" w:hAnsi="MS PGothic"/>
          <w:sz w:val="16"/>
          <w:szCs w:val="16"/>
          <w:color w:val="auto"/>
        </w:rPr>
      </w:pPr>
    </w:p>
    <w:p>
      <w:pPr>
        <w:jc w:val="both"/>
        <w:ind w:left="1300" w:right="939" w:firstLine="1"/>
        <w:spacing w:after="0" w:line="265" w:lineRule="auto"/>
        <w:tabs>
          <w:tab w:leader="none" w:pos="1503" w:val="left"/>
        </w:tabs>
        <w:numPr>
          <w:ilvl w:val="1"/>
          <w:numId w:val="3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95" w:lineRule="exact"/>
        <w:rPr>
          <w:rFonts w:ascii="MS PGothic" w:cs="MS PGothic" w:eastAsia="MS PGothic" w:hAnsi="MS PGothic"/>
          <w:sz w:val="16"/>
          <w:szCs w:val="16"/>
          <w:color w:val="auto"/>
        </w:rPr>
      </w:pPr>
    </w:p>
    <w:p>
      <w:pPr>
        <w:ind w:left="1300" w:right="939" w:firstLine="1"/>
        <w:spacing w:after="0" w:line="280" w:lineRule="auto"/>
        <w:tabs>
          <w:tab w:leader="none" w:pos="1509" w:val="left"/>
        </w:tabs>
        <w:numPr>
          <w:ilvl w:val="1"/>
          <w:numId w:val="3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assets in excess of $5,000,000, not formed to acquire the securities offered, whose purchase is directed by a sophisticated person; or</w:t>
      </w:r>
    </w:p>
    <w:p>
      <w:pPr>
        <w:spacing w:after="0" w:line="72" w:lineRule="exact"/>
        <w:rPr>
          <w:rFonts w:ascii="MS PGothic" w:cs="MS PGothic" w:eastAsia="MS PGothic" w:hAnsi="MS PGothic"/>
          <w:sz w:val="16"/>
          <w:szCs w:val="16"/>
          <w:color w:val="auto"/>
        </w:rPr>
      </w:pPr>
    </w:p>
    <w:p>
      <w:pPr>
        <w:ind w:left="1300" w:right="939" w:firstLine="1"/>
        <w:spacing w:after="0" w:line="280" w:lineRule="auto"/>
        <w:tabs>
          <w:tab w:leader="none" w:pos="1486" w:val="left"/>
        </w:tabs>
        <w:numPr>
          <w:ilvl w:val="1"/>
          <w:numId w:val="3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 meeting one or more of the above tests.</w:t>
      </w:r>
    </w:p>
    <w:p>
      <w:pPr>
        <w:spacing w:after="0" w:line="84" w:lineRule="exact"/>
        <w:rPr>
          <w:rFonts w:ascii="MS PGothic" w:cs="MS PGothic" w:eastAsia="MS PGothic" w:hAnsi="MS PGothic"/>
          <w:sz w:val="16"/>
          <w:szCs w:val="16"/>
          <w:color w:val="auto"/>
        </w:rPr>
      </w:pPr>
    </w:p>
    <w:p>
      <w:pPr>
        <w:ind w:left="1260" w:hanging="341"/>
        <w:spacing w:after="0"/>
        <w:tabs>
          <w:tab w:leader="none" w:pos="12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ACCOUNTS STATUS</w:t>
      </w:r>
    </w:p>
    <w:p>
      <w:pPr>
        <w:spacing w:after="0" w:line="138" w:lineRule="exact"/>
        <w:rPr>
          <w:rFonts w:ascii="Times New Roman" w:cs="Times New Roman" w:eastAsia="Times New Roman" w:hAnsi="Times New Roman"/>
          <w:sz w:val="16"/>
          <w:szCs w:val="16"/>
          <w:color w:val="auto"/>
        </w:rPr>
      </w:pPr>
    </w:p>
    <w:p>
      <w:pPr>
        <w:ind w:left="1480" w:hanging="179"/>
        <w:spacing w:after="0"/>
        <w:tabs>
          <w:tab w:leader="none" w:pos="1480" w:val="left"/>
        </w:tabs>
        <w:numPr>
          <w:ilvl w:val="1"/>
          <w:numId w:val="36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We are an “institutional account” (as defined in FINRA RULE 4512(c)).</w:t>
      </w:r>
    </w:p>
    <w:p>
      <w:pPr>
        <w:spacing w:after="0" w:line="126" w:lineRule="exact"/>
        <w:rPr>
          <w:rFonts w:ascii="MS PGothic" w:cs="MS PGothic" w:eastAsia="MS PGothic" w:hAnsi="MS PGothic"/>
          <w:sz w:val="16"/>
          <w:szCs w:val="16"/>
          <w:color w:val="auto"/>
        </w:rPr>
      </w:pPr>
    </w:p>
    <w:p>
      <w:pPr>
        <w:ind w:left="1260" w:hanging="341"/>
        <w:spacing w:after="0"/>
        <w:tabs>
          <w:tab w:leader="none" w:pos="12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(Please check the applicable subparagraphs):</w:t>
      </w:r>
    </w:p>
    <w:p>
      <w:pPr>
        <w:spacing w:after="0" w:line="113" w:lineRule="exact"/>
        <w:rPr>
          <w:sz w:val="20"/>
          <w:szCs w:val="20"/>
          <w:color w:val="auto"/>
        </w:rPr>
      </w:pPr>
    </w:p>
    <w:p>
      <w:pPr>
        <w:jc w:val="both"/>
        <w:ind w:left="1680" w:right="939" w:hanging="379"/>
        <w:spacing w:after="0" w:line="202" w:lineRule="exact"/>
        <w:tabs>
          <w:tab w:leader="none" w:pos="1704" w:val="left"/>
        </w:tabs>
        <w:numPr>
          <w:ilvl w:val="0"/>
          <w:numId w:val="36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77" w:lineRule="exact"/>
        <w:rPr>
          <w:rFonts w:ascii="Times New Roman" w:cs="Times New Roman" w:eastAsia="Times New Roman" w:hAnsi="Times New Roman"/>
          <w:sz w:val="16"/>
          <w:szCs w:val="16"/>
          <w:color w:val="auto"/>
        </w:rPr>
      </w:pPr>
    </w:p>
    <w:p>
      <w:pPr>
        <w:ind w:left="1660" w:hanging="359"/>
        <w:spacing w:after="0" w:line="184" w:lineRule="exact"/>
        <w:tabs>
          <w:tab w:leader="none" w:pos="1660" w:val="left"/>
        </w:tabs>
        <w:numPr>
          <w:ilvl w:val="0"/>
          <w:numId w:val="36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 am a natural person.</w:t>
      </w:r>
    </w:p>
    <w:p>
      <w:pPr>
        <w:spacing w:after="0" w:line="16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83" w:name="page384"/>
    <w:bookmarkEnd w:id="38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96" w:lineRule="exact"/>
        <w:rPr>
          <w:sz w:val="20"/>
          <w:szCs w:val="20"/>
          <w:color w:val="auto"/>
        </w:rPr>
      </w:pPr>
    </w:p>
    <w:p>
      <w:pPr>
        <w:ind w:left="1300" w:right="939" w:firstLine="1"/>
        <w:spacing w:after="0" w:line="280" w:lineRule="auto"/>
        <w:tabs>
          <w:tab w:leader="none" w:pos="1493" w:val="left"/>
        </w:tabs>
        <w:numPr>
          <w:ilvl w:val="0"/>
          <w:numId w:val="3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director, executive officer, or general partner of the issuer of the securities being offered or sold, or any director, executive officer, or general partner of a general partner of that issuer;</w:t>
      </w:r>
    </w:p>
    <w:p>
      <w:pPr>
        <w:spacing w:after="0" w:line="84" w:lineRule="exact"/>
        <w:rPr>
          <w:rFonts w:ascii="MS PGothic" w:cs="MS PGothic" w:eastAsia="MS PGothic" w:hAnsi="MS PGothic"/>
          <w:sz w:val="16"/>
          <w:szCs w:val="16"/>
          <w:color w:val="auto"/>
        </w:rPr>
      </w:pPr>
    </w:p>
    <w:p>
      <w:pPr>
        <w:jc w:val="both"/>
        <w:ind w:left="1300" w:right="939" w:firstLine="1"/>
        <w:spacing w:after="0" w:line="253" w:lineRule="auto"/>
        <w:tabs>
          <w:tab w:leader="none" w:pos="1484" w:val="left"/>
        </w:tabs>
        <w:numPr>
          <w:ilvl w:val="0"/>
          <w:numId w:val="3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94" w:lineRule="exact"/>
        <w:rPr>
          <w:rFonts w:ascii="MS PGothic" w:cs="MS PGothic" w:eastAsia="MS PGothic" w:hAnsi="MS PGothic"/>
          <w:sz w:val="16"/>
          <w:szCs w:val="16"/>
          <w:color w:val="auto"/>
        </w:rPr>
      </w:pPr>
    </w:p>
    <w:p>
      <w:pPr>
        <w:jc w:val="both"/>
        <w:ind w:left="1300" w:right="939" w:firstLine="1"/>
        <w:spacing w:after="0" w:line="265" w:lineRule="auto"/>
        <w:tabs>
          <w:tab w:leader="none" w:pos="1485" w:val="left"/>
        </w:tabs>
        <w:numPr>
          <w:ilvl w:val="0"/>
          <w:numId w:val="3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This page should be completed by the Investor</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and constitutes a part of the Subscription Agreement.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4" w:name="page385"/>
    <w:bookmarkEnd w:id="38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5"/>
          <w:szCs w:val="15"/>
          <w:b w:val="1"/>
          <w:bCs w:val="1"/>
          <w:color w:val="auto"/>
        </w:rPr>
        <w:t>EXHIBIT C</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PARENT SUPPORT AGREEMENT</w:t>
      </w:r>
    </w:p>
    <w:p>
      <w:pPr>
        <w:spacing w:after="0" w:line="141"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This PARENT SUPPORT AGREEMENT, dated as of October __, 2020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entered into by and among FS Development Corp.,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Gemini Therapeutics,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FS Development Holdings, LLC, a Delaware limited liability company (“</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and each of the stockholders of Parent whose names appear on the signature pages of this Agreement (each, a “</w:t>
      </w:r>
      <w:r>
        <w:rPr>
          <w:rFonts w:ascii="Times New Roman" w:cs="Times New Roman" w:eastAsia="Times New Roman" w:hAnsi="Times New Roman"/>
          <w:sz w:val="16"/>
          <w:szCs w:val="16"/>
          <w:u w:val="single" w:color="auto"/>
          <w:color w:val="auto"/>
        </w:rPr>
        <w:t>Founder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Founders</w:t>
      </w:r>
      <w:r>
        <w:rPr>
          <w:rFonts w:ascii="Times New Roman" w:cs="Times New Roman" w:eastAsia="Times New Roman" w:hAnsi="Times New Roman"/>
          <w:sz w:val="16"/>
          <w:szCs w:val="16"/>
          <w:color w:val="auto"/>
        </w:rPr>
        <w:t>”). Capitalized terms used herein and not otherwise defined will have the meaning given such terms in the Merger Agreement (as defined below).</w:t>
      </w:r>
    </w:p>
    <w:p>
      <w:pPr>
        <w:spacing w:after="0" w:line="106" w:lineRule="exact"/>
        <w:rPr>
          <w:sz w:val="20"/>
          <w:szCs w:val="20"/>
          <w:color w:val="auto"/>
        </w:rPr>
      </w:pPr>
    </w:p>
    <w:p>
      <w:pPr>
        <w:jc w:val="both"/>
        <w:ind w:left="920" w:right="939" w:firstLine="382"/>
        <w:spacing w:after="0" w:line="274" w:lineRule="auto"/>
        <w:rPr>
          <w:sz w:val="20"/>
          <w:szCs w:val="20"/>
          <w:color w:val="auto"/>
        </w:rPr>
      </w:pPr>
      <w:r>
        <w:rPr>
          <w:rFonts w:ascii="Times New Roman" w:cs="Times New Roman" w:eastAsia="Times New Roman" w:hAnsi="Times New Roman"/>
          <w:sz w:val="15"/>
          <w:szCs w:val="15"/>
          <w:color w:val="auto"/>
        </w:rPr>
        <w:t>WHEREAS, concurrently herewith, Parent, FSG Merger Sub, Inc., a Delaware corporation (“</w:t>
      </w:r>
      <w:r>
        <w:rPr>
          <w:rFonts w:ascii="Times New Roman" w:cs="Times New Roman" w:eastAsia="Times New Roman" w:hAnsi="Times New Roman"/>
          <w:sz w:val="15"/>
          <w:szCs w:val="15"/>
          <w:u w:val="single" w:color="auto"/>
          <w:color w:val="auto"/>
        </w:rPr>
        <w:t>Merger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Sub</w:t>
      </w:r>
      <w:r>
        <w:rPr>
          <w:rFonts w:ascii="Times New Roman" w:cs="Times New Roman" w:eastAsia="Times New Roman" w:hAnsi="Times New Roman"/>
          <w:sz w:val="15"/>
          <w:szCs w:val="15"/>
          <w:color w:val="auto"/>
        </w:rPr>
        <w:t>”), FS Development Holdings, LLC, a Delaware limited liability company (“</w:t>
      </w:r>
      <w:r>
        <w:rPr>
          <w:rFonts w:ascii="Times New Roman" w:cs="Times New Roman" w:eastAsia="Times New Roman" w:hAnsi="Times New Roman"/>
          <w:sz w:val="15"/>
          <w:szCs w:val="15"/>
          <w:u w:val="single" w:color="auto"/>
          <w:color w:val="auto"/>
        </w:rPr>
        <w:t>Sponsor</w:t>
      </w:r>
      <w:r>
        <w:rPr>
          <w:rFonts w:ascii="Times New Roman" w:cs="Times New Roman" w:eastAsia="Times New Roman" w:hAnsi="Times New Roman"/>
          <w:sz w:val="15"/>
          <w:szCs w:val="15"/>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5"/>
          <w:szCs w:val="15"/>
          <w:u w:val="single" w:color="auto"/>
          <w:color w:val="auto"/>
        </w:rPr>
        <w:t>Merger Agreement</w:t>
      </w:r>
      <w:r>
        <w:rPr>
          <w:rFonts w:ascii="Times New Roman" w:cs="Times New Roman" w:eastAsia="Times New Roman" w:hAnsi="Times New Roman"/>
          <w:sz w:val="15"/>
          <w:szCs w:val="15"/>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79"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and</w:t>
      </w:r>
    </w:p>
    <w:p>
      <w:pPr>
        <w:spacing w:after="0" w:line="102"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WHEREAS, in order to induce Parent and the Company to enter into the Merger Agreement, the Founders are executing and delivering this Agreement to Parent and the Company.</w:t>
      </w:r>
    </w:p>
    <w:p>
      <w:pPr>
        <w:spacing w:after="0" w:line="85"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84" w:lineRule="exact"/>
        <w:rPr>
          <w:sz w:val="20"/>
          <w:szCs w:val="20"/>
          <w:color w:val="auto"/>
        </w:rPr>
      </w:pPr>
    </w:p>
    <w:p>
      <w:pPr>
        <w:jc w:val="both"/>
        <w:ind w:left="920" w:right="939" w:firstLine="381"/>
        <w:spacing w:after="0" w:line="274" w:lineRule="auto"/>
        <w:tabs>
          <w:tab w:leader="none" w:pos="1462" w:val="left"/>
        </w:tabs>
        <w:numPr>
          <w:ilvl w:val="1"/>
          <w:numId w:val="3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 to Vote</w:t>
      </w:r>
      <w:r>
        <w:rPr>
          <w:rFonts w:ascii="Times New Roman" w:cs="Times New Roman" w:eastAsia="Times New Roman" w:hAnsi="Times New Roman"/>
          <w:sz w:val="15"/>
          <w:szCs w:val="15"/>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91" w:lineRule="exact"/>
        <w:rPr>
          <w:rFonts w:ascii="Times New Roman" w:cs="Times New Roman" w:eastAsia="Times New Roman" w:hAnsi="Times New Roman"/>
          <w:sz w:val="15"/>
          <w:szCs w:val="15"/>
          <w:color w:val="auto"/>
        </w:rPr>
      </w:pPr>
    </w:p>
    <w:p>
      <w:pPr>
        <w:jc w:val="both"/>
        <w:ind w:left="920" w:right="939" w:firstLine="381"/>
        <w:spacing w:after="0" w:line="256" w:lineRule="auto"/>
        <w:tabs>
          <w:tab w:leader="none" w:pos="1462" w:val="left"/>
        </w:tabs>
        <w:numPr>
          <w:ilvl w:val="1"/>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Shares</w:t>
      </w:r>
      <w:r>
        <w:rPr>
          <w:rFonts w:ascii="Times New Roman" w:cs="Times New Roman" w:eastAsia="Times New Roman" w:hAnsi="Times New Roman"/>
          <w:sz w:val="16"/>
          <w:szCs w:val="16"/>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w:t>
      </w:r>
    </w:p>
    <w:p>
      <w:pPr>
        <w:spacing w:after="0" w:line="1"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15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07"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486" w:val="left"/>
        </w:tabs>
        <w:numPr>
          <w:ilvl w:val="1"/>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Anti-Dilution Provision</w:t>
      </w:r>
      <w:r>
        <w:rPr>
          <w:rFonts w:ascii="Times New Roman" w:cs="Times New Roman" w:eastAsia="Times New Roman" w:hAnsi="Times New Roman"/>
          <w:sz w:val="16"/>
          <w:szCs w:val="16"/>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6"/>
          <w:szCs w:val="16"/>
          <w:u w:val="single" w:color="auto"/>
          <w:color w:val="auto"/>
        </w:rPr>
        <w:t>Certificate of Incorporation</w:t>
      </w:r>
      <w:r>
        <w:rPr>
          <w:rFonts w:ascii="Times New Roman" w:cs="Times New Roman" w:eastAsia="Times New Roman" w:hAnsi="Times New Roman"/>
          <w:sz w:val="16"/>
          <w:szCs w:val="16"/>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5" w:name="page386"/>
    <w:bookmarkEnd w:id="38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5" w:lineRule="auto"/>
        <w:tabs>
          <w:tab w:leader="none" w:pos="1498"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Unpaid Parent Liabilities</w:t>
      </w:r>
      <w:r>
        <w:rPr>
          <w:rFonts w:ascii="Times New Roman" w:cs="Times New Roman" w:eastAsia="Times New Roman" w:hAnsi="Times New Roman"/>
          <w:sz w:val="16"/>
          <w:szCs w:val="16"/>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6"/>
          <w:szCs w:val="16"/>
          <w:u w:val="single" w:color="auto"/>
          <w:color w:val="auto"/>
        </w:rPr>
        <w:t>Maximum Liability Amount</w:t>
      </w:r>
      <w:r>
        <w:rPr>
          <w:rFonts w:ascii="Times New Roman" w:cs="Times New Roman" w:eastAsia="Times New Roman" w:hAnsi="Times New Roman"/>
          <w:sz w:val="16"/>
          <w:szCs w:val="16"/>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0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462"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Each Founder, severally and not jointly, represents and warrants to the Company as follows:</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60" w:val="left"/>
        </w:tabs>
        <w:numPr>
          <w:ilvl w:val="1"/>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of such Founder) or (iv) conflict with or result in a breach of or constitute a default under any provision of such Founder’s Organizational Documents</w:t>
      </w:r>
    </w:p>
    <w:p>
      <w:pPr>
        <w:spacing w:after="0" w:line="97"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27" w:val="left"/>
        </w:tabs>
        <w:numPr>
          <w:ilvl w:val="1"/>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0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42" w:val="left"/>
        </w:tabs>
        <w:numPr>
          <w:ilvl w:val="1"/>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Founder has the power, authority and capacity to execute, deliver and perform this Agreement and that this Agreement has been duly authorized, executed and delivered by such Founder.</w:t>
      </w:r>
    </w:p>
    <w:p>
      <w:pPr>
        <w:spacing w:after="0" w:line="84"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486"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93"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42" w:val="left"/>
        </w:tabs>
        <w:numPr>
          <w:ilvl w:val="1"/>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20" w:val="left"/>
        </w:tabs>
        <w:numPr>
          <w:ilvl w:val="1"/>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6"/>
          <w:szCs w:val="16"/>
          <w:u w:val="single" w:color="auto"/>
          <w:color w:val="auto"/>
        </w:rPr>
        <w:t>Section 6(b)</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300 One Kendall Square,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w:t>
      </w:r>
    </w:p>
    <w:p>
      <w:pPr>
        <w:ind w:left="1680"/>
        <w:spacing w:after="0"/>
        <w:rPr>
          <w:sz w:val="20"/>
          <w:szCs w:val="20"/>
          <w:color w:val="auto"/>
        </w:rPr>
      </w:pPr>
      <w:r>
        <w:rPr>
          <w:rFonts w:ascii="Times New Roman" w:cs="Times New Roman" w:eastAsia="Times New Roman" w:hAnsi="Times New Roman"/>
          <w:sz w:val="16"/>
          <w:szCs w:val="16"/>
          <w:color w:val="auto"/>
        </w:rPr>
        <w:t>Cambridge, MA 02139</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Jason Meyenburg</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6" w:name="page387"/>
    <w:bookmarkEnd w:id="38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100 Northern Avenue</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Boston, MA 02210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Mitchell S. Bloom</w:t>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Jocelyn M. Arel</w:t>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Laurie A. Burlingame</w:t>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Daniel J. Espinoza</w:t>
      </w:r>
    </w:p>
    <w:p>
      <w:pPr>
        <w:spacing w:after="0" w:line="7" w:lineRule="exact"/>
        <w:rPr>
          <w:sz w:val="20"/>
          <w:szCs w:val="20"/>
          <w:color w:val="auto"/>
        </w:rPr>
      </w:pPr>
    </w:p>
    <w:p>
      <w:pPr>
        <w:ind w:left="1680"/>
        <w:spacing w:after="0"/>
        <w:tabs>
          <w:tab w:leader="none" w:pos="23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mbloom@goodwinlaw.com</w:t>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jarel@goodwinlaw.com</w:t>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lburlingame@goodwinlaw.com</w:t>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despinoza@goodwinlaw.com</w:t>
      </w: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if to Parent or Merger Sub:</w:t>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Jim Tananbaum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jim@foresitecapital.com</w:t>
      </w: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White&amp; Case LLP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New York, New York 10020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Joel L. Rubinstein, Esq.</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joel.rubinstein@whitecase.com</w:t>
      </w:r>
    </w:p>
    <w:p>
      <w:pPr>
        <w:spacing w:after="0" w:line="110" w:lineRule="exact"/>
        <w:rPr>
          <w:sz w:val="20"/>
          <w:szCs w:val="20"/>
          <w:color w:val="auto"/>
        </w:rPr>
      </w:pPr>
    </w:p>
    <w:p>
      <w:pPr>
        <w:ind w:left="1680" w:right="939"/>
        <w:spacing w:after="0" w:line="280" w:lineRule="auto"/>
        <w:rPr>
          <w:sz w:val="20"/>
          <w:szCs w:val="20"/>
          <w:color w:val="auto"/>
        </w:rPr>
      </w:pPr>
      <w:r>
        <w:rPr>
          <w:rFonts w:ascii="Times New Roman" w:cs="Times New Roman" w:eastAsia="Times New Roman" w:hAnsi="Times New Roman"/>
          <w:sz w:val="16"/>
          <w:szCs w:val="16"/>
          <w:color w:val="auto"/>
        </w:rPr>
        <w:t>if to a Founder, to the address or facsimile number set forth for Founder on the signature page hereof.</w:t>
      </w:r>
    </w:p>
    <w:p>
      <w:pPr>
        <w:spacing w:after="0" w:line="85" w:lineRule="exact"/>
        <w:rPr>
          <w:sz w:val="20"/>
          <w:szCs w:val="20"/>
          <w:color w:val="auto"/>
        </w:rPr>
      </w:pPr>
    </w:p>
    <w:p>
      <w:pPr>
        <w:jc w:val="both"/>
        <w:ind w:left="920" w:right="939" w:firstLine="764"/>
        <w:spacing w:after="0" w:line="253" w:lineRule="auto"/>
        <w:tabs>
          <w:tab w:leader="none" w:pos="1902"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34"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12"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01"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12"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7" w:name="page388"/>
    <w:bookmarkEnd w:id="38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02" w:lineRule="exact"/>
        <w:rPr>
          <w:sz w:val="20"/>
          <w:szCs w:val="20"/>
          <w:color w:val="auto"/>
        </w:rPr>
      </w:pPr>
    </w:p>
    <w:p>
      <w:pPr>
        <w:jc w:val="both"/>
        <w:ind w:left="920" w:right="939" w:firstLine="764"/>
        <w:spacing w:after="0" w:line="259" w:lineRule="auto"/>
        <w:tabs>
          <w:tab w:leader="none" w:pos="1927"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893"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90"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892"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not be effective or binding upon the Company, Sponsor or any Founder until such time as the Merger Agreement is executed.</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1925"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88" w:name="page389"/>
    <w:bookmarkEnd w:id="38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WITNESS WHEREOF, the parties have executed this Agreement as of the date first written above.</w:t>
      </w: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198755</wp:posOffset>
            </wp:positionV>
            <wp:extent cx="232981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329815" cy="7620"/>
                    </a:xfrm>
                    <a:prstGeom prst="rect">
                      <a:avLst/>
                    </a:prstGeom>
                    <a:noFill/>
                  </pic:spPr>
                </pic:pic>
              </a:graphicData>
            </a:graphic>
          </wp:anchor>
        </w:drawing>
      </w:r>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3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198755</wp:posOffset>
            </wp:positionV>
            <wp:extent cx="232981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329815" cy="7620"/>
                    </a:xfrm>
                    <a:prstGeom prst="rect">
                      <a:avLst/>
                    </a:prstGeom>
                    <a:noFill/>
                  </pic:spPr>
                </pic:pic>
              </a:graphicData>
            </a:graphic>
          </wp:anchor>
        </w:drawing>
      </w:r>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3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198755</wp:posOffset>
            </wp:positionV>
            <wp:extent cx="232981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29815" cy="7620"/>
                    </a:xfrm>
                    <a:prstGeom prst="rect">
                      <a:avLst/>
                    </a:prstGeom>
                    <a:noFill/>
                  </pic:spPr>
                </pic:pic>
              </a:graphicData>
            </a:graphic>
          </wp:anchor>
        </w:drawing>
      </w:r>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Parent Support Agreement]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9" w:name="page390"/>
    <w:bookmarkEnd w:id="38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 WITNESS WHEREOF, the parties have executed this Agreement as of the date first written above.</w:t>
      </w:r>
    </w:p>
    <w:p>
      <w:pPr>
        <w:spacing w:after="0" w:line="2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FOUNDERS:</w:t>
      </w:r>
    </w:p>
    <w:p>
      <w:pPr>
        <w:spacing w:after="0" w:line="16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FS DEVELOPMENT HOLDINGS, LLC</w:t>
      </w:r>
    </w:p>
    <w:p>
      <w:pPr>
        <w:spacing w:after="0" w:line="1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45720</wp:posOffset>
            </wp:positionV>
            <wp:extent cx="186690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Title:</w:t>
      </w:r>
    </w:p>
    <w:p>
      <w:pPr>
        <w:spacing w:after="0" w:line="67" w:lineRule="exact"/>
        <w:rPr>
          <w:sz w:val="20"/>
          <w:szCs w:val="20"/>
          <w:color w:val="auto"/>
        </w:rPr>
      </w:pPr>
    </w:p>
    <w:p>
      <w:pPr>
        <w:jc w:val="right"/>
        <w:ind w:right="3299"/>
        <w:spacing w:after="0"/>
        <w:rPr>
          <w:sz w:val="20"/>
          <w:szCs w:val="20"/>
          <w:color w:val="auto"/>
        </w:rPr>
      </w:pPr>
      <w:r>
        <w:rPr>
          <w:rFonts w:ascii="Times New Roman" w:cs="Times New Roman" w:eastAsia="Times New Roman" w:hAnsi="Times New Roman"/>
          <w:sz w:val="16"/>
          <w:szCs w:val="16"/>
          <w:color w:val="auto"/>
        </w:rPr>
        <w:t>Address:</w:t>
      </w:r>
    </w:p>
    <w:p>
      <w:pPr>
        <w:spacing w:after="0" w:line="16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Robert Carey</w:t>
      </w:r>
    </w:p>
    <w:p>
      <w:pPr>
        <w:spacing w:after="0" w:line="1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45720</wp:posOffset>
            </wp:positionV>
            <wp:extent cx="186690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59" w:lineRule="exact"/>
        <w:rPr>
          <w:sz w:val="20"/>
          <w:szCs w:val="20"/>
          <w:color w:val="auto"/>
        </w:rPr>
      </w:pPr>
    </w:p>
    <w:p>
      <w:pPr>
        <w:jc w:val="right"/>
        <w:ind w:right="3299"/>
        <w:spacing w:after="0"/>
        <w:rPr>
          <w:sz w:val="20"/>
          <w:szCs w:val="20"/>
          <w:color w:val="auto"/>
        </w:rPr>
      </w:pPr>
      <w:r>
        <w:rPr>
          <w:rFonts w:ascii="Times New Roman" w:cs="Times New Roman" w:eastAsia="Times New Roman" w:hAnsi="Times New Roman"/>
          <w:sz w:val="16"/>
          <w:szCs w:val="16"/>
          <w:color w:val="auto"/>
        </w:rPr>
        <w:t>Address:</w:t>
      </w:r>
    </w:p>
    <w:p>
      <w:pPr>
        <w:spacing w:after="0" w:line="16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Daniel Dubin</w:t>
      </w:r>
    </w:p>
    <w:p>
      <w:pPr>
        <w:spacing w:after="0" w:line="1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45720</wp:posOffset>
            </wp:positionV>
            <wp:extent cx="186690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Address:</w:t>
      </w:r>
    </w:p>
    <w:p>
      <w:pPr>
        <w:spacing w:after="0" w:line="16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Deepa Pakianathan</w:t>
      </w:r>
    </w:p>
    <w:p>
      <w:pPr>
        <w:spacing w:after="0" w:line="1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45720</wp:posOffset>
            </wp:positionV>
            <wp:extent cx="186690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Address: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Parent Support Agreement]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0" w:name="page391"/>
    <w:bookmarkEnd w:id="39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THE FOUNDERS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00" w:type="dxa"/>
            <w:vAlign w:val="bottom"/>
          </w:tcPr>
          <w:p>
            <w:pPr>
              <w:spacing w:after="0"/>
              <w:rPr>
                <w:sz w:val="15"/>
                <w:szCs w:val="15"/>
                <w:color w:val="auto"/>
              </w:rPr>
            </w:pPr>
          </w:p>
        </w:tc>
      </w:tr>
      <w:tr>
        <w:trPr>
          <w:trHeight w:val="179"/>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r>
      <w:tr>
        <w:trPr>
          <w:trHeight w:val="179"/>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Parent Class B</w:t>
            </w:r>
          </w:p>
        </w:tc>
      </w:tr>
      <w:tr>
        <w:trPr>
          <w:trHeight w:val="179"/>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88"/>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Founder</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42"/>
        </w:trPr>
        <w:tc>
          <w:tcPr>
            <w:tcW w:w="5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1"/>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FS Development Holdings, LLC</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2,928,750</w:t>
            </w:r>
          </w:p>
        </w:tc>
      </w:tr>
      <w:tr>
        <w:trPr>
          <w:trHeight w:val="215"/>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Carey</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36"/>
        </w:trPr>
        <w:tc>
          <w:tcPr>
            <w:tcW w:w="5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1"/>
        </w:trPr>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Dubin</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5"/>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Deepa Pakianathan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bl>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1" w:name="page392"/>
    <w:bookmarkEnd w:id="39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EXHIBIT 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VOTING AGREEMENT</w:t>
      </w:r>
    </w:p>
    <w:p>
      <w:pPr>
        <w:spacing w:after="0" w:line="141"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VOTING AGREEMENT dated as of [•], 2020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between FS Development Holdings, LLC, a Delaware limited liability company (“</w:t>
      </w:r>
      <w:r>
        <w:rPr>
          <w:rFonts w:ascii="Times New Roman" w:cs="Times New Roman" w:eastAsia="Times New Roman" w:hAnsi="Times New Roman"/>
          <w:sz w:val="16"/>
          <w:szCs w:val="16"/>
          <w:u w:val="single" w:color="auto"/>
          <w:color w:val="auto"/>
        </w:rPr>
        <w:t>FS Sponsor</w:t>
      </w:r>
      <w:r>
        <w:rPr>
          <w:rFonts w:ascii="Times New Roman" w:cs="Times New Roman" w:eastAsia="Times New Roman" w:hAnsi="Times New Roman"/>
          <w:sz w:val="16"/>
          <w:szCs w:val="16"/>
          <w:color w:val="auto"/>
        </w:rPr>
        <w:t>”), Gemini Therapeutics, Inc., a Delaware corporation formerly known as FS Development Corp.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each of the individuals and entities executing a counterpart signature page to this Agreement (each, a “</w:t>
      </w:r>
      <w:r>
        <w:rPr>
          <w:rFonts w:ascii="Times New Roman" w:cs="Times New Roman" w:eastAsia="Times New Roman" w:hAnsi="Times New Roman"/>
          <w:sz w:val="16"/>
          <w:szCs w:val="16"/>
          <w:u w:val="single" w:color="auto"/>
          <w:color w:val="auto"/>
        </w:rPr>
        <w:t>Voting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Voting Parties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41"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WHEREAS, reference is made to that certain Agreement and Plan of Merger, dated as of October [•], 2020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by and among Parent, FSG Merger Sub, Inc., a Delaware corporation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6"/>
          <w:szCs w:val="16"/>
          <w:u w:val="single" w:color="auto"/>
          <w:color w:val="auto"/>
        </w:rPr>
        <w:t>Gemini</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WHEREAS, all capitalized terms used, but not otherwise defined herein, shall have the meanings ascribed to such terms in the Merger Agreement;</w:t>
      </w:r>
    </w:p>
    <w:p>
      <w:pPr>
        <w:spacing w:after="0" w:line="85"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96"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WHEREAS, the execution and delivery of this Agreement is a condition to the closing of the Merger and the other transactions contemplated by the Merger Agreement.</w:t>
      </w:r>
    </w:p>
    <w:p>
      <w:pPr>
        <w:spacing w:after="0" w:line="73"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39" w:lineRule="exact"/>
        <w:rPr>
          <w:sz w:val="20"/>
          <w:szCs w:val="20"/>
          <w:color w:val="auto"/>
        </w:rPr>
      </w:pPr>
    </w:p>
    <w:p>
      <w:pPr>
        <w:jc w:val="both"/>
        <w:ind w:left="920" w:right="939" w:firstLine="381"/>
        <w:spacing w:after="0" w:line="260" w:lineRule="auto"/>
        <w:tabs>
          <w:tab w:leader="none" w:pos="1474"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Agreement to Vote</w:t>
      </w:r>
      <w:r>
        <w:rPr>
          <w:rFonts w:ascii="Times New Roman" w:cs="Times New Roman" w:eastAsia="Times New Roman" w:hAnsi="Times New Roman"/>
          <w:sz w:val="16"/>
          <w:szCs w:val="16"/>
          <w:color w:val="auto"/>
        </w:rPr>
        <w:t>. During the Term (as defined below), each Voting Party agrees to vote all 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of the Company that it owns from time to time and may vote in the election of the Company’s directors (collectively, “</w:t>
      </w:r>
      <w:r>
        <w:rPr>
          <w:rFonts w:ascii="Times New Roman" w:cs="Times New Roman" w:eastAsia="Times New Roman" w:hAnsi="Times New Roman"/>
          <w:sz w:val="16"/>
          <w:szCs w:val="16"/>
          <w:u w:val="single" w:color="auto"/>
          <w:color w:val="auto"/>
        </w:rPr>
        <w:t>Voting Shares</w:t>
      </w:r>
      <w:r>
        <w:rPr>
          <w:rFonts w:ascii="Times New Roman" w:cs="Times New Roman" w:eastAsia="Times New Roman" w:hAnsi="Times New Roman"/>
          <w:sz w:val="16"/>
          <w:szCs w:val="16"/>
          <w:color w:val="auto"/>
        </w:rPr>
        <w:t>”) in accordance with the provisions of this Agreement, whether at a regular or special meeting of stockholders or by written consent.</w:t>
      </w:r>
    </w:p>
    <w:p>
      <w:pPr>
        <w:spacing w:after="0" w:line="98"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112"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The full seven (7) member Board will be comprised of Jason Meyenberg, Jim Tananbaum, Carl Gordon and four (4) other members of the Gemini board of directors.</w:t>
      </w:r>
    </w:p>
    <w:p>
      <w:pPr>
        <w:spacing w:after="0" w:line="85" w:lineRule="exact"/>
        <w:rPr>
          <w:sz w:val="20"/>
          <w:szCs w:val="20"/>
          <w:color w:val="auto"/>
        </w:rPr>
      </w:pPr>
    </w:p>
    <w:p>
      <w:pPr>
        <w:jc w:val="both"/>
        <w:ind w:left="920" w:right="939" w:firstLine="765"/>
        <w:spacing w:after="0" w:line="249" w:lineRule="auto"/>
        <w:rPr>
          <w:sz w:val="20"/>
          <w:szCs w:val="20"/>
          <w:color w:val="auto"/>
        </w:rPr>
      </w:pPr>
      <w:r>
        <w:rPr>
          <w:rFonts w:ascii="Times New Roman" w:cs="Times New Roman" w:eastAsia="Times New Roman" w:hAnsi="Times New Roman"/>
          <w:sz w:val="16"/>
          <w:szCs w:val="16"/>
          <w:color w:val="auto"/>
        </w:rPr>
        <w:t>2.2 Until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anniversary of the date of this Agreement (the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2" w:name="page393"/>
    <w:bookmarkEnd w:id="39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02"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 xml:space="preserve">2.3 Provisions relating to authority to appoint four (4) of the Gemini directors set forth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to be determined by Gemini’s current board of directors at its sole discretion.</w:t>
      </w:r>
    </w:p>
    <w:p>
      <w:pPr>
        <w:spacing w:after="0" w:line="85" w:lineRule="exact"/>
        <w:rPr>
          <w:sz w:val="20"/>
          <w:szCs w:val="20"/>
          <w:color w:val="auto"/>
        </w:rPr>
      </w:pPr>
    </w:p>
    <w:p>
      <w:pPr>
        <w:jc w:val="both"/>
        <w:ind w:left="920" w:right="939" w:firstLine="765"/>
        <w:spacing w:after="0" w:line="257" w:lineRule="auto"/>
        <w:rPr>
          <w:sz w:val="20"/>
          <w:szCs w:val="20"/>
          <w:color w:val="auto"/>
        </w:rPr>
      </w:pPr>
      <w:r>
        <w:rPr>
          <w:rFonts w:ascii="Times New Roman" w:cs="Times New Roman" w:eastAsia="Times New Roman" w:hAnsi="Times New Roman"/>
          <w:sz w:val="16"/>
          <w:szCs w:val="16"/>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90" w:lineRule="exact"/>
        <w:rPr>
          <w:sz w:val="20"/>
          <w:szCs w:val="20"/>
          <w:color w:val="auto"/>
        </w:rPr>
      </w:pPr>
    </w:p>
    <w:p>
      <w:pPr>
        <w:jc w:val="both"/>
        <w:ind w:left="920" w:right="939" w:firstLine="765"/>
        <w:spacing w:after="0" w:line="251" w:lineRule="auto"/>
        <w:rPr>
          <w:sz w:val="20"/>
          <w:szCs w:val="20"/>
          <w:color w:val="auto"/>
        </w:rPr>
      </w:pPr>
      <w:r>
        <w:rPr>
          <w:rFonts w:ascii="Times New Roman" w:cs="Times New Roman" w:eastAsia="Times New Roman" w:hAnsi="Times New Roman"/>
          <w:sz w:val="16"/>
          <w:szCs w:val="16"/>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10" w:lineRule="exact"/>
        <w:rPr>
          <w:sz w:val="20"/>
          <w:szCs w:val="20"/>
          <w:color w:val="auto"/>
        </w:rPr>
      </w:pPr>
    </w:p>
    <w:p>
      <w:pPr>
        <w:jc w:val="both"/>
        <w:ind w:left="920" w:right="939" w:firstLine="381"/>
        <w:spacing w:after="0" w:line="260" w:lineRule="auto"/>
        <w:tabs>
          <w:tab w:leader="none" w:pos="1474"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Successors in Interest of the Voting Parties and the Company</w:t>
      </w:r>
      <w:r>
        <w:rPr>
          <w:rFonts w:ascii="Times New Roman" w:cs="Times New Roman" w:eastAsia="Times New Roman" w:hAnsi="Times New Roman"/>
          <w:sz w:val="16"/>
          <w:szCs w:val="16"/>
          <w:color w:val="auto"/>
        </w:rPr>
        <w:t>. The provisions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binding upon the successors in 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6"/>
          <w:szCs w:val="16"/>
          <w:u w:val="single" w:color="auto"/>
          <w:color w:val="auto"/>
        </w:rPr>
        <w:t>Trading Market</w:t>
      </w:r>
      <w:r>
        <w:rPr>
          <w:rFonts w:ascii="Times New Roman" w:cs="Times New Roman" w:eastAsia="Times New Roman" w:hAnsi="Times New Roman"/>
          <w:sz w:val="16"/>
          <w:szCs w:val="16"/>
          <w:color w:val="auto"/>
        </w:rPr>
        <w:t>”).</w:t>
      </w:r>
    </w:p>
    <w:p>
      <w:pPr>
        <w:spacing w:after="0" w:line="98" w:lineRule="exact"/>
        <w:rPr>
          <w:rFonts w:ascii="Times New Roman" w:cs="Times New Roman" w:eastAsia="Times New Roman" w:hAnsi="Times New Roman"/>
          <w:sz w:val="16"/>
          <w:szCs w:val="16"/>
          <w:color w:val="auto"/>
        </w:rPr>
      </w:pPr>
    </w:p>
    <w:p>
      <w:pPr>
        <w:jc w:val="both"/>
        <w:ind w:left="920" w:right="939" w:firstLine="381"/>
        <w:spacing w:after="0" w:line="260" w:lineRule="auto"/>
        <w:tabs>
          <w:tab w:leader="none" w:pos="1474"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Grant of Proxy</w:t>
      </w:r>
      <w:r>
        <w:rPr>
          <w:rFonts w:ascii="Times New Roman" w:cs="Times New Roman" w:eastAsia="Times New Roman" w:hAnsi="Times New Roman"/>
          <w:sz w:val="16"/>
          <w:szCs w:val="16"/>
          <w:color w:val="auto"/>
        </w:rPr>
        <w:t>. The parties agree that this Agreement does not constitute the granting of a proxy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any party or any 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should the provisions of this Agreement be construed to constitute the granting of proxies, such proxies shall be deemed coupled with an interest and are irrevocable for the term of this Agreement.</w:t>
      </w:r>
    </w:p>
    <w:p>
      <w:pPr>
        <w:spacing w:after="0" w:line="87"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474"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Specific Enforcement</w:t>
      </w:r>
      <w:r>
        <w:rPr>
          <w:rFonts w:ascii="Times New Roman" w:cs="Times New Roman" w:eastAsia="Times New Roman" w:hAnsi="Times New Roman"/>
          <w:sz w:val="16"/>
          <w:szCs w:val="16"/>
          <w:color w:val="auto"/>
        </w:rPr>
        <w:t>. It is agreed and understood that (a) monetary damages would not adequately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compensate an injured party for the breach of this Agreement by any party hereto, (b) this Agreement shall be specifically enforceable and (c) any breach of this Agreement shall be the proper subject of a temporary or permanent injunction or restraining order.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01" w:lineRule="exact"/>
        <w:rPr>
          <w:rFonts w:ascii="Times New Roman" w:cs="Times New Roman" w:eastAsia="Times New Roman" w:hAnsi="Times New Roman"/>
          <w:sz w:val="16"/>
          <w:szCs w:val="16"/>
          <w:color w:val="auto"/>
        </w:rPr>
      </w:pPr>
    </w:p>
    <w:p>
      <w:pPr>
        <w:ind w:left="920" w:right="939" w:firstLine="381"/>
        <w:spacing w:after="0" w:line="283" w:lineRule="auto"/>
        <w:tabs>
          <w:tab w:leader="none" w:pos="1474"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Manner of Voting</w:t>
      </w:r>
      <w:r>
        <w:rPr>
          <w:rFonts w:ascii="Times New Roman" w:cs="Times New Roman" w:eastAsia="Times New Roman" w:hAnsi="Times New Roman"/>
          <w:sz w:val="16"/>
          <w:szCs w:val="16"/>
          <w:color w:val="auto"/>
        </w:rPr>
        <w:t>. The voting of the Voting Shares pursuant to this Agreement may be effected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person, by proxy, by written consent or in any other manner permitted by applicable law.</w:t>
      </w:r>
    </w:p>
    <w:p>
      <w:pPr>
        <w:spacing w:after="0" w:line="79"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w:t>
      </w:r>
      <w:r>
        <w:rPr>
          <w:rFonts w:ascii="Times New Roman" w:cs="Times New Roman" w:eastAsia="Times New Roman" w:hAnsi="Times New Roman"/>
          <w:sz w:val="16"/>
          <w:szCs w:val="16"/>
          <w:color w:val="auto"/>
        </w:rPr>
        <w:t>. This Agreement shall terminate on the last day of the Term.</w:t>
      </w:r>
    </w:p>
    <w:p>
      <w:pPr>
        <w:spacing w:after="0" w:line="126" w:lineRule="exact"/>
        <w:rPr>
          <w:rFonts w:ascii="Times New Roman" w:cs="Times New Roman" w:eastAsia="Times New Roman" w:hAnsi="Times New Roman"/>
          <w:sz w:val="16"/>
          <w:szCs w:val="16"/>
          <w:color w:val="auto"/>
        </w:rPr>
      </w:pPr>
    </w:p>
    <w:p>
      <w:pPr>
        <w:jc w:val="both"/>
        <w:ind w:left="920" w:right="939" w:firstLine="381"/>
        <w:spacing w:after="0" w:line="266" w:lineRule="auto"/>
        <w:tabs>
          <w:tab w:leader="none" w:pos="1474"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Amendments and Waivers</w:t>
      </w:r>
      <w:r>
        <w:rPr>
          <w:rFonts w:ascii="Times New Roman" w:cs="Times New Roman" w:eastAsia="Times New Roman" w:hAnsi="Times New Roman"/>
          <w:sz w:val="16"/>
          <w:szCs w:val="16"/>
          <w:color w:val="auto"/>
        </w:rPr>
        <w:t>. Except as otherwise provided herein, any provision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may be amended, or the observance thereof may be waived (either generally or in a particular instance and either retroactively or prospectively) only with the written consent of the Company, FS Sponsor and [•].</w:t>
      </w:r>
    </w:p>
    <w:p>
      <w:pPr>
        <w:spacing w:after="0" w:line="93" w:lineRule="exact"/>
        <w:rPr>
          <w:rFonts w:ascii="Times New Roman" w:cs="Times New Roman" w:eastAsia="Times New Roman" w:hAnsi="Times New Roman"/>
          <w:sz w:val="16"/>
          <w:szCs w:val="16"/>
          <w:color w:val="auto"/>
        </w:rPr>
      </w:pPr>
    </w:p>
    <w:p>
      <w:pPr>
        <w:jc w:val="both"/>
        <w:ind w:left="920" w:right="939" w:firstLine="381"/>
        <w:spacing w:after="0" w:line="266" w:lineRule="auto"/>
        <w:tabs>
          <w:tab w:leader="none" w:pos="1474"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 Splits, Stock Dividends, etc</w:t>
      </w:r>
      <w:r>
        <w:rPr>
          <w:rFonts w:ascii="Times New Roman" w:cs="Times New Roman" w:eastAsia="Times New Roman" w:hAnsi="Times New Roman"/>
          <w:sz w:val="16"/>
          <w:szCs w:val="16"/>
          <w:color w:val="auto"/>
        </w:rPr>
        <w:t>. In the event of any stock split, stock dividend, recapitalization,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reorganization or the like, any securities issued with respect to Voting Shares held by the Voting Parties shall become Voting Shares for purposes of this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3" w:name="page394"/>
    <w:bookmarkEnd w:id="39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firstLine="381"/>
        <w:spacing w:after="0" w:line="266" w:lineRule="auto"/>
        <w:tabs>
          <w:tab w:leader="none" w:pos="1601"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Severability</w:t>
      </w:r>
      <w:r>
        <w:rPr>
          <w:rFonts w:ascii="Times New Roman" w:cs="Times New Roman" w:eastAsia="Times New Roman" w:hAnsi="Times New Roman"/>
          <w:sz w:val="16"/>
          <w:szCs w:val="16"/>
          <w:color w:val="auto"/>
        </w:rPr>
        <w:t>. In the event that any provision of the Agreement shall be invalid, illegal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unenforceable, the validity, legality and enforceability of the remaining provisions shall not in any way be affected or impaired thereby.</w:t>
      </w:r>
    </w:p>
    <w:p>
      <w:pPr>
        <w:spacing w:after="0" w:line="93" w:lineRule="exact"/>
        <w:rPr>
          <w:rFonts w:ascii="Times New Roman" w:cs="Times New Roman" w:eastAsia="Times New Roman" w:hAnsi="Times New Roman"/>
          <w:sz w:val="16"/>
          <w:szCs w:val="16"/>
          <w:color w:val="auto"/>
        </w:rPr>
      </w:pPr>
    </w:p>
    <w:p>
      <w:pPr>
        <w:jc w:val="both"/>
        <w:ind w:left="920" w:right="939" w:firstLine="381"/>
        <w:spacing w:after="0" w:line="266" w:lineRule="auto"/>
        <w:tabs>
          <w:tab w:leader="none" w:pos="1547"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Governing Law</w:t>
      </w:r>
      <w:r>
        <w:rPr>
          <w:rFonts w:ascii="Times New Roman" w:cs="Times New Roman" w:eastAsia="Times New Roman" w:hAnsi="Times New Roman"/>
          <w:sz w:val="16"/>
          <w:szCs w:val="16"/>
          <w:color w:val="auto"/>
        </w:rPr>
        <w:t>. This Agreement and the legal relations between the parties arising hereunder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governed by and interpreted in accordance with the laws of the State of Delaware without reference to its conflicts of law provisions.</w:t>
      </w:r>
    </w:p>
    <w:p>
      <w:pPr>
        <w:spacing w:after="0" w:line="93"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541"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Counterparts; Electronic Execution or Delivery</w:t>
      </w:r>
      <w:r>
        <w:rPr>
          <w:rFonts w:ascii="Times New Roman" w:cs="Times New Roman" w:eastAsia="Times New Roman" w:hAnsi="Times New Roman"/>
          <w:sz w:val="16"/>
          <w:szCs w:val="16"/>
          <w:color w:val="auto"/>
        </w:rPr>
        <w:t>. This Agreement may be executed in two or more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counterparts, each of which shall be 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90" w:lineRule="exact"/>
        <w:rPr>
          <w:rFonts w:ascii="Times New Roman" w:cs="Times New Roman" w:eastAsia="Times New Roman" w:hAnsi="Times New Roman"/>
          <w:sz w:val="16"/>
          <w:szCs w:val="16"/>
          <w:color w:val="auto"/>
        </w:rPr>
      </w:pPr>
    </w:p>
    <w:p>
      <w:pPr>
        <w:ind w:left="920" w:right="939" w:firstLine="381"/>
        <w:spacing w:after="0" w:line="283" w:lineRule="auto"/>
        <w:tabs>
          <w:tab w:leader="none" w:pos="1553"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Successors and Assigns</w:t>
      </w:r>
      <w:r>
        <w:rPr>
          <w:rFonts w:ascii="Times New Roman" w:cs="Times New Roman" w:eastAsia="Times New Roman" w:hAnsi="Times New Roman"/>
          <w:sz w:val="16"/>
          <w:szCs w:val="16"/>
          <w:color w:val="auto"/>
        </w:rPr>
        <w:t>. Except as otherwise expressly provided in this Agreement, the provisions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hereof shall inure to the benefit of, and be binding upon, the successors and assigns of the parties hereto.</w:t>
      </w:r>
    </w:p>
    <w:p>
      <w:pPr>
        <w:spacing w:after="0" w:line="79" w:lineRule="exact"/>
        <w:rPr>
          <w:rFonts w:ascii="Times New Roman" w:cs="Times New Roman" w:eastAsia="Times New Roman" w:hAnsi="Times New Roman"/>
          <w:sz w:val="16"/>
          <w:szCs w:val="16"/>
          <w:color w:val="auto"/>
        </w:rPr>
      </w:pPr>
    </w:p>
    <w:p>
      <w:pPr>
        <w:jc w:val="both"/>
        <w:ind w:left="920" w:right="939" w:firstLine="381"/>
        <w:spacing w:after="0" w:line="260" w:lineRule="auto"/>
        <w:tabs>
          <w:tab w:leader="none" w:pos="1565"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Entire Agreement</w:t>
      </w:r>
      <w:r>
        <w:rPr>
          <w:rFonts w:ascii="Times New Roman" w:cs="Times New Roman" w:eastAsia="Times New Roman" w:hAnsi="Times New Roman"/>
          <w:sz w:val="16"/>
          <w:szCs w:val="16"/>
          <w:color w:val="auto"/>
        </w:rPr>
        <w:t>. This Agreement constitutes the full and entire understanding and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among the parties, and supersedes any prior 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 signature pages follow</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4" w:name="page395"/>
    <w:bookmarkEnd w:id="39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IN WITNESS WHEREOF, this Voting Agreement is hereby executed effective as of the date first set forth above.</w:t>
      </w:r>
    </w:p>
    <w:p>
      <w:pPr>
        <w:spacing w:after="0" w:line="1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FS Development Holdings,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a Delaware Limited Liability Company</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45720</wp:posOffset>
            </wp:positionV>
            <wp:extent cx="209423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094230" cy="7620"/>
                    </a:xfrm>
                    <a:prstGeom prst="rect">
                      <a:avLst/>
                    </a:prstGeom>
                    <a:noFill/>
                  </pic:spPr>
                </pic:pic>
              </a:graphicData>
            </a:graphic>
          </wp:anchor>
        </w:drawing>
      </w:r>
    </w:p>
    <w:p>
      <w:pPr>
        <w:spacing w:after="0" w:line="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Title:</w:t>
      </w:r>
    </w:p>
    <w:p>
      <w:pPr>
        <w:spacing w:after="0" w:line="1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a Delaware corporation f/k/a FS Development Corp.</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45720</wp:posOffset>
            </wp:positionV>
            <wp:extent cx="209423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094230" cy="7620"/>
                    </a:xfrm>
                    <a:prstGeom prst="rect">
                      <a:avLst/>
                    </a:prstGeom>
                    <a:noFill/>
                  </pic:spPr>
                </pic:pic>
              </a:graphicData>
            </a:graphic>
          </wp:anchor>
        </w:drawing>
      </w:r>
    </w:p>
    <w:p>
      <w:pPr>
        <w:spacing w:after="0" w:line="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5" w:name="page396"/>
    <w:bookmarkEnd w:id="39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VOTING PARTIES:</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LIGHTSTONE VENTURES, L.P.</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LSV Associates,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Title:</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LIGHTSTONE VENTURES (A), L.P.</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LSV Associates,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Title:</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LIGHTSTONE SINGAPORE, L.P.</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LSV Associates,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6" w:name="page397"/>
    <w:bookmarkEnd w:id="39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ORBIMED PRIVATE INVESTMENTS VI, L.P.</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OrbiMed Capital GP VI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OrbiMed Advisors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Managing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Title:</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ATLAS VENTURE FUND X, L.P.</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Atlas Venture Associates X, L.P.</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Atlas Venture Associates X,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Title:</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WU CAPITAL INVESTMENT LLC</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 Wu Capital Investment LLC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Its: Director</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7" w:name="page398"/>
    <w:bookmarkEnd w:id="39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EXHIBIT 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ESCROW AGREEMENT</w:t>
      </w:r>
    </w:p>
    <w:p>
      <w:pPr>
        <w:spacing w:after="0" w:line="139"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THIS ESCROW AGREEMENT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 2020, by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FS Development Holdings, LLC, a Delaware limited liability company (“</w:t>
      </w:r>
      <w:r>
        <w:rPr>
          <w:rFonts w:ascii="Times New Roman" w:cs="Times New Roman" w:eastAsia="Times New Roman" w:hAnsi="Times New Roman"/>
          <w:sz w:val="16"/>
          <w:szCs w:val="16"/>
          <w:b w:val="1"/>
          <w:bCs w:val="1"/>
          <w:color w:val="auto"/>
        </w:rPr>
        <w:t>Sponsor</w:t>
      </w:r>
      <w:r>
        <w:rPr>
          <w:rFonts w:ascii="Times New Roman" w:cs="Times New Roman" w:eastAsia="Times New Roman" w:hAnsi="Times New Roman"/>
          <w:sz w:val="16"/>
          <w:szCs w:val="16"/>
          <w:color w:val="auto"/>
        </w:rPr>
        <w:t>”), FS Development Corp., a Delaware corporation (“</w:t>
      </w:r>
      <w:r>
        <w:rPr>
          <w:rFonts w:ascii="Times New Roman" w:cs="Times New Roman" w:eastAsia="Times New Roman" w:hAnsi="Times New Roman"/>
          <w:sz w:val="16"/>
          <w:szCs w:val="16"/>
          <w:b w:val="1"/>
          <w:bCs w:val="1"/>
          <w:color w:val="auto"/>
        </w:rPr>
        <w:t>Parent</w:t>
      </w:r>
      <w:r>
        <w:rPr>
          <w:rFonts w:ascii="Times New Roman" w:cs="Times New Roman" w:eastAsia="Times New Roman" w:hAnsi="Times New Roman"/>
          <w:sz w:val="16"/>
          <w:szCs w:val="16"/>
          <w:color w:val="auto"/>
        </w:rPr>
        <w:t>”), Shareholder Representative Services LLC, a Colorado limited liability company solely in its capacity as the representative of the Company Securityholders (the “</w:t>
      </w:r>
      <w:r>
        <w:rPr>
          <w:rFonts w:ascii="Times New Roman" w:cs="Times New Roman" w:eastAsia="Times New Roman" w:hAnsi="Times New Roman"/>
          <w:sz w:val="16"/>
          <w:szCs w:val="16"/>
          <w:b w:val="1"/>
          <w:bCs w:val="1"/>
          <w:color w:val="auto"/>
        </w:rPr>
        <w:t>Stockholder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Representative</w:t>
      </w:r>
      <w:r>
        <w:rPr>
          <w:rFonts w:ascii="Times New Roman" w:cs="Times New Roman" w:eastAsia="Times New Roman" w:hAnsi="Times New Roman"/>
          <w:sz w:val="16"/>
          <w:szCs w:val="16"/>
          <w:color w:val="auto"/>
        </w:rPr>
        <w:t>”), solely in its capacity as the representative, agent and attorney-in-fact of the stockholders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and Continental Stock Transfer &amp; Trust Company, a New York corporation (the “</w:t>
      </w:r>
      <w:r>
        <w:rPr>
          <w:rFonts w:ascii="Times New Roman" w:cs="Times New Roman" w:eastAsia="Times New Roman" w:hAnsi="Times New Roman"/>
          <w:sz w:val="16"/>
          <w:szCs w:val="16"/>
          <w:b w:val="1"/>
          <w:bCs w:val="1"/>
          <w:color w:val="auto"/>
        </w:rPr>
        <w:t>Escrow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Parent, FSG Merger Sub Inc., a Delaware corporation and a wholly-owned subsidiary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Parent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Gemini Therapeutics,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the Stockholder Representative entered into an Agreement and Plan of Merger, dated October [•], 2020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89"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Section 4.1(i) of the Merger Agreement, Parent is required to deposit 2,150,000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Parent Class A Shares, par value $0.0001 per share (the “</w:t>
      </w:r>
      <w:r>
        <w:rPr>
          <w:rFonts w:ascii="Times New Roman" w:cs="Times New Roman" w:eastAsia="Times New Roman" w:hAnsi="Times New Roman"/>
          <w:sz w:val="16"/>
          <w:szCs w:val="16"/>
          <w:b w:val="1"/>
          <w:bCs w:val="1"/>
          <w:color w:val="auto"/>
        </w:rPr>
        <w:t>Escrow Shares</w:t>
      </w:r>
      <w:r>
        <w:rPr>
          <w:rFonts w:ascii="Times New Roman" w:cs="Times New Roman" w:eastAsia="Times New Roman" w:hAnsi="Times New Roman"/>
          <w:sz w:val="16"/>
          <w:szCs w:val="16"/>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02"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NOW THEREFORE, </w:t>
      </w:r>
      <w:r>
        <w:rPr>
          <w:rFonts w:ascii="Times New Roman" w:cs="Times New Roman" w:eastAsia="Times New Roman" w:hAnsi="Times New Roman"/>
          <w:sz w:val="16"/>
          <w:szCs w:val="16"/>
          <w:color w:val="auto"/>
        </w:rPr>
        <w:t>in consideration of the foregoing and of the mutual covenants hereinafter set forth,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parties hereto agree as follows:</w:t>
      </w:r>
    </w:p>
    <w:p>
      <w:pPr>
        <w:spacing w:after="0" w:line="80" w:lineRule="exact"/>
        <w:rPr>
          <w:sz w:val="20"/>
          <w:szCs w:val="20"/>
          <w:color w:val="auto"/>
        </w:rPr>
      </w:pPr>
    </w:p>
    <w:p>
      <w:pPr>
        <w:ind w:left="1460" w:hanging="159"/>
        <w:spacing w:after="0"/>
        <w:tabs>
          <w:tab w:leader="none" w:pos="146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Appointment; Defined Terms</w:t>
      </w:r>
      <w:r>
        <w:rPr>
          <w:rFonts w:ascii="Times New Roman" w:cs="Times New Roman" w:eastAsia="Times New Roman" w:hAnsi="Times New Roman"/>
          <w:sz w:val="16"/>
          <w:szCs w:val="16"/>
          <w:color w:val="auto"/>
        </w:rPr>
        <w:t>.</w:t>
      </w:r>
    </w:p>
    <w:p>
      <w:pPr>
        <w:spacing w:after="0" w:line="128"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27"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34"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93"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Escrow Shares</w:t>
      </w:r>
      <w:r>
        <w:rPr>
          <w:rFonts w:ascii="Times New Roman" w:cs="Times New Roman" w:eastAsia="Times New Roman" w:hAnsi="Times New Roman"/>
          <w:sz w:val="16"/>
          <w:szCs w:val="16"/>
          <w:color w:val="auto"/>
        </w:rPr>
        <w:t>.</w:t>
      </w:r>
    </w:p>
    <w:p>
      <w:pPr>
        <w:spacing w:after="0" w:line="128"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28"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w:t>
      </w:r>
    </w:p>
    <w:p>
      <w:pPr>
        <w:spacing w:after="0" w:line="93" w:lineRule="exact"/>
        <w:rPr>
          <w:rFonts w:ascii="Times New Roman" w:cs="Times New Roman" w:eastAsia="Times New Roman" w:hAnsi="Times New Roman"/>
          <w:sz w:val="16"/>
          <w:szCs w:val="16"/>
          <w:color w:val="auto"/>
        </w:rPr>
      </w:pPr>
    </w:p>
    <w:p>
      <w:pPr>
        <w:ind w:left="1900" w:hanging="216"/>
        <w:spacing w:after="0"/>
        <w:tabs>
          <w:tab w:leader="none" w:pos="190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Escrow Shares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1680" w:right="939" w:firstLine="960"/>
        <w:spacing w:after="0" w:line="257" w:lineRule="auto"/>
        <w:tabs>
          <w:tab w:leader="none" w:pos="2838" w:val="left"/>
        </w:tabs>
        <w:numPr>
          <w:ilvl w:val="2"/>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90" w:lineRule="exact"/>
        <w:rPr>
          <w:rFonts w:ascii="Times New Roman" w:cs="Times New Roman" w:eastAsia="Times New Roman" w:hAnsi="Times New Roman"/>
          <w:sz w:val="16"/>
          <w:szCs w:val="16"/>
          <w:color w:val="auto"/>
        </w:rPr>
      </w:pPr>
    </w:p>
    <w:p>
      <w:pPr>
        <w:jc w:val="both"/>
        <w:ind w:left="1680" w:right="939" w:firstLine="960"/>
        <w:spacing w:after="0" w:line="255" w:lineRule="auto"/>
        <w:tabs>
          <w:tab w:leader="none" w:pos="2895" w:val="left"/>
        </w:tabs>
        <w:numPr>
          <w:ilvl w:val="2"/>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dividends or other distributions paid with respect to the Escrow Shares (collectively, the “</w:t>
      </w:r>
      <w:r>
        <w:rPr>
          <w:rFonts w:ascii="Times New Roman" w:cs="Times New Roman" w:eastAsia="Times New Roman" w:hAnsi="Times New Roman"/>
          <w:sz w:val="16"/>
          <w:szCs w:val="16"/>
          <w:u w:val="single" w:color="auto"/>
          <w:color w:val="auto"/>
        </w:rPr>
        <w:t>Escrowed Dividends</w:t>
      </w:r>
      <w:r>
        <w:rPr>
          <w:rFonts w:ascii="Times New Roman" w:cs="Times New Roman" w:eastAsia="Times New Roman" w:hAnsi="Times New Roman"/>
          <w:sz w:val="16"/>
          <w:szCs w:val="16"/>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8" w:name="page399"/>
    <w:bookmarkEnd w:id="39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firstLine="960"/>
        <w:spacing w:after="0" w:line="257" w:lineRule="auto"/>
        <w:tabs>
          <w:tab w:leader="none" w:pos="2998" w:val="left"/>
        </w:tabs>
        <w:numPr>
          <w:ilvl w:val="2"/>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 xml:space="preserve"> above shall be appropriately adjusted on a pro rata basis.</w:t>
      </w:r>
    </w:p>
    <w:p>
      <w:pPr>
        <w:spacing w:after="0" w:line="100"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Disposition and Termination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0"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81"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Escrow Agent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920" w:right="939" w:firstLine="764"/>
        <w:spacing w:after="0" w:line="250" w:lineRule="auto"/>
        <w:tabs>
          <w:tab w:leader="none" w:pos="1902"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below and the Escrow Agent has been able to satisfy any applicable security procedures as may be required hereunder and as set forth in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21"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18"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99"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21"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such resignation shall not take effect until a successor escrow agent has been appointed in accordance with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If the parties hereto have jointly failed to appoint a successor escrow agent prior to the expiration of thirty (30) days following receipt of the notice of resignation, the Escrow Agent may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9" w:name="page400"/>
    <w:bookmarkEnd w:id="39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 xml:space="preserve">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below. In accordance with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12" w:lineRule="exact"/>
        <w:rPr>
          <w:sz w:val="20"/>
          <w:szCs w:val="20"/>
          <w:color w:val="auto"/>
        </w:rPr>
      </w:pPr>
    </w:p>
    <w:p>
      <w:pPr>
        <w:jc w:val="both"/>
        <w:ind w:left="920" w:right="939" w:firstLine="764"/>
        <w:spacing w:after="0" w:line="265" w:lineRule="auto"/>
        <w:tabs>
          <w:tab w:leader="none" w:pos="1920"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93"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486"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Compensation and Reimbursement. </w:t>
      </w:r>
      <w:r>
        <w:rPr>
          <w:rFonts w:ascii="Times New Roman" w:cs="Times New Roman" w:eastAsia="Times New Roman" w:hAnsi="Times New Roman"/>
          <w:sz w:val="16"/>
          <w:szCs w:val="16"/>
          <w:color w:val="auto"/>
        </w:rPr>
        <w:t>The Escrow Agent shall be entitled to compensation for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services under this Agreement as Escrow Agent and for reimbursement for its reasonable and documented out-of-pocket costs and expenses, in the amounts and payable as set forth on </w:t>
      </w:r>
      <w:r>
        <w:rPr>
          <w:rFonts w:ascii="Times New Roman" w:cs="Times New Roman" w:eastAsia="Times New Roman" w:hAnsi="Times New Roman"/>
          <w:sz w:val="16"/>
          <w:szCs w:val="16"/>
          <w:u w:val="single" w:color="auto"/>
          <w:color w:val="auto"/>
        </w:rPr>
        <w:t>Schedule 2</w:t>
      </w:r>
      <w:r>
        <w:rPr>
          <w:rFonts w:ascii="Times New Roman" w:cs="Times New Roman" w:eastAsia="Times New Roman" w:hAnsi="Times New Roman"/>
          <w:sz w:val="16"/>
          <w:szCs w:val="16"/>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7; </w:t>
      </w:r>
      <w:r>
        <w:rPr>
          <w:rFonts w:ascii="Times New Roman" w:cs="Times New Roman" w:eastAsia="Times New Roman" w:hAnsi="Times New Roman"/>
          <w:sz w:val="16"/>
          <w:szCs w:val="16"/>
          <w:i w:val="1"/>
          <w:iCs w:val="1"/>
          <w:color w:val="auto"/>
        </w:rPr>
        <w:t>provided, however, that</w:t>
      </w:r>
      <w:r>
        <w:rPr>
          <w:rFonts w:ascii="Times New Roman" w:cs="Times New Roman" w:eastAsia="Times New Roman" w:hAnsi="Times New Roman"/>
          <w:sz w:val="16"/>
          <w:szCs w:val="16"/>
          <w:color w:val="auto"/>
        </w:rPr>
        <w:t xml:space="preserve"> such compensation, expenses, disbursements and advances shall not be paid from the Escrow Shares. The obligations of Parent set forth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survive the resignation, replacement or removal of the Escrow Agent or the termination of this Agreement.</w:t>
      </w:r>
    </w:p>
    <w:p>
      <w:pPr>
        <w:spacing w:after="0" w:line="91"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Indemnity</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30"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11"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1920"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99"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09"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0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28"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shall survive termination of this Agreement or the resignation, replacement or removal of the Escrow Agent for any reason.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0" w:name="page401"/>
    <w:bookmarkEnd w:id="40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1460" w:hanging="159"/>
        <w:spacing w:after="0"/>
        <w:tabs>
          <w:tab w:leader="none" w:pos="1460" w:val="left"/>
        </w:tabs>
        <w:numPr>
          <w:ilvl w:val="1"/>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Patriot Act Disclosure/Taxpayer Identification Numbers/Tax Reporting</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1913" w:val="left"/>
        </w:tabs>
        <w:numPr>
          <w:ilvl w:val="2"/>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Patriot Act Disclosure</w:t>
      </w:r>
      <w:r>
        <w:rPr>
          <w:rFonts w:ascii="Times New Roman" w:cs="Times New Roman" w:eastAsia="Times New Roman" w:hAnsi="Times New Roman"/>
          <w:sz w:val="16"/>
          <w:szCs w:val="16"/>
          <w:color w:val="auto"/>
        </w:rPr>
        <w:t>. Section 326 of the Uniting and Strengthening America by Providing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Tools Required to Intercept and Obstruct Terrorism Act of 2001 (“</w:t>
      </w:r>
      <w:r>
        <w:rPr>
          <w:rFonts w:ascii="Times New Roman" w:cs="Times New Roman" w:eastAsia="Times New Roman" w:hAnsi="Times New Roman"/>
          <w:sz w:val="16"/>
          <w:szCs w:val="16"/>
          <w:b w:val="1"/>
          <w:bCs w:val="1"/>
          <w:color w:val="auto"/>
        </w:rPr>
        <w:t>USA PATRIOT Act</w:t>
      </w:r>
      <w:r>
        <w:rPr>
          <w:rFonts w:ascii="Times New Roman" w:cs="Times New Roman" w:eastAsia="Times New Roman" w:hAnsi="Times New Roman"/>
          <w:sz w:val="16"/>
          <w:szCs w:val="16"/>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7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15" w:val="left"/>
        </w:tabs>
        <w:numPr>
          <w:ilvl w:val="2"/>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underlying transaction does not constitute an installment sale requiring any tax reporting or withholding of imputed interest or original issue discount to the IRS or other taxing authority.</w:t>
      </w:r>
    </w:p>
    <w:p>
      <w:pPr>
        <w:spacing w:after="0" w:line="46"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462" w:val="left"/>
        </w:tabs>
        <w:numPr>
          <w:ilvl w:val="1"/>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Notices</w:t>
      </w:r>
      <w:r>
        <w:rPr>
          <w:rFonts w:ascii="Times New Roman" w:cs="Times New Roman" w:eastAsia="Times New Roman" w:hAnsi="Times New Roman"/>
          <w:sz w:val="16"/>
          <w:szCs w:val="16"/>
          <w:color w:val="auto"/>
        </w:rPr>
        <w:t>. All notices and communications hereunder shall be deemed to have been duly given and made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in writing and if (i) served by personal delivery upon the party for whom it is intended, (ii) delivered by registered or certified mail, return receipt requested, or by Federal Express or similar overnight courier, or</w:t>
      </w:r>
    </w:p>
    <w:p>
      <w:pPr>
        <w:spacing w:after="0" w:line="1" w:lineRule="exact"/>
        <w:rPr>
          <w:rFonts w:ascii="Times New Roman" w:cs="Times New Roman" w:eastAsia="Times New Roman" w:hAnsi="Times New Roman"/>
          <w:sz w:val="16"/>
          <w:szCs w:val="16"/>
          <w:color w:val="auto"/>
        </w:rPr>
      </w:pPr>
    </w:p>
    <w:p>
      <w:pPr>
        <w:jc w:val="both"/>
        <w:ind w:left="920" w:right="939" w:hanging="1"/>
        <w:spacing w:after="0" w:line="254" w:lineRule="auto"/>
        <w:tabs>
          <w:tab w:leader="none" w:pos="1211"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If to Sponsor:</w:t>
      </w:r>
    </w:p>
    <w:p>
      <w:pPr>
        <w:spacing w:after="0" w:line="1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FS Development Holdings, LLC</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Jim Tananbaum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E-mail:Jim@foresitecapital.com</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If to Parent:</w:t>
      </w:r>
    </w:p>
    <w:p>
      <w:pPr>
        <w:spacing w:after="0" w:line="1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Jim Tananbaum</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E-mail:Jim@foresitecapital.com</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If to the Stockholder Representative:</w:t>
      </w:r>
    </w:p>
    <w:p>
      <w:pPr>
        <w:spacing w:after="0" w:line="1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Shareholder Representative Services LLC</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950 17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Suite 1400</w:t>
      </w:r>
    </w:p>
    <w:p>
      <w:pPr>
        <w:ind w:left="1680"/>
        <w:spacing w:after="0"/>
        <w:rPr>
          <w:sz w:val="20"/>
          <w:szCs w:val="20"/>
          <w:color w:val="auto"/>
        </w:rPr>
      </w:pPr>
      <w:r>
        <w:rPr>
          <w:rFonts w:ascii="Times New Roman" w:cs="Times New Roman" w:eastAsia="Times New Roman" w:hAnsi="Times New Roman"/>
          <w:sz w:val="16"/>
          <w:szCs w:val="16"/>
          <w:color w:val="auto"/>
        </w:rPr>
        <w:t>Denver, CO 80202</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Managing Director</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Facsimile: (303) 623-0294</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Telephone: (303) 648-4085</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If to the Escrow Agent:</w:t>
      </w:r>
    </w:p>
    <w:p>
      <w:pPr>
        <w:spacing w:after="0" w:line="1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Continental Stock Transfer and Trust</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One State Street —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w:t>
      </w:r>
    </w:p>
    <w:p>
      <w:pPr>
        <w:ind w:left="1680"/>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Facsimile No: (212) 616-7615</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Attention: George Dalton</w:t>
      </w:r>
    </w:p>
    <w:p>
      <w:pPr>
        <w:spacing w:after="0" w:line="8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shall mean any day other than a Saturday, Sunday or any other day on which the Escrow Agent located at the notice address set forth above is authorized or required by law or executive order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224155</wp:posOffset>
            </wp:positionV>
            <wp:extent cx="455295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1" w:name="page402"/>
    <w:bookmarkEnd w:id="40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firstLine="381"/>
        <w:spacing w:after="0" w:line="253" w:lineRule="auto"/>
        <w:tabs>
          <w:tab w:leader="none" w:pos="1577"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Security Procedures</w:t>
      </w:r>
      <w:r>
        <w:rPr>
          <w:rFonts w:ascii="Times New Roman" w:cs="Times New Roman" w:eastAsia="Times New Roman" w:hAnsi="Times New Roman"/>
          <w:sz w:val="16"/>
          <w:szCs w:val="16"/>
          <w:color w:val="auto"/>
        </w:rPr>
        <w:t>. Notwithstanding anything to the contrary as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instructions setting forth, claiming, containing, objecting to, or in any way related to the transfer or distribution, including but not limited to any transfer instructions that may otherwise be set forth in a written instruction permitted pursuant to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and as further evidenced by a confirmed transmittal to that number.</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25" w:val="left"/>
        </w:tabs>
        <w:numPr>
          <w:ilvl w:val="1"/>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31" w:val="left"/>
        </w:tabs>
        <w:numPr>
          <w:ilvl w:val="1"/>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81"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535"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Compliance with Court Orders. </w:t>
      </w:r>
      <w:r>
        <w:rPr>
          <w:rFonts w:ascii="Times New Roman" w:cs="Times New Roman" w:eastAsia="Times New Roman" w:hAnsi="Times New Roman"/>
          <w:sz w:val="16"/>
          <w:szCs w:val="16"/>
          <w:color w:val="auto"/>
        </w:rPr>
        <w:t>In the event that any escrow property shall be attached, garnished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levied upon by any court order, or the 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0" w:lineRule="auto"/>
        <w:tabs>
          <w:tab w:leader="none" w:pos="1541"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Miscellaneous. </w:t>
      </w:r>
      <w:r>
        <w:rPr>
          <w:rFonts w:ascii="Times New Roman" w:cs="Times New Roman" w:eastAsia="Times New Roman" w:hAnsi="Times New Roman"/>
          <w:sz w:val="16"/>
          <w:szCs w:val="16"/>
          <w:color w:val="auto"/>
        </w:rPr>
        <w:t>Except for changes to transfer instructions as provided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the provisions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may be waived, altered, 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2" w:name="page403"/>
    <w:bookmarkEnd w:id="40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 xml:space="preserve">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[remainder of page intentional left blank]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3" w:name="page404"/>
    <w:bookmarkEnd w:id="40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 xml:space="preserve">IN WITNESS WHEREOF, </w:t>
      </w:r>
      <w:r>
        <w:rPr>
          <w:rFonts w:ascii="Times New Roman" w:cs="Times New Roman" w:eastAsia="Times New Roman" w:hAnsi="Times New Roman"/>
          <w:sz w:val="15"/>
          <w:szCs w:val="15"/>
          <w:color w:val="auto"/>
        </w:rPr>
        <w:t>the parties hereto have executed this Agreement as of the date set forth above.</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SPONSOR:</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FS DEVELOPMENT HOLDINGS, LLC</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By:  _____________________</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Title: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Telephone: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PARENT:</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By:  _____________________</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Title: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Telephone: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STOCKHOLDER REPRESENTATIVE:</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SHAREHOLDER REPRESENTATIVE SERVICES LLC,</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solely in its capacity as the representative of the Company Securityholders</w:t>
      </w:r>
    </w:p>
    <w:p>
      <w:pPr>
        <w:spacing w:after="0" w:line="1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By:  _____________________</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Title: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CONTINENTAL STOCK TRANSFER AND TRUST</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By:  _____________________</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Title: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Telephone: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Escrow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4" w:name="page405"/>
    <w:bookmarkEnd w:id="40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Schedule l</w:t>
      </w:r>
    </w:p>
    <w:p>
      <w:pPr>
        <w:spacing w:after="0" w:line="1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Telephone Number(s) and authorized signature(s) for</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b w:val="1"/>
          <w:bCs w:val="1"/>
          <w:u w:val="single" w:color="auto"/>
          <w:color w:val="auto"/>
        </w:rPr>
        <w:t>Person(s) Designated by Sponsor to give Escrow Shares Transfer Instructions</w:t>
      </w:r>
    </w:p>
    <w:p>
      <w:pPr>
        <w:spacing w:after="0" w:line="184" w:lineRule="exact"/>
        <w:rPr>
          <w:sz w:val="20"/>
          <w:szCs w:val="20"/>
          <w:color w:val="auto"/>
        </w:rPr>
      </w:pPr>
    </w:p>
    <w:p>
      <w:pPr>
        <w:jc w:val="both"/>
        <w:ind w:left="1860"/>
        <w:spacing w:after="0"/>
        <w:tabs>
          <w:tab w:leader="none" w:pos="3860" w:val="left"/>
          <w:tab w:leader="none" w:pos="65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Telephone Number</w:t>
      </w:r>
      <w:r>
        <w:rPr>
          <w:sz w:val="20"/>
          <w:szCs w:val="20"/>
          <w:color w:val="auto"/>
        </w:rPr>
        <w:tab/>
      </w: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43180</wp:posOffset>
            </wp:positionV>
            <wp:extent cx="455295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[To be completed by Sponsor]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5" w:name="page406"/>
    <w:bookmarkEnd w:id="40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Telephone Number(s) and authorized signature(s) for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Person(s) Designated by Stockholder Representative to give Escrow Shares Transfer Instructions</w:t>
      </w:r>
    </w:p>
    <w:p>
      <w:pPr>
        <w:spacing w:after="0" w:line="195" w:lineRule="exact"/>
        <w:rPr>
          <w:sz w:val="20"/>
          <w:szCs w:val="20"/>
          <w:color w:val="auto"/>
        </w:rPr>
      </w:pPr>
    </w:p>
    <w:p>
      <w:pPr>
        <w:ind w:left="1860"/>
        <w:spacing w:after="0"/>
        <w:tabs>
          <w:tab w:leader="none" w:pos="3860" w:val="left"/>
          <w:tab w:leader="none" w:pos="65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Telephone Number</w:t>
      </w:r>
      <w:r>
        <w:rPr>
          <w:sz w:val="20"/>
          <w:szCs w:val="20"/>
          <w:color w:val="auto"/>
        </w:rPr>
        <w:tab/>
      </w: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43180</wp:posOffset>
            </wp:positionV>
            <wp:extent cx="455295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Authorized Representative #1</w:t>
      </w:r>
    </w:p>
    <w:p>
      <w:pPr>
        <w:spacing w:after="0" w:line="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38100</wp:posOffset>
            </wp:positionV>
            <wp:extent cx="151765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Managing Director</w:t>
      </w:r>
    </w:p>
    <w:p>
      <w:pPr>
        <w:spacing w:after="0" w:line="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Authorized Representative #2</w:t>
      </w:r>
    </w:p>
    <w:p>
      <w:pPr>
        <w:spacing w:after="0" w:line="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38100</wp:posOffset>
            </wp:positionV>
            <wp:extent cx="151765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Executive Director</w:t>
      </w:r>
    </w:p>
    <w:p>
      <w:pPr>
        <w:spacing w:after="0" w:line="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Authorized Representative #3</w:t>
      </w:r>
    </w:p>
    <w:p>
      <w:pPr>
        <w:spacing w:after="0" w:line="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38100</wp:posOffset>
            </wp:positionV>
            <wp:extent cx="151765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President</w:t>
      </w:r>
    </w:p>
    <w:p>
      <w:pPr>
        <w:spacing w:after="0" w:line="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Authorized Representative #4</w:t>
      </w:r>
    </w:p>
    <w:p>
      <w:pPr>
        <w:spacing w:after="0" w:line="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38100</wp:posOffset>
            </wp:positionV>
            <wp:extent cx="151765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Managing Director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06" w:name="page407"/>
    <w:bookmarkEnd w:id="40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A</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7" w:name="page408"/>
    <w:bookmarkEnd w:id="40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EXHIBIT F</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REGISTRATION RIGHTS AGREEMENT</w:t>
      </w:r>
    </w:p>
    <w:p>
      <w:pPr>
        <w:spacing w:after="0" w:line="139"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color w:val="auto"/>
        </w:rPr>
        <w:t>THIS REGISTRATION RIGHTS AGREEMENT (this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is entered into as of [•], 2020, by and among FS Development Corp., a Delaware corporation (the “</w:t>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the parties listed as Investors on Schedule I hereto (each, an “</w:t>
      </w:r>
      <w:r>
        <w:rPr>
          <w:rFonts w:ascii="Times New Roman" w:cs="Times New Roman" w:eastAsia="Times New Roman" w:hAnsi="Times New Roman"/>
          <w:sz w:val="16"/>
          <w:szCs w:val="16"/>
          <w:b w:val="1"/>
          <w:bCs w:val="1"/>
          <w:u w:val="single" w:color="auto"/>
          <w:color w:val="auto"/>
        </w:rPr>
        <w:t>Investor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u w:val="single" w:color="auto"/>
          <w:color w:val="auto"/>
        </w:rPr>
        <w:t>Investors</w:t>
      </w:r>
      <w:r>
        <w:rPr>
          <w:rFonts w:ascii="Times New Roman" w:cs="Times New Roman" w:eastAsia="Times New Roman" w:hAnsi="Times New Roman"/>
          <w:sz w:val="16"/>
          <w:szCs w:val="16"/>
          <w:color w:val="auto"/>
        </w:rPr>
        <w:t>”) and Gemini Therapeutics, Inc., a Delaware company (“</w:t>
      </w:r>
      <w:r>
        <w:rPr>
          <w:rFonts w:ascii="Times New Roman" w:cs="Times New Roman" w:eastAsia="Times New Roman" w:hAnsi="Times New Roman"/>
          <w:sz w:val="16"/>
          <w:szCs w:val="16"/>
          <w:b w:val="1"/>
          <w:bCs w:val="1"/>
          <w:u w:val="single" w:color="auto"/>
          <w:color w:val="auto"/>
        </w:rPr>
        <w:t>Gemini</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color w:val="auto"/>
        </w:rPr>
        <w:t>WHEREAS, the Company, FSG Merger Sub, Inc., a Delaware corporation (“</w:t>
      </w:r>
      <w:r>
        <w:rPr>
          <w:rFonts w:ascii="Times New Roman" w:cs="Times New Roman" w:eastAsia="Times New Roman" w:hAnsi="Times New Roman"/>
          <w:sz w:val="16"/>
          <w:szCs w:val="16"/>
          <w:b w:val="1"/>
          <w:bCs w:val="1"/>
          <w:u w:val="single" w:color="auto"/>
          <w:color w:val="auto"/>
        </w:rPr>
        <w:t>Merger Sub</w:t>
      </w:r>
      <w:r>
        <w:rPr>
          <w:rFonts w:ascii="Times New Roman" w:cs="Times New Roman" w:eastAsia="Times New Roman" w:hAnsi="Times New Roman"/>
          <w:sz w:val="16"/>
          <w:szCs w:val="16"/>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Times New Roman" w:cs="Times New Roman" w:eastAsia="Times New Roman" w:hAnsi="Times New Roman"/>
          <w:sz w:val="16"/>
          <w:szCs w:val="16"/>
          <w:b w:val="1"/>
          <w:bCs w:val="1"/>
          <w:u w:val="single" w:color="auto"/>
          <w:color w:val="auto"/>
        </w:rPr>
        <w:t>Merger Agreement</w:t>
      </w:r>
      <w:r>
        <w:rPr>
          <w:rFonts w:ascii="Times New Roman" w:cs="Times New Roman" w:eastAsia="Times New Roman" w:hAnsi="Times New Roman"/>
          <w:sz w:val="16"/>
          <w:szCs w:val="16"/>
          <w:color w:val="auto"/>
        </w:rPr>
        <w:t>”), pursuant to which, among other things: (a) Merger Sub will merge with and into Gemini (the “</w:t>
      </w:r>
      <w:r>
        <w:rPr>
          <w:rFonts w:ascii="Times New Roman" w:cs="Times New Roman" w:eastAsia="Times New Roman" w:hAnsi="Times New Roman"/>
          <w:sz w:val="16"/>
          <w:szCs w:val="16"/>
          <w:b w:val="1"/>
          <w:bCs w:val="1"/>
          <w:u w:val="single" w:color="auto"/>
          <w:color w:val="auto"/>
        </w:rPr>
        <w:t>Merger</w:t>
      </w:r>
      <w:r>
        <w:rPr>
          <w:rFonts w:ascii="Times New Roman" w:cs="Times New Roman" w:eastAsia="Times New Roman" w:hAnsi="Times New Roman"/>
          <w:sz w:val="16"/>
          <w:szCs w:val="16"/>
          <w:color w:val="auto"/>
        </w:rPr>
        <w:t>”), with Gemini surviving the Merger as a wholly-owned subsidiary of Company;</w:t>
      </w:r>
    </w:p>
    <w:p>
      <w:pPr>
        <w:spacing w:after="0" w:line="91"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WHEREAS, the Company and the Investors listed as Company Investors on Schedule I hereto (collectively, the “</w:t>
      </w:r>
      <w:r>
        <w:rPr>
          <w:rFonts w:ascii="Times New Roman" w:cs="Times New Roman" w:eastAsia="Times New Roman" w:hAnsi="Times New Roman"/>
          <w:sz w:val="16"/>
          <w:szCs w:val="16"/>
          <w:b w:val="1"/>
          <w:bCs w:val="1"/>
          <w:u w:val="single" w:color="auto"/>
          <w:color w:val="auto"/>
        </w:rPr>
        <w:t>Company Investors</w:t>
      </w:r>
      <w:r>
        <w:rPr>
          <w:rFonts w:ascii="Times New Roman" w:cs="Times New Roman" w:eastAsia="Times New Roman" w:hAnsi="Times New Roman"/>
          <w:sz w:val="16"/>
          <w:szCs w:val="16"/>
          <w:color w:val="auto"/>
        </w:rPr>
        <w:t>”) are parties to that certain Registration Rights Agreement, dated August 11, 2020 (the “</w:t>
      </w:r>
      <w:r>
        <w:rPr>
          <w:rFonts w:ascii="Times New Roman" w:cs="Times New Roman" w:eastAsia="Times New Roman" w:hAnsi="Times New Roman"/>
          <w:sz w:val="16"/>
          <w:szCs w:val="16"/>
          <w:b w:val="1"/>
          <w:bCs w:val="1"/>
          <w:u w:val="single" w:color="auto"/>
          <w:color w:val="auto"/>
        </w:rPr>
        <w:t>Prior Agreement</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94"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color w:val="auto"/>
        </w:rPr>
        <w:t>WHEREAS, the Company Investors and Gemini Investors listed on Schedule I hereto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Investors</w:t>
      </w:r>
      <w:r>
        <w:rPr>
          <w:rFonts w:ascii="Times New Roman" w:cs="Times New Roman" w:eastAsia="Times New Roman" w:hAnsi="Times New Roman"/>
          <w:sz w:val="16"/>
          <w:szCs w:val="16"/>
          <w:color w:val="auto"/>
        </w:rPr>
        <w:t>”) have subscribed to purchase shares of Common Stock in the Private Placement (as defined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Agreement) in connection with the consummation of the Merger; and</w:t>
      </w:r>
    </w:p>
    <w:p>
      <w:pPr>
        <w:spacing w:after="0" w:line="83"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1. DEFINITIONS. The following capitalized terms used herein have the following meanings: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Addendum Agreement</w:t>
      </w:r>
      <w:r>
        <w:rPr>
          <w:rFonts w:ascii="Times New Roman" w:cs="Times New Roman" w:eastAsia="Times New Roman" w:hAnsi="Times New Roman"/>
          <w:sz w:val="16"/>
          <w:szCs w:val="16"/>
          <w:color w:val="auto"/>
        </w:rPr>
        <w:t>” is defined in Section 7.2.</w:t>
      </w:r>
    </w:p>
    <w:p>
      <w:pPr>
        <w:spacing w:after="0" w:line="127"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means this Agreement, as amended, restated, supplemented, or otherwise modified from time to time.</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Business Day</w:t>
      </w:r>
      <w:r>
        <w:rPr>
          <w:rFonts w:ascii="Times New Roman" w:cs="Times New Roman" w:eastAsia="Times New Roman" w:hAnsi="Times New Roman"/>
          <w:sz w:val="16"/>
          <w:szCs w:val="16"/>
          <w:color w:val="auto"/>
        </w:rPr>
        <w:t>” means a day other than a Saturday, Sunday or other day on which commercial banks in New York, New York are authorized or required by law to close.</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Bylaws</w:t>
      </w:r>
      <w:r>
        <w:rPr>
          <w:rFonts w:ascii="Times New Roman" w:cs="Times New Roman" w:eastAsia="Times New Roman" w:hAnsi="Times New Roman"/>
          <w:sz w:val="16"/>
          <w:szCs w:val="16"/>
          <w:color w:val="auto"/>
        </w:rPr>
        <w:t>” means the bylaws of the Company, as amended, modified, supplemented or restated and in effect from time to time.</w:t>
      </w:r>
    </w:p>
    <w:p>
      <w:pPr>
        <w:spacing w:after="0" w:line="68"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Certificate</w:t>
      </w:r>
      <w:r>
        <w:rPr>
          <w:rFonts w:ascii="Times New Roman" w:cs="Times New Roman" w:eastAsia="Times New Roman" w:hAnsi="Times New Roman"/>
          <w:sz w:val="16"/>
          <w:szCs w:val="16"/>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93"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Commission</w:t>
      </w:r>
      <w:r>
        <w:rPr>
          <w:rFonts w:ascii="Times New Roman" w:cs="Times New Roman" w:eastAsia="Times New Roman" w:hAnsi="Times New Roman"/>
          <w:sz w:val="16"/>
          <w:szCs w:val="16"/>
          <w:color w:val="auto"/>
        </w:rPr>
        <w:t>” means the Securities and Exchange Commission, or any other Federal agency then administering the Securities Act or the Exchange Act.</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Common Stock</w:t>
      </w:r>
      <w:r>
        <w:rPr>
          <w:rFonts w:ascii="Times New Roman" w:cs="Times New Roman" w:eastAsia="Times New Roman" w:hAnsi="Times New Roman"/>
          <w:sz w:val="16"/>
          <w:szCs w:val="16"/>
          <w:color w:val="auto"/>
        </w:rPr>
        <w:t>” means the common stock, par value $0.0001 per share, of the Company.</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is defined in the preamble to this Agreement.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Company Investors</w:t>
      </w:r>
      <w:r>
        <w:rPr>
          <w:rFonts w:ascii="Times New Roman" w:cs="Times New Roman" w:eastAsia="Times New Roman" w:hAnsi="Times New Roman"/>
          <w:sz w:val="16"/>
          <w:szCs w:val="16"/>
          <w:color w:val="auto"/>
        </w:rPr>
        <w:t>” is defined in the preamble to this Agreement.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Demand Registration</w:t>
      </w:r>
      <w:r>
        <w:rPr>
          <w:rFonts w:ascii="Times New Roman" w:cs="Times New Roman" w:eastAsia="Times New Roman" w:hAnsi="Times New Roman"/>
          <w:sz w:val="16"/>
          <w:szCs w:val="16"/>
          <w:color w:val="auto"/>
        </w:rPr>
        <w:t>” is defined in Section 2.2.1.</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Demanding Holder</w:t>
      </w:r>
      <w:r>
        <w:rPr>
          <w:rFonts w:ascii="Times New Roman" w:cs="Times New Roman" w:eastAsia="Times New Roman" w:hAnsi="Times New Roman"/>
          <w:sz w:val="16"/>
          <w:szCs w:val="16"/>
          <w:color w:val="auto"/>
        </w:rPr>
        <w:t>” is defined in Section 2.2.1.</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Effectiveness Period</w:t>
      </w:r>
      <w:r>
        <w:rPr>
          <w:rFonts w:ascii="Times New Roman" w:cs="Times New Roman" w:eastAsia="Times New Roman" w:hAnsi="Times New Roman"/>
          <w:sz w:val="16"/>
          <w:szCs w:val="16"/>
          <w:color w:val="auto"/>
        </w:rPr>
        <w:t>” is defined in Section 3.1.3.</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8" w:name="page409"/>
    <w:bookmarkEnd w:id="40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and regulations of the Commission promulgated thereunder, all as the same shall be in effect at the time.</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Form S-1</w:t>
      </w:r>
      <w:r>
        <w:rPr>
          <w:rFonts w:ascii="Times New Roman" w:cs="Times New Roman" w:eastAsia="Times New Roman" w:hAnsi="Times New Roman"/>
          <w:sz w:val="16"/>
          <w:szCs w:val="16"/>
          <w:color w:val="auto"/>
        </w:rPr>
        <w:t>” means a Registration Statement on Form S-1.</w:t>
      </w:r>
    </w:p>
    <w:p>
      <w:pPr>
        <w:spacing w:after="0" w:line="13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Form S-3</w:t>
      </w:r>
      <w:r>
        <w:rPr>
          <w:rFonts w:ascii="Times New Roman" w:cs="Times New Roman" w:eastAsia="Times New Roman" w:hAnsi="Times New Roman"/>
          <w:sz w:val="16"/>
          <w:szCs w:val="16"/>
          <w:color w:val="auto"/>
        </w:rPr>
        <w:t>” means a Registration Statement on Form S-3 or any similar short-form registration that may be available at such time.</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Gemini</w:t>
      </w:r>
      <w:r>
        <w:rPr>
          <w:rFonts w:ascii="Times New Roman" w:cs="Times New Roman" w:eastAsia="Times New Roman" w:hAnsi="Times New Roman"/>
          <w:sz w:val="16"/>
          <w:szCs w:val="16"/>
          <w:color w:val="auto"/>
        </w:rPr>
        <w:t>” is defined in the preamble to this Agreement.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Gemini Investors</w:t>
      </w:r>
      <w:r>
        <w:rPr>
          <w:rFonts w:ascii="Times New Roman" w:cs="Times New Roman" w:eastAsia="Times New Roman" w:hAnsi="Times New Roman"/>
          <w:sz w:val="16"/>
          <w:szCs w:val="16"/>
          <w:color w:val="auto"/>
        </w:rPr>
        <w:t>” is defined in the recitals to this Agreement.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Indemnified Party</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Indemnifying Party</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Investor” and “Investors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defined in the preamble to this Agreement.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Investor Indemnified Party</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Maximum Number of Shares</w:t>
      </w:r>
      <w:r>
        <w:rPr>
          <w:rFonts w:ascii="Times New Roman" w:cs="Times New Roman" w:eastAsia="Times New Roman" w:hAnsi="Times New Roman"/>
          <w:sz w:val="16"/>
          <w:szCs w:val="16"/>
          <w:color w:val="auto"/>
        </w:rPr>
        <w:t>” is defined in Section 2.2.4.</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w:t>
      </w:r>
      <w:r>
        <w:rPr>
          <w:rFonts w:ascii="Times New Roman" w:cs="Times New Roman" w:eastAsia="Times New Roman" w:hAnsi="Times New Roman"/>
          <w:sz w:val="16"/>
          <w:szCs w:val="16"/>
          <w:color w:val="auto"/>
        </w:rPr>
        <w:t>” is defined in the preamble to this Agreement.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 Agreement</w:t>
      </w:r>
      <w:r>
        <w:rPr>
          <w:rFonts w:ascii="Times New Roman" w:cs="Times New Roman" w:eastAsia="Times New Roman" w:hAnsi="Times New Roman"/>
          <w:sz w:val="16"/>
          <w:szCs w:val="16"/>
          <w:color w:val="auto"/>
        </w:rPr>
        <w:t>” is defined in the preamble to this Agreement.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 Sub</w:t>
      </w:r>
      <w:r>
        <w:rPr>
          <w:rFonts w:ascii="Times New Roman" w:cs="Times New Roman" w:eastAsia="Times New Roman" w:hAnsi="Times New Roman"/>
          <w:sz w:val="16"/>
          <w:szCs w:val="16"/>
          <w:color w:val="auto"/>
        </w:rPr>
        <w:t>” is defined in the preamble to this Agreement.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New Registration Statement</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Piggy-Back Registration</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2.3.1</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Prior Agreement</w:t>
      </w:r>
      <w:r>
        <w:rPr>
          <w:rFonts w:ascii="Times New Roman" w:cs="Times New Roman" w:eastAsia="Times New Roman" w:hAnsi="Times New Roman"/>
          <w:sz w:val="16"/>
          <w:szCs w:val="16"/>
          <w:color w:val="auto"/>
        </w:rPr>
        <w:t>” is defined in the preamble to this Agreement.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Pro Rata</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2.2.4</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Register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u w:val="single" w:color="auto"/>
          <w:color w:val="auto"/>
        </w:rPr>
        <w:t>Registered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u w:val="single" w:color="auto"/>
          <w:color w:val="auto"/>
        </w:rPr>
        <w:t>Registration</w:t>
      </w:r>
      <w:r>
        <w:rPr>
          <w:rFonts w:ascii="Times New Roman" w:cs="Times New Roman" w:eastAsia="Times New Roman" w:hAnsi="Times New Roman"/>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93"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Registrable Securities</w:t>
      </w:r>
      <w:r>
        <w:rPr>
          <w:rFonts w:ascii="Times New Roman" w:cs="Times New Roman" w:eastAsia="Times New Roman" w:hAnsi="Times New Roman"/>
          <w:sz w:val="16"/>
          <w:szCs w:val="16"/>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w:t>
      </w:r>
    </w:p>
    <w:p>
      <w:pPr>
        <w:spacing w:after="0" w:line="1" w:lineRule="exact"/>
        <w:rPr>
          <w:sz w:val="20"/>
          <w:szCs w:val="20"/>
          <w:color w:val="auto"/>
        </w:rPr>
      </w:pPr>
    </w:p>
    <w:p>
      <w:pPr>
        <w:ind w:left="1200" w:hanging="281"/>
        <w:spacing w:after="0"/>
        <w:tabs>
          <w:tab w:leader="none" w:pos="120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Common Stock issued to any Investor with respect to such securities referred to in clauses</w:t>
      </w:r>
    </w:p>
    <w:p>
      <w:pPr>
        <w:spacing w:after="0" w:line="7" w:lineRule="exact"/>
        <w:rPr>
          <w:rFonts w:ascii="Times New Roman" w:cs="Times New Roman" w:eastAsia="Times New Roman" w:hAnsi="Times New Roman"/>
          <w:sz w:val="16"/>
          <w:szCs w:val="16"/>
          <w:color w:val="auto"/>
        </w:rPr>
      </w:pPr>
    </w:p>
    <w:p>
      <w:pPr>
        <w:jc w:val="both"/>
        <w:ind w:left="920" w:right="939" w:hanging="1"/>
        <w:spacing w:after="0" w:line="266" w:lineRule="auto"/>
        <w:tabs>
          <w:tab w:leader="none" w:pos="1112" w:val="left"/>
        </w:tabs>
        <w:numPr>
          <w:ilvl w:val="0"/>
          <w:numId w:val="3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w:t>
      </w:r>
    </w:p>
    <w:p>
      <w:pPr>
        <w:jc w:val="both"/>
        <w:ind w:left="920" w:right="939"/>
        <w:spacing w:after="0" w:line="27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73"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Registration Statement</w:t>
      </w:r>
      <w:r>
        <w:rPr>
          <w:rFonts w:ascii="Times New Roman" w:cs="Times New Roman" w:eastAsia="Times New Roman" w:hAnsi="Times New Roman"/>
          <w:sz w:val="16"/>
          <w:szCs w:val="16"/>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Resale Shelf Registration Statement</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9" w:name="page410"/>
    <w:bookmarkEnd w:id="40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Requesting Holder</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2.1.5(a)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SEC Guidance</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Securities Act</w:t>
      </w:r>
      <w:r>
        <w:rPr>
          <w:rFonts w:ascii="Times New Roman" w:cs="Times New Roman" w:eastAsia="Times New Roman" w:hAnsi="Times New Roman"/>
          <w:sz w:val="16"/>
          <w:szCs w:val="16"/>
          <w:color w:val="auto"/>
        </w:rPr>
        <w:t>” means the Securities Act of 1933, as amended, and the rules and regulations of the Commission promulgated thereunder, all as the same shall be in effect at the time.</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Selling Holders</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2.1.5(a)(ii)</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Subsequent Shelf Registration</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Transfer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to (i) sell, offer to sell, contract or agree to sell, hypothecate, pledge, grant any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purchase, make any short sale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01"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Underwriter</w:t>
      </w:r>
      <w:r>
        <w:rPr>
          <w:rFonts w:ascii="Times New Roman" w:cs="Times New Roman" w:eastAsia="Times New Roman" w:hAnsi="Times New Roman"/>
          <w:sz w:val="16"/>
          <w:szCs w:val="16"/>
          <w:color w:val="auto"/>
        </w:rPr>
        <w:t>” means a securities dealer who purchases any Registrable Securities as principal in an underwritten offering and not as part of such dealer’s market-making activities.</w:t>
      </w:r>
    </w:p>
    <w:p>
      <w:pPr>
        <w:spacing w:after="0" w:line="68"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Underwritten Takedown</w:t>
      </w:r>
      <w:r>
        <w:rPr>
          <w:rFonts w:ascii="Times New Roman" w:cs="Times New Roman" w:eastAsia="Times New Roman" w:hAnsi="Times New Roman"/>
          <w:sz w:val="16"/>
          <w:szCs w:val="16"/>
          <w:color w:val="auto"/>
        </w:rPr>
        <w:t>” shall mean an underwritten public offering of Registrable Securities pursuant to the Resale Shelf Registration Statement, as amended or supplemented.</w:t>
      </w:r>
    </w:p>
    <w:p>
      <w:pPr>
        <w:spacing w:after="0" w:line="68"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Underwritten Demand Registration</w:t>
      </w:r>
      <w:r>
        <w:rPr>
          <w:rFonts w:ascii="Times New Roman" w:cs="Times New Roman" w:eastAsia="Times New Roman" w:hAnsi="Times New Roman"/>
          <w:sz w:val="16"/>
          <w:szCs w:val="16"/>
          <w:color w:val="auto"/>
        </w:rPr>
        <w:t>” shall mean an underwritten public offering of Registrable Securities pursuant to a Demand Registration, as amended or supplemented.</w:t>
      </w:r>
    </w:p>
    <w:p>
      <w:pPr>
        <w:spacing w:after="0" w:line="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2. REGISTRATION RIGHTS.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Resale Shelf Registration Rights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5"/>
        <w:spacing w:after="0" w:line="249"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Registration Statement Covering Resale of Registrable Securities</w:t>
      </w:r>
      <w:r>
        <w:rPr>
          <w:rFonts w:ascii="Times New Roman" w:cs="Times New Roman" w:eastAsia="Times New Roman" w:hAnsi="Times New Roman"/>
          <w:sz w:val="16"/>
          <w:szCs w:val="16"/>
          <w:color w:val="auto"/>
        </w:rPr>
        <w:t>. The Company shall prepare and file or cause to be prepared and filed with the Commission as soon as practicable after the Closing Date (as such term is defined in the Merger Agreement), but in any event no later than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6"/>
          <w:szCs w:val="16"/>
          <w:color w:val="auto"/>
        </w:rPr>
        <w:t xml:space="preserve"> days after the Closing Date (the “</w:t>
      </w:r>
      <w:r>
        <w:rPr>
          <w:rFonts w:ascii="Times New Roman" w:cs="Times New Roman" w:eastAsia="Times New Roman" w:hAnsi="Times New Roman"/>
          <w:sz w:val="16"/>
          <w:szCs w:val="16"/>
          <w:b w:val="1"/>
          <w:bCs w:val="1"/>
          <w:u w:val="single" w:color="auto"/>
          <w:color w:val="auto"/>
        </w:rPr>
        <w:t>Filing Date</w:t>
      </w:r>
      <w:r>
        <w:rPr>
          <w:rFonts w:ascii="Times New Roman" w:cs="Times New Roman" w:eastAsia="Times New Roman" w:hAnsi="Times New Roman"/>
          <w:sz w:val="16"/>
          <w:szCs w:val="16"/>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Times New Roman" w:cs="Times New Roman" w:eastAsia="Times New Roman" w:hAnsi="Times New Roman"/>
          <w:sz w:val="16"/>
          <w:szCs w:val="16"/>
          <w:b w:val="1"/>
          <w:bCs w:val="1"/>
          <w:u w:val="single" w:color="auto"/>
          <w:color w:val="auto"/>
        </w:rPr>
        <w:t>Resale Shelf Registration Statement</w:t>
      </w:r>
      <w:r>
        <w:rPr>
          <w:rFonts w:ascii="Times New Roman" w:cs="Times New Roman" w:eastAsia="Times New Roman" w:hAnsi="Times New Roman"/>
          <w:sz w:val="16"/>
          <w:szCs w:val="16"/>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99" w:lineRule="exact"/>
        <w:rPr>
          <w:sz w:val="20"/>
          <w:szCs w:val="20"/>
          <w:color w:val="auto"/>
        </w:rPr>
      </w:pPr>
    </w:p>
    <w:p>
      <w:pPr>
        <w:jc w:val="both"/>
        <w:ind w:left="920" w:right="939" w:firstLine="765"/>
        <w:spacing w:after="0" w:line="254" w:lineRule="auto"/>
        <w:rPr>
          <w:sz w:val="20"/>
          <w:szCs w:val="20"/>
          <w:color w:val="auto"/>
        </w:rPr>
      </w:pPr>
      <w:r>
        <w:rPr>
          <w:rFonts w:ascii="Times New Roman" w:cs="Times New Roman" w:eastAsia="Times New Roman" w:hAnsi="Times New Roman"/>
          <w:sz w:val="16"/>
          <w:szCs w:val="16"/>
          <w:color w:val="auto"/>
        </w:rPr>
        <w:t xml:space="preserve">2.1.2 </w:t>
      </w:r>
      <w:r>
        <w:rPr>
          <w:rFonts w:ascii="Times New Roman" w:cs="Times New Roman" w:eastAsia="Times New Roman" w:hAnsi="Times New Roman"/>
          <w:sz w:val="16"/>
          <w:szCs w:val="16"/>
          <w:u w:val="single" w:color="auto"/>
          <w:color w:val="auto"/>
        </w:rPr>
        <w:t>Notification and Distribution of Materials</w:t>
      </w:r>
      <w:r>
        <w:rPr>
          <w:rFonts w:ascii="Times New Roman" w:cs="Times New Roman" w:eastAsia="Times New Roman" w:hAnsi="Times New Roman"/>
          <w:sz w:val="16"/>
          <w:szCs w:val="16"/>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88" w:lineRule="exact"/>
        <w:rPr>
          <w:sz w:val="20"/>
          <w:szCs w:val="20"/>
          <w:color w:val="auto"/>
        </w:rPr>
      </w:pPr>
    </w:p>
    <w:p>
      <w:pPr>
        <w:ind w:left="1120" w:right="939" w:hanging="201"/>
        <w:spacing w:after="0" w:line="255" w:lineRule="auto"/>
        <w:tabs>
          <w:tab w:leader="none" w:pos="1152" w:val="left"/>
        </w:tabs>
        <w:numPr>
          <w:ilvl w:val="0"/>
          <w:numId w:val="38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To track the date that the shares issued in the PIPE must be registered pursuant to the PIPE subscription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0" w:name="page411"/>
    <w:bookmarkEnd w:id="41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 xml:space="preserve">2.1.3 </w:t>
      </w:r>
      <w:r>
        <w:rPr>
          <w:rFonts w:ascii="Times New Roman" w:cs="Times New Roman" w:eastAsia="Times New Roman" w:hAnsi="Times New Roman"/>
          <w:sz w:val="16"/>
          <w:szCs w:val="16"/>
          <w:u w:val="single" w:color="auto"/>
          <w:color w:val="auto"/>
        </w:rPr>
        <w:t>Amendments and Supplements; Subsequent Shelf Registration</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Times New Roman" w:cs="Times New Roman" w:eastAsia="Times New Roman" w:hAnsi="Times New Roman"/>
          <w:sz w:val="16"/>
          <w:szCs w:val="16"/>
          <w:u w:val="single" w:color="auto"/>
          <w:color w:val="auto"/>
        </w:rPr>
        <w:t>Subsequent Shelf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06" w:lineRule="exact"/>
        <w:rPr>
          <w:sz w:val="20"/>
          <w:szCs w:val="20"/>
          <w:color w:val="auto"/>
        </w:rPr>
      </w:pPr>
    </w:p>
    <w:p>
      <w:pPr>
        <w:jc w:val="both"/>
        <w:ind w:left="920" w:right="939" w:firstLine="765"/>
        <w:spacing w:after="0" w:line="250" w:lineRule="auto"/>
        <w:rPr>
          <w:sz w:val="20"/>
          <w:szCs w:val="20"/>
          <w:color w:val="auto"/>
        </w:rPr>
      </w:pPr>
      <w:r>
        <w:rPr>
          <w:rFonts w:ascii="Times New Roman" w:cs="Times New Roman" w:eastAsia="Times New Roman" w:hAnsi="Times New Roman"/>
          <w:sz w:val="16"/>
          <w:szCs w:val="16"/>
          <w:color w:val="auto"/>
        </w:rPr>
        <w:t xml:space="preserve">2.1.4 Notwithstanding the registration obligations set forth in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6"/>
          <w:szCs w:val="16"/>
          <w:b w:val="1"/>
          <w:bCs w:val="1"/>
          <w:u w:val="single" w:color="auto"/>
          <w:color w:val="auto"/>
        </w:rPr>
        <w:t>New Registration Statement</w:t>
      </w:r>
      <w:r>
        <w:rPr>
          <w:rFonts w:ascii="Times New Roman" w:cs="Times New Roman" w:eastAsia="Times New Roman" w:hAnsi="Times New Roman"/>
          <w:sz w:val="16"/>
          <w:szCs w:val="16"/>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6"/>
          <w:szCs w:val="16"/>
          <w:b w:val="1"/>
          <w:bCs w:val="1"/>
          <w:u w:val="single" w:color="auto"/>
          <w:color w:val="auto"/>
        </w:rPr>
        <w:t>SEC Guidance</w:t>
      </w:r>
      <w:r>
        <w:rPr>
          <w:rFonts w:ascii="Times New Roman" w:cs="Times New Roman" w:eastAsia="Times New Roman" w:hAnsi="Times New Roman"/>
          <w:sz w:val="16"/>
          <w:szCs w:val="16"/>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19" w:lineRule="exact"/>
        <w:rPr>
          <w:sz w:val="20"/>
          <w:szCs w:val="20"/>
          <w:color w:val="auto"/>
        </w:rPr>
      </w:pPr>
    </w:p>
    <w:p>
      <w:pPr>
        <w:jc w:val="both"/>
        <w:ind w:left="920" w:right="939" w:firstLine="765"/>
        <w:spacing w:after="0" w:line="255" w:lineRule="auto"/>
        <w:rPr>
          <w:sz w:val="20"/>
          <w:szCs w:val="20"/>
          <w:color w:val="auto"/>
        </w:rPr>
      </w:pPr>
      <w:r>
        <w:rPr>
          <w:rFonts w:ascii="Times New Roman" w:cs="Times New Roman" w:eastAsia="Times New Roman" w:hAnsi="Times New Roman"/>
          <w:sz w:val="16"/>
          <w:szCs w:val="16"/>
          <w:color w:val="auto"/>
        </w:rPr>
        <w:t xml:space="preserve">2.1.5 </w:t>
      </w:r>
      <w:r>
        <w:rPr>
          <w:rFonts w:ascii="Times New Roman" w:cs="Times New Roman" w:eastAsia="Times New Roman" w:hAnsi="Times New Roman"/>
          <w:sz w:val="16"/>
          <w:szCs w:val="16"/>
          <w:u w:val="single" w:color="auto"/>
          <w:color w:val="auto"/>
        </w:rPr>
        <w:t>Notice of Certain Events</w:t>
      </w:r>
      <w:r>
        <w:rPr>
          <w:rFonts w:ascii="Times New Roman" w:cs="Times New Roman" w:eastAsia="Times New Roman" w:hAnsi="Times New Roman"/>
          <w:sz w:val="16"/>
          <w:szCs w:val="16"/>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94" w:lineRule="exact"/>
        <w:rPr>
          <w:sz w:val="20"/>
          <w:szCs w:val="20"/>
          <w:color w:val="auto"/>
        </w:rPr>
      </w:pPr>
    </w:p>
    <w:p>
      <w:pPr>
        <w:jc w:val="both"/>
        <w:ind w:left="920" w:right="939" w:firstLine="955"/>
        <w:spacing w:after="0" w:line="249" w:lineRule="auto"/>
        <w:tabs>
          <w:tab w:leader="none" w:pos="2115" w:val="left"/>
        </w:tabs>
        <w:numPr>
          <w:ilvl w:val="0"/>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receive a request from the holders of Registrable Securities with an estimated market value of at least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6"/>
          <w:szCs w:val="16"/>
          <w:color w:val="auto"/>
        </w:rPr>
        <w:t xml:space="preserve"> (the requesting holder(s) shall be referred to herein as the “</w:t>
      </w:r>
      <w:r>
        <w:rPr>
          <w:rFonts w:ascii="Times New Roman" w:cs="Times New Roman" w:eastAsia="Times New Roman" w:hAnsi="Times New Roman"/>
          <w:sz w:val="16"/>
          <w:szCs w:val="16"/>
          <w:b w:val="1"/>
          <w:bCs w:val="1"/>
          <w:u w:val="single" w:color="auto"/>
          <w:color w:val="auto"/>
        </w:rPr>
        <w:t>Requesting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Holder(s)</w:t>
      </w:r>
      <w:r>
        <w:rPr>
          <w:rFonts w:ascii="Times New Roman" w:cs="Times New Roman" w:eastAsia="Times New Roman" w:hAnsi="Times New Roman"/>
          <w:sz w:val="16"/>
          <w:szCs w:val="16"/>
          <w:color w:val="auto"/>
        </w:rPr>
        <w:t>”) that the Company effect the Underwritten Takedown of all or any portion of the Requesting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10" w:lineRule="exact"/>
        <w:rPr>
          <w:rFonts w:ascii="Times New Roman" w:cs="Times New Roman" w:eastAsia="Times New Roman" w:hAnsi="Times New Roman"/>
          <w:sz w:val="16"/>
          <w:szCs w:val="16"/>
          <w:color w:val="auto"/>
        </w:rPr>
      </w:pPr>
    </w:p>
    <w:p>
      <w:pPr>
        <w:ind w:left="920" w:right="939" w:firstLine="1146"/>
        <w:spacing w:after="0" w:line="260" w:lineRule="auto"/>
        <w:tabs>
          <w:tab w:leader="none" w:pos="2262" w:val="left"/>
        </w:tabs>
        <w:numPr>
          <w:ilvl w:val="1"/>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restrictions set forth in </w:t>
      </w:r>
      <w:r>
        <w:rPr>
          <w:rFonts w:ascii="Times New Roman" w:cs="Times New Roman" w:eastAsia="Times New Roman" w:hAnsi="Times New Roman"/>
          <w:sz w:val="16"/>
          <w:szCs w:val="16"/>
          <w:u w:val="single" w:color="auto"/>
          <w:color w:val="auto"/>
        </w:rPr>
        <w:t>Section 2.2.4</w:t>
      </w:r>
      <w:r>
        <w:rPr>
          <w:rFonts w:ascii="Times New Roman" w:cs="Times New Roman" w:eastAsia="Times New Roman" w:hAnsi="Times New Roman"/>
          <w:sz w:val="16"/>
          <w:szCs w:val="16"/>
          <w:color w:val="auto"/>
        </w:rPr>
        <w:t xml:space="preserve">, all Registrable Securities for which the Requesting Holder has requested such offering under </w:t>
      </w:r>
      <w:r>
        <w:rPr>
          <w:rFonts w:ascii="Times New Roman" w:cs="Times New Roman" w:eastAsia="Times New Roman" w:hAnsi="Times New Roman"/>
          <w:sz w:val="16"/>
          <w:szCs w:val="16"/>
          <w:u w:val="single" w:color="auto"/>
          <w:color w:val="auto"/>
        </w:rPr>
        <w:t>Section 2.1.5(a)</w:t>
      </w:r>
      <w:r>
        <w:rPr>
          <w:rFonts w:ascii="Times New Roman" w:cs="Times New Roman" w:eastAsia="Times New Roman" w:hAnsi="Times New Roman"/>
          <w:sz w:val="16"/>
          <w:szCs w:val="16"/>
          <w:color w:val="auto"/>
        </w:rPr>
        <w:t>, and</w:t>
      </w: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____________</w:t>
      </w:r>
    </w:p>
    <w:p>
      <w:pPr>
        <w:spacing w:after="0" w:line="80" w:lineRule="exact"/>
        <w:rPr>
          <w:sz w:val="20"/>
          <w:szCs w:val="20"/>
          <w:color w:val="auto"/>
        </w:rPr>
      </w:pPr>
    </w:p>
    <w:p>
      <w:pPr>
        <w:ind w:left="1100" w:hanging="181"/>
        <w:spacing w:after="0"/>
        <w:tabs>
          <w:tab w:leader="none" w:pos="1100" w:val="left"/>
        </w:tabs>
        <w:numPr>
          <w:ilvl w:val="0"/>
          <w:numId w:val="38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b w:val="1"/>
          <w:bCs w:val="1"/>
          <w:color w:val="auto"/>
        </w:rPr>
        <w:t xml:space="preserve">Note to Draft: </w:t>
      </w:r>
      <w:r>
        <w:rPr>
          <w:rFonts w:ascii="Times New Roman" w:cs="Times New Roman" w:eastAsia="Times New Roman" w:hAnsi="Times New Roman"/>
          <w:sz w:val="14"/>
          <w:szCs w:val="14"/>
          <w:color w:val="auto"/>
        </w:rPr>
        <w:t>Amount TBD based on post-Closing market cap and pro forma capitalization table.</w:t>
      </w:r>
    </w:p>
    <w:p>
      <w:pPr>
        <w:spacing w:after="0" w:line="144" w:lineRule="exact"/>
        <w:rPr>
          <w:rFonts w:ascii="Times New Roman" w:cs="Times New Roman" w:eastAsia="Times New Roman" w:hAnsi="Times New Roman"/>
          <w:sz w:val="17"/>
          <w:szCs w:val="17"/>
          <w:color w:val="auto"/>
          <w:vertAlign w:val="superscript"/>
        </w:rPr>
      </w:pPr>
    </w:p>
    <w:p>
      <w:pPr>
        <w:ind w:left="40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1" w:name="page412"/>
    <w:bookmarkEnd w:id="41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1146"/>
        <w:spacing w:after="0" w:line="255" w:lineRule="auto"/>
        <w:tabs>
          <w:tab w:leader="none" w:pos="2320" w:val="left"/>
        </w:tabs>
        <w:numPr>
          <w:ilvl w:val="1"/>
          <w:numId w:val="3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restrictions set forth in </w:t>
      </w:r>
      <w:r>
        <w:rPr>
          <w:rFonts w:ascii="Times New Roman" w:cs="Times New Roman" w:eastAsia="Times New Roman" w:hAnsi="Times New Roman"/>
          <w:sz w:val="16"/>
          <w:szCs w:val="16"/>
          <w:u w:val="single" w:color="auto"/>
          <w:color w:val="auto"/>
        </w:rPr>
        <w:t>Section 2.2.4</w:t>
      </w:r>
      <w:r>
        <w:rPr>
          <w:rFonts w:ascii="Times New Roman" w:cs="Times New Roman" w:eastAsia="Times New Roman" w:hAnsi="Times New Roman"/>
          <w:sz w:val="16"/>
          <w:szCs w:val="16"/>
          <w:color w:val="auto"/>
        </w:rPr>
        <w:t>, all other Registrable Securities that any holders of Registrable Securities (all such holders, together with the Requesting Holder, the “</w:t>
      </w:r>
      <w:r>
        <w:rPr>
          <w:rFonts w:ascii="Times New Roman" w:cs="Times New Roman" w:eastAsia="Times New Roman" w:hAnsi="Times New Roman"/>
          <w:sz w:val="16"/>
          <w:szCs w:val="16"/>
          <w:b w:val="1"/>
          <w:bCs w:val="1"/>
          <w:u w:val="single" w:color="auto"/>
          <w:color w:val="auto"/>
        </w:rPr>
        <w:t>Selling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Holders</w:t>
      </w:r>
      <w:r>
        <w:rPr>
          <w:rFonts w:ascii="Times New Roman" w:cs="Times New Roman" w:eastAsia="Times New Roman" w:hAnsi="Times New Roman"/>
          <w:sz w:val="16"/>
          <w:szCs w:val="16"/>
          <w:color w:val="auto"/>
        </w:rPr>
        <w:t>”) have requested the Company to offer by request received by the Company within seven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05" w:lineRule="exact"/>
        <w:rPr>
          <w:rFonts w:ascii="Times New Roman" w:cs="Times New Roman" w:eastAsia="Times New Roman" w:hAnsi="Times New Roman"/>
          <w:sz w:val="16"/>
          <w:szCs w:val="16"/>
          <w:color w:val="auto"/>
        </w:rPr>
      </w:pPr>
    </w:p>
    <w:p>
      <w:pPr>
        <w:jc w:val="both"/>
        <w:ind w:left="920" w:right="939" w:firstLine="955"/>
        <w:spacing w:after="0" w:line="265" w:lineRule="auto"/>
        <w:tabs>
          <w:tab w:leader="none" w:pos="2103"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after the expiration of the seven-Business Day-period referred to in </w:t>
      </w:r>
      <w:r>
        <w:rPr>
          <w:rFonts w:ascii="Times New Roman" w:cs="Times New Roman" w:eastAsia="Times New Roman" w:hAnsi="Times New Roman"/>
          <w:sz w:val="16"/>
          <w:szCs w:val="16"/>
          <w:u w:val="single" w:color="auto"/>
          <w:color w:val="auto"/>
        </w:rPr>
        <w:t>Section 2.1.5(a)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Company will notify all Selling Holders of the identities of the other Selling Holders and the number of shares of Registrable Securities requested to be included therein.</w:t>
      </w:r>
    </w:p>
    <w:p>
      <w:pPr>
        <w:spacing w:after="0" w:line="95" w:lineRule="exact"/>
        <w:rPr>
          <w:rFonts w:ascii="Times New Roman" w:cs="Times New Roman" w:eastAsia="Times New Roman" w:hAnsi="Times New Roman"/>
          <w:sz w:val="16"/>
          <w:szCs w:val="16"/>
          <w:color w:val="auto"/>
        </w:rPr>
      </w:pPr>
    </w:p>
    <w:p>
      <w:pPr>
        <w:jc w:val="both"/>
        <w:ind w:left="920" w:right="939" w:firstLine="955"/>
        <w:spacing w:after="0" w:line="242" w:lineRule="auto"/>
        <w:tabs>
          <w:tab w:leader="none" w:pos="2098"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only be required to effectuate: (i) one Underwritten Takedown within any six-month period; (ii) no more than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6"/>
          <w:szCs w:val="16"/>
          <w:color w:val="auto"/>
        </w:rPr>
        <w:t xml:space="preserve"> Underwritten Takedowns in respect of all Registrable Securities held by the Company Investors after giving effect to </w:t>
      </w:r>
      <w:r>
        <w:rPr>
          <w:rFonts w:ascii="Times New Roman" w:cs="Times New Roman" w:eastAsia="Times New Roman" w:hAnsi="Times New Roman"/>
          <w:sz w:val="16"/>
          <w:szCs w:val="16"/>
          <w:u w:val="single" w:color="auto"/>
          <w:color w:val="auto"/>
        </w:rPr>
        <w:t>Section 2.2.1(c)</w:t>
      </w:r>
      <w:r>
        <w:rPr>
          <w:rFonts w:ascii="Times New Roman" w:cs="Times New Roman" w:eastAsia="Times New Roman" w:hAnsi="Times New Roman"/>
          <w:sz w:val="16"/>
          <w:szCs w:val="16"/>
          <w:color w:val="auto"/>
        </w:rPr>
        <w:t>; and (iii) no more than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6"/>
          <w:szCs w:val="16"/>
          <w:color w:val="auto"/>
        </w:rPr>
        <w:t xml:space="preserve"> Underwritten Takedowns in respect of all Registrable Securities held by Gemini Investors after giving effect to </w:t>
      </w:r>
      <w:r>
        <w:rPr>
          <w:rFonts w:ascii="Times New Roman" w:cs="Times New Roman" w:eastAsia="Times New Roman" w:hAnsi="Times New Roman"/>
          <w:sz w:val="16"/>
          <w:szCs w:val="16"/>
          <w:u w:val="single" w:color="auto"/>
          <w:color w:val="auto"/>
        </w:rPr>
        <w:t>Section 2.2.1(d)</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jc w:val="both"/>
        <w:ind w:left="920" w:right="939" w:firstLine="955"/>
        <w:spacing w:after="0" w:line="253" w:lineRule="auto"/>
        <w:tabs>
          <w:tab w:leader="none" w:pos="2128"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09"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 xml:space="preserve">2.1.6 </w:t>
      </w:r>
      <w:r>
        <w:rPr>
          <w:rFonts w:ascii="Times New Roman" w:cs="Times New Roman" w:eastAsia="Times New Roman" w:hAnsi="Times New Roman"/>
          <w:sz w:val="16"/>
          <w:szCs w:val="16"/>
          <w:u w:val="single" w:color="auto"/>
          <w:color w:val="auto"/>
        </w:rPr>
        <w:t>Selection of Underwriters</w:t>
      </w:r>
      <w:r>
        <w:rPr>
          <w:rFonts w:ascii="Times New Roman" w:cs="Times New Roman" w:eastAsia="Times New Roman" w:hAnsi="Times New Roman"/>
          <w:sz w:val="16"/>
          <w:szCs w:val="16"/>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07" w:lineRule="exact"/>
        <w:rPr>
          <w:sz w:val="20"/>
          <w:szCs w:val="20"/>
          <w:color w:val="auto"/>
        </w:rPr>
      </w:pPr>
    </w:p>
    <w:p>
      <w:pPr>
        <w:jc w:val="both"/>
        <w:ind w:left="920" w:right="939" w:firstLine="765"/>
        <w:spacing w:after="0" w:line="280" w:lineRule="auto"/>
        <w:rPr>
          <w:sz w:val="20"/>
          <w:szCs w:val="20"/>
          <w:color w:val="auto"/>
        </w:rPr>
      </w:pPr>
      <w:r>
        <w:rPr>
          <w:rFonts w:ascii="Times New Roman" w:cs="Times New Roman" w:eastAsia="Times New Roman" w:hAnsi="Times New Roman"/>
          <w:sz w:val="16"/>
          <w:szCs w:val="16"/>
          <w:color w:val="auto"/>
        </w:rPr>
        <w:t xml:space="preserve">2.1.7 Registrations effected pursuant to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shall not be counted as Demand Registrations effected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Demand Registration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47" w:lineRule="auto"/>
        <w:rPr>
          <w:sz w:val="20"/>
          <w:szCs w:val="20"/>
          <w:color w:val="auto"/>
        </w:rPr>
      </w:pPr>
      <w:r>
        <w:rPr>
          <w:rFonts w:ascii="Times New Roman" w:cs="Times New Roman" w:eastAsia="Times New Roman" w:hAnsi="Times New Roman"/>
          <w:sz w:val="16"/>
          <w:szCs w:val="16"/>
          <w:color w:val="auto"/>
        </w:rPr>
        <w:t xml:space="preserve">2.2.1 </w:t>
      </w:r>
      <w:r>
        <w:rPr>
          <w:rFonts w:ascii="Times New Roman" w:cs="Times New Roman" w:eastAsia="Times New Roman" w:hAnsi="Times New Roman"/>
          <w:sz w:val="16"/>
          <w:szCs w:val="16"/>
          <w:u w:val="single" w:color="auto"/>
          <w:color w:val="auto"/>
        </w:rPr>
        <w:t>Request for Registration</w:t>
      </w:r>
      <w:r>
        <w:rPr>
          <w:rFonts w:ascii="Times New Roman" w:cs="Times New Roman" w:eastAsia="Times New Roman" w:hAnsi="Times New Roman"/>
          <w:sz w:val="16"/>
          <w:szCs w:val="16"/>
          <w:color w:val="auto"/>
        </w:rPr>
        <w:t>. At any time and from time to time after the expiration of a lock-up to which such shares are subject, if any, (i) Company Investors who hold a majority in interest of the Registrable Securities held by all Company Investors or (ii) Company Investors who hold [•]</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6"/>
          <w:szCs w:val="16"/>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6"/>
          <w:szCs w:val="16"/>
          <w:u w:val="single" w:color="auto"/>
          <w:color w:val="auto"/>
        </w:rPr>
        <w:t>Section 2.2.1</w:t>
      </w:r>
      <w:r>
        <w:rPr>
          <w:rFonts w:ascii="Times New Roman" w:cs="Times New Roman" w:eastAsia="Times New Roman" w:hAnsi="Times New Roman"/>
          <w:sz w:val="16"/>
          <w:szCs w:val="16"/>
          <w:color w:val="auto"/>
        </w:rPr>
        <w:t xml:space="preserve"> is referred to herein as a “</w:t>
      </w:r>
      <w:r>
        <w:rPr>
          <w:rFonts w:ascii="Times New Roman" w:cs="Times New Roman" w:eastAsia="Times New Roman" w:hAnsi="Times New Roman"/>
          <w:sz w:val="16"/>
          <w:szCs w:val="16"/>
          <w:b w:val="1"/>
          <w:bCs w:val="1"/>
          <w:u w:val="single" w:color="auto"/>
          <w:color w:val="auto"/>
        </w:rPr>
        <w:t>Demand Registration</w:t>
      </w:r>
      <w:r>
        <w:rPr>
          <w:rFonts w:ascii="Times New Roman" w:cs="Times New Roman" w:eastAsia="Times New Roman" w:hAnsi="Times New Roman"/>
          <w:sz w:val="16"/>
          <w:szCs w:val="16"/>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6"/>
          <w:szCs w:val="16"/>
          <w:b w:val="1"/>
          <w:bCs w:val="1"/>
          <w:u w:val="single" w:color="auto"/>
          <w:color w:val="auto"/>
        </w:rPr>
        <w:t>Demanding Holder</w:t>
      </w:r>
      <w:r>
        <w:rPr>
          <w:rFonts w:ascii="Times New Roman" w:cs="Times New Roman" w:eastAsia="Times New Roman" w:hAnsi="Times New Roman"/>
          <w:sz w:val="16"/>
          <w:szCs w:val="16"/>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Times New Roman" w:cs="Times New Roman" w:eastAsia="Times New Roman" w:hAnsi="Times New Roman"/>
          <w:sz w:val="16"/>
          <w:szCs w:val="16"/>
          <w:u w:val="single" w:color="auto"/>
          <w:color w:val="auto"/>
        </w:rPr>
        <w:t>Section 2.2.4</w:t>
      </w:r>
      <w:r>
        <w:rPr>
          <w:rFonts w:ascii="Times New Roman" w:cs="Times New Roman" w:eastAsia="Times New Roman" w:hAnsi="Times New Roman"/>
          <w:sz w:val="16"/>
          <w:szCs w:val="16"/>
          <w:color w:val="auto"/>
        </w:rPr>
        <w:t xml:space="preserve"> and the provisos set forth in </w:t>
      </w:r>
      <w:r>
        <w:rPr>
          <w:rFonts w:ascii="Times New Roman" w:cs="Times New Roman" w:eastAsia="Times New Roman" w:hAnsi="Times New Roman"/>
          <w:sz w:val="16"/>
          <w:szCs w:val="16"/>
          <w:u w:val="single" w:color="auto"/>
          <w:color w:val="auto"/>
        </w:rPr>
        <w:t>Section 3.1.1</w:t>
      </w:r>
      <w:r>
        <w:rPr>
          <w:rFonts w:ascii="Times New Roman" w:cs="Times New Roman" w:eastAsia="Times New Roman" w:hAnsi="Times New Roman"/>
          <w:sz w:val="16"/>
          <w:szCs w:val="16"/>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(c) more than [•]</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6"/>
          <w:szCs w:val="16"/>
          <w:color w:val="auto"/>
        </w:rPr>
        <w:t xml:space="preserve"> Underwritten Demand Registrations in respect of</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ectPr>
          <w:pgSz w:w="11900" w:h="16838" w:orient="portrait"/>
          <w:cols w:equalWidth="0" w:num="1">
            <w:col w:w="9019"/>
          </w:cols>
          <w:pgMar w:left="1440" w:top="254" w:right="1440" w:bottom="1440" w:gutter="0" w:footer="0" w:header="0"/>
        </w:sectPr>
      </w:pPr>
    </w:p>
    <w:p>
      <w:pPr>
        <w:spacing w:after="0" w:line="1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8"/>
          <w:szCs w:val="8"/>
          <w:color w:val="auto"/>
        </w:rPr>
        <w:t>3</w:t>
      </w:r>
    </w:p>
    <w:p>
      <w:pPr>
        <w:spacing w:after="0" w:line="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8"/>
          <w:szCs w:val="8"/>
          <w:color w:val="auto"/>
        </w:rPr>
        <w:t>4</w:t>
      </w:r>
    </w:p>
    <w:p>
      <w:pPr>
        <w:spacing w:after="0" w:line="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8"/>
          <w:szCs w:val="8"/>
          <w:color w:val="auto"/>
        </w:rPr>
        <w:t>5</w:t>
      </w:r>
    </w:p>
    <w:p>
      <w:pPr>
        <w:spacing w:after="0" w:line="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8"/>
          <w:szCs w:val="8"/>
          <w:color w:val="auto"/>
        </w:rPr>
        <w:t>6</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Parties to discuss.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Parties to discuss.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TBD based on post-Closing pro forma capitalization.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Parties to discuss.</w:t>
      </w:r>
    </w:p>
    <w:p>
      <w:pPr>
        <w:spacing w:after="0" w:line="163" w:lineRule="exact"/>
        <w:rPr>
          <w:sz w:val="20"/>
          <w:szCs w:val="20"/>
          <w:color w:val="auto"/>
        </w:rPr>
      </w:pPr>
    </w:p>
    <w:p>
      <w:pPr>
        <w:sectPr>
          <w:pgSz w:w="11900" w:h="16838" w:orient="portrait"/>
          <w:cols w:equalWidth="0" w:num="2">
            <w:col w:w="960" w:space="140"/>
            <w:col w:w="7919"/>
          </w:cols>
          <w:pgMar w:left="1440" w:top="25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22225</wp:posOffset>
            </wp:positionV>
            <wp:extent cx="455295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412" w:name="page413"/>
    <w:bookmarkEnd w:id="41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 xml:space="preserve">all Registrable Securities held by the Company Investors, each of which will also count as an Underwritten Takedown of the Company Investors under </w:t>
      </w:r>
      <w:r>
        <w:rPr>
          <w:rFonts w:ascii="Times New Roman" w:cs="Times New Roman" w:eastAsia="Times New Roman" w:hAnsi="Times New Roman"/>
          <w:sz w:val="16"/>
          <w:szCs w:val="16"/>
          <w:u w:val="single" w:color="auto"/>
          <w:color w:val="auto"/>
        </w:rPr>
        <w:t>Section 2.1.5(c)(ii)</w:t>
      </w:r>
      <w:r>
        <w:rPr>
          <w:rFonts w:ascii="Times New Roman" w:cs="Times New Roman" w:eastAsia="Times New Roman" w:hAnsi="Times New Roman"/>
          <w:sz w:val="16"/>
          <w:szCs w:val="16"/>
          <w:color w:val="auto"/>
        </w:rPr>
        <w:t>; or (d) more than [•]</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6"/>
          <w:szCs w:val="16"/>
          <w:color w:val="auto"/>
        </w:rPr>
        <w:t xml:space="preserve"> Underwritten Demand Registrations in respect of all Registrable Securities held by Gemini Investors, each of which will also count as an Underwritten Takedown of Gemini Investors under </w:t>
      </w:r>
      <w:r>
        <w:rPr>
          <w:rFonts w:ascii="Times New Roman" w:cs="Times New Roman" w:eastAsia="Times New Roman" w:hAnsi="Times New Roman"/>
          <w:sz w:val="16"/>
          <w:szCs w:val="16"/>
          <w:u w:val="single" w:color="auto"/>
          <w:color w:val="auto"/>
        </w:rPr>
        <w:t>Section 2.1.5(c)(iii)</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 xml:space="preserve">2.2.2 </w:t>
      </w:r>
      <w:r>
        <w:rPr>
          <w:rFonts w:ascii="Times New Roman" w:cs="Times New Roman" w:eastAsia="Times New Roman" w:hAnsi="Times New Roman"/>
          <w:sz w:val="16"/>
          <w:szCs w:val="16"/>
          <w:u w:val="single" w:color="auto"/>
          <w:color w:val="auto"/>
        </w:rPr>
        <w:t>Effective Registration</w:t>
      </w:r>
      <w:r>
        <w:rPr>
          <w:rFonts w:ascii="Times New Roman" w:cs="Times New Roman" w:eastAsia="Times New Roman" w:hAnsi="Times New Roman"/>
          <w:sz w:val="16"/>
          <w:szCs w:val="16"/>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10" w:lineRule="exact"/>
        <w:rPr>
          <w:sz w:val="20"/>
          <w:szCs w:val="20"/>
          <w:color w:val="auto"/>
        </w:rPr>
      </w:pPr>
    </w:p>
    <w:p>
      <w:pPr>
        <w:jc w:val="both"/>
        <w:ind w:left="920" w:right="939" w:firstLine="765"/>
        <w:spacing w:after="0" w:line="249" w:lineRule="auto"/>
        <w:rPr>
          <w:sz w:val="20"/>
          <w:szCs w:val="20"/>
          <w:color w:val="auto"/>
        </w:rPr>
      </w:pPr>
      <w:r>
        <w:rPr>
          <w:rFonts w:ascii="Times New Roman" w:cs="Times New Roman" w:eastAsia="Times New Roman" w:hAnsi="Times New Roman"/>
          <w:sz w:val="16"/>
          <w:szCs w:val="16"/>
          <w:color w:val="auto"/>
        </w:rPr>
        <w:t xml:space="preserve">2.2.3 </w:t>
      </w:r>
      <w:r>
        <w:rPr>
          <w:rFonts w:ascii="Times New Roman" w:cs="Times New Roman" w:eastAsia="Times New Roman" w:hAnsi="Times New Roman"/>
          <w:sz w:val="16"/>
          <w:szCs w:val="16"/>
          <w:u w:val="single" w:color="auto"/>
          <w:color w:val="auto"/>
        </w:rPr>
        <w:t>Underwritten Offering</w:t>
      </w:r>
      <w:r>
        <w:rPr>
          <w:rFonts w:ascii="Times New Roman" w:cs="Times New Roman" w:eastAsia="Times New Roman" w:hAnsi="Times New Roman"/>
          <w:sz w:val="16"/>
          <w:szCs w:val="16"/>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6"/>
          <w:szCs w:val="16"/>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98" w:lineRule="exact"/>
        <w:rPr>
          <w:sz w:val="20"/>
          <w:szCs w:val="20"/>
          <w:color w:val="auto"/>
        </w:rPr>
      </w:pPr>
    </w:p>
    <w:p>
      <w:pPr>
        <w:jc w:val="both"/>
        <w:ind w:left="920" w:right="939" w:firstLine="765"/>
        <w:spacing w:after="0" w:line="251" w:lineRule="auto"/>
        <w:rPr>
          <w:sz w:val="20"/>
          <w:szCs w:val="20"/>
          <w:color w:val="auto"/>
        </w:rPr>
      </w:pPr>
      <w:r>
        <w:rPr>
          <w:rFonts w:ascii="Times New Roman" w:cs="Times New Roman" w:eastAsia="Times New Roman" w:hAnsi="Times New Roman"/>
          <w:sz w:val="16"/>
          <w:szCs w:val="16"/>
          <w:color w:val="auto"/>
        </w:rPr>
        <w:t xml:space="preserve">2.2.4 </w:t>
      </w:r>
      <w:r>
        <w:rPr>
          <w:rFonts w:ascii="Times New Roman" w:cs="Times New Roman" w:eastAsia="Times New Roman" w:hAnsi="Times New Roman"/>
          <w:sz w:val="16"/>
          <w:szCs w:val="16"/>
          <w:u w:val="single" w:color="auto"/>
          <w:color w:val="auto"/>
        </w:rPr>
        <w:t>Reduction of Offering</w:t>
      </w:r>
      <w:r>
        <w:rPr>
          <w:rFonts w:ascii="Times New Roman" w:cs="Times New Roman" w:eastAsia="Times New Roman" w:hAnsi="Times New Roman"/>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6"/>
          <w:szCs w:val="16"/>
          <w:b w:val="1"/>
          <w:bCs w:val="1"/>
          <w:u w:val="single" w:color="auto"/>
          <w:color w:val="auto"/>
        </w:rPr>
        <w:t>Maximum Number of Shares</w:t>
      </w:r>
      <w:r>
        <w:rPr>
          <w:rFonts w:ascii="Times New Roman" w:cs="Times New Roman" w:eastAsia="Times New Roman" w:hAnsi="Times New Roman"/>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6"/>
          <w:szCs w:val="16"/>
          <w:b w:val="1"/>
          <w:bCs w:val="1"/>
          <w:u w:val="single" w:color="auto"/>
          <w:color w:val="auto"/>
        </w:rPr>
        <w:t>Pro Rata</w:t>
      </w:r>
      <w:r>
        <w:rPr>
          <w:rFonts w:ascii="Times New Roman" w:cs="Times New Roman" w:eastAsia="Times New Roman" w:hAnsi="Times New Roman"/>
          <w:sz w:val="16"/>
          <w:szCs w:val="16"/>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07"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 xml:space="preserve">2.2.5 </w:t>
      </w:r>
      <w:r>
        <w:rPr>
          <w:rFonts w:ascii="Times New Roman" w:cs="Times New Roman" w:eastAsia="Times New Roman" w:hAnsi="Times New Roman"/>
          <w:sz w:val="16"/>
          <w:szCs w:val="16"/>
          <w:u w:val="single" w:color="auto"/>
          <w:color w:val="auto"/>
        </w:rPr>
        <w:t>Withdrawal</w:t>
      </w:r>
      <w:r>
        <w:rPr>
          <w:rFonts w:ascii="Times New Roman" w:cs="Times New Roman" w:eastAsia="Times New Roman" w:hAnsi="Times New Roman"/>
          <w:sz w:val="16"/>
          <w:szCs w:val="16"/>
          <w:color w:val="auto"/>
        </w:rPr>
        <w:t xml:space="preserve">. A Demanding Holder shall have the right to withdraw all or any portion of its Registrable Securities included in an Underwritten Offering pursuant to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6"/>
          <w:szCs w:val="16"/>
          <w:u w:val="single" w:color="auto"/>
          <w:color w:val="auto"/>
        </w:rPr>
        <w:t>Section 2.2.5</w:t>
      </w:r>
      <w:r>
        <w:rPr>
          <w:rFonts w:ascii="Times New Roman" w:cs="Times New Roman" w:eastAsia="Times New Roman" w:hAnsi="Times New Roman"/>
          <w:sz w:val="16"/>
          <w:szCs w:val="16"/>
          <w:color w:val="auto"/>
        </w:rPr>
        <w:t>.</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ectPr>
          <w:pgSz w:w="11900" w:h="16838" w:orient="portrait"/>
          <w:cols w:equalWidth="0" w:num="1">
            <w:col w:w="9019"/>
          </w:cols>
          <w:pgMar w:left="1440" w:top="254" w:right="1440" w:bottom="1440" w:gutter="0" w:footer="0" w:header="0"/>
        </w:sectPr>
      </w:pPr>
    </w:p>
    <w:p>
      <w:pPr>
        <w:spacing w:after="0" w:line="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8"/>
          <w:szCs w:val="8"/>
          <w:color w:val="auto"/>
        </w:rPr>
        <w:t>7</w:t>
      </w:r>
    </w:p>
    <w:p>
      <w:pPr>
        <w:spacing w:after="0" w:line="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8"/>
          <w:szCs w:val="8"/>
          <w:color w:val="auto"/>
        </w:rPr>
        <w:t>8</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Parties to discuss.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Amount TBD based on post-Closing market cap and pro forma capitalization table.</w:t>
      </w:r>
    </w:p>
    <w:p>
      <w:pPr>
        <w:spacing w:after="0" w:line="163" w:lineRule="exact"/>
        <w:rPr>
          <w:sz w:val="20"/>
          <w:szCs w:val="20"/>
          <w:color w:val="auto"/>
        </w:rPr>
      </w:pPr>
    </w:p>
    <w:p>
      <w:pPr>
        <w:sectPr>
          <w:pgSz w:w="11900" w:h="16838" w:orient="portrait"/>
          <w:cols w:equalWidth="0" w:num="2">
            <w:col w:w="960" w:space="140"/>
            <w:col w:w="7919"/>
          </w:cols>
          <w:pgMar w:left="1440" w:top="25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22225</wp:posOffset>
            </wp:positionV>
            <wp:extent cx="455295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413" w:name="page414"/>
    <w:bookmarkEnd w:id="41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auto"/>
        </w:rPr>
        <w:t>Piggy-Back Rights</w:t>
      </w:r>
      <w:r>
        <w:rPr>
          <w:rFonts w:ascii="Times New Roman" w:cs="Times New Roman" w:eastAsia="Times New Roman" w:hAnsi="Times New Roman"/>
          <w:sz w:val="16"/>
          <w:szCs w:val="16"/>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other than a Registration Statement (i) filed in connection with any employee stock option or other benefit plan,</w:t>
      </w:r>
    </w:p>
    <w:p>
      <w:pPr>
        <w:jc w:val="both"/>
        <w:ind w:left="920" w:right="939" w:hanging="1"/>
        <w:spacing w:after="0" w:line="266" w:lineRule="auto"/>
        <w:tabs>
          <w:tab w:leader="none" w:pos="1173" w:val="left"/>
        </w:tabs>
        <w:numPr>
          <w:ilvl w:val="0"/>
          <w:numId w:val="3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jc w:val="both"/>
        <w:ind w:left="920" w:right="939" w:hanging="1"/>
        <w:spacing w:after="0" w:line="268" w:lineRule="auto"/>
        <w:tabs>
          <w:tab w:leader="none" w:pos="1171" w:val="left"/>
        </w:tabs>
        <w:numPr>
          <w:ilvl w:val="0"/>
          <w:numId w:val="3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5"/>
          <w:szCs w:val="15"/>
          <w:b w:val="1"/>
          <w:bCs w:val="1"/>
          <w:u w:val="single" w:color="auto"/>
          <w:color w:val="auto"/>
        </w:rPr>
        <w:t>Piggy-Back Registration</w:t>
      </w:r>
      <w:r>
        <w:rPr>
          <w:rFonts w:ascii="Times New Roman" w:cs="Times New Roman" w:eastAsia="Times New Roman" w:hAnsi="Times New Roman"/>
          <w:sz w:val="15"/>
          <w:szCs w:val="15"/>
          <w:color w:val="auto"/>
        </w:rPr>
        <w:t xml:space="preserve">”). The rights provided under this </w:t>
      </w:r>
      <w:r>
        <w:rPr>
          <w:rFonts w:ascii="Times New Roman" w:cs="Times New Roman" w:eastAsia="Times New Roman" w:hAnsi="Times New Roman"/>
          <w:sz w:val="15"/>
          <w:szCs w:val="15"/>
          <w:u w:val="single" w:color="auto"/>
          <w:color w:val="auto"/>
        </w:rPr>
        <w:t>Section 2.3.1</w:t>
      </w:r>
      <w:r>
        <w:rPr>
          <w:rFonts w:ascii="Times New Roman" w:cs="Times New Roman" w:eastAsia="Times New Roman" w:hAnsi="Times New Roman"/>
          <w:sz w:val="15"/>
          <w:szCs w:val="15"/>
          <w:color w:val="auto"/>
        </w:rPr>
        <w:t xml:space="preserve"> shall not be available to any Investor at such time as (i) there is an effective Resale Shelf Registration Statement available for the resale of the Registerable Securities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95" w:lineRule="exact"/>
        <w:rPr>
          <w:sz w:val="20"/>
          <w:szCs w:val="20"/>
          <w:color w:val="auto"/>
        </w:rPr>
      </w:pPr>
    </w:p>
    <w:p>
      <w:pPr>
        <w:jc w:val="both"/>
        <w:ind w:left="920" w:right="939" w:firstLine="765"/>
        <w:spacing w:after="0" w:line="254" w:lineRule="auto"/>
        <w:rPr>
          <w:sz w:val="20"/>
          <w:szCs w:val="20"/>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u w:val="single" w:color="auto"/>
          <w:color w:val="auto"/>
        </w:rPr>
        <w:t>Reduction of Offering</w:t>
      </w:r>
      <w:r>
        <w:rPr>
          <w:rFonts w:ascii="Times New Roman" w:cs="Times New Roman" w:eastAsia="Times New Roman" w:hAnsi="Times New Roman"/>
          <w:sz w:val="16"/>
          <w:szCs w:val="16"/>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exceeds the Maximum Number of Shares, then the Company shall include in any such registration:</w:t>
      </w:r>
    </w:p>
    <w:p>
      <w:pPr>
        <w:spacing w:after="0" w:line="95" w:lineRule="exact"/>
        <w:rPr>
          <w:sz w:val="20"/>
          <w:szCs w:val="20"/>
          <w:color w:val="auto"/>
        </w:rPr>
      </w:pPr>
    </w:p>
    <w:p>
      <w:pPr>
        <w:jc w:val="both"/>
        <w:ind w:left="920" w:right="939" w:firstLine="955"/>
        <w:spacing w:after="0" w:line="272" w:lineRule="auto"/>
        <w:tabs>
          <w:tab w:leader="none" w:pos="2102" w:val="left"/>
        </w:tabs>
        <w:numPr>
          <w:ilvl w:val="0"/>
          <w:numId w:val="3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92" w:lineRule="exact"/>
        <w:rPr>
          <w:rFonts w:ascii="Times New Roman" w:cs="Times New Roman" w:eastAsia="Times New Roman" w:hAnsi="Times New Roman"/>
          <w:sz w:val="15"/>
          <w:szCs w:val="15"/>
          <w:color w:val="auto"/>
        </w:rPr>
      </w:pPr>
    </w:p>
    <w:p>
      <w:pPr>
        <w:jc w:val="both"/>
        <w:ind w:left="920" w:right="939" w:firstLine="955"/>
        <w:spacing w:after="0" w:line="270" w:lineRule="auto"/>
        <w:tabs>
          <w:tab w:leader="none" w:pos="2109" w:val="left"/>
        </w:tabs>
        <w:numPr>
          <w:ilvl w:val="0"/>
          <w:numId w:val="3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4" w:name="page415"/>
    <w:bookmarkEnd w:id="41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 xml:space="preserve">2.3.3 </w:t>
      </w:r>
      <w:r>
        <w:rPr>
          <w:rFonts w:ascii="Times New Roman" w:cs="Times New Roman" w:eastAsia="Times New Roman" w:hAnsi="Times New Roman"/>
          <w:sz w:val="16"/>
          <w:szCs w:val="16"/>
          <w:u w:val="single" w:color="auto"/>
          <w:color w:val="auto"/>
        </w:rPr>
        <w:t>Withdrawal</w:t>
      </w:r>
      <w:r>
        <w:rPr>
          <w:rFonts w:ascii="Times New Roman" w:cs="Times New Roman" w:eastAsia="Times New Roman" w:hAnsi="Times New Roman"/>
          <w:sz w:val="16"/>
          <w:szCs w:val="16"/>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3. REGISTRATION PROCEDURES.</w:t>
      </w:r>
    </w:p>
    <w:p>
      <w:pPr>
        <w:spacing w:after="0" w:line="139"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Filings; Information</w:t>
      </w:r>
      <w:r>
        <w:rPr>
          <w:rFonts w:ascii="Times New Roman" w:cs="Times New Roman" w:eastAsia="Times New Roman" w:hAnsi="Times New Roman"/>
          <w:sz w:val="16"/>
          <w:szCs w:val="16"/>
          <w:color w:val="auto"/>
        </w:rPr>
        <w:t xml:space="preserve">. Whenever the Company is required to effect the registration of any Registrable Securities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90" w:lineRule="exact"/>
        <w:rPr>
          <w:sz w:val="20"/>
          <w:szCs w:val="20"/>
          <w:color w:val="auto"/>
        </w:rPr>
      </w:pPr>
    </w:p>
    <w:p>
      <w:pPr>
        <w:jc w:val="both"/>
        <w:ind w:left="920" w:right="939" w:firstLine="765"/>
        <w:spacing w:after="0" w:line="251"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Filing Registration Statement</w:t>
      </w:r>
      <w:r>
        <w:rPr>
          <w:rFonts w:ascii="Times New Roman" w:cs="Times New Roman" w:eastAsia="Times New Roman" w:hAnsi="Times New Roman"/>
          <w:sz w:val="16"/>
          <w:szCs w:val="16"/>
          <w:color w:val="auto"/>
        </w:rPr>
        <w:t xml:space="preserve">. The Company shall use its reasonable best efforts to, as expeditiously as possible after receipt of a request for a Demand Registration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Times New Roman" w:cs="Times New Roman" w:eastAsia="Times New Roman" w:hAnsi="Times New Roman"/>
          <w:sz w:val="16"/>
          <w:szCs w:val="16"/>
          <w:b w:val="1"/>
          <w:bCs w:val="1"/>
          <w:u w:val="single" w:color="auto"/>
          <w:color w:val="auto"/>
        </w:rPr>
        <w:t>Company Board</w:t>
      </w:r>
      <w:r>
        <w:rPr>
          <w:rFonts w:ascii="Times New Roman" w:cs="Times New Roman" w:eastAsia="Times New Roman" w:hAnsi="Times New Roman"/>
          <w:sz w:val="16"/>
          <w:szCs w:val="16"/>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w:t>
      </w:r>
    </w:p>
    <w:p>
      <w:pPr>
        <w:spacing w:after="0" w:line="1" w:lineRule="exact"/>
        <w:rPr>
          <w:sz w:val="20"/>
          <w:szCs w:val="20"/>
          <w:color w:val="auto"/>
        </w:rPr>
      </w:pPr>
    </w:p>
    <w:p>
      <w:pPr>
        <w:ind w:left="920" w:right="939" w:hanging="1"/>
        <w:spacing w:after="0" w:line="258" w:lineRule="auto"/>
        <w:tabs>
          <w:tab w:leader="none" w:pos="1249"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consecutive calendar days, or more than one hundred twenty (120) total calendar days in any 365-day period.</w:t>
      </w:r>
    </w:p>
    <w:p>
      <w:pPr>
        <w:spacing w:after="0" w:line="102"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Copies</w:t>
      </w:r>
      <w:r>
        <w:rPr>
          <w:rFonts w:ascii="Times New Roman" w:cs="Times New Roman" w:eastAsia="Times New Roman" w:hAnsi="Times New Roman"/>
          <w:sz w:val="16"/>
          <w:szCs w:val="16"/>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09" w:lineRule="exact"/>
        <w:rPr>
          <w:sz w:val="20"/>
          <w:szCs w:val="20"/>
          <w:color w:val="auto"/>
        </w:rPr>
      </w:pPr>
    </w:p>
    <w:p>
      <w:pPr>
        <w:jc w:val="both"/>
        <w:ind w:left="920" w:right="939" w:firstLine="765"/>
        <w:spacing w:after="0" w:line="254"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Amendments and Supplements</w:t>
      </w:r>
      <w:r>
        <w:rPr>
          <w:rFonts w:ascii="Times New Roman" w:cs="Times New Roman" w:eastAsia="Times New Roman" w:hAnsi="Times New Roman"/>
          <w:sz w:val="16"/>
          <w:szCs w:val="16"/>
          <w:color w:val="auto"/>
        </w:rPr>
        <w:t>. Until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920" w:right="939" w:hanging="1"/>
        <w:spacing w:after="0" w:line="251" w:lineRule="auto"/>
        <w:tabs>
          <w:tab w:leader="none" w:pos="1181"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Times New Roman" w:cs="Times New Roman" w:eastAsia="Times New Roman" w:hAnsi="Times New Roman"/>
          <w:sz w:val="16"/>
          <w:szCs w:val="16"/>
          <w:b w:val="1"/>
          <w:bCs w:val="1"/>
          <w:u w:val="single" w:color="auto"/>
          <w:color w:val="auto"/>
        </w:rPr>
        <w:t>Effectiveness Period</w:t>
      </w:r>
      <w:r>
        <w:rPr>
          <w:rFonts w:ascii="Times New Roman" w:cs="Times New Roman" w:eastAsia="Times New Roman" w:hAnsi="Times New Roman"/>
          <w:sz w:val="16"/>
          <w:szCs w:val="16"/>
          <w:color w:val="auto"/>
        </w:rPr>
        <w:t>”).</w:t>
      </w:r>
    </w:p>
    <w:p>
      <w:pPr>
        <w:spacing w:after="0" w:line="95"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Notification</w:t>
      </w:r>
      <w:r>
        <w:rPr>
          <w:rFonts w:ascii="Times New Roman" w:cs="Times New Roman" w:eastAsia="Times New Roman" w:hAnsi="Times New Roman"/>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5" w:name="page416"/>
    <w:bookmarkEnd w:id="41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07"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Securities Laws Compliance</w:t>
      </w:r>
      <w:r>
        <w:rPr>
          <w:rFonts w:ascii="Times New Roman" w:cs="Times New Roman" w:eastAsia="Times New Roman" w:hAnsi="Times New Roman"/>
          <w:sz w:val="16"/>
          <w:szCs w:val="16"/>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10"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Agreements for Disposition</w:t>
      </w:r>
      <w:r>
        <w:rPr>
          <w:rFonts w:ascii="Times New Roman" w:cs="Times New Roman" w:eastAsia="Times New Roman" w:hAnsi="Times New Roman"/>
          <w:sz w:val="16"/>
          <w:szCs w:val="16"/>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95"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Comfort Letter</w:t>
      </w:r>
      <w:r>
        <w:rPr>
          <w:rFonts w:ascii="Times New Roman" w:cs="Times New Roman" w:eastAsia="Times New Roman" w:hAnsi="Times New Roman"/>
          <w:sz w:val="16"/>
          <w:szCs w:val="16"/>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02" w:lineRule="exact"/>
        <w:rPr>
          <w:sz w:val="20"/>
          <w:szCs w:val="20"/>
          <w:color w:val="auto"/>
        </w:rPr>
      </w:pPr>
    </w:p>
    <w:p>
      <w:pPr>
        <w:jc w:val="both"/>
        <w:ind w:left="920" w:right="939" w:firstLine="765"/>
        <w:spacing w:after="0" w:line="254" w:lineRule="auto"/>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Opinions</w:t>
      </w:r>
      <w:r>
        <w:rPr>
          <w:rFonts w:ascii="Times New Roman" w:cs="Times New Roman" w:eastAsia="Times New Roman" w:hAnsi="Times New Roman"/>
          <w:sz w:val="16"/>
          <w:szCs w:val="16"/>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07"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100"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 xml:space="preserve">3.1.10 </w:t>
      </w:r>
      <w:r>
        <w:rPr>
          <w:rFonts w:ascii="Times New Roman" w:cs="Times New Roman" w:eastAsia="Times New Roman" w:hAnsi="Times New Roman"/>
          <w:sz w:val="16"/>
          <w:szCs w:val="16"/>
          <w:u w:val="single" w:color="auto"/>
          <w:color w:val="auto"/>
        </w:rPr>
        <w:t>Records</w:t>
      </w:r>
      <w:r>
        <w:rPr>
          <w:rFonts w:ascii="Times New Roman" w:cs="Times New Roman" w:eastAsia="Times New Roman" w:hAnsi="Times New Roman"/>
          <w:sz w:val="16"/>
          <w:szCs w:val="16"/>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6" w:name="page417"/>
    <w:bookmarkEnd w:id="41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5"/>
        <w:spacing w:after="0" w:line="259" w:lineRule="auto"/>
        <w:rPr>
          <w:sz w:val="20"/>
          <w:szCs w:val="20"/>
          <w:color w:val="auto"/>
        </w:rPr>
      </w:pPr>
      <w:r>
        <w:rPr>
          <w:rFonts w:ascii="Times New Roman" w:cs="Times New Roman" w:eastAsia="Times New Roman" w:hAnsi="Times New Roman"/>
          <w:sz w:val="16"/>
          <w:szCs w:val="16"/>
          <w:color w:val="auto"/>
        </w:rPr>
        <w:t xml:space="preserve">3.1.11 </w:t>
      </w:r>
      <w:r>
        <w:rPr>
          <w:rFonts w:ascii="Times New Roman" w:cs="Times New Roman" w:eastAsia="Times New Roman" w:hAnsi="Times New Roman"/>
          <w:sz w:val="16"/>
          <w:szCs w:val="16"/>
          <w:u w:val="single" w:color="auto"/>
          <w:color w:val="auto"/>
        </w:rPr>
        <w:t>Earnings Statement</w:t>
      </w:r>
      <w:r>
        <w:rPr>
          <w:rFonts w:ascii="Times New Roman" w:cs="Times New Roman" w:eastAsia="Times New Roman" w:hAnsi="Times New Roman"/>
          <w:sz w:val="16"/>
          <w:szCs w:val="16"/>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02"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 xml:space="preserve">3.1.12 </w:t>
      </w: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96"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Obligation to Suspend Distribution</w:t>
      </w:r>
      <w:r>
        <w:rPr>
          <w:rFonts w:ascii="Times New Roman" w:cs="Times New Roman" w:eastAsia="Times New Roman" w:hAnsi="Times New Roman"/>
          <w:sz w:val="16"/>
          <w:szCs w:val="16"/>
          <w:color w:val="auto"/>
        </w:rPr>
        <w:t xml:space="preserve">. Upon receipt of any notice from the Company of the happening of any event of the kind described in </w:t>
      </w:r>
      <w:r>
        <w:rPr>
          <w:rFonts w:ascii="Times New Roman" w:cs="Times New Roman" w:eastAsia="Times New Roman" w:hAnsi="Times New Roman"/>
          <w:sz w:val="16"/>
          <w:szCs w:val="16"/>
          <w:u w:val="single" w:color="auto"/>
          <w:color w:val="auto"/>
        </w:rPr>
        <w:t>Section 3.1.4(iv)</w:t>
      </w:r>
      <w:r>
        <w:rPr>
          <w:rFonts w:ascii="Times New Roman" w:cs="Times New Roman" w:eastAsia="Times New Roman" w:hAnsi="Times New Roman"/>
          <w:sz w:val="16"/>
          <w:szCs w:val="16"/>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6"/>
          <w:szCs w:val="16"/>
          <w:u w:val="single" w:color="auto"/>
          <w:color w:val="auto"/>
        </w:rPr>
        <w:t>Section 3.1.4(iv)</w:t>
      </w:r>
      <w:r>
        <w:rPr>
          <w:rFonts w:ascii="Times New Roman" w:cs="Times New Roman" w:eastAsia="Times New Roman" w:hAnsi="Times New Roman"/>
          <w:sz w:val="16"/>
          <w:szCs w:val="16"/>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98"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any Demand Registration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any Underwritten Takedown pursuant to </w:t>
      </w:r>
      <w:r>
        <w:rPr>
          <w:rFonts w:ascii="Times New Roman" w:cs="Times New Roman" w:eastAsia="Times New Roman" w:hAnsi="Times New Roman"/>
          <w:sz w:val="16"/>
          <w:szCs w:val="16"/>
          <w:u w:val="single" w:color="auto"/>
          <w:color w:val="auto"/>
        </w:rPr>
        <w:t>Section 2.1.5(a)(i)</w:t>
      </w:r>
      <w:r>
        <w:rPr>
          <w:rFonts w:ascii="Times New Roman" w:cs="Times New Roman" w:eastAsia="Times New Roman" w:hAnsi="Times New Roman"/>
          <w:sz w:val="16"/>
          <w:szCs w:val="16"/>
          <w:color w:val="auto"/>
        </w:rPr>
        <w:t xml:space="preserve">, any Piggy-Back Registration pursuant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and any registration on Form S-3 effected pursuant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6"/>
          <w:szCs w:val="16"/>
          <w:u w:val="single" w:color="auto"/>
          <w:color w:val="auto"/>
        </w:rPr>
        <w:t>Section 3.1.10</w:t>
      </w:r>
      <w:r>
        <w:rPr>
          <w:rFonts w:ascii="Times New Roman" w:cs="Times New Roman" w:eastAsia="Times New Roman" w:hAnsi="Times New Roman"/>
          <w:sz w:val="16"/>
          <w:szCs w:val="16"/>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10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4. INDEMNIFICATION AND CONTRIBUTION.</w:t>
      </w:r>
    </w:p>
    <w:p>
      <w:pPr>
        <w:spacing w:after="0" w:line="12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Indemnification by the Company</w:t>
      </w:r>
      <w:r>
        <w:rPr>
          <w:rFonts w:ascii="Times New Roman" w:cs="Times New Roman" w:eastAsia="Times New Roman" w:hAnsi="Times New Roman"/>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6"/>
          <w:szCs w:val="16"/>
          <w:b w:val="1"/>
          <w:bCs w:val="1"/>
          <w:u w:val="single" w:color="auto"/>
          <w:color w:val="auto"/>
        </w:rPr>
        <w:t>Investor Indemnified Party</w:t>
      </w:r>
      <w:r>
        <w:rPr>
          <w:rFonts w:ascii="Times New Roman" w:cs="Times New Roman" w:eastAsia="Times New Roman" w:hAnsi="Times New Roman"/>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7" w:name="page418"/>
    <w:bookmarkEnd w:id="41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14" w:lineRule="exact"/>
        <w:rPr>
          <w:sz w:val="20"/>
          <w:szCs w:val="20"/>
          <w:color w:val="auto"/>
        </w:rPr>
      </w:pPr>
    </w:p>
    <w:p>
      <w:pPr>
        <w:jc w:val="both"/>
        <w:ind w:left="920" w:right="939" w:firstLine="382"/>
        <w:spacing w:after="0" w:line="250"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Indemnification by Holders of Registrable Securities</w:t>
      </w:r>
      <w:r>
        <w:rPr>
          <w:rFonts w:ascii="Times New Roman" w:cs="Times New Roman" w:eastAsia="Times New Roman" w:hAnsi="Times New Roman"/>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122" w:lineRule="exact"/>
        <w:rPr>
          <w:sz w:val="20"/>
          <w:szCs w:val="20"/>
          <w:color w:val="auto"/>
        </w:rPr>
      </w:pPr>
    </w:p>
    <w:p>
      <w:pPr>
        <w:jc w:val="both"/>
        <w:ind w:left="920" w:right="939" w:firstLine="382"/>
        <w:spacing w:after="0" w:line="250"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Conduct of Indemnification Proceedings</w:t>
      </w:r>
      <w:r>
        <w:rPr>
          <w:rFonts w:ascii="Times New Roman" w:cs="Times New Roman" w:eastAsia="Times New Roman" w:hAnsi="Times New Roman"/>
          <w:sz w:val="16"/>
          <w:szCs w:val="16"/>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6"/>
          <w:szCs w:val="16"/>
          <w:u w:val="single" w:color="auto"/>
          <w:color w:val="auto"/>
        </w:rPr>
        <w:t>Sections 4.1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4.2</w:t>
      </w:r>
      <w:r>
        <w:rPr>
          <w:rFonts w:ascii="Times New Roman" w:cs="Times New Roman" w:eastAsia="Times New Roman" w:hAnsi="Times New Roman"/>
          <w:sz w:val="16"/>
          <w:szCs w:val="16"/>
          <w:color w:val="auto"/>
        </w:rPr>
        <w:t>, such person (the “</w:t>
      </w:r>
      <w:r>
        <w:rPr>
          <w:rFonts w:ascii="Times New Roman" w:cs="Times New Roman" w:eastAsia="Times New Roman" w:hAnsi="Times New Roman"/>
          <w:sz w:val="16"/>
          <w:szCs w:val="16"/>
          <w:b w:val="1"/>
          <w:bCs w:val="1"/>
          <w:u w:val="single" w:color="auto"/>
          <w:color w:val="auto"/>
        </w:rPr>
        <w:t>Indemnified Party</w:t>
      </w:r>
      <w:r>
        <w:rPr>
          <w:rFonts w:ascii="Times New Roman" w:cs="Times New Roman" w:eastAsia="Times New Roman" w:hAnsi="Times New Roman"/>
          <w:sz w:val="16"/>
          <w:szCs w:val="16"/>
          <w:color w:val="auto"/>
        </w:rPr>
        <w:t>”) shall, if a claim in respect thereof is to be made against any other person for indemnification hereunder, notify such other person (the “</w:t>
      </w:r>
      <w:r>
        <w:rPr>
          <w:rFonts w:ascii="Times New Roman" w:cs="Times New Roman" w:eastAsia="Times New Roman" w:hAnsi="Times New Roman"/>
          <w:sz w:val="16"/>
          <w:szCs w:val="16"/>
          <w:b w:val="1"/>
          <w:bCs w:val="1"/>
          <w:u w:val="single" w:color="auto"/>
          <w:color w:val="auto"/>
        </w:rPr>
        <w:t>Indemnifying Party</w:t>
      </w:r>
      <w:r>
        <w:rPr>
          <w:rFonts w:ascii="Times New Roman" w:cs="Times New Roman" w:eastAsia="Times New Roman" w:hAnsi="Times New Roman"/>
          <w:sz w:val="16"/>
          <w:szCs w:val="16"/>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8" w:name="page419"/>
    <w:bookmarkEnd w:id="41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765"/>
        <w:spacing w:after="0" w:line="252" w:lineRule="auto"/>
        <w:rPr>
          <w:sz w:val="20"/>
          <w:szCs w:val="20"/>
          <w:color w:val="auto"/>
        </w:rPr>
      </w:pPr>
      <w:r>
        <w:rPr>
          <w:rFonts w:ascii="Times New Roman" w:cs="Times New Roman" w:eastAsia="Times New Roman" w:hAnsi="Times New Roman"/>
          <w:sz w:val="16"/>
          <w:szCs w:val="16"/>
          <w:color w:val="auto"/>
        </w:rPr>
        <w:t xml:space="preserve">4.4.1 If the indemnification provided for in the foregoing </w:t>
      </w:r>
      <w:r>
        <w:rPr>
          <w:rFonts w:ascii="Times New Roman" w:cs="Times New Roman" w:eastAsia="Times New Roman" w:hAnsi="Times New Roman"/>
          <w:sz w:val="16"/>
          <w:szCs w:val="16"/>
          <w:u w:val="single" w:color="auto"/>
          <w:color w:val="auto"/>
        </w:rPr>
        <w:t>Sections 4.1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4.3</w:t>
      </w:r>
      <w:r>
        <w:rPr>
          <w:rFonts w:ascii="Times New Roman" w:cs="Times New Roman" w:eastAsia="Times New Roman" w:hAnsi="Times New Roman"/>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98" w:lineRule="exact"/>
        <w:rPr>
          <w:sz w:val="20"/>
          <w:szCs w:val="20"/>
          <w:color w:val="auto"/>
        </w:rPr>
      </w:pPr>
    </w:p>
    <w:p>
      <w:pPr>
        <w:jc w:val="both"/>
        <w:ind w:left="920" w:right="939" w:firstLine="765"/>
        <w:spacing w:after="0" w:line="265" w:lineRule="auto"/>
        <w:rPr>
          <w:sz w:val="20"/>
          <w:szCs w:val="20"/>
          <w:color w:val="auto"/>
        </w:rPr>
      </w:pPr>
      <w:r>
        <w:rPr>
          <w:rFonts w:ascii="Times New Roman" w:cs="Times New Roman" w:eastAsia="Times New Roman" w:hAnsi="Times New Roman"/>
          <w:sz w:val="16"/>
          <w:szCs w:val="16"/>
          <w:color w:val="auto"/>
        </w:rPr>
        <w:t xml:space="preserve">4.4.2 The parties hereto agree that it would not be just and equitable if contribution pursuant to this </w:t>
      </w:r>
      <w:r>
        <w:rPr>
          <w:rFonts w:ascii="Times New Roman" w:cs="Times New Roman" w:eastAsia="Times New Roman" w:hAnsi="Times New Roman"/>
          <w:sz w:val="16"/>
          <w:szCs w:val="16"/>
          <w:u w:val="single" w:color="auto"/>
          <w:color w:val="auto"/>
        </w:rPr>
        <w:t>Section 4.4.2</w:t>
      </w:r>
      <w:r>
        <w:rPr>
          <w:rFonts w:ascii="Times New Roman" w:cs="Times New Roman" w:eastAsia="Times New Roman" w:hAnsi="Times New Roman"/>
          <w:sz w:val="16"/>
          <w:szCs w:val="16"/>
          <w:color w:val="auto"/>
        </w:rPr>
        <w:t xml:space="preserve"> were determined by pro rata allocation or by any other method of allocation which does not take account of the equitable considerations referred to in the immediately preceding </w:t>
      </w:r>
      <w:r>
        <w:rPr>
          <w:rFonts w:ascii="Times New Roman" w:cs="Times New Roman" w:eastAsia="Times New Roman" w:hAnsi="Times New Roman"/>
          <w:sz w:val="16"/>
          <w:szCs w:val="16"/>
          <w:u w:val="single" w:color="auto"/>
          <w:color w:val="auto"/>
        </w:rPr>
        <w:t>Section 4.4.1</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jc w:val="both"/>
        <w:ind w:left="920" w:right="939" w:firstLine="765"/>
        <w:spacing w:after="0" w:line="253" w:lineRule="auto"/>
        <w:rPr>
          <w:sz w:val="20"/>
          <w:szCs w:val="20"/>
          <w:color w:val="auto"/>
        </w:rPr>
      </w:pPr>
      <w:r>
        <w:rPr>
          <w:rFonts w:ascii="Times New Roman" w:cs="Times New Roman" w:eastAsia="Times New Roman" w:hAnsi="Times New Roman"/>
          <w:sz w:val="16"/>
          <w:szCs w:val="16"/>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5. UNDERWRITING AND DISTRIBUTION.</w:t>
      </w:r>
    </w:p>
    <w:p>
      <w:pPr>
        <w:spacing w:after="0" w:line="12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6. LOCK-UP AGREEMENTS</w:t>
      </w:r>
    </w:p>
    <w:p>
      <w:pPr>
        <w:spacing w:after="0" w:line="139"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Investor Lock-Up</w:t>
      </w:r>
      <w:r>
        <w:rPr>
          <w:rFonts w:ascii="Times New Roman" w:cs="Times New Roman" w:eastAsia="Times New Roman" w:hAnsi="Times New Roman"/>
          <w:sz w:val="16"/>
          <w:szCs w:val="16"/>
          <w:color w:val="auto"/>
        </w:rPr>
        <w:t>.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9" w:name="page420"/>
    <w:bookmarkEnd w:id="41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 xml:space="preserve">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7. MISCELLANEOUS.</w:t>
      </w:r>
    </w:p>
    <w:p>
      <w:pPr>
        <w:spacing w:after="0" w:line="139"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Other Registration Rights and Arrangements</w:t>
      </w:r>
      <w:r>
        <w:rPr>
          <w:rFonts w:ascii="Times New Roman" w:cs="Times New Roman" w:eastAsia="Times New Roman" w:hAnsi="Times New Roman"/>
          <w:sz w:val="16"/>
          <w:szCs w:val="16"/>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95"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Assignment; No Third Party Beneficiaries</w:t>
      </w:r>
      <w:r>
        <w:rPr>
          <w:rFonts w:ascii="Times New Roman" w:cs="Times New Roman" w:eastAsia="Times New Roman" w:hAnsi="Times New Roman"/>
          <w:sz w:val="16"/>
          <w:szCs w:val="16"/>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6"/>
          <w:szCs w:val="16"/>
          <w:b w:val="1"/>
          <w:bCs w:val="1"/>
          <w:u w:val="single" w:color="auto"/>
          <w:color w:val="auto"/>
        </w:rPr>
        <w:t>Addendum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and the transferor shall have delivered to the Company no later than thirty (30) days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12"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Amendments and Modifications</w:t>
      </w:r>
      <w:r>
        <w:rPr>
          <w:rFonts w:ascii="Times New Roman" w:cs="Times New Roman" w:eastAsia="Times New Roman" w:hAnsi="Times New Roman"/>
          <w:sz w:val="16"/>
          <w:szCs w:val="16"/>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13"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920" w:right="939" w:hanging="1"/>
        <w:spacing w:after="0" w:line="250" w:lineRule="auto"/>
        <w:tabs>
          <w:tab w:leader="none" w:pos="1181"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shall survive such termination.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0" w:name="page421"/>
    <w:bookmarkEnd w:id="42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demands, requests, consents, approvals or other communications (collectively, “</w:t>
      </w: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300 One Kendall Square,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w:t>
      </w:r>
    </w:p>
    <w:p>
      <w:pPr>
        <w:ind w:left="1300"/>
        <w:spacing w:after="0"/>
        <w:rPr>
          <w:sz w:val="20"/>
          <w:szCs w:val="20"/>
          <w:color w:val="auto"/>
        </w:rPr>
      </w:pPr>
      <w:r>
        <w:rPr>
          <w:rFonts w:ascii="Times New Roman" w:cs="Times New Roman" w:eastAsia="Times New Roman" w:hAnsi="Times New Roman"/>
          <w:sz w:val="16"/>
          <w:szCs w:val="16"/>
          <w:color w:val="auto"/>
        </w:rPr>
        <w:t>Cambridge, MA 02139</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Attn: Jason Meyenburg</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100 Northern Avenue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Boston, MA 02210</w:t>
      </w:r>
    </w:p>
    <w:p>
      <w:pPr>
        <w:spacing w:after="0" w:line="7"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16"/>
          <w:szCs w:val="16"/>
          <w:color w:val="auto"/>
        </w:rPr>
        <w:t>Attn:</w:t>
        <w:tab/>
        <w:t>Mitchell S. Bloom</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Jocelyn M. Arel</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Daniel J. Espinoza</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  mbloom@goodwinlaw.com</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jarel@goodwinlaw.com</w:t>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despinoza@goodwinlaw.com</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If to Company:</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Attn: [________________]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Facsimile: [____________]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 [_______________]</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Attn: [________________]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Facsimile: [____________]</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 [_______________]</w:t>
      </w:r>
    </w:p>
    <w:p>
      <w:pPr>
        <w:spacing w:after="0" w:line="122"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If to an Investor, to the address set forth under such Investor’s signature to this Agreement or to such Investor’s address as found in the Company’s books and records.</w:t>
      </w:r>
    </w:p>
    <w:p>
      <w:pPr>
        <w:spacing w:after="0" w:line="85"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90"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multiple counterparts, each of which shall be deemed an original, and all of which taken together shall constitute one and the same instrument.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1" w:name="page422"/>
    <w:bookmarkEnd w:id="42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0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2" w:name="page423"/>
    <w:bookmarkEnd w:id="42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IN WITNESS WHEREOF, the parties have caused this Registration Rights Agreement to be executed and delivered by their duly authorized representatives as of the date first written above.</w:t>
      </w:r>
    </w:p>
    <w:p>
      <w:pPr>
        <w:spacing w:after="0" w:line="1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u w:val="single" w:color="auto"/>
          <w:color w:val="auto"/>
        </w:rPr>
        <w:t>FS DEVELOPMENT CORP.</w:t>
      </w:r>
    </w:p>
    <w:p>
      <w:pPr>
        <w:spacing w:after="0" w:line="6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38100</wp:posOffset>
            </wp:positionV>
            <wp:extent cx="178308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783080" cy="7620"/>
                    </a:xfrm>
                    <a:prstGeom prst="rect">
                      <a:avLst/>
                    </a:prstGeom>
                    <a:noFill/>
                  </pic:spPr>
                </pic:pic>
              </a:graphicData>
            </a:graphic>
          </wp:anchor>
        </w:drawing>
      </w:r>
    </w:p>
    <w:p>
      <w:pPr>
        <w:spacing w:after="0" w:line="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EGISTRATION</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0"/>
          <w:szCs w:val="10"/>
          <w:color w:val="auto"/>
        </w:rPr>
        <w:t>IGHTS</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3" w:name="page424"/>
    <w:bookmarkEnd w:id="42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IN WITNESS WHEREOF, the parties have caused this Registration Rights Agreement to be executed and delivered by their duly authorized representatives as of the date first written above.</w:t>
      </w:r>
    </w:p>
    <w:p>
      <w:pPr>
        <w:spacing w:after="0" w:line="1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197485</wp:posOffset>
            </wp:positionV>
            <wp:extent cx="2041525"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041525" cy="7620"/>
                    </a:xfrm>
                    <a:prstGeom prst="rect">
                      <a:avLst/>
                    </a:prstGeom>
                    <a:noFill/>
                  </pic:spPr>
                </pic:pic>
              </a:graphicData>
            </a:graphic>
          </wp:anchor>
        </w:drawing>
      </w:r>
    </w:p>
    <w:p>
      <w:pPr>
        <w:spacing w:after="0" w:line="2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Address: [__________]</w:t>
      </w:r>
    </w:p>
    <w:p>
      <w:pPr>
        <w:spacing w:after="0" w:line="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[__________]</w:t>
      </w:r>
    </w:p>
    <w:p>
      <w:pPr>
        <w:spacing w:after="0" w:line="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[__________]</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24" w:name="page425"/>
    <w:bookmarkEnd w:id="42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Addendum Agreement</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This Addendum Agreement (“</w:t>
      </w:r>
      <w:r>
        <w:rPr>
          <w:rFonts w:ascii="Times New Roman" w:cs="Times New Roman" w:eastAsia="Times New Roman" w:hAnsi="Times New Roman"/>
          <w:sz w:val="16"/>
          <w:szCs w:val="16"/>
          <w:u w:val="single" w:color="auto"/>
          <w:color w:val="auto"/>
        </w:rPr>
        <w:t>Addendum Agreement</w:t>
      </w:r>
      <w:r>
        <w:rPr>
          <w:rFonts w:ascii="Times New Roman" w:cs="Times New Roman" w:eastAsia="Times New Roman" w:hAnsi="Times New Roman"/>
          <w:sz w:val="16"/>
          <w:szCs w:val="16"/>
          <w:color w:val="auto"/>
        </w:rPr>
        <w:t>”) is executed on __________________, 20___, by</w:t>
      </w:r>
    </w:p>
    <w:p>
      <w:pPr>
        <w:spacing w:after="0" w:line="24"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the undersigned (the “</w:t>
      </w:r>
      <w:r>
        <w:rPr>
          <w:rFonts w:ascii="Times New Roman" w:cs="Times New Roman" w:eastAsia="Times New Roman" w:hAnsi="Times New Roman"/>
          <w:sz w:val="16"/>
          <w:szCs w:val="16"/>
          <w:u w:val="single" w:color="auto"/>
          <w:color w:val="auto"/>
        </w:rPr>
        <w:t>New Holder</w:t>
      </w:r>
      <w:r>
        <w:rPr>
          <w:rFonts w:ascii="Times New Roman" w:cs="Times New Roman" w:eastAsia="Times New Roman" w:hAnsi="Times New Roman"/>
          <w:sz w:val="16"/>
          <w:szCs w:val="16"/>
          <w:color w:val="auto"/>
        </w:rPr>
        <w:t>”) pursuant to the terms of that certain Registration Rights Agreement dated as of [•], 2020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09" w:lineRule="exact"/>
        <w:rPr>
          <w:sz w:val="20"/>
          <w:szCs w:val="20"/>
          <w:color w:val="auto"/>
        </w:rPr>
      </w:pPr>
    </w:p>
    <w:p>
      <w:pPr>
        <w:jc w:val="both"/>
        <w:ind w:left="920" w:right="939" w:firstLine="381"/>
        <w:spacing w:after="0" w:line="259" w:lineRule="auto"/>
        <w:tabs>
          <w:tab w:leader="none" w:pos="1462"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w:t>
      </w:r>
      <w:r>
        <w:rPr>
          <w:rFonts w:ascii="Times New Roman" w:cs="Times New Roman" w:eastAsia="Times New Roman" w:hAnsi="Times New Roman"/>
          <w:sz w:val="16"/>
          <w:szCs w:val="16"/>
          <w:color w:val="auto"/>
        </w:rPr>
        <w:t>. New Holder acknowledges that New Holder is acquiring certain shares of common stock of the Company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462"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New Holder hereby (a) agrees that the Shares shall be bound by and subject to the terms of the Agreement and (b) adopts the Agreement with the same force and effect as if the New Holder were originally a party thereto.</w:t>
      </w:r>
    </w:p>
    <w:p>
      <w:pPr>
        <w:spacing w:after="0" w:line="83"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462"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Any notice required or permitted by the Agreement shall be given to New Holder at the address or facsimile number listed below New Holder’s signature below.</w:t>
      </w:r>
    </w:p>
    <w:p>
      <w:pPr>
        <w:spacing w:after="0" w:line="120"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w:t>
            </w: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HOLDER:</w:t>
            </w: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ACCEPTED AND AGREED:</w:t>
            </w:r>
          </w:p>
        </w:tc>
        <w:tc>
          <w:tcPr>
            <w:tcW w:w="0" w:type="dxa"/>
            <w:vAlign w:val="bottom"/>
          </w:tcPr>
          <w:p>
            <w:pPr>
              <w:spacing w:after="0"/>
              <w:rPr>
                <w:sz w:val="1"/>
                <w:szCs w:val="1"/>
                <w:color w:val="auto"/>
              </w:rPr>
            </w:pPr>
          </w:p>
        </w:tc>
      </w:tr>
      <w:tr>
        <w:trPr>
          <w:trHeight w:val="251"/>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Print Name:</w:t>
            </w:r>
          </w:p>
        </w:tc>
        <w:tc>
          <w:tcPr>
            <w:tcW w:w="1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FS DEVELOPMENT CORP.</w:t>
            </w:r>
          </w:p>
        </w:tc>
        <w:tc>
          <w:tcPr>
            <w:tcW w:w="0" w:type="dxa"/>
            <w:vAlign w:val="bottom"/>
          </w:tcPr>
          <w:p>
            <w:pPr>
              <w:spacing w:after="0"/>
              <w:rPr>
                <w:sz w:val="1"/>
                <w:szCs w:val="1"/>
                <w:color w:val="auto"/>
              </w:rPr>
            </w:pPr>
          </w:p>
        </w:tc>
      </w:tr>
      <w:tr>
        <w:trPr>
          <w:trHeight w:val="3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1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By:</w:t>
            </w:r>
          </w:p>
        </w:tc>
        <w:tc>
          <w:tcPr>
            <w:tcW w:w="0" w:type="dxa"/>
            <w:vAlign w:val="bottom"/>
          </w:tcPr>
          <w:p>
            <w:pPr>
              <w:spacing w:after="0"/>
              <w:rPr>
                <w:sz w:val="1"/>
                <w:szCs w:val="1"/>
                <w:color w:val="auto"/>
              </w:rPr>
            </w:pPr>
          </w:p>
        </w:tc>
      </w:tr>
      <w:tr>
        <w:trPr>
          <w:trHeight w:val="363"/>
        </w:trPr>
        <w:tc>
          <w:tcPr>
            <w:tcW w:w="114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Annex A-124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425" w:name="page426"/>
    <w:bookmarkEnd w:id="42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SCHEDULE I</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Atlas Venture Fund X, L.P.</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Lightstone Singapore L.P.</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Lightstone Ventures (A), L.P.</w:t>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Lightstone Ventures, L.P.</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OrbiMed Private Investments VI, LP</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Wu Capital Investment LLC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6" w:name="page427"/>
    <w:bookmarkEnd w:id="42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EXHIBIT G</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CERTIFICATE OF INCORPORATION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9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name of the Corporation is Gemini Therapeutics, Inc.</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41"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The address of the Corporation’s registered office in the State of Delaware is [•]. The name of its registered agent at such address is [•].</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41"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Capital Stock</w:t>
      </w:r>
    </w:p>
    <w:p>
      <w:pPr>
        <w:spacing w:after="0" w:line="141"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color w:val="auto"/>
        </w:rPr>
        <w:t>The total number of shares of capital stock which the Corporation shall have authority to issue is [__________] Million ([__________]) of which (i) [__________] Million ([______]) shares shall be a</w:t>
      </w: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class designated as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and (ii) Ten Million (10,000,000) shares shall be a class designated as undesignated preferred stock, par value $0.0001 per share (the “</w:t>
      </w:r>
      <w:r>
        <w:rPr>
          <w:rFonts w:ascii="Times New Roman" w:cs="Times New Roman" w:eastAsia="Times New Roman" w:hAnsi="Times New Roman"/>
          <w:sz w:val="16"/>
          <w:szCs w:val="16"/>
          <w:u w:val="single" w:color="auto"/>
          <w:color w:val="auto"/>
        </w:rPr>
        <w:t>Undesignated Preferred Stock</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02"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The powers, preferences and rights of, and the qualifications, limitations and restrictions upon, each class or series of stock shall be determined in accordance with, or as set forth below in, this Article IV.</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u w:val="single" w:color="auto"/>
          <w:color w:val="auto"/>
        </w:rPr>
        <w:t>Common Stock</w:t>
      </w:r>
    </w:p>
    <w:p>
      <w:pPr>
        <w:spacing w:after="0" w:line="127"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96" w:lineRule="exact"/>
        <w:rPr>
          <w:sz w:val="20"/>
          <w:szCs w:val="20"/>
          <w:color w:val="auto"/>
        </w:rPr>
      </w:pPr>
    </w:p>
    <w:p>
      <w:pPr>
        <w:jc w:val="both"/>
        <w:ind w:left="920" w:right="939" w:firstLine="764"/>
        <w:spacing w:after="0" w:line="252" w:lineRule="auto"/>
        <w:tabs>
          <w:tab w:leader="none" w:pos="193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Common Stock shall have the exclusive right to vote for the election of directors of the Corporation (the “</w:t>
      </w:r>
      <w:r>
        <w:rPr>
          <w:rFonts w:ascii="Times New Roman" w:cs="Times New Roman" w:eastAsia="Times New Roman" w:hAnsi="Times New Roman"/>
          <w:sz w:val="16"/>
          <w:szCs w:val="16"/>
          <w:u w:val="single" w:color="auto"/>
          <w:color w:val="auto"/>
        </w:rPr>
        <w:t>Directors</w:t>
      </w:r>
      <w:r>
        <w:rPr>
          <w:rFonts w:ascii="Times New Roman" w:cs="Times New Roman" w:eastAsia="Times New Roman" w:hAnsi="Times New Roman"/>
          <w:sz w:val="16"/>
          <w:szCs w:val="16"/>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7" w:name="page428"/>
    <w:bookmarkEnd w:id="42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9" w:lineRule="auto"/>
        <w:tabs>
          <w:tab w:leader="none" w:pos="1911" w:val="left"/>
        </w:tabs>
        <w:numPr>
          <w:ilvl w:val="1"/>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or any authorized committee thereof; and</w:t>
      </w:r>
    </w:p>
    <w:p>
      <w:pPr>
        <w:spacing w:after="0" w:line="10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08" w:val="left"/>
        </w:tabs>
        <w:numPr>
          <w:ilvl w:val="1"/>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voluntary or involuntary liquidation, dissolution or winding up of the Corporation, the net assets of the Corporation shall be distributed pro rata to the holders of the Common Stock.</w:t>
      </w:r>
    </w:p>
    <w:p>
      <w:pPr>
        <w:spacing w:after="0" w:line="84" w:lineRule="exact"/>
        <w:rPr>
          <w:rFonts w:ascii="Times New Roman" w:cs="Times New Roman" w:eastAsia="Times New Roman" w:hAnsi="Times New Roman"/>
          <w:sz w:val="16"/>
          <w:szCs w:val="16"/>
          <w:color w:val="auto"/>
        </w:rPr>
      </w:pPr>
    </w:p>
    <w:p>
      <w:pPr>
        <w:ind w:left="1100" w:hanging="181"/>
        <w:spacing w:after="0"/>
        <w:tabs>
          <w:tab w:leader="none" w:pos="1100"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Undesignated Preferred Stock</w:t>
      </w:r>
    </w:p>
    <w:p>
      <w:pPr>
        <w:spacing w:after="0" w:line="12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 Action</w:t>
      </w:r>
    </w:p>
    <w:p>
      <w:pPr>
        <w:spacing w:after="0" w:line="141" w:lineRule="exact"/>
        <w:rPr>
          <w:sz w:val="20"/>
          <w:szCs w:val="20"/>
          <w:color w:val="auto"/>
        </w:rPr>
      </w:pPr>
    </w:p>
    <w:p>
      <w:pPr>
        <w:jc w:val="both"/>
        <w:ind w:left="920" w:right="939" w:firstLine="381"/>
        <w:spacing w:after="0" w:line="272" w:lineRule="auto"/>
        <w:tabs>
          <w:tab w:leader="none" w:pos="1462" w:val="left"/>
        </w:tabs>
        <w:numPr>
          <w:ilvl w:val="0"/>
          <w:numId w:val="3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Action without Meeting</w:t>
      </w:r>
      <w:r>
        <w:rPr>
          <w:rFonts w:ascii="Times New Roman" w:cs="Times New Roman" w:eastAsia="Times New Roman" w:hAnsi="Times New Roman"/>
          <w:sz w:val="15"/>
          <w:szCs w:val="15"/>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92" w:lineRule="exact"/>
        <w:rPr>
          <w:rFonts w:ascii="Times New Roman" w:cs="Times New Roman" w:eastAsia="Times New Roman" w:hAnsi="Times New Roman"/>
          <w:sz w:val="15"/>
          <w:szCs w:val="15"/>
          <w:color w:val="auto"/>
        </w:rPr>
      </w:pPr>
    </w:p>
    <w:p>
      <w:pPr>
        <w:jc w:val="both"/>
        <w:ind w:left="920" w:right="939" w:firstLine="381"/>
        <w:spacing w:after="0" w:line="272" w:lineRule="auto"/>
        <w:tabs>
          <w:tab w:leader="none" w:pos="1486" w:val="left"/>
        </w:tabs>
        <w:numPr>
          <w:ilvl w:val="0"/>
          <w:numId w:val="3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Directors</w:t>
      </w:r>
    </w:p>
    <w:p>
      <w:pPr>
        <w:spacing w:after="0" w:line="129" w:lineRule="exact"/>
        <w:rPr>
          <w:sz w:val="20"/>
          <w:szCs w:val="20"/>
          <w:color w:val="auto"/>
        </w:rPr>
      </w:pPr>
    </w:p>
    <w:p>
      <w:pPr>
        <w:ind w:left="920" w:right="939" w:firstLine="381"/>
        <w:spacing w:after="0" w:line="280" w:lineRule="auto"/>
        <w:tabs>
          <w:tab w:leader="none" w:pos="1462"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business and affairs of the Corporation shall be managed by or under the direction of the Board of Directors except as otherwise provided herein or required by law</w:t>
      </w:r>
    </w:p>
    <w:p>
      <w:pPr>
        <w:spacing w:after="0" w:line="84"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474"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 of Directors</w:t>
      </w:r>
      <w:r>
        <w:rPr>
          <w:rFonts w:ascii="Times New Roman" w:cs="Times New Roman" w:eastAsia="Times New Roman" w:hAnsi="Times New Roman"/>
          <w:sz w:val="16"/>
          <w:szCs w:val="16"/>
          <w:color w:val="auto"/>
        </w:rPr>
        <w:t>. Election of Directors need not be by written ballot unless the By-laws of the Corporation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shall so provide.</w:t>
      </w:r>
    </w:p>
    <w:p>
      <w:pPr>
        <w:spacing w:after="0" w:line="84"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462"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Directors; Term of Office</w:t>
      </w:r>
      <w:r>
        <w:rPr>
          <w:rFonts w:ascii="Times New Roman" w:cs="Times New Roman" w:eastAsia="Times New Roman" w:hAnsi="Times New Roman"/>
          <w:sz w:val="16"/>
          <w:szCs w:val="16"/>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the number of Directors of the Corporation shall be fixed solely and exclusively by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8" w:name="page429"/>
    <w:bookmarkEnd w:id="42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1" w:lineRule="auto"/>
        <w:rPr>
          <w:sz w:val="20"/>
          <w:szCs w:val="20"/>
          <w:color w:val="auto"/>
        </w:rPr>
      </w:pPr>
      <w:r>
        <w:rPr>
          <w:rFonts w:ascii="Times New Roman" w:cs="Times New Roman" w:eastAsia="Times New Roman" w:hAnsi="Times New Roman"/>
          <w:sz w:val="16"/>
          <w:szCs w:val="16"/>
          <w:color w:val="auto"/>
        </w:rPr>
        <w:t>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14"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02"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0" w:lineRule="exact"/>
        <w:rPr>
          <w:sz w:val="20"/>
          <w:szCs w:val="20"/>
          <w:color w:val="auto"/>
        </w:rPr>
      </w:pPr>
    </w:p>
    <w:p>
      <w:pPr>
        <w:jc w:val="both"/>
        <w:ind w:left="920" w:right="939" w:firstLine="381"/>
        <w:spacing w:after="0" w:line="251" w:lineRule="auto"/>
        <w:tabs>
          <w:tab w:leader="none" w:pos="1462"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Vacancies</w:t>
      </w:r>
      <w:r>
        <w:rPr>
          <w:rFonts w:ascii="Times New Roman" w:cs="Times New Roman" w:eastAsia="Times New Roman" w:hAnsi="Times New Roman"/>
          <w:sz w:val="16"/>
          <w:szCs w:val="16"/>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determine the class or classes to which the increased or decreased number of Directors shall be apportioned;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10"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462"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w:t>
      </w:r>
      <w:r>
        <w:rPr>
          <w:rFonts w:ascii="Times New Roman" w:cs="Times New Roman" w:eastAsia="Times New Roman" w:hAnsi="Times New Roman"/>
          <w:sz w:val="16"/>
          <w:szCs w:val="16"/>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w:t>
      </w:r>
    </w:p>
    <w:p>
      <w:pPr>
        <w:spacing w:after="0" w:line="2"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174"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9" w:name="page430"/>
    <w:bookmarkEnd w:id="42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Limitation of Liability</w:t>
      </w:r>
    </w:p>
    <w:p>
      <w:pPr>
        <w:spacing w:after="0" w:line="129" w:lineRule="exact"/>
        <w:rPr>
          <w:sz w:val="20"/>
          <w:szCs w:val="20"/>
          <w:color w:val="auto"/>
        </w:rPr>
      </w:pPr>
    </w:p>
    <w:p>
      <w:pPr>
        <w:jc w:val="both"/>
        <w:ind w:left="920" w:right="939" w:firstLine="381"/>
        <w:spacing w:after="0" w:line="256" w:lineRule="auto"/>
        <w:tabs>
          <w:tab w:leader="none" w:pos="1474" w:val="left"/>
        </w:tabs>
        <w:numPr>
          <w:ilvl w:val="1"/>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Director Liability</w:t>
      </w:r>
      <w:r>
        <w:rPr>
          <w:rFonts w:ascii="Times New Roman" w:cs="Times New Roman" w:eastAsia="Times New Roman" w:hAnsi="Times New Roman"/>
          <w:sz w:val="16"/>
          <w:szCs w:val="16"/>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6"/>
          <w:szCs w:val="16"/>
          <w:color w:val="auto"/>
        </w:rPr>
      </w:pPr>
    </w:p>
    <w:p>
      <w:pPr>
        <w:jc w:val="both"/>
        <w:ind w:left="920" w:right="939" w:hanging="1"/>
        <w:spacing w:after="0" w:line="251" w:lineRule="auto"/>
        <w:tabs>
          <w:tab w:leader="none" w:pos="116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08"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488" w:val="left"/>
        </w:tabs>
        <w:numPr>
          <w:ilvl w:val="1"/>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463" w:val="left"/>
        </w:tabs>
        <w:numPr>
          <w:ilvl w:val="1"/>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Amendment of By-Laws</w:t>
      </w:r>
    </w:p>
    <w:p>
      <w:pPr>
        <w:spacing w:after="0" w:line="129" w:lineRule="exact"/>
        <w:rPr>
          <w:sz w:val="20"/>
          <w:szCs w:val="20"/>
          <w:color w:val="auto"/>
        </w:rPr>
      </w:pPr>
    </w:p>
    <w:p>
      <w:pPr>
        <w:jc w:val="both"/>
        <w:ind w:left="920" w:right="939" w:firstLine="381"/>
        <w:spacing w:after="0" w:line="265" w:lineRule="auto"/>
        <w:tabs>
          <w:tab w:leader="none" w:pos="1462"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by Directors</w:t>
      </w:r>
      <w:r>
        <w:rPr>
          <w:rFonts w:ascii="Times New Roman" w:cs="Times New Roman" w:eastAsia="Times New Roman" w:hAnsi="Times New Roman"/>
          <w:sz w:val="16"/>
          <w:szCs w:val="16"/>
          <w:color w:val="auto"/>
        </w:rPr>
        <w:t>. Except as otherwise provided by law, the By-laws of the Corporation may be amended or repealed by the Board of Directors by the affirmative vote of a majority of the Directors then in office.</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474"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by Stockholders</w:t>
      </w:r>
      <w:r>
        <w:rPr>
          <w:rFonts w:ascii="Times New Roman" w:cs="Times New Roman" w:eastAsia="Times New Roman" w:hAnsi="Times New Roman"/>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Amendment of Certificate of Incorporation</w:t>
      </w:r>
    </w:p>
    <w:p>
      <w:pPr>
        <w:spacing w:after="0" w:line="141"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Business Combinations</w:t>
      </w:r>
    </w:p>
    <w:p>
      <w:pPr>
        <w:spacing w:after="0" w:line="129" w:lineRule="exact"/>
        <w:rPr>
          <w:sz w:val="20"/>
          <w:szCs w:val="20"/>
          <w:color w:val="auto"/>
        </w:rPr>
      </w:pPr>
    </w:p>
    <w:p>
      <w:pPr>
        <w:ind w:left="1460" w:hanging="159"/>
        <w:spacing w:after="0"/>
        <w:tabs>
          <w:tab w:leader="none" w:pos="146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 Out of DGCL 203</w:t>
      </w:r>
      <w:r>
        <w:rPr>
          <w:rFonts w:ascii="Times New Roman" w:cs="Times New Roman" w:eastAsia="Times New Roman" w:hAnsi="Times New Roman"/>
          <w:sz w:val="16"/>
          <w:szCs w:val="16"/>
          <w:color w:val="auto"/>
        </w:rPr>
        <w:t>. The Corporation shall not be governed by Section 203 of the DGCL.</w:t>
      </w:r>
    </w:p>
    <w:p>
      <w:pPr>
        <w:spacing w:after="0" w:line="138"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462"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Excluded Opportunity</w:t>
      </w:r>
      <w:r>
        <w:rPr>
          <w:rFonts w:ascii="Times New Roman" w:cs="Times New Roman" w:eastAsia="Times New Roman" w:hAnsi="Times New Roman"/>
          <w:sz w:val="16"/>
          <w:szCs w:val="16"/>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0" w:name="page431"/>
    <w:bookmarkEnd w:id="43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possession of, any Director of the Corporation who is not an employee or officer of the Corporation or any of its subsidiaries (a “</w:t>
      </w:r>
      <w:r>
        <w:rPr>
          <w:rFonts w:ascii="Times New Roman" w:cs="Times New Roman" w:eastAsia="Times New Roman" w:hAnsi="Times New Roman"/>
          <w:sz w:val="16"/>
          <w:szCs w:val="16"/>
          <w:u w:val="single" w:color="auto"/>
          <w:color w:val="auto"/>
        </w:rPr>
        <w:t>Covered Person</w:t>
      </w:r>
      <w:r>
        <w:rPr>
          <w:rFonts w:ascii="Times New Roman" w:cs="Times New Roman" w:eastAsia="Times New Roman" w:hAnsi="Times New Roman"/>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color w:val="auto"/>
        </w:rPr>
        <w:t>[End of Text]</w:t>
      </w:r>
    </w:p>
    <w:p>
      <w:pPr>
        <w:spacing w:after="0" w:line="1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1" w:name="page432"/>
    <w:bookmarkEnd w:id="43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THIS AMENDED AND RESTATED CERTIFICATE OF INCORPORATION is executed as of this ____</w:t>
      </w:r>
    </w:p>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day of __________, 2020.</w:t>
      </w:r>
    </w:p>
    <w:p>
      <w:pPr>
        <w:spacing w:after="0" w:line="1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6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38100</wp:posOffset>
            </wp:positionV>
            <wp:extent cx="169989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699895" cy="7620"/>
                    </a:xfrm>
                    <a:prstGeom prst="rect">
                      <a:avLst/>
                    </a:prstGeom>
                    <a:noFill/>
                  </pic:spPr>
                </pic:pic>
              </a:graphicData>
            </a:graphic>
          </wp:anchor>
        </w:drawing>
      </w:r>
    </w:p>
    <w:p>
      <w:pPr>
        <w:spacing w:after="0" w:line="5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Closing Certificate of Incorporation]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2" w:name="page433"/>
    <w:bookmarkEnd w:id="43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u w:val="single" w:color="auto"/>
          <w:color w:val="auto"/>
        </w:rPr>
        <w:t>EXHIBIT H</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BY-LAWS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“Corporation”)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Stockholders</w:t>
      </w:r>
    </w:p>
    <w:p>
      <w:pPr>
        <w:spacing w:after="0" w:line="141"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Annual Meeting</w:t>
      </w:r>
      <w:r>
        <w:rPr>
          <w:rFonts w:ascii="Times New Roman" w:cs="Times New Roman" w:eastAsia="Times New Roman" w:hAnsi="Times New Roman"/>
          <w:sz w:val="16"/>
          <w:szCs w:val="16"/>
          <w:color w:val="auto"/>
        </w:rPr>
        <w:t>. The annual meeting of stockholders (any such meeting being referred to in these By-laws as an “</w:t>
      </w:r>
      <w:r>
        <w:rPr>
          <w:rFonts w:ascii="Times New Roman" w:cs="Times New Roman" w:eastAsia="Times New Roman" w:hAnsi="Times New Roman"/>
          <w:sz w:val="16"/>
          <w:szCs w:val="16"/>
          <w:u w:val="single" w:color="auto"/>
          <w:color w:val="auto"/>
        </w:rPr>
        <w:t>Annual Meeting</w:t>
      </w:r>
      <w:r>
        <w:rPr>
          <w:rFonts w:ascii="Times New Roman" w:cs="Times New Roman" w:eastAsia="Times New Roman" w:hAnsi="Times New Roman"/>
          <w:sz w:val="16"/>
          <w:szCs w:val="16"/>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Notice of Stockholder Business and Nominations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1520" w:hanging="219"/>
        <w:spacing w:after="0"/>
        <w:tabs>
          <w:tab w:leader="none" w:pos="152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Meetings of Stockholders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381"/>
        <w:spacing w:after="0" w:line="252" w:lineRule="auto"/>
        <w:tabs>
          <w:tab w:leader="none" w:pos="1532"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xml:space="preserve">”)), and such stockholder must comply with the notice and other procedures set forth in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05" w:lineRule="exact"/>
        <w:rPr>
          <w:rFonts w:ascii="Times New Roman" w:cs="Times New Roman" w:eastAsia="Times New Roman" w:hAnsi="Times New Roman"/>
          <w:sz w:val="16"/>
          <w:szCs w:val="16"/>
          <w:color w:val="auto"/>
        </w:rPr>
      </w:pPr>
    </w:p>
    <w:p>
      <w:pPr>
        <w:jc w:val="both"/>
        <w:ind w:left="920" w:right="939" w:firstLine="381"/>
        <w:spacing w:after="0" w:line="245" w:lineRule="auto"/>
        <w:tabs>
          <w:tab w:leader="none" w:pos="1535"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2(a)(1)</w:t>
      </w:r>
      <w:r>
        <w:rPr>
          <w:rFonts w:ascii="Times New Roman" w:cs="Times New Roman" w:eastAsia="Times New Roman" w:hAnsi="Times New Roman"/>
          <w:sz w:val="16"/>
          <w:szCs w:val="16"/>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nor earlier than the close of business on the one hundred twentieth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the one-year anniversary of the preceding year’s Annual Meeting;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prior to the scheduled date of such Annual Meeting or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6"/>
          <w:szCs w:val="16"/>
          <w:u w:val="single" w:color="auto"/>
          <w:color w:val="auto"/>
        </w:rPr>
        <w:t>Timely Notice</w:t>
      </w:r>
      <w:r>
        <w:rPr>
          <w:rFonts w:ascii="Times New Roman" w:cs="Times New Roman" w:eastAsia="Times New Roman" w:hAnsi="Times New Roman"/>
          <w:sz w:val="16"/>
          <w:szCs w:val="16"/>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3" w:name="page434"/>
    <w:bookmarkEnd w:id="43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day prior to the scheduled date of such Annual Meeting or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 public announcement of the date of such Annual Meeting is first made or sent by the Corporation. Such stockholder’s Timely Notice shall set forth:</w:t>
      </w:r>
    </w:p>
    <w:p>
      <w:pPr>
        <w:spacing w:after="0" w:line="109" w:lineRule="exact"/>
        <w:rPr>
          <w:sz w:val="20"/>
          <w:szCs w:val="20"/>
          <w:color w:val="auto"/>
        </w:rPr>
      </w:pPr>
    </w:p>
    <w:p>
      <w:pPr>
        <w:jc w:val="both"/>
        <w:ind w:left="1300" w:right="939" w:firstLine="384"/>
        <w:spacing w:after="0" w:line="269" w:lineRule="auto"/>
        <w:tabs>
          <w:tab w:leader="none" w:pos="1962" w:val="left"/>
        </w:tabs>
        <w:numPr>
          <w:ilvl w:val="0"/>
          <w:numId w:val="4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286" w:lineRule="exact"/>
        <w:rPr>
          <w:rFonts w:ascii="Times New Roman" w:cs="Times New Roman" w:eastAsia="Times New Roman" w:hAnsi="Times New Roman"/>
          <w:sz w:val="15"/>
          <w:szCs w:val="15"/>
          <w:color w:val="auto"/>
        </w:rPr>
      </w:pPr>
    </w:p>
    <w:p>
      <w:pPr>
        <w:jc w:val="both"/>
        <w:ind w:left="1300" w:right="939" w:firstLine="384"/>
        <w:spacing w:after="0" w:line="259" w:lineRule="auto"/>
        <w:tabs>
          <w:tab w:leader="none" w:pos="1964"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0" w:lineRule="exact"/>
        <w:rPr>
          <w:rFonts w:ascii="Times New Roman" w:cs="Times New Roman" w:eastAsia="Times New Roman" w:hAnsi="Times New Roman"/>
          <w:sz w:val="16"/>
          <w:szCs w:val="16"/>
          <w:color w:val="auto"/>
        </w:rPr>
      </w:pPr>
    </w:p>
    <w:p>
      <w:pPr>
        <w:jc w:val="both"/>
        <w:ind w:left="1300" w:right="939" w:firstLine="384"/>
        <w:spacing w:after="0" w:line="250" w:lineRule="auto"/>
        <w:tabs>
          <w:tab w:leader="none" w:pos="1989"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6"/>
          <w:szCs w:val="16"/>
          <w:u w:val="single" w:color="auto"/>
          <w:color w:val="auto"/>
        </w:rPr>
        <w:t>Material Ownership Interests</w:t>
      </w:r>
      <w:r>
        <w:rPr>
          <w:rFonts w:ascii="Times New Roman" w:cs="Times New Roman" w:eastAsia="Times New Roman" w:hAnsi="Times New Roman"/>
          <w:sz w:val="16"/>
          <w:szCs w:val="16"/>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4" w:name="page435"/>
    <w:bookmarkEnd w:id="43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300" w:right="939" w:firstLine="384"/>
        <w:spacing w:after="0" w:line="253" w:lineRule="auto"/>
        <w:tabs>
          <w:tab w:leader="none" w:pos="1961"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06" w:lineRule="exact"/>
        <w:rPr>
          <w:rFonts w:ascii="Times New Roman" w:cs="Times New Roman" w:eastAsia="Times New Roman" w:hAnsi="Times New Roman"/>
          <w:sz w:val="16"/>
          <w:szCs w:val="16"/>
          <w:color w:val="auto"/>
        </w:rPr>
      </w:pPr>
    </w:p>
    <w:p>
      <w:pPr>
        <w:jc w:val="both"/>
        <w:ind w:left="1300" w:right="939" w:firstLine="384"/>
        <w:spacing w:after="0" w:line="254" w:lineRule="auto"/>
        <w:tabs>
          <w:tab w:leader="none" w:pos="1969"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6"/>
          <w:szCs w:val="16"/>
          <w:u w:val="single" w:color="auto"/>
          <w:color w:val="auto"/>
        </w:rPr>
        <w:t>Solicitation Statement</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 the term “</w:t>
      </w:r>
      <w:r>
        <w:rPr>
          <w:rFonts w:ascii="Times New Roman" w:cs="Times New Roman" w:eastAsia="Times New Roman" w:hAnsi="Times New Roman"/>
          <w:sz w:val="16"/>
          <w:szCs w:val="16"/>
          <w:u w:val="single" w:color="auto"/>
          <w:color w:val="auto"/>
        </w:rPr>
        <w:t>Proposing Person</w:t>
      </w:r>
      <w:r>
        <w:rPr>
          <w:rFonts w:ascii="Times New Roman" w:cs="Times New Roman" w:eastAsia="Times New Roman" w:hAnsi="Times New Roman"/>
          <w:sz w:val="16"/>
          <w:szCs w:val="16"/>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 the term “</w:t>
      </w:r>
      <w:r>
        <w:rPr>
          <w:rFonts w:ascii="Times New Roman" w:cs="Times New Roman" w:eastAsia="Times New Roman" w:hAnsi="Times New Roman"/>
          <w:sz w:val="16"/>
          <w:szCs w:val="16"/>
          <w:u w:val="single" w:color="auto"/>
          <w:color w:val="auto"/>
        </w:rPr>
        <w:t>Synthetic Equity Interest</w:t>
      </w:r>
      <w:r>
        <w:rPr>
          <w:rFonts w:ascii="Times New Roman" w:cs="Times New Roman" w:eastAsia="Times New Roman" w:hAnsi="Times New Roman"/>
          <w:sz w:val="16"/>
          <w:szCs w:val="16"/>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99" w:lineRule="exact"/>
        <w:rPr>
          <w:sz w:val="20"/>
          <w:szCs w:val="20"/>
          <w:color w:val="auto"/>
        </w:rPr>
      </w:pPr>
    </w:p>
    <w:p>
      <w:pPr>
        <w:jc w:val="both"/>
        <w:ind w:left="920" w:right="939" w:firstLine="381"/>
        <w:spacing w:after="0" w:line="246" w:lineRule="auto"/>
        <w:tabs>
          <w:tab w:leader="none" w:pos="1538"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business day prior to the date of the Annual Meeting (in the case of the update and supplement required to be made as of ten (10) business days prior to the meeting).</w:t>
      </w:r>
    </w:p>
    <w:p>
      <w:pPr>
        <w:spacing w:after="0" w:line="110" w:lineRule="exact"/>
        <w:rPr>
          <w:rFonts w:ascii="Times New Roman" w:cs="Times New Roman" w:eastAsia="Times New Roman" w:hAnsi="Times New Roman"/>
          <w:sz w:val="16"/>
          <w:szCs w:val="16"/>
          <w:color w:val="auto"/>
        </w:rPr>
      </w:pPr>
    </w:p>
    <w:p>
      <w:pPr>
        <w:jc w:val="both"/>
        <w:ind w:left="920" w:right="939" w:firstLine="381"/>
        <w:spacing w:after="0" w:line="249" w:lineRule="auto"/>
        <w:tabs>
          <w:tab w:leader="none" w:pos="1535"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the second sentence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 such public announcement is first made by the Corporation.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35" w:name="page436"/>
    <w:bookmarkEnd w:id="43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520" w:hanging="219"/>
        <w:spacing w:after="0"/>
        <w:tabs>
          <w:tab w:leader="none" w:pos="152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381"/>
        <w:spacing w:after="0" w:line="268" w:lineRule="auto"/>
        <w:tabs>
          <w:tab w:leader="none" w:pos="1565" w:val="left"/>
        </w:tabs>
        <w:numPr>
          <w:ilvl w:val="0"/>
          <w:numId w:val="4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5"/>
          <w:szCs w:val="15"/>
          <w:u w:val="single" w:color="auto"/>
          <w:color w:val="auto"/>
        </w:rPr>
        <w:t>Registration and Shareholder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Rights Agreement</w:t>
      </w:r>
      <w:r>
        <w:rPr>
          <w:rFonts w:ascii="Times New Roman" w:cs="Times New Roman" w:eastAsia="Times New Roman" w:hAnsi="Times New Roman"/>
          <w:sz w:val="15"/>
          <w:szCs w:val="15"/>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5"/>
          <w:szCs w:val="15"/>
          <w:u w:val="single" w:color="auto"/>
          <w:color w:val="auto"/>
        </w:rPr>
        <w:t>Voting Agreement</w:t>
      </w:r>
      <w:r>
        <w:rPr>
          <w:rFonts w:ascii="Times New Roman" w:cs="Times New Roman" w:eastAsia="Times New Roman" w:hAnsi="Times New Roman"/>
          <w:sz w:val="15"/>
          <w:szCs w:val="15"/>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295" w:lineRule="exact"/>
        <w:rPr>
          <w:rFonts w:ascii="Times New Roman" w:cs="Times New Roman" w:eastAsia="Times New Roman" w:hAnsi="Times New Roman"/>
          <w:sz w:val="15"/>
          <w:szCs w:val="15"/>
          <w:color w:val="auto"/>
        </w:rPr>
      </w:pPr>
    </w:p>
    <w:p>
      <w:pPr>
        <w:jc w:val="both"/>
        <w:ind w:left="920" w:right="939" w:firstLine="381"/>
        <w:spacing w:after="0" w:line="257" w:lineRule="auto"/>
        <w:tabs>
          <w:tab w:leader="none" w:pos="1529"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90"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54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provisions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564"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60" w:lineRule="auto"/>
        <w:tabs>
          <w:tab w:leader="none" w:pos="154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6"/>
          <w:szCs w:val="16"/>
          <w:color w:val="auto"/>
        </w:rPr>
        <w:t>matters set forth in these By-laws. Nothing in these By-laws shall be deemed to affect any rights of</w:t>
      </w:r>
    </w:p>
    <w:p>
      <w:pPr>
        <w:spacing w:after="0" w:line="7" w:lineRule="exact"/>
        <w:rPr>
          <w:sz w:val="20"/>
          <w:szCs w:val="20"/>
          <w:color w:val="auto"/>
        </w:rPr>
      </w:pPr>
    </w:p>
    <w:p>
      <w:pPr>
        <w:jc w:val="both"/>
        <w:ind w:left="920" w:right="939" w:hanging="1"/>
        <w:spacing w:after="0" w:line="252" w:lineRule="auto"/>
        <w:tabs>
          <w:tab w:leader="none" w:pos="1114"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94"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528" w:val="left"/>
        </w:tabs>
        <w:numPr>
          <w:ilvl w:val="1"/>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6" w:name="page437"/>
    <w:bookmarkEnd w:id="43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70" w:lineRule="auto"/>
        <w:rPr>
          <w:sz w:val="20"/>
          <w:szCs w:val="20"/>
          <w:color w:val="auto"/>
        </w:rPr>
      </w:pPr>
      <w:r>
        <w:rPr>
          <w:rFonts w:ascii="Times New Roman" w:cs="Times New Roman" w:eastAsia="Times New Roman" w:hAnsi="Times New Roman"/>
          <w:sz w:val="15"/>
          <w:szCs w:val="15"/>
          <w:color w:val="auto"/>
        </w:rPr>
        <w:t xml:space="preserve">SECTION 3. </w:t>
      </w: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of these By-laws shall govern such special meeting.</w:t>
      </w:r>
    </w:p>
    <w:p>
      <w:pPr>
        <w:spacing w:after="0" w:line="88"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Notice of Meetings; Adjournments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381"/>
        <w:spacing w:after="0" w:line="253" w:lineRule="auto"/>
        <w:tabs>
          <w:tab w:leader="none" w:pos="1524"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w:t>
      </w:r>
    </w:p>
    <w:p>
      <w:pPr>
        <w:spacing w:after="0" w:line="97"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535"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519"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90"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545"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w:t>
      </w:r>
    </w:p>
    <w:p>
      <w:pPr>
        <w:spacing w:after="0" w:line="93"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54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7" w:name="page438"/>
    <w:bookmarkEnd w:id="43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or these By-laws, is entitled to such notice.</w:t>
      </w:r>
    </w:p>
    <w:p>
      <w:pPr>
        <w:spacing w:after="0" w:line="90"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Quorum</w:t>
      </w:r>
      <w:r>
        <w:rPr>
          <w:rFonts w:ascii="Times New Roman" w:cs="Times New Roman" w:eastAsia="Times New Roman" w:hAnsi="Times New Roman"/>
          <w:sz w:val="16"/>
          <w:szCs w:val="16"/>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97" w:lineRule="exact"/>
        <w:rPr>
          <w:sz w:val="20"/>
          <w:szCs w:val="20"/>
          <w:color w:val="auto"/>
        </w:rPr>
      </w:pPr>
    </w:p>
    <w:p>
      <w:pPr>
        <w:jc w:val="both"/>
        <w:ind w:left="920" w:right="939" w:firstLine="382"/>
        <w:spacing w:after="0" w:line="269" w:lineRule="auto"/>
        <w:rPr>
          <w:sz w:val="20"/>
          <w:szCs w:val="20"/>
          <w:color w:val="auto"/>
        </w:rPr>
      </w:pPr>
      <w:r>
        <w:rPr>
          <w:rFonts w:ascii="Times New Roman" w:cs="Times New Roman" w:eastAsia="Times New Roman" w:hAnsi="Times New Roman"/>
          <w:sz w:val="15"/>
          <w:szCs w:val="15"/>
          <w:color w:val="auto"/>
        </w:rPr>
        <w:t xml:space="preserve">SECTION 6. </w:t>
      </w:r>
      <w:r>
        <w:rPr>
          <w:rFonts w:ascii="Times New Roman" w:cs="Times New Roman" w:eastAsia="Times New Roman" w:hAnsi="Times New Roman"/>
          <w:sz w:val="15"/>
          <w:szCs w:val="15"/>
          <w:u w:val="single" w:color="auto"/>
          <w:color w:val="auto"/>
        </w:rPr>
        <w:t>Voting and Proxies</w:t>
      </w:r>
      <w:r>
        <w:rPr>
          <w:rFonts w:ascii="Times New Roman" w:cs="Times New Roman" w:eastAsia="Times New Roman" w:hAnsi="Times New Roman"/>
          <w:sz w:val="15"/>
          <w:szCs w:val="15"/>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78"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Action at Meeting</w:t>
      </w:r>
      <w:r>
        <w:rPr>
          <w:rFonts w:ascii="Times New Roman" w:cs="Times New Roman" w:eastAsia="Times New Roman" w:hAnsi="Times New Roman"/>
          <w:sz w:val="16"/>
          <w:szCs w:val="16"/>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78"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Stockholder Lists</w:t>
      </w:r>
      <w:r>
        <w:rPr>
          <w:rFonts w:ascii="Times New Roman" w:cs="Times New Roman" w:eastAsia="Times New Roman" w:hAnsi="Times New Roman"/>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9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Presiding Officer</w:t>
      </w:r>
      <w:r>
        <w:rPr>
          <w:rFonts w:ascii="Times New Roman" w:cs="Times New Roman" w:eastAsia="Times New Roman" w:hAnsi="Times New Roman"/>
          <w:sz w:val="16"/>
          <w:szCs w:val="16"/>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6"/>
          <w:szCs w:val="16"/>
          <w:u w:val="single" w:color="auto"/>
          <w:color w:val="auto"/>
        </w:rPr>
        <w:t>Sections 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The order of business and all other matters of procedure at any meeting of the stockholders shall be determined by the presiding officer.</w:t>
      </w:r>
    </w:p>
    <w:p>
      <w:pPr>
        <w:spacing w:after="0" w:line="86"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Inspectors of Elections</w:t>
      </w:r>
      <w:r>
        <w:rPr>
          <w:rFonts w:ascii="Times New Roman" w:cs="Times New Roman" w:eastAsia="Times New Roman" w:hAnsi="Times New Roman"/>
          <w:sz w:val="16"/>
          <w:szCs w:val="16"/>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8" w:name="page439"/>
    <w:bookmarkEnd w:id="43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Directors</w:t>
      </w:r>
    </w:p>
    <w:p>
      <w:pPr>
        <w:spacing w:after="0" w:line="141"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Powers</w:t>
      </w:r>
      <w:r>
        <w:rPr>
          <w:rFonts w:ascii="Times New Roman" w:cs="Times New Roman" w:eastAsia="Times New Roman" w:hAnsi="Times New Roman"/>
          <w:sz w:val="16"/>
          <w:szCs w:val="16"/>
          <w:color w:val="auto"/>
        </w:rPr>
        <w:t>. The business and affairs of the Corporation shall be managed by or under the direction of the Board of Directors except as otherwise provided by the Certificate or required by law.</w:t>
      </w:r>
    </w:p>
    <w:p>
      <w:pPr>
        <w:spacing w:after="0" w:line="73"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Number and Terms</w:t>
      </w:r>
      <w:r>
        <w:rPr>
          <w:rFonts w:ascii="Times New Roman" w:cs="Times New Roman" w:eastAsia="Times New Roman" w:hAnsi="Times New Roman"/>
          <w:sz w:val="16"/>
          <w:szCs w:val="16"/>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Qualification</w:t>
      </w:r>
      <w:r>
        <w:rPr>
          <w:rFonts w:ascii="Times New Roman" w:cs="Times New Roman" w:eastAsia="Times New Roman" w:hAnsi="Times New Roman"/>
          <w:sz w:val="16"/>
          <w:szCs w:val="16"/>
          <w:color w:val="auto"/>
        </w:rPr>
        <w:t>. No director need be a stockholder of the Corporation.</w:t>
      </w:r>
    </w:p>
    <w:p>
      <w:pPr>
        <w:spacing w:after="0" w:line="139"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Vacancies</w:t>
      </w:r>
      <w:r>
        <w:rPr>
          <w:rFonts w:ascii="Times New Roman" w:cs="Times New Roman" w:eastAsia="Times New Roman" w:hAnsi="Times New Roman"/>
          <w:sz w:val="16"/>
          <w:szCs w:val="16"/>
          <w:color w:val="auto"/>
        </w:rPr>
        <w:t>. Vacancies in the Board of Directors shall be filled in the manner provided in the Certificate, the Registration and Shareholder Rights Agreement and the Voting Agreement.</w:t>
      </w:r>
    </w:p>
    <w:p>
      <w:pPr>
        <w:spacing w:after="0" w:line="73"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Removal</w:t>
      </w:r>
      <w:r>
        <w:rPr>
          <w:rFonts w:ascii="Times New Roman" w:cs="Times New Roman" w:eastAsia="Times New Roman" w:hAnsi="Times New Roman"/>
          <w:sz w:val="16"/>
          <w:szCs w:val="16"/>
          <w:color w:val="auto"/>
        </w:rPr>
        <w:t>. Directors may be removed from office only in the manner provided in the Certificate, the Registration and Shareholder Rights Agreement and the Voting Agreement.</w:t>
      </w:r>
    </w:p>
    <w:p>
      <w:pPr>
        <w:spacing w:after="0" w:line="85"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Resignation</w:t>
      </w:r>
      <w:r>
        <w:rPr>
          <w:rFonts w:ascii="Times New Roman" w:cs="Times New Roman" w:eastAsia="Times New Roman" w:hAnsi="Times New Roman"/>
          <w:sz w:val="16"/>
          <w:szCs w:val="16"/>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72"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Regular Meetings</w:t>
      </w:r>
      <w:r>
        <w:rPr>
          <w:rFonts w:ascii="Times New Roman" w:cs="Times New Roman" w:eastAsia="Times New Roman" w:hAnsi="Times New Roman"/>
          <w:sz w:val="16"/>
          <w:szCs w:val="16"/>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Special Meetings</w:t>
      </w:r>
      <w:r>
        <w:rPr>
          <w:rFonts w:ascii="Times New Roman" w:cs="Times New Roman" w:eastAsia="Times New Roman" w:hAnsi="Times New Roman"/>
          <w:sz w:val="16"/>
          <w:szCs w:val="16"/>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78"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Notice of Meetings</w:t>
      </w:r>
      <w:r>
        <w:rPr>
          <w:rFonts w:ascii="Times New Roman" w:cs="Times New Roman" w:eastAsia="Times New Roman" w:hAnsi="Times New Roman"/>
          <w:sz w:val="16"/>
          <w:szCs w:val="16"/>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9" w:name="page440"/>
    <w:bookmarkEnd w:id="43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Quorum</w:t>
      </w:r>
      <w:r>
        <w:rPr>
          <w:rFonts w:ascii="Times New Roman" w:cs="Times New Roman" w:eastAsia="Times New Roman" w:hAnsi="Times New Roman"/>
          <w:sz w:val="16"/>
          <w:szCs w:val="16"/>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0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Action at Meeting</w:t>
      </w:r>
      <w:r>
        <w:rPr>
          <w:rFonts w:ascii="Times New Roman" w:cs="Times New Roman" w:eastAsia="Times New Roman" w:hAnsi="Times New Roman"/>
          <w:sz w:val="16"/>
          <w:szCs w:val="16"/>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84"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Action by Consent</w:t>
      </w:r>
      <w:r>
        <w:rPr>
          <w:rFonts w:ascii="Times New Roman" w:cs="Times New Roman" w:eastAsia="Times New Roman" w:hAnsi="Times New Roman"/>
          <w:sz w:val="16"/>
          <w:szCs w:val="16"/>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06"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Manner of Participation</w:t>
      </w:r>
      <w:r>
        <w:rPr>
          <w:rFonts w:ascii="Times New Roman" w:cs="Times New Roman" w:eastAsia="Times New Roman" w:hAnsi="Times New Roman"/>
          <w:sz w:val="16"/>
          <w:szCs w:val="16"/>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02"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Presiding Director</w:t>
      </w:r>
      <w:r>
        <w:rPr>
          <w:rFonts w:ascii="Times New Roman" w:cs="Times New Roman" w:eastAsia="Times New Roman" w:hAnsi="Times New Roman"/>
          <w:sz w:val="16"/>
          <w:szCs w:val="16"/>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95"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Committees</w:t>
      </w:r>
      <w:r>
        <w:rPr>
          <w:rFonts w:ascii="Times New Roman" w:cs="Times New Roman" w:eastAsia="Times New Roman" w:hAnsi="Times New Roman"/>
          <w:sz w:val="16"/>
          <w:szCs w:val="16"/>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1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Compensation of Directors</w:t>
      </w:r>
      <w:r>
        <w:rPr>
          <w:rFonts w:ascii="Times New Roman" w:cs="Times New Roman" w:eastAsia="Times New Roman" w:hAnsi="Times New Roman"/>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Officers</w:t>
      </w:r>
    </w:p>
    <w:p>
      <w:pPr>
        <w:spacing w:after="0" w:line="141"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Enumeration</w:t>
      </w:r>
      <w:r>
        <w:rPr>
          <w:rFonts w:ascii="Times New Roman" w:cs="Times New Roman" w:eastAsia="Times New Roman" w:hAnsi="Times New Roman"/>
          <w:sz w:val="16"/>
          <w:szCs w:val="16"/>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9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Election</w:t>
      </w:r>
      <w:r>
        <w:rPr>
          <w:rFonts w:ascii="Times New Roman" w:cs="Times New Roman" w:eastAsia="Times New Roman" w:hAnsi="Times New Roman"/>
          <w:sz w:val="16"/>
          <w:szCs w:val="16"/>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40" w:name="page441"/>
    <w:bookmarkEnd w:id="44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Qualification</w:t>
      </w:r>
      <w:r>
        <w:rPr>
          <w:rFonts w:ascii="Times New Roman" w:cs="Times New Roman" w:eastAsia="Times New Roman" w:hAnsi="Times New Roman"/>
          <w:sz w:val="16"/>
          <w:szCs w:val="16"/>
          <w:color w:val="auto"/>
        </w:rPr>
        <w:t>. No officer need be a stockholder or a director. Any person may occupy more than one office of the Corporation at any time.</w:t>
      </w:r>
    </w:p>
    <w:p>
      <w:pPr>
        <w:spacing w:after="0" w:line="85"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Tenure</w:t>
      </w:r>
      <w:r>
        <w:rPr>
          <w:rFonts w:ascii="Times New Roman" w:cs="Times New Roman" w:eastAsia="Times New Roman" w:hAnsi="Times New Roman"/>
          <w:sz w:val="16"/>
          <w:szCs w:val="16"/>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02"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Resignation</w:t>
      </w:r>
      <w:r>
        <w:rPr>
          <w:rFonts w:ascii="Times New Roman" w:cs="Times New Roman" w:eastAsia="Times New Roman" w:hAnsi="Times New Roman"/>
          <w:sz w:val="16"/>
          <w:szCs w:val="16"/>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84"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Removal</w:t>
      </w:r>
      <w:r>
        <w:rPr>
          <w:rFonts w:ascii="Times New Roman" w:cs="Times New Roman" w:eastAsia="Times New Roman" w:hAnsi="Times New Roman"/>
          <w:sz w:val="16"/>
          <w:szCs w:val="16"/>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96"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Absence or Disability</w:t>
      </w:r>
      <w:r>
        <w:rPr>
          <w:rFonts w:ascii="Times New Roman" w:cs="Times New Roman" w:eastAsia="Times New Roman" w:hAnsi="Times New Roman"/>
          <w:sz w:val="16"/>
          <w:szCs w:val="16"/>
          <w:color w:val="auto"/>
        </w:rPr>
        <w:t>. In the event of the absence or disability of any officer, the Board of Directors may designate another officer to act temporarily in place of such absent or disabled officer.</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Vacancies</w:t>
      </w:r>
      <w:r>
        <w:rPr>
          <w:rFonts w:ascii="Times New Roman" w:cs="Times New Roman" w:eastAsia="Times New Roman" w:hAnsi="Times New Roman"/>
          <w:sz w:val="16"/>
          <w:szCs w:val="16"/>
          <w:color w:val="auto"/>
        </w:rPr>
        <w:t>. Any vacancy in any office may be filled for the unexpired portion of the term by the Board of Directors.</w:t>
      </w:r>
    </w:p>
    <w:p>
      <w:pPr>
        <w:spacing w:after="0" w:line="73"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President</w:t>
      </w:r>
      <w:r>
        <w:rPr>
          <w:rFonts w:ascii="Times New Roman" w:cs="Times New Roman" w:eastAsia="Times New Roman" w:hAnsi="Times New Roman"/>
          <w:sz w:val="16"/>
          <w:szCs w:val="16"/>
          <w:color w:val="auto"/>
        </w:rPr>
        <w:t>. The President shall, subject to the direction of the Board of Directors, have such powers and shall perform such duties as the Board of Directors may from time to time designate.</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Chairman of the Board</w:t>
      </w:r>
      <w:r>
        <w:rPr>
          <w:rFonts w:ascii="Times New Roman" w:cs="Times New Roman" w:eastAsia="Times New Roman" w:hAnsi="Times New Roman"/>
          <w:sz w:val="16"/>
          <w:szCs w:val="16"/>
          <w:color w:val="auto"/>
        </w:rPr>
        <w:t>. The Chairman of the Board, if one is elected, shall have such powers and shall perform such duties as the Board of Directors may from time to time designate.</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Chief Executive Officer</w:t>
      </w:r>
      <w:r>
        <w:rPr>
          <w:rFonts w:ascii="Times New Roman" w:cs="Times New Roman" w:eastAsia="Times New Roman" w:hAnsi="Times New Roman"/>
          <w:sz w:val="16"/>
          <w:szCs w:val="16"/>
          <w:color w:val="auto"/>
        </w:rPr>
        <w:t>. The Chief Executive Officer, if one is elected, shall have such powers and shall perform such duties as the Board of Directors may from time to time designate.</w:t>
      </w:r>
    </w:p>
    <w:p>
      <w:pPr>
        <w:spacing w:after="0" w:line="73"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Vice Presidents and Assistant Vice Presidents</w:t>
      </w:r>
      <w:r>
        <w:rPr>
          <w:rFonts w:ascii="Times New Roman" w:cs="Times New Roman" w:eastAsia="Times New Roman" w:hAnsi="Times New Roman"/>
          <w:sz w:val="16"/>
          <w:szCs w:val="16"/>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02"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Treasurer and Assistant Treasurers</w:t>
      </w:r>
      <w:r>
        <w:rPr>
          <w:rFonts w:ascii="Times New Roman" w:cs="Times New Roman" w:eastAsia="Times New Roman" w:hAnsi="Times New Roman"/>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07" w:lineRule="exact"/>
        <w:rPr>
          <w:sz w:val="20"/>
          <w:szCs w:val="20"/>
          <w:color w:val="auto"/>
        </w:rPr>
      </w:pPr>
    </w:p>
    <w:p>
      <w:pPr>
        <w:jc w:val="both"/>
        <w:ind w:left="920" w:right="939" w:firstLine="382"/>
        <w:spacing w:after="0" w:line="270" w:lineRule="auto"/>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u w:val="single" w:color="auto"/>
          <w:color w:val="auto"/>
        </w:rPr>
        <w:t>Secretary and Assistant Secretaries</w:t>
      </w:r>
      <w:r>
        <w:rPr>
          <w:rFonts w:ascii="Times New Roman" w:cs="Times New Roman" w:eastAsia="Times New Roman" w:hAnsi="Times New Roman"/>
          <w:sz w:val="15"/>
          <w:szCs w:val="15"/>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88"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Other Powers and Duties</w:t>
      </w:r>
      <w:r>
        <w:rPr>
          <w:rFonts w:ascii="Times New Roman" w:cs="Times New Roman" w:eastAsia="Times New Roman" w:hAnsi="Times New Roman"/>
          <w:sz w:val="16"/>
          <w:szCs w:val="16"/>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1" w:name="page442"/>
    <w:bookmarkEnd w:id="44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Capital Stock</w:t>
      </w:r>
    </w:p>
    <w:p>
      <w:pPr>
        <w:spacing w:after="0" w:line="129"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Certificates of Stock</w:t>
      </w:r>
      <w:r>
        <w:rPr>
          <w:rFonts w:ascii="Times New Roman" w:cs="Times New Roman" w:eastAsia="Times New Roman" w:hAnsi="Times New Roman"/>
          <w:sz w:val="16"/>
          <w:szCs w:val="16"/>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6"/>
          <w:szCs w:val="16"/>
          <w:b w:val="1"/>
          <w:bCs w:val="1"/>
          <w:color w:val="auto"/>
        </w:rPr>
        <w:t>Notwithstanding anything to</w:t>
      </w:r>
      <w:r>
        <w:rPr>
          <w:rFonts w:ascii="Times New Roman" w:cs="Times New Roman" w:eastAsia="Times New Roman" w:hAnsi="Times New Roman"/>
          <w:sz w:val="16"/>
          <w:szCs w:val="16"/>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13"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Transfers</w:t>
      </w:r>
      <w:r>
        <w:rPr>
          <w:rFonts w:ascii="Times New Roman" w:cs="Times New Roman" w:eastAsia="Times New Roman" w:hAnsi="Times New Roman"/>
          <w:sz w:val="16"/>
          <w:szCs w:val="16"/>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09"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Record Holders</w:t>
      </w:r>
      <w:r>
        <w:rPr>
          <w:rFonts w:ascii="Times New Roman" w:cs="Times New Roman" w:eastAsia="Times New Roman" w:hAnsi="Times New Roman"/>
          <w:sz w:val="16"/>
          <w:szCs w:val="16"/>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90"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Record Date</w:t>
      </w:r>
      <w:r>
        <w:rPr>
          <w:rFonts w:ascii="Times New Roman" w:cs="Times New Roman" w:eastAsia="Times New Roman" w:hAnsi="Times New Roman"/>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14"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Replacement of Certificates</w:t>
      </w:r>
      <w:r>
        <w:rPr>
          <w:rFonts w:ascii="Times New Roman" w:cs="Times New Roman" w:eastAsia="Times New Roman" w:hAnsi="Times New Roman"/>
          <w:sz w:val="16"/>
          <w:szCs w:val="16"/>
          <w:color w:val="auto"/>
        </w:rPr>
        <w:t>. In case of the alleged loss, destruction or mutilation of a certificate of stock of the Corporation, a duplicate certificate may be issued in place thereof, upon such terms as the Board of Directors may prescribe.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2" w:name="page443"/>
    <w:bookmarkEnd w:id="44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u w:val="single" w:color="auto"/>
          <w:color w:val="auto"/>
        </w:rPr>
        <w:t>Indemnification</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For purposes of this Article:</w:t>
      </w:r>
    </w:p>
    <w:p>
      <w:pPr>
        <w:spacing w:after="0" w:line="115" w:lineRule="exact"/>
        <w:rPr>
          <w:sz w:val="20"/>
          <w:szCs w:val="20"/>
          <w:color w:val="auto"/>
        </w:rPr>
      </w:pPr>
    </w:p>
    <w:p>
      <w:pPr>
        <w:jc w:val="both"/>
        <w:ind w:left="920" w:right="939" w:firstLine="381"/>
        <w:spacing w:after="0" w:line="252" w:lineRule="auto"/>
        <w:tabs>
          <w:tab w:leader="none" w:pos="1519"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Corporate Status</w:t>
      </w:r>
      <w:r>
        <w:rPr>
          <w:rFonts w:ascii="Times New Roman" w:cs="Times New Roman" w:eastAsia="Times New Roman" w:hAnsi="Times New Roman"/>
          <w:sz w:val="16"/>
          <w:szCs w:val="16"/>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97"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528"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Director</w:t>
      </w:r>
      <w:r>
        <w:rPr>
          <w:rFonts w:ascii="Times New Roman" w:cs="Times New Roman" w:eastAsia="Times New Roman" w:hAnsi="Times New Roman"/>
          <w:sz w:val="16"/>
          <w:szCs w:val="16"/>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71"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19"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Disinterested Director</w:t>
      </w:r>
      <w:r>
        <w:rPr>
          <w:rFonts w:ascii="Times New Roman" w:cs="Times New Roman" w:eastAsia="Times New Roman" w:hAnsi="Times New Roman"/>
          <w:sz w:val="16"/>
          <w:szCs w:val="16"/>
          <w:color w:val="auto"/>
        </w:rPr>
        <w:t>” means, with respect to each Proceeding in respect of which indemnification is sought hereunder, a Director of the Corporation who is not and was not a party to such Proceeding;</w:t>
      </w:r>
    </w:p>
    <w:p>
      <w:pPr>
        <w:spacing w:after="0" w:line="60"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528"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97"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19"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means judgments, damages, liabilities, losses, penalties, excise taxes, fines and amounts paid in settlement;</w:t>
      </w:r>
    </w:p>
    <w:p>
      <w:pPr>
        <w:spacing w:after="0" w:line="60"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01"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Non-Officer Employee</w:t>
      </w:r>
      <w:r>
        <w:rPr>
          <w:rFonts w:ascii="Times New Roman" w:cs="Times New Roman" w:eastAsia="Times New Roman" w:hAnsi="Times New Roman"/>
          <w:sz w:val="16"/>
          <w:szCs w:val="16"/>
          <w:color w:val="auto"/>
        </w:rPr>
        <w:t>” means any person who serves or has served as an employee or agent of the Corporation, but who is not or was not a Director or Officer;</w:t>
      </w:r>
    </w:p>
    <w:p>
      <w:pPr>
        <w:spacing w:after="0" w:line="60"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528"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w:t>
      </w:r>
      <w:r>
        <w:rPr>
          <w:rFonts w:ascii="Times New Roman" w:cs="Times New Roman" w:eastAsia="Times New Roman" w:hAnsi="Times New Roman"/>
          <w:sz w:val="16"/>
          <w:szCs w:val="16"/>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54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71"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493"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Indemnification of Directors and Officers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381"/>
        <w:spacing w:after="0" w:line="257" w:lineRule="auto"/>
        <w:tabs>
          <w:tab w:leader="none" w:pos="1519"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operation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3" w:name="page444"/>
    <w:bookmarkEnd w:id="44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300" w:right="939" w:firstLine="384"/>
        <w:spacing w:after="0" w:line="253" w:lineRule="auto"/>
        <w:tabs>
          <w:tab w:leader="none" w:pos="1908"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Suits and Proceedings Other than By or In the Right of the Corporation</w:t>
      </w:r>
      <w:r>
        <w:rPr>
          <w:rFonts w:ascii="Times New Roman" w:cs="Times New Roman" w:eastAsia="Times New Roman" w:hAnsi="Times New Roman"/>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06" w:lineRule="exact"/>
        <w:rPr>
          <w:rFonts w:ascii="Times New Roman" w:cs="Times New Roman" w:eastAsia="Times New Roman" w:hAnsi="Times New Roman"/>
          <w:sz w:val="16"/>
          <w:szCs w:val="16"/>
          <w:color w:val="auto"/>
        </w:rPr>
      </w:pPr>
    </w:p>
    <w:p>
      <w:pPr>
        <w:jc w:val="both"/>
        <w:ind w:left="1300" w:right="939" w:firstLine="384"/>
        <w:spacing w:after="0" w:line="252" w:lineRule="auto"/>
        <w:tabs>
          <w:tab w:leader="none" w:pos="1908"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Suits and Proceedings By or In the Right of the Corporation</w:t>
      </w:r>
      <w:r>
        <w:rPr>
          <w:rFonts w:ascii="Times New Roman" w:cs="Times New Roman" w:eastAsia="Times New Roman" w:hAnsi="Times New Roman"/>
          <w:sz w:val="16"/>
          <w:szCs w:val="16"/>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05" w:lineRule="exact"/>
        <w:rPr>
          <w:rFonts w:ascii="Times New Roman" w:cs="Times New Roman" w:eastAsia="Times New Roman" w:hAnsi="Times New Roman"/>
          <w:sz w:val="16"/>
          <w:szCs w:val="16"/>
          <w:color w:val="auto"/>
        </w:rPr>
      </w:pPr>
    </w:p>
    <w:p>
      <w:pPr>
        <w:jc w:val="both"/>
        <w:ind w:left="1300" w:right="939" w:firstLine="384"/>
        <w:spacing w:after="0" w:line="265" w:lineRule="auto"/>
        <w:tabs>
          <w:tab w:leader="none" w:pos="1908"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of Rights</w:t>
      </w:r>
      <w:r>
        <w:rPr>
          <w:rFonts w:ascii="Times New Roman" w:cs="Times New Roman" w:eastAsia="Times New Roman" w:hAnsi="Times New Roman"/>
          <w:sz w:val="16"/>
          <w:szCs w:val="16"/>
          <w:color w:val="auto"/>
        </w:rPr>
        <w:t xml:space="preserve">. The rights of indemnification provided by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83" w:lineRule="exact"/>
        <w:rPr>
          <w:rFonts w:ascii="Times New Roman" w:cs="Times New Roman" w:eastAsia="Times New Roman" w:hAnsi="Times New Roman"/>
          <w:sz w:val="16"/>
          <w:szCs w:val="16"/>
          <w:color w:val="auto"/>
        </w:rPr>
      </w:pPr>
    </w:p>
    <w:p>
      <w:pPr>
        <w:jc w:val="both"/>
        <w:ind w:left="1300" w:right="939" w:firstLine="384"/>
        <w:spacing w:after="0" w:line="255" w:lineRule="auto"/>
        <w:tabs>
          <w:tab w:leader="none" w:pos="1968"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by Directors or Officers</w:t>
      </w:r>
      <w:r>
        <w:rPr>
          <w:rFonts w:ascii="Times New Roman" w:cs="Times New Roman" w:eastAsia="Times New Roman" w:hAnsi="Times New Roman"/>
          <w:sz w:val="16"/>
          <w:szCs w:val="16"/>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06"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Indemnification of Non-Officer Employees</w:t>
      </w:r>
      <w:r>
        <w:rPr>
          <w:rFonts w:ascii="Times New Roman" w:cs="Times New Roman" w:eastAsia="Times New Roman" w:hAnsi="Times New Roman"/>
          <w:sz w:val="16"/>
          <w:szCs w:val="16"/>
          <w:color w:val="auto"/>
        </w:rPr>
        <w:t xml:space="preserve">. Subject to the operation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3"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Determination</w:t>
      </w:r>
      <w:r>
        <w:rPr>
          <w:rFonts w:ascii="Times New Roman" w:cs="Times New Roman" w:eastAsia="Times New Roman" w:hAnsi="Times New Roman"/>
          <w:sz w:val="16"/>
          <w:szCs w:val="16"/>
          <w:color w:val="auto"/>
        </w:rPr>
        <w:t xml:space="preserve">. Unless ordered by a court, no indemnification shall be provided pursuant to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4" w:name="page445"/>
    <w:bookmarkEnd w:id="44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Advancement of Expenses to Directors Prior to Final Disposition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381"/>
        <w:spacing w:after="0" w:line="268" w:lineRule="auto"/>
        <w:tabs>
          <w:tab w:leader="none" w:pos="1536" w:val="left"/>
        </w:tabs>
        <w:numPr>
          <w:ilvl w:val="0"/>
          <w:numId w:val="4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only if such Proceeding (including any parts of such Proceeding not initiated by such Director) was</w:t>
      </w:r>
    </w:p>
    <w:p>
      <w:pPr>
        <w:spacing w:after="0" w:line="7" w:lineRule="exact"/>
        <w:rPr>
          <w:sz w:val="20"/>
          <w:szCs w:val="20"/>
          <w:color w:val="auto"/>
        </w:rPr>
      </w:pPr>
    </w:p>
    <w:p>
      <w:pPr>
        <w:ind w:left="920" w:right="939" w:hanging="1"/>
        <w:spacing w:after="0" w:line="258" w:lineRule="auto"/>
        <w:tabs>
          <w:tab w:leader="none" w:pos="11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authorized by the Board of Directors, or (ii) brought to enforce such Director’s rights to indemnification or advancement of Expenses under these By-laws.</w:t>
      </w:r>
    </w:p>
    <w:p>
      <w:pPr>
        <w:spacing w:after="0" w:line="89"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533" w:val="left"/>
        </w:tabs>
        <w:numPr>
          <w:ilvl w:val="1"/>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11"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520" w:val="left"/>
        </w:tabs>
        <w:numPr>
          <w:ilvl w:val="1"/>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96"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Advancement of Expenses to Officers and Non-Officer Employees Prior to Final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jc w:val="both"/>
        <w:ind w:left="920" w:right="939" w:firstLine="381"/>
        <w:spacing w:after="0" w:line="253" w:lineRule="auto"/>
        <w:tabs>
          <w:tab w:leader="none" w:pos="15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529"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Contractual Nature of Rights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381"/>
        <w:spacing w:after="0" w:line="252" w:lineRule="auto"/>
        <w:tabs>
          <w:tab w:leader="none" w:pos="1531"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nor the adoption of any provision of the Certificate of Incorporation inconsistent with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eliminate or reduce any right conferred by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5" w:name="page446"/>
    <w:bookmarkEnd w:id="44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 xml:space="preserve">indemnification and to advancement of expenses provided by, or granted pursuant to,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96" w:lineRule="exact"/>
        <w:rPr>
          <w:sz w:val="20"/>
          <w:szCs w:val="20"/>
          <w:color w:val="auto"/>
        </w:rPr>
      </w:pPr>
    </w:p>
    <w:p>
      <w:pPr>
        <w:jc w:val="both"/>
        <w:ind w:left="920" w:right="939" w:firstLine="381"/>
        <w:spacing w:after="0" w:line="270" w:lineRule="auto"/>
        <w:tabs>
          <w:tab w:leader="none" w:pos="1553" w:val="left"/>
        </w:tabs>
        <w:numPr>
          <w:ilvl w:val="0"/>
          <w:numId w:val="4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00" w:lineRule="exact"/>
        <w:rPr>
          <w:rFonts w:ascii="Times New Roman" w:cs="Times New Roman" w:eastAsia="Times New Roman" w:hAnsi="Times New Roman"/>
          <w:sz w:val="15"/>
          <w:szCs w:val="15"/>
          <w:color w:val="auto"/>
        </w:rPr>
      </w:pPr>
    </w:p>
    <w:p>
      <w:pPr>
        <w:jc w:val="both"/>
        <w:ind w:left="920" w:right="939" w:firstLine="381"/>
        <w:spacing w:after="0" w:line="265" w:lineRule="auto"/>
        <w:tabs>
          <w:tab w:leader="none" w:pos="1524"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84"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Non-Exclusivity of Rights</w:t>
      </w:r>
      <w:r>
        <w:rPr>
          <w:rFonts w:ascii="Times New Roman" w:cs="Times New Roman" w:eastAsia="Times New Roman" w:hAnsi="Times New Roman"/>
          <w:sz w:val="16"/>
          <w:szCs w:val="16"/>
          <w:color w:val="auto"/>
        </w:rPr>
        <w:t xml:space="preserve">. The rights to indemnification and to advancement of Expenses set forth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0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Other Indemnification</w:t>
      </w:r>
      <w:r>
        <w:rPr>
          <w:rFonts w:ascii="Times New Roman" w:cs="Times New Roman" w:eastAsia="Times New Roman" w:hAnsi="Times New Roman"/>
          <w:sz w:val="16"/>
          <w:szCs w:val="16"/>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6"/>
          <w:szCs w:val="16"/>
          <w:u w:val="single" w:color="auto"/>
          <w:color w:val="auto"/>
        </w:rPr>
        <w:t>Primary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Indemnitor</w:t>
      </w:r>
      <w:r>
        <w:rPr>
          <w:rFonts w:ascii="Times New Roman" w:cs="Times New Roman" w:eastAsia="Times New Roman" w:hAnsi="Times New Roman"/>
          <w:sz w:val="16"/>
          <w:szCs w:val="16"/>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 Provisions</w:t>
      </w:r>
    </w:p>
    <w:p>
      <w:pPr>
        <w:spacing w:after="0" w:line="129"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Fiscal Year</w:t>
      </w:r>
      <w:r>
        <w:rPr>
          <w:rFonts w:ascii="Times New Roman" w:cs="Times New Roman" w:eastAsia="Times New Roman" w:hAnsi="Times New Roman"/>
          <w:sz w:val="16"/>
          <w:szCs w:val="16"/>
          <w:color w:val="auto"/>
        </w:rPr>
        <w:t>. The fiscal year of the Corporation shall be determined by the Board of Directors.</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SECTION 2. </w:t>
      </w:r>
      <w:r>
        <w:rPr>
          <w:rFonts w:ascii="Times New Roman" w:cs="Times New Roman" w:eastAsia="Times New Roman" w:hAnsi="Times New Roman"/>
          <w:sz w:val="15"/>
          <w:szCs w:val="15"/>
          <w:u w:val="single" w:color="auto"/>
          <w:color w:val="auto"/>
        </w:rPr>
        <w:t>Seal</w:t>
      </w:r>
      <w:r>
        <w:rPr>
          <w:rFonts w:ascii="Times New Roman" w:cs="Times New Roman" w:eastAsia="Times New Roman" w:hAnsi="Times New Roman"/>
          <w:sz w:val="15"/>
          <w:szCs w:val="15"/>
          <w:color w:val="auto"/>
        </w:rPr>
        <w:t>. The Board of Directors shall have power to adopt and alter the seal of the Corporation.</w:t>
      </w:r>
    </w:p>
    <w:p>
      <w:pPr>
        <w:spacing w:after="0" w:line="150"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Execution of Instruments</w:t>
      </w:r>
      <w:r>
        <w:rPr>
          <w:rFonts w:ascii="Times New Roman" w:cs="Times New Roman" w:eastAsia="Times New Roman" w:hAnsi="Times New Roman"/>
          <w:sz w:val="16"/>
          <w:szCs w:val="16"/>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6" w:name="page447"/>
    <w:bookmarkEnd w:id="44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Voting of Securities</w:t>
      </w:r>
      <w:r>
        <w:rPr>
          <w:rFonts w:ascii="Times New Roman" w:cs="Times New Roman" w:eastAsia="Times New Roman" w:hAnsi="Times New Roman"/>
          <w:sz w:val="16"/>
          <w:szCs w:val="16"/>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06"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Resident Agent</w:t>
      </w:r>
      <w:r>
        <w:rPr>
          <w:rFonts w:ascii="Times New Roman" w:cs="Times New Roman" w:eastAsia="Times New Roman" w:hAnsi="Times New Roman"/>
          <w:sz w:val="16"/>
          <w:szCs w:val="16"/>
          <w:color w:val="auto"/>
        </w:rPr>
        <w:t>. The Board of Directors may appoint a resident agent upon whom legal process may be served in any action or proceeding against the Corporation.</w:t>
      </w:r>
    </w:p>
    <w:p>
      <w:pPr>
        <w:spacing w:after="0" w:line="85"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Corporate Records</w:t>
      </w:r>
      <w:r>
        <w:rPr>
          <w:rFonts w:ascii="Times New Roman" w:cs="Times New Roman" w:eastAsia="Times New Roman" w:hAnsi="Times New Roman"/>
          <w:sz w:val="16"/>
          <w:szCs w:val="16"/>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94"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All references in these By-laws to the Certificate shall be deemed to refer to the Amended and Restated Certificate of Incorporation of the Corporation, as amended and/or restated and in effect from time to time.</w:t>
      </w:r>
    </w:p>
    <w:p>
      <w:pPr>
        <w:spacing w:after="0" w:line="96"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Exclusive Jurisdiction</w:t>
      </w:r>
      <w:r>
        <w:rPr>
          <w:rFonts w:ascii="Times New Roman" w:cs="Times New Roman" w:eastAsia="Times New Roman" w:hAnsi="Times New Roman"/>
          <w:sz w:val="16"/>
          <w:szCs w:val="16"/>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Amendment of By-laws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381"/>
        <w:spacing w:after="0" w:line="265" w:lineRule="auto"/>
        <w:tabs>
          <w:tab w:leader="none" w:pos="1531"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by Directors</w:t>
      </w:r>
      <w:r>
        <w:rPr>
          <w:rFonts w:ascii="Times New Roman" w:cs="Times New Roman" w:eastAsia="Times New Roman" w:hAnsi="Times New Roman"/>
          <w:sz w:val="16"/>
          <w:szCs w:val="16"/>
          <w:color w:val="auto"/>
        </w:rPr>
        <w:t>. Except as provided otherwise by law, any section or portion of these By-laws may be amended or repealed by the Board of Directors by the affirmative vote of a majority of the directors then in office.</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78" w:lineRule="auto"/>
        <w:tabs>
          <w:tab w:leader="none" w:pos="1528" w:val="left"/>
        </w:tabs>
        <w:numPr>
          <w:ilvl w:val="0"/>
          <w:numId w:val="4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by Stockholders</w:t>
      </w:r>
      <w:r>
        <w:rPr>
          <w:rFonts w:ascii="Times New Roman" w:cs="Times New Roman" w:eastAsia="Times New Roman" w:hAnsi="Times New Roman"/>
          <w:sz w:val="15"/>
          <w:szCs w:val="15"/>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88"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9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Waivers</w:t>
      </w:r>
      <w:r>
        <w:rPr>
          <w:rFonts w:ascii="Times New Roman" w:cs="Times New Roman" w:eastAsia="Times New Roman" w:hAnsi="Times New Roman"/>
          <w:sz w:val="16"/>
          <w:szCs w:val="16"/>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7" w:name="page448"/>
    <w:bookmarkEnd w:id="44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5"/>
          <w:szCs w:val="15"/>
          <w:b w:val="1"/>
          <w:bCs w:val="1"/>
          <w:u w:val="single" w:color="auto"/>
          <w:color w:val="auto"/>
        </w:rPr>
        <w:t>EXHIBIT 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98" w:lineRule="exact"/>
        <w:rPr>
          <w:sz w:val="20"/>
          <w:szCs w:val="20"/>
          <w:color w:val="auto"/>
        </w:rPr>
      </w:pPr>
    </w:p>
    <w:p>
      <w:pPr>
        <w:ind w:left="920" w:right="2819" w:firstLine="1894"/>
        <w:spacing w:after="0" w:line="422" w:lineRule="auto"/>
        <w:rPr>
          <w:sz w:val="20"/>
          <w:szCs w:val="20"/>
          <w:color w:val="auto"/>
        </w:rPr>
      </w:pPr>
      <w:r>
        <w:rPr>
          <w:rFonts w:ascii="Times New Roman" w:cs="Times New Roman" w:eastAsia="Times New Roman" w:hAnsi="Times New Roman"/>
          <w:sz w:val="16"/>
          <w:szCs w:val="16"/>
          <w:b w:val="1"/>
          <w:bCs w:val="1"/>
          <w:color w:val="auto"/>
        </w:rPr>
        <w:t xml:space="preserve">2020 STOCK OPTION AND INCENTIVE PLAN </w:t>
      </w: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GENERAL PURPOSE OF THE PLAN; DEFINITIONS</w:t>
      </w: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terms shall be defined as set forth below:</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“Act” </w:t>
      </w:r>
      <w:r>
        <w:rPr>
          <w:rFonts w:ascii="Times New Roman" w:cs="Times New Roman" w:eastAsia="Times New Roman" w:hAnsi="Times New Roman"/>
          <w:sz w:val="16"/>
          <w:szCs w:val="16"/>
          <w:color w:val="auto"/>
        </w:rPr>
        <w:t>means the Securities Act of 1933, as amended, and the rules and regulations thereunder.</w:t>
      </w:r>
    </w:p>
    <w:p>
      <w:pPr>
        <w:spacing w:after="0" w:line="139"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“Administrator” </w:t>
      </w:r>
      <w:r>
        <w:rPr>
          <w:rFonts w:ascii="Times New Roman" w:cs="Times New Roman" w:eastAsia="Times New Roman" w:hAnsi="Times New Roman"/>
          <w:sz w:val="16"/>
          <w:szCs w:val="16"/>
          <w:color w:val="auto"/>
        </w:rPr>
        <w:t>means either the Board or the compensation committee of the Board or a similar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performing the functions of the compensation committee and which is comprised of not less than two Non-Employee Directors who are independent.</w:t>
      </w:r>
    </w:p>
    <w:p>
      <w:pPr>
        <w:spacing w:after="0" w:line="81"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93"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“Award”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“Awards,” </w:t>
      </w:r>
      <w:r>
        <w:rPr>
          <w:rFonts w:ascii="Times New Roman" w:cs="Times New Roman" w:eastAsia="Times New Roman" w:hAnsi="Times New Roman"/>
          <w:sz w:val="16"/>
          <w:szCs w:val="16"/>
          <w:color w:val="auto"/>
        </w:rPr>
        <w:t>except where referring to a particular category of grant under the Plan,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Incentive Stock Options, Non-Qualified Stock Options, Stock Appreciation Rights, Restricted Stock Units, Restricted Stock Awards, Unrestricted Stock Awards, Cash-Based Awards, and Dividend Equivalent Rights.</w:t>
      </w:r>
    </w:p>
    <w:p>
      <w:pPr>
        <w:spacing w:after="0" w:line="99"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“Award Certificate” </w:t>
      </w:r>
      <w:r>
        <w:rPr>
          <w:rFonts w:ascii="Times New Roman" w:cs="Times New Roman" w:eastAsia="Times New Roman" w:hAnsi="Times New Roman"/>
          <w:sz w:val="16"/>
          <w:szCs w:val="16"/>
          <w:color w:val="auto"/>
        </w:rPr>
        <w:t>means a written or electronic document setting forth the terms and provisions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to an Award granted under the Plan. Each Award Certificate is subject to the terms and conditions of the Plan.</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“Board” </w:t>
      </w:r>
      <w:r>
        <w:rPr>
          <w:rFonts w:ascii="Times New Roman" w:cs="Times New Roman" w:eastAsia="Times New Roman" w:hAnsi="Times New Roman"/>
          <w:sz w:val="16"/>
          <w:szCs w:val="16"/>
          <w:color w:val="auto"/>
        </w:rPr>
        <w:t>means the Board of Directors of the Company.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“Cash-Based Award” </w:t>
      </w:r>
      <w:r>
        <w:rPr>
          <w:rFonts w:ascii="Times New Roman" w:cs="Times New Roman" w:eastAsia="Times New Roman" w:hAnsi="Times New Roman"/>
          <w:sz w:val="16"/>
          <w:szCs w:val="16"/>
          <w:color w:val="auto"/>
        </w:rPr>
        <w:t>means an Award entitling the recipient to receive a cash-denominated payment.</w:t>
      </w:r>
    </w:p>
    <w:p>
      <w:pPr>
        <w:spacing w:after="0" w:line="13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Closing Date</w:t>
      </w:r>
      <w:r>
        <w:rPr>
          <w:rFonts w:ascii="Times New Roman" w:cs="Times New Roman" w:eastAsia="Times New Roman" w:hAnsi="Times New Roman"/>
          <w:sz w:val="16"/>
          <w:szCs w:val="16"/>
          <w:color w:val="auto"/>
        </w:rPr>
        <w:t>” means the date of the closing of the transactions contemplated by that certain Merger Agreement, dated as of October 15, 2020, by and among the Company and the other parties thereto.</w:t>
      </w:r>
    </w:p>
    <w:p>
      <w:pPr>
        <w:spacing w:after="0" w:line="68"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“Code” </w:t>
      </w:r>
      <w:r>
        <w:rPr>
          <w:rFonts w:ascii="Times New Roman" w:cs="Times New Roman" w:eastAsia="Times New Roman" w:hAnsi="Times New Roman"/>
          <w:sz w:val="16"/>
          <w:szCs w:val="16"/>
          <w:color w:val="auto"/>
        </w:rPr>
        <w:t>means the Internal Revenue Code of 1986, as amended, and any successor Code, and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regulations and interpretations.</w:t>
      </w:r>
    </w:p>
    <w:p>
      <w:pPr>
        <w:spacing w:after="0" w:line="80"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“Consultant” </w:t>
      </w:r>
      <w:r>
        <w:rPr>
          <w:rFonts w:ascii="Times New Roman" w:cs="Times New Roman" w:eastAsia="Times New Roman" w:hAnsi="Times New Roman"/>
          <w:sz w:val="16"/>
          <w:szCs w:val="16"/>
          <w:color w:val="auto"/>
        </w:rPr>
        <w:t>means a consultant or adviser who provides</w:t>
      </w:r>
      <w:r>
        <w:rPr>
          <w:rFonts w:ascii="Times New Roman" w:cs="Times New Roman" w:eastAsia="Times New Roman" w:hAnsi="Times New Roman"/>
          <w:sz w:val="16"/>
          <w:szCs w:val="16"/>
          <w:i w:val="1"/>
          <w:iCs w:val="1"/>
          <w:color w:val="auto"/>
        </w:rPr>
        <w:t xml:space="preserve"> bona fide </w:t>
      </w:r>
      <w:r>
        <w:rPr>
          <w:rFonts w:ascii="Times New Roman" w:cs="Times New Roman" w:eastAsia="Times New Roman" w:hAnsi="Times New Roman"/>
          <w:sz w:val="16"/>
          <w:szCs w:val="16"/>
          <w:color w:val="auto"/>
        </w:rPr>
        <w:t>services to the Company or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Affiliate as an independent contractor and who qualifies as a consultant or advisor under Instruction A.1.(a)(1) of Form S-8 under the Act.</w:t>
      </w:r>
    </w:p>
    <w:p>
      <w:pPr>
        <w:spacing w:after="0" w:line="93"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“Dividend Equivalent Right” </w:t>
      </w:r>
      <w:r>
        <w:rPr>
          <w:rFonts w:ascii="Times New Roman" w:cs="Times New Roman" w:eastAsia="Times New Roman" w:hAnsi="Times New Roman"/>
          <w:sz w:val="16"/>
          <w:szCs w:val="16"/>
          <w:color w:val="auto"/>
        </w:rPr>
        <w:t>means an Award entitling the grantee to receive credits based on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dividends that would have been paid on the shares of Stock specified in the Dividend Equivalent Right (or other award to which it relates) if such shares had been issued to and held by the grantee.</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“Effective Date” </w:t>
      </w:r>
      <w:r>
        <w:rPr>
          <w:rFonts w:ascii="Times New Roman" w:cs="Times New Roman" w:eastAsia="Times New Roman" w:hAnsi="Times New Roman"/>
          <w:sz w:val="16"/>
          <w:szCs w:val="16"/>
          <w:color w:val="auto"/>
        </w:rPr>
        <w:t>means the date on which the Plan becomes effective as set forth in Section 19.</w:t>
      </w:r>
    </w:p>
    <w:p>
      <w:pPr>
        <w:spacing w:after="0" w:line="13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“Exchange Act” </w:t>
      </w:r>
      <w:r>
        <w:rPr>
          <w:rFonts w:ascii="Times New Roman" w:cs="Times New Roman" w:eastAsia="Times New Roman" w:hAnsi="Times New Roman"/>
          <w:sz w:val="16"/>
          <w:szCs w:val="16"/>
          <w:color w:val="auto"/>
        </w:rPr>
        <w:t>means the Securities Exchange Act of 1934, as amended, and the rules and regulations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thereunder.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8" w:name="page449"/>
    <w:bookmarkEnd w:id="44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“Fair Market Value” </w:t>
      </w:r>
      <w:r>
        <w:rPr>
          <w:rFonts w:ascii="Times New Roman" w:cs="Times New Roman" w:eastAsia="Times New Roman" w:hAnsi="Times New Roman"/>
          <w:sz w:val="16"/>
          <w:szCs w:val="16"/>
          <w:color w:val="auto"/>
        </w:rPr>
        <w:t>of the Stock on any given date means the fair market value of the Stock determined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01"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“Incentive Stock Option” </w:t>
      </w:r>
      <w:r>
        <w:rPr>
          <w:rFonts w:ascii="Times New Roman" w:cs="Times New Roman" w:eastAsia="Times New Roman" w:hAnsi="Times New Roman"/>
          <w:sz w:val="16"/>
          <w:szCs w:val="16"/>
          <w:color w:val="auto"/>
        </w:rPr>
        <w:t>means any Stock Option designated and qualified as an “incentive stock option”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defined in Section 422 of the Code.</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“Non-Employee Director” </w:t>
      </w:r>
      <w:r>
        <w:rPr>
          <w:rFonts w:ascii="Times New Roman" w:cs="Times New Roman" w:eastAsia="Times New Roman" w:hAnsi="Times New Roman"/>
          <w:sz w:val="16"/>
          <w:szCs w:val="16"/>
          <w:color w:val="auto"/>
        </w:rPr>
        <w:t>means a member of the Board who is not also an employee of the Company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Subsidiary.</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“Non-Qualified Stock Option” </w:t>
      </w:r>
      <w:r>
        <w:rPr>
          <w:rFonts w:ascii="Times New Roman" w:cs="Times New Roman" w:eastAsia="Times New Roman" w:hAnsi="Times New Roman"/>
          <w:sz w:val="16"/>
          <w:szCs w:val="16"/>
          <w:color w:val="auto"/>
        </w:rPr>
        <w:t>means any Stock Option that is not an Incentive Stock Option.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“Option”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“Stock Option” </w:t>
      </w:r>
      <w:r>
        <w:rPr>
          <w:rFonts w:ascii="Times New Roman" w:cs="Times New Roman" w:eastAsia="Times New Roman" w:hAnsi="Times New Roman"/>
          <w:sz w:val="16"/>
          <w:szCs w:val="16"/>
          <w:color w:val="auto"/>
        </w:rPr>
        <w:t>means any option to purchase shares of Stock granted pursuant to Section 5.</w:t>
      </w:r>
    </w:p>
    <w:p>
      <w:pPr>
        <w:spacing w:after="0" w:line="13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“Restricted Shares” </w:t>
      </w:r>
      <w:r>
        <w:rPr>
          <w:rFonts w:ascii="Times New Roman" w:cs="Times New Roman" w:eastAsia="Times New Roman" w:hAnsi="Times New Roman"/>
          <w:sz w:val="16"/>
          <w:szCs w:val="16"/>
          <w:color w:val="auto"/>
        </w:rPr>
        <w:t>means the shares of Stock underlying a Restricted Stock Award that remain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risk of forfeiture or the Company’s right of repurchase.</w:t>
      </w:r>
    </w:p>
    <w:p>
      <w:pPr>
        <w:spacing w:after="0" w:line="68"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“Restricted Stock Award” </w:t>
      </w:r>
      <w:r>
        <w:rPr>
          <w:rFonts w:ascii="Times New Roman" w:cs="Times New Roman" w:eastAsia="Times New Roman" w:hAnsi="Times New Roman"/>
          <w:sz w:val="16"/>
          <w:szCs w:val="16"/>
          <w:color w:val="auto"/>
        </w:rPr>
        <w:t>means an Award of Restricted Shares subject to such restrictions and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the Administrator may determine at the time of grant.</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means an Award of stock units subject to such restrictions and conditions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Administrator may determine at the time of grant.</w:t>
      </w:r>
    </w:p>
    <w:p>
      <w:pPr>
        <w:spacing w:after="0" w:line="80"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“Sale Event” </w:t>
      </w:r>
      <w:r>
        <w:rPr>
          <w:rFonts w:ascii="Times New Roman" w:cs="Times New Roman" w:eastAsia="Times New Roman" w:hAnsi="Times New Roman"/>
          <w:sz w:val="16"/>
          <w:szCs w:val="16"/>
          <w:color w:val="auto"/>
        </w:rPr>
        <w:t>means (i) the sale of all or substantially all of the assets of the Company on a consolidated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92"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Sale Price</w:t>
      </w:r>
      <w:r>
        <w:rPr>
          <w:rFonts w:ascii="Times New Roman" w:cs="Times New Roman" w:eastAsia="Times New Roman" w:hAnsi="Times New Roman"/>
          <w:sz w:val="16"/>
          <w:szCs w:val="16"/>
          <w:color w:val="auto"/>
        </w:rPr>
        <w:t>” means the value as determined by the Administrator of the consideration payable, or otherwise to be received by stockholders, per share of Stock pursuant to a Sale Event.</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“Section 409A” </w:t>
      </w:r>
      <w:r>
        <w:rPr>
          <w:rFonts w:ascii="Times New Roman" w:cs="Times New Roman" w:eastAsia="Times New Roman" w:hAnsi="Times New Roman"/>
          <w:sz w:val="16"/>
          <w:szCs w:val="16"/>
          <w:color w:val="auto"/>
        </w:rPr>
        <w:t>means Section 409A of the Code and the regulations and other guidance promulgated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thereunder.</w:t>
      </w:r>
    </w:p>
    <w:p>
      <w:pPr>
        <w:spacing w:after="0" w:line="80"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“Service Relationship” </w:t>
      </w:r>
      <w:r>
        <w:rPr>
          <w:rFonts w:ascii="Times New Roman" w:cs="Times New Roman" w:eastAsia="Times New Roman" w:hAnsi="Times New Roman"/>
          <w:sz w:val="16"/>
          <w:szCs w:val="16"/>
          <w:color w:val="auto"/>
        </w:rPr>
        <w:t>means any relationship as an employee, director or Consultant of the Company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Affiliate (e.g., a Service Relationship shall be deemed to continue without interruption in the event an individual’s status changes from full-time employee to part-time employee or Consultant).</w:t>
      </w:r>
    </w:p>
    <w:p>
      <w:pPr>
        <w:spacing w:after="0" w:line="81"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“Stock” </w:t>
      </w:r>
      <w:r>
        <w:rPr>
          <w:rFonts w:ascii="Times New Roman" w:cs="Times New Roman" w:eastAsia="Times New Roman" w:hAnsi="Times New Roman"/>
          <w:sz w:val="16"/>
          <w:szCs w:val="16"/>
          <w:color w:val="auto"/>
        </w:rPr>
        <w:t>means the Common Stock, par value $0.0001 per share, of the Company, subject to adjustments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Section 3.</w:t>
      </w:r>
    </w:p>
    <w:p>
      <w:pPr>
        <w:spacing w:after="0" w:line="80"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“Stock Appreciation Right” </w:t>
      </w:r>
      <w:r>
        <w:rPr>
          <w:rFonts w:ascii="Times New Roman" w:cs="Times New Roman" w:eastAsia="Times New Roman" w:hAnsi="Times New Roman"/>
          <w:sz w:val="16"/>
          <w:szCs w:val="16"/>
          <w:color w:val="auto"/>
        </w:rPr>
        <w:t>means an Award entitling the recipient to receive shares of Stock (or cash,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02"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“Subsidiary” </w:t>
      </w:r>
      <w:r>
        <w:rPr>
          <w:rFonts w:ascii="Times New Roman" w:cs="Times New Roman" w:eastAsia="Times New Roman" w:hAnsi="Times New Roman"/>
          <w:sz w:val="16"/>
          <w:szCs w:val="16"/>
          <w:color w:val="auto"/>
        </w:rPr>
        <w:t>means any corporation or other entity (other than the Company) in which the Company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 least a 50 percent interest, either directly or indirectly.</w:t>
      </w:r>
    </w:p>
    <w:p>
      <w:pPr>
        <w:spacing w:after="0" w:line="68"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“Ten Percent Owner” </w:t>
      </w:r>
      <w:r>
        <w:rPr>
          <w:rFonts w:ascii="Times New Roman" w:cs="Times New Roman" w:eastAsia="Times New Roman" w:hAnsi="Times New Roman"/>
          <w:sz w:val="16"/>
          <w:szCs w:val="16"/>
          <w:color w:val="auto"/>
        </w:rPr>
        <w:t>means an employee who owns or is deemed to own (by reason of the attribution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of Section 424(d) of the Code) more than 10 percent of the combined voting power of all classes of stock of the Company or any parent or subsidiary corporation.</w:t>
      </w:r>
    </w:p>
    <w:p>
      <w:pPr>
        <w:spacing w:after="0" w:line="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“Unrestricted Stock Award” </w:t>
      </w:r>
      <w:r>
        <w:rPr>
          <w:rFonts w:ascii="Times New Roman" w:cs="Times New Roman" w:eastAsia="Times New Roman" w:hAnsi="Times New Roman"/>
          <w:sz w:val="16"/>
          <w:szCs w:val="16"/>
          <w:color w:val="auto"/>
        </w:rPr>
        <w:t>means an Award of shares of Stock free of any restrictions.</w:t>
      </w:r>
    </w:p>
    <w:p>
      <w:pPr>
        <w:spacing w:after="0" w:line="16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9" w:name="page450"/>
    <w:bookmarkEnd w:id="44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spacing w:after="0" w:line="280" w:lineRule="auto"/>
        <w:rPr>
          <w:sz w:val="20"/>
          <w:szCs w:val="20"/>
          <w:color w:val="auto"/>
        </w:rPr>
      </w:pPr>
      <w:r>
        <w:rPr>
          <w:rFonts w:ascii="Times New Roman" w:cs="Times New Roman" w:eastAsia="Times New Roman" w:hAnsi="Times New Roman"/>
          <w:sz w:val="16"/>
          <w:szCs w:val="16"/>
          <w:color w:val="auto"/>
        </w:rPr>
        <w:t>SECTION 2. ADMINISTRATION OF PLAN; ADMINISTRATOR AUTHORITY TO SELECT GRANTEES AND DETERMINE AWARDS</w:t>
      </w:r>
    </w:p>
    <w:p>
      <w:pPr>
        <w:spacing w:after="0" w:line="85" w:lineRule="exact"/>
        <w:rPr>
          <w:sz w:val="20"/>
          <w:szCs w:val="20"/>
          <w:color w:val="auto"/>
        </w:rPr>
      </w:pPr>
    </w:p>
    <w:p>
      <w:pPr>
        <w:ind w:left="1520" w:hanging="219"/>
        <w:spacing w:after="0"/>
        <w:tabs>
          <w:tab w:leader="none" w:pos="15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 of Plan</w:t>
      </w:r>
      <w:r>
        <w:rPr>
          <w:rFonts w:ascii="Times New Roman" w:cs="Times New Roman" w:eastAsia="Times New Roman" w:hAnsi="Times New Roman"/>
          <w:sz w:val="16"/>
          <w:szCs w:val="16"/>
          <w:color w:val="auto"/>
        </w:rPr>
        <w:t>. The Plan shall be administered by the Administrator.</w:t>
      </w:r>
    </w:p>
    <w:p>
      <w:pPr>
        <w:spacing w:after="0" w:line="138"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52"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Powers of Administrator</w:t>
      </w:r>
      <w:r>
        <w:rPr>
          <w:rFonts w:ascii="Times New Roman" w:cs="Times New Roman" w:eastAsia="Times New Roman" w:hAnsi="Times New Roman"/>
          <w:sz w:val="16"/>
          <w:szCs w:val="16"/>
          <w:color w:val="auto"/>
        </w:rPr>
        <w:t>. The Administrator shall have the power and authority to grant Awards consistent with the terms of the Plan, including the power and authority:</w:t>
      </w:r>
    </w:p>
    <w:p>
      <w:pPr>
        <w:spacing w:after="0" w:line="72" w:lineRule="exact"/>
        <w:rPr>
          <w:rFonts w:ascii="Times New Roman" w:cs="Times New Roman" w:eastAsia="Times New Roman" w:hAnsi="Times New Roman"/>
          <w:sz w:val="16"/>
          <w:szCs w:val="16"/>
          <w:color w:val="auto"/>
        </w:rPr>
      </w:pPr>
    </w:p>
    <w:p>
      <w:pPr>
        <w:ind w:left="1880" w:hanging="196"/>
        <w:spacing w:after="0"/>
        <w:tabs>
          <w:tab w:leader="none" w:pos="1880"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select the individuals to whom Awards may from time to time be granted;</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25"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02" w:lineRule="exact"/>
        <w:rPr>
          <w:rFonts w:ascii="Times New Roman" w:cs="Times New Roman" w:eastAsia="Times New Roman" w:hAnsi="Times New Roman"/>
          <w:sz w:val="16"/>
          <w:szCs w:val="16"/>
          <w:color w:val="auto"/>
        </w:rPr>
      </w:pPr>
    </w:p>
    <w:p>
      <w:pPr>
        <w:ind w:left="1960" w:hanging="276"/>
        <w:spacing w:after="0"/>
        <w:tabs>
          <w:tab w:leader="none" w:pos="1960"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the number of shares of Stock to be covered by any Award;</w:t>
      </w:r>
    </w:p>
    <w:p>
      <w:pPr>
        <w:spacing w:after="0" w:line="126"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60"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95" w:lineRule="exact"/>
        <w:rPr>
          <w:rFonts w:ascii="Times New Roman" w:cs="Times New Roman" w:eastAsia="Times New Roman" w:hAnsi="Times New Roman"/>
          <w:sz w:val="16"/>
          <w:szCs w:val="16"/>
          <w:color w:val="auto"/>
        </w:rPr>
      </w:pPr>
    </w:p>
    <w:p>
      <w:pPr>
        <w:ind w:left="1900" w:hanging="216"/>
        <w:spacing w:after="0"/>
        <w:tabs>
          <w:tab w:leader="none" w:pos="1900"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accelerate at any time the exercisability or vesting of all or any portion of any Award;</w:t>
      </w:r>
    </w:p>
    <w:p>
      <w:pPr>
        <w:spacing w:after="0" w:line="138"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84"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5(c), to extend at any time the period in which Stock Options may be exercised; and</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2006"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02"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All decisions and interpretations of the Administrator shall be binding on all persons, including the Company and Plan grantees.</w:t>
      </w:r>
    </w:p>
    <w:p>
      <w:pPr>
        <w:spacing w:after="0" w:line="85" w:lineRule="exact"/>
        <w:rPr>
          <w:sz w:val="20"/>
          <w:szCs w:val="20"/>
          <w:color w:val="auto"/>
        </w:rPr>
      </w:pPr>
    </w:p>
    <w:p>
      <w:pPr>
        <w:jc w:val="both"/>
        <w:ind w:left="920" w:right="939" w:firstLine="381"/>
        <w:spacing w:after="0" w:line="252" w:lineRule="auto"/>
        <w:tabs>
          <w:tab w:leader="none" w:pos="1567"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Delegation of Authority to Grant Awards</w:t>
      </w:r>
      <w:r>
        <w:rPr>
          <w:rFonts w:ascii="Times New Roman" w:cs="Times New Roman" w:eastAsia="Times New Roman" w:hAnsi="Times New Roman"/>
          <w:sz w:val="16"/>
          <w:szCs w:val="16"/>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99"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528"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Certificate</w:t>
      </w:r>
      <w:r>
        <w:rPr>
          <w:rFonts w:ascii="Times New Roman" w:cs="Times New Roman" w:eastAsia="Times New Roman" w:hAnsi="Times New Roman"/>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531"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09"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525"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Award Recipients</w:t>
      </w:r>
      <w:r>
        <w:rPr>
          <w:rFonts w:ascii="Times New Roman" w:cs="Times New Roman" w:eastAsia="Times New Roman" w:hAnsi="Times New Roman"/>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0" w:name="page451"/>
    <w:bookmarkEnd w:id="45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3. STOCK ISSUABLE UNDER THE PLAN; MERGERS; SUBSTITUTION</w:t>
      </w:r>
    </w:p>
    <w:p>
      <w:pPr>
        <w:spacing w:after="0" w:line="139" w:lineRule="exact"/>
        <w:rPr>
          <w:sz w:val="20"/>
          <w:szCs w:val="20"/>
          <w:color w:val="auto"/>
        </w:rPr>
      </w:pPr>
    </w:p>
    <w:p>
      <w:pPr>
        <w:jc w:val="both"/>
        <w:ind w:left="920" w:right="939" w:firstLine="381"/>
        <w:spacing w:after="0" w:line="251" w:lineRule="auto"/>
        <w:tabs>
          <w:tab w:leader="none" w:pos="1519"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Issuable</w:t>
      </w:r>
      <w:r>
        <w:rPr>
          <w:rFonts w:ascii="Times New Roman" w:cs="Times New Roman" w:eastAsia="Times New Roman" w:hAnsi="Times New Roman"/>
          <w:sz w:val="16"/>
          <w:szCs w:val="16"/>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97" w:lineRule="exact"/>
        <w:rPr>
          <w:rFonts w:ascii="Times New Roman" w:cs="Times New Roman" w:eastAsia="Times New Roman" w:hAnsi="Times New Roman"/>
          <w:sz w:val="16"/>
          <w:szCs w:val="16"/>
          <w:color w:val="auto"/>
        </w:rPr>
      </w:pPr>
    </w:p>
    <w:p>
      <w:pPr>
        <w:jc w:val="both"/>
        <w:ind w:left="920" w:right="939" w:firstLine="381"/>
        <w:spacing w:after="0" w:line="250" w:lineRule="auto"/>
        <w:tabs>
          <w:tab w:leader="none" w:pos="1528"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Stock</w:t>
      </w:r>
      <w:r>
        <w:rPr>
          <w:rFonts w:ascii="Times New Roman" w:cs="Times New Roman" w:eastAsia="Times New Roman" w:hAnsi="Times New Roman"/>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1" w:name="page452"/>
    <w:bookmarkEnd w:id="45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0" w:lineRule="auto"/>
        <w:tabs>
          <w:tab w:leader="none" w:pos="1519"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Mergers and Other Transactions</w:t>
      </w:r>
      <w:r>
        <w:rPr>
          <w:rFonts w:ascii="Times New Roman" w:cs="Times New Roman" w:eastAsia="Times New Roman" w:hAnsi="Times New Roman"/>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20"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528"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Maximum Awards to Non-Employee Directors</w:t>
      </w:r>
      <w:r>
        <w:rPr>
          <w:rFonts w:ascii="Times New Roman" w:cs="Times New Roman" w:eastAsia="Times New Roman" w:hAnsi="Times New Roman"/>
          <w:sz w:val="16"/>
          <w:szCs w:val="16"/>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4. ELIGIBILITY</w:t>
      </w:r>
    </w:p>
    <w:p>
      <w:pPr>
        <w:spacing w:after="0" w:line="127"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5. STOCK OPTIONS</w:t>
      </w:r>
    </w:p>
    <w:p>
      <w:pPr>
        <w:spacing w:after="0" w:line="139" w:lineRule="exact"/>
        <w:rPr>
          <w:sz w:val="20"/>
          <w:szCs w:val="20"/>
          <w:color w:val="auto"/>
        </w:rPr>
      </w:pPr>
    </w:p>
    <w:p>
      <w:pPr>
        <w:ind w:left="920" w:right="939" w:firstLine="381"/>
        <w:spacing w:after="0" w:line="280" w:lineRule="auto"/>
        <w:tabs>
          <w:tab w:leader="none" w:pos="1543"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of Stock Options</w:t>
      </w:r>
      <w:r>
        <w:rPr>
          <w:rFonts w:ascii="Times New Roman" w:cs="Times New Roman" w:eastAsia="Times New Roman" w:hAnsi="Times New Roman"/>
          <w:sz w:val="16"/>
          <w:szCs w:val="16"/>
          <w:color w:val="auto"/>
        </w:rPr>
        <w:t>. The Administrator may grant Stock Options under the Plan. Any Stock Option granted under the Plan shall be in such form as the Administrator may from time to time approve.</w:t>
      </w:r>
    </w:p>
    <w:p>
      <w:pPr>
        <w:spacing w:after="0" w:line="73"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0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02" w:lineRule="exact"/>
        <w:rPr>
          <w:sz w:val="20"/>
          <w:szCs w:val="20"/>
          <w:color w:val="auto"/>
        </w:rPr>
      </w:pPr>
    </w:p>
    <w:p>
      <w:pPr>
        <w:jc w:val="both"/>
        <w:ind w:left="920" w:right="939" w:firstLine="381"/>
        <w:spacing w:after="0" w:line="259" w:lineRule="auto"/>
        <w:tabs>
          <w:tab w:leader="none" w:pos="1528"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2" w:name="page453"/>
    <w:bookmarkEnd w:id="45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02" w:lineRule="exact"/>
        <w:rPr>
          <w:sz w:val="20"/>
          <w:szCs w:val="20"/>
          <w:color w:val="auto"/>
        </w:rPr>
      </w:pPr>
    </w:p>
    <w:p>
      <w:pPr>
        <w:jc w:val="both"/>
        <w:ind w:left="920" w:right="939" w:firstLine="381"/>
        <w:spacing w:after="0" w:line="259" w:lineRule="auto"/>
        <w:tabs>
          <w:tab w:leader="none" w:pos="1519"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Term</w:t>
      </w:r>
      <w:r>
        <w:rPr>
          <w:rFonts w:ascii="Times New Roman" w:cs="Times New Roman" w:eastAsia="Times New Roman" w:hAnsi="Times New Roman"/>
          <w:sz w:val="16"/>
          <w:szCs w:val="16"/>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528"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Exercisability; Rights of a Stockholder</w:t>
      </w:r>
      <w:r>
        <w:rPr>
          <w:rFonts w:ascii="Times New Roman" w:cs="Times New Roman" w:eastAsia="Times New Roman" w:hAnsi="Times New Roman"/>
          <w:sz w:val="16"/>
          <w:szCs w:val="16"/>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90"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555"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w:t>
      </w:r>
      <w:r>
        <w:rPr>
          <w:rFonts w:ascii="Times New Roman" w:cs="Times New Roman" w:eastAsia="Times New Roman" w:hAnsi="Times New Roman"/>
          <w:sz w:val="16"/>
          <w:szCs w:val="16"/>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02" w:lineRule="exact"/>
        <w:rPr>
          <w:rFonts w:ascii="Times New Roman" w:cs="Times New Roman" w:eastAsia="Times New Roman" w:hAnsi="Times New Roman"/>
          <w:sz w:val="16"/>
          <w:szCs w:val="16"/>
          <w:color w:val="auto"/>
        </w:rPr>
      </w:pPr>
    </w:p>
    <w:p>
      <w:pPr>
        <w:ind w:left="1880" w:hanging="196"/>
        <w:spacing w:after="0"/>
        <w:tabs>
          <w:tab w:leader="none" w:pos="1880" w:val="left"/>
        </w:tabs>
        <w:numPr>
          <w:ilvl w:val="1"/>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cash, by certified or bank check or other instrument acceptable to the Administrator;</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17" w:val="left"/>
        </w:tabs>
        <w:numPr>
          <w:ilvl w:val="1"/>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78" w:lineRule="auto"/>
        <w:tabs>
          <w:tab w:leader="none" w:pos="1978" w:val="left"/>
        </w:tabs>
        <w:numPr>
          <w:ilvl w:val="1"/>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88" w:lineRule="exact"/>
        <w:rPr>
          <w:rFonts w:ascii="Times New Roman" w:cs="Times New Roman" w:eastAsia="Times New Roman" w:hAnsi="Times New Roman"/>
          <w:sz w:val="15"/>
          <w:szCs w:val="15"/>
          <w:color w:val="auto"/>
        </w:rPr>
      </w:pPr>
    </w:p>
    <w:p>
      <w:pPr>
        <w:jc w:val="both"/>
        <w:ind w:left="920" w:right="939" w:firstLine="764"/>
        <w:spacing w:after="0" w:line="259" w:lineRule="auto"/>
        <w:tabs>
          <w:tab w:leader="none" w:pos="1992" w:val="left"/>
        </w:tabs>
        <w:numPr>
          <w:ilvl w:val="1"/>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02"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96" w:lineRule="exact"/>
        <w:rPr>
          <w:sz w:val="20"/>
          <w:szCs w:val="20"/>
          <w:color w:val="auto"/>
        </w:rPr>
      </w:pPr>
    </w:p>
    <w:p>
      <w:pPr>
        <w:jc w:val="both"/>
        <w:ind w:left="920" w:right="939" w:firstLine="381"/>
        <w:spacing w:after="0" w:line="255" w:lineRule="auto"/>
        <w:tabs>
          <w:tab w:leader="none" w:pos="1501"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Limit on Incentive Stock Options</w:t>
      </w:r>
      <w:r>
        <w:rPr>
          <w:rFonts w:ascii="Times New Roman" w:cs="Times New Roman" w:eastAsia="Times New Roman" w:hAnsi="Times New Roman"/>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3" w:name="page454"/>
    <w:bookmarkEnd w:id="45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6. STOCK APPRECIATION RIGHTS</w:t>
      </w:r>
    </w:p>
    <w:p>
      <w:pPr>
        <w:spacing w:after="0" w:line="139" w:lineRule="exact"/>
        <w:rPr>
          <w:sz w:val="20"/>
          <w:szCs w:val="20"/>
          <w:color w:val="auto"/>
        </w:rPr>
      </w:pPr>
    </w:p>
    <w:p>
      <w:pPr>
        <w:jc w:val="both"/>
        <w:ind w:left="920" w:right="939" w:firstLine="381"/>
        <w:spacing w:after="0" w:line="255" w:lineRule="auto"/>
        <w:tabs>
          <w:tab w:leader="none" w:pos="1531"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of Stock Appreciation Rights</w:t>
      </w:r>
      <w:r>
        <w:rPr>
          <w:rFonts w:ascii="Times New Roman" w:cs="Times New Roman" w:eastAsia="Times New Roman" w:hAnsi="Times New Roman"/>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0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4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 of Stock Appreciation Rights</w:t>
      </w:r>
      <w:r>
        <w:rPr>
          <w:rFonts w:ascii="Times New Roman" w:cs="Times New Roman" w:eastAsia="Times New Roman" w:hAnsi="Times New Roman"/>
          <w:sz w:val="16"/>
          <w:szCs w:val="16"/>
          <w:color w:val="auto"/>
        </w:rPr>
        <w:t>. The exercise price of a Stock Appreciation Right shall not be less than 100 percent of the Fair Market Value of the Stock on the date of grant.</w:t>
      </w:r>
    </w:p>
    <w:p>
      <w:pPr>
        <w:spacing w:after="0" w:line="72"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31"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and Exercise of Stock Appreciation Rights</w:t>
      </w:r>
      <w:r>
        <w:rPr>
          <w:rFonts w:ascii="Times New Roman" w:cs="Times New Roman" w:eastAsia="Times New Roman" w:hAnsi="Times New Roman"/>
          <w:sz w:val="16"/>
          <w:szCs w:val="16"/>
          <w:color w:val="auto"/>
        </w:rPr>
        <w:t>. Stock Appreciation Rights may be granted by the Administrator independently of any Stock Option granted pursuant to Section 5 of the Plan.</w:t>
      </w:r>
    </w:p>
    <w:p>
      <w:pPr>
        <w:spacing w:after="0" w:line="84" w:lineRule="exact"/>
        <w:rPr>
          <w:rFonts w:ascii="Times New Roman" w:cs="Times New Roman" w:eastAsia="Times New Roman" w:hAnsi="Times New Roman"/>
          <w:sz w:val="16"/>
          <w:szCs w:val="16"/>
          <w:color w:val="auto"/>
        </w:rPr>
      </w:pPr>
    </w:p>
    <w:p>
      <w:pPr>
        <w:jc w:val="both"/>
        <w:ind w:left="920" w:right="939" w:firstLine="381"/>
        <w:spacing w:after="0" w:line="282" w:lineRule="auto"/>
        <w:tabs>
          <w:tab w:leader="none" w:pos="1540" w:val="left"/>
        </w:tabs>
        <w:numPr>
          <w:ilvl w:val="0"/>
          <w:numId w:val="4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Terms and Conditions of Stock Appreciation Rights</w:t>
      </w:r>
      <w:r>
        <w:rPr>
          <w:rFonts w:ascii="Times New Roman" w:cs="Times New Roman" w:eastAsia="Times New Roman" w:hAnsi="Times New Roman"/>
          <w:sz w:val="15"/>
          <w:szCs w:val="15"/>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7. RESTRICTED STOCK AWARDS</w:t>
      </w:r>
    </w:p>
    <w:p>
      <w:pPr>
        <w:spacing w:after="0" w:line="127" w:lineRule="exact"/>
        <w:rPr>
          <w:sz w:val="20"/>
          <w:szCs w:val="20"/>
          <w:color w:val="auto"/>
        </w:rPr>
      </w:pPr>
    </w:p>
    <w:p>
      <w:pPr>
        <w:jc w:val="both"/>
        <w:ind w:left="920" w:right="939" w:firstLine="381"/>
        <w:spacing w:after="0" w:line="259" w:lineRule="auto"/>
        <w:tabs>
          <w:tab w:leader="none" w:pos="1531" w:val="left"/>
        </w:tabs>
        <w:numPr>
          <w:ilvl w:val="1"/>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Restricted Stock Awards</w:t>
      </w:r>
      <w:r>
        <w:rPr>
          <w:rFonts w:ascii="Times New Roman" w:cs="Times New Roman" w:eastAsia="Times New Roman" w:hAnsi="Times New Roman"/>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528" w:val="left"/>
        </w:tabs>
        <w:numPr>
          <w:ilvl w:val="1"/>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as a Stockholder</w:t>
      </w:r>
      <w:r>
        <w:rPr>
          <w:rFonts w:ascii="Times New Roman" w:cs="Times New Roman" w:eastAsia="Times New Roman" w:hAnsi="Times New Roman"/>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jc w:val="both"/>
        <w:ind w:left="920" w:right="939" w:hanging="1"/>
        <w:spacing w:after="0" w:line="251" w:lineRule="auto"/>
        <w:tabs>
          <w:tab w:leader="none" w:pos="1125"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07"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579"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54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of Restricted Shares</w:t>
      </w:r>
      <w:r>
        <w:rPr>
          <w:rFonts w:ascii="Times New Roman" w:cs="Times New Roman" w:eastAsia="Times New Roman" w:hAnsi="Times New Roman"/>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4" w:name="page455"/>
    <w:bookmarkEnd w:id="45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8. RESTRICTED STOCK UNITS</w:t>
      </w:r>
    </w:p>
    <w:p>
      <w:pPr>
        <w:spacing w:after="0" w:line="139" w:lineRule="exact"/>
        <w:rPr>
          <w:sz w:val="20"/>
          <w:szCs w:val="20"/>
          <w:color w:val="auto"/>
        </w:rPr>
      </w:pPr>
    </w:p>
    <w:p>
      <w:pPr>
        <w:jc w:val="both"/>
        <w:ind w:left="920" w:right="939" w:firstLine="381"/>
        <w:spacing w:after="0" w:line="252" w:lineRule="auto"/>
        <w:tabs>
          <w:tab w:leader="none" w:pos="1519"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Restricted Stock Units</w:t>
      </w:r>
      <w:r>
        <w:rPr>
          <w:rFonts w:ascii="Times New Roman" w:cs="Times New Roman" w:eastAsia="Times New Roman" w:hAnsi="Times New Roman"/>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09"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540"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 to Receive Restricted Stock Units in Lieu of Compensation</w:t>
      </w:r>
      <w:r>
        <w:rPr>
          <w:rFonts w:ascii="Times New Roman" w:cs="Times New Roman" w:eastAsia="Times New Roman" w:hAnsi="Times New Roman"/>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531"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as a Stockholder</w:t>
      </w:r>
      <w:r>
        <w:rPr>
          <w:rFonts w:ascii="Times New Roman" w:cs="Times New Roman" w:eastAsia="Times New Roman" w:hAnsi="Times New Roman"/>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576"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9. UNRESTRICTED STOCK AWARDS</w:t>
      </w:r>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u w:val="single" w:color="auto"/>
          <w:color w:val="auto"/>
        </w:rPr>
        <w:t>Grant or Sale of Unrestricted Stock</w:t>
      </w:r>
      <w:r>
        <w:rPr>
          <w:rFonts w:ascii="Times New Roman" w:cs="Times New Roman" w:eastAsia="Times New Roman" w:hAnsi="Times New Roman"/>
          <w:sz w:val="16"/>
          <w:szCs w:val="16"/>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10. CASH-BASED AWARDS</w:t>
      </w:r>
    </w:p>
    <w:p>
      <w:pPr>
        <w:spacing w:after="0" w:line="139"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u w:val="single" w:color="auto"/>
          <w:color w:val="auto"/>
        </w:rPr>
        <w:t>Grant of Cash-Based Awards</w:t>
      </w:r>
      <w:r>
        <w:rPr>
          <w:rFonts w:ascii="Times New Roman" w:cs="Times New Roman" w:eastAsia="Times New Roman" w:hAnsi="Times New Roman"/>
          <w:sz w:val="16"/>
          <w:szCs w:val="16"/>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11. DIVIDEND EQUIVALENT RIGHTS</w:t>
      </w:r>
    </w:p>
    <w:p>
      <w:pPr>
        <w:spacing w:after="0" w:line="139" w:lineRule="exact"/>
        <w:rPr>
          <w:sz w:val="20"/>
          <w:szCs w:val="20"/>
          <w:color w:val="auto"/>
        </w:rPr>
      </w:pPr>
    </w:p>
    <w:p>
      <w:pPr>
        <w:jc w:val="both"/>
        <w:ind w:left="920" w:right="939" w:firstLine="381"/>
        <w:spacing w:after="0" w:line="257" w:lineRule="auto"/>
        <w:tabs>
          <w:tab w:leader="none" w:pos="1519"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Equivalent Rights</w:t>
      </w:r>
      <w:r>
        <w:rPr>
          <w:rFonts w:ascii="Times New Roman" w:cs="Times New Roman" w:eastAsia="Times New Roman" w:hAnsi="Times New Roman"/>
          <w:sz w:val="16"/>
          <w:szCs w:val="16"/>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5" w:name="page456"/>
    <w:bookmarkEnd w:id="45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0" w:lineRule="exact"/>
        <w:rPr>
          <w:sz w:val="20"/>
          <w:szCs w:val="20"/>
          <w:color w:val="auto"/>
        </w:rPr>
      </w:pPr>
    </w:p>
    <w:p>
      <w:pPr>
        <w:jc w:val="both"/>
        <w:ind w:left="920" w:right="939" w:firstLine="381"/>
        <w:spacing w:after="0" w:line="259" w:lineRule="auto"/>
        <w:tabs>
          <w:tab w:leader="none" w:pos="1576"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TRANSFERABILITY OF AWARDS</w:t>
      </w:r>
    </w:p>
    <w:p>
      <w:pPr>
        <w:spacing w:after="0" w:line="127" w:lineRule="exact"/>
        <w:rPr>
          <w:sz w:val="20"/>
          <w:szCs w:val="20"/>
          <w:color w:val="auto"/>
        </w:rPr>
      </w:pPr>
    </w:p>
    <w:p>
      <w:pPr>
        <w:jc w:val="both"/>
        <w:ind w:left="920" w:right="939" w:firstLine="381"/>
        <w:spacing w:after="0" w:line="255" w:lineRule="auto"/>
        <w:tabs>
          <w:tab w:leader="none" w:pos="1543"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05"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528"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Administrator Action</w:t>
      </w:r>
      <w:r>
        <w:rPr>
          <w:rFonts w:ascii="Times New Roman" w:cs="Times New Roman" w:eastAsia="Times New Roman" w:hAnsi="Times New Roman"/>
          <w:sz w:val="16"/>
          <w:szCs w:val="16"/>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555"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94"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528"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Designation of Beneficiary</w:t>
      </w:r>
      <w:r>
        <w:rPr>
          <w:rFonts w:ascii="Times New Roman" w:cs="Times New Roman" w:eastAsia="Times New Roman" w:hAnsi="Times New Roman"/>
          <w:sz w:val="16"/>
          <w:szCs w:val="16"/>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TAX WITHHOLDING</w:t>
      </w:r>
    </w:p>
    <w:p>
      <w:pPr>
        <w:spacing w:after="0" w:line="139" w:lineRule="exact"/>
        <w:rPr>
          <w:sz w:val="20"/>
          <w:szCs w:val="20"/>
          <w:color w:val="auto"/>
        </w:rPr>
      </w:pPr>
    </w:p>
    <w:p>
      <w:pPr>
        <w:jc w:val="both"/>
        <w:ind w:left="920" w:right="939" w:firstLine="381"/>
        <w:spacing w:after="0" w:line="253" w:lineRule="auto"/>
        <w:tabs>
          <w:tab w:leader="none" w:pos="1519"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by Grantee</w:t>
      </w:r>
      <w:r>
        <w:rPr>
          <w:rFonts w:ascii="Times New Roman" w:cs="Times New Roman" w:eastAsia="Times New Roman" w:hAnsi="Times New Roman"/>
          <w:sz w:val="16"/>
          <w:szCs w:val="16"/>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6" w:name="page457"/>
    <w:bookmarkEnd w:id="45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2" w:lineRule="auto"/>
        <w:tabs>
          <w:tab w:leader="none" w:pos="154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in Stock</w:t>
      </w:r>
      <w:r>
        <w:rPr>
          <w:rFonts w:ascii="Times New Roman" w:cs="Times New Roman" w:eastAsia="Times New Roman" w:hAnsi="Times New Roman"/>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SECTION 409A AWARDS</w:t>
      </w:r>
    </w:p>
    <w:p>
      <w:pPr>
        <w:spacing w:after="0" w:line="139"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TERMINATION OF SERVICE RELATIONSHIP, TRANSFER, LEAVE OF ABSENCE, ETC.</w:t>
      </w:r>
    </w:p>
    <w:p>
      <w:pPr>
        <w:spacing w:after="0" w:line="139" w:lineRule="exact"/>
        <w:rPr>
          <w:sz w:val="20"/>
          <w:szCs w:val="20"/>
          <w:color w:val="auto"/>
        </w:rPr>
      </w:pPr>
    </w:p>
    <w:p>
      <w:pPr>
        <w:jc w:val="both"/>
        <w:ind w:left="920" w:right="939" w:firstLine="381"/>
        <w:spacing w:after="0" w:line="265" w:lineRule="auto"/>
        <w:tabs>
          <w:tab w:leader="none" w:pos="1519"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Service Relationship</w:t>
      </w:r>
      <w:r>
        <w:rPr>
          <w:rFonts w:ascii="Times New Roman" w:cs="Times New Roman" w:eastAsia="Times New Roman" w:hAnsi="Times New Roman"/>
          <w:sz w:val="16"/>
          <w:szCs w:val="16"/>
          <w:color w:val="auto"/>
        </w:rPr>
        <w:t>. If the grantee’s Service Relationship is with an Affiliate and such Affiliate ceases to be an Affiliate, the grantee shall be deemed to have terminated his or her Service Relationship for purposes of the Plan.</w:t>
      </w:r>
    </w:p>
    <w:p>
      <w:pPr>
        <w:spacing w:after="0" w:line="9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65"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the Plan, the following events shall not be deemed a termination of a Service Relationship:</w:t>
      </w:r>
    </w:p>
    <w:p>
      <w:pPr>
        <w:spacing w:after="0" w:line="7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00" w:val="left"/>
        </w:tabs>
        <w:numPr>
          <w:ilvl w:val="1"/>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to the employment of the Company from an Affiliate or from the Company to an Affiliate, or from one Affiliate to another; or</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21" w:val="left"/>
        </w:tabs>
        <w:numPr>
          <w:ilvl w:val="1"/>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AMENDMENTS AND TERMINATION</w:t>
      </w:r>
    </w:p>
    <w:p>
      <w:pPr>
        <w:spacing w:after="0" w:line="12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STATUS OF PLAN</w:t>
      </w:r>
    </w:p>
    <w:p>
      <w:pPr>
        <w:spacing w:after="0" w:line="139"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7" w:name="page458"/>
    <w:bookmarkEnd w:id="45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GENERAL PROVISIONS</w:t>
      </w:r>
    </w:p>
    <w:p>
      <w:pPr>
        <w:spacing w:after="0" w:line="139" w:lineRule="exact"/>
        <w:rPr>
          <w:sz w:val="20"/>
          <w:szCs w:val="20"/>
          <w:color w:val="auto"/>
        </w:rPr>
      </w:pPr>
    </w:p>
    <w:p>
      <w:pPr>
        <w:jc w:val="both"/>
        <w:ind w:left="920" w:right="939" w:firstLine="381"/>
        <w:spacing w:after="0" w:line="265" w:lineRule="auto"/>
        <w:tabs>
          <w:tab w:leader="none" w:pos="1519"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Distribution</w:t>
      </w:r>
      <w:r>
        <w:rPr>
          <w:rFonts w:ascii="Times New Roman" w:cs="Times New Roman" w:eastAsia="Times New Roman" w:hAnsi="Times New Roman"/>
          <w:sz w:val="16"/>
          <w:szCs w:val="16"/>
          <w:color w:val="auto"/>
        </w:rPr>
        <w:t>. The Administrator may require each person acquiring Stock pursuant to an Award to represent to and agree with the Company in writing that such person is acquiring the shares without a view to distribution thereof.</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68" w:lineRule="auto"/>
        <w:tabs>
          <w:tab w:leader="none" w:pos="1540" w:val="left"/>
        </w:tabs>
        <w:numPr>
          <w:ilvl w:val="0"/>
          <w:numId w:val="4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Issuance of Stock</w:t>
      </w:r>
      <w:r>
        <w:rPr>
          <w:rFonts w:ascii="Times New Roman" w:cs="Times New Roman" w:eastAsia="Times New Roman" w:hAnsi="Times New Roman"/>
          <w:sz w:val="15"/>
          <w:szCs w:val="15"/>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92" w:lineRule="exact"/>
        <w:rPr>
          <w:rFonts w:ascii="Times New Roman" w:cs="Times New Roman" w:eastAsia="Times New Roman" w:hAnsi="Times New Roman"/>
          <w:sz w:val="15"/>
          <w:szCs w:val="15"/>
          <w:color w:val="auto"/>
        </w:rPr>
      </w:pPr>
    </w:p>
    <w:p>
      <w:pPr>
        <w:jc w:val="both"/>
        <w:ind w:left="920" w:right="939" w:firstLine="381"/>
        <w:spacing w:after="0" w:line="259" w:lineRule="auto"/>
        <w:tabs>
          <w:tab w:leader="none" w:pos="1519"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Rights</w:t>
      </w:r>
      <w:r>
        <w:rPr>
          <w:rFonts w:ascii="Times New Roman" w:cs="Times New Roman" w:eastAsia="Times New Roman" w:hAnsi="Times New Roman"/>
          <w:sz w:val="16"/>
          <w:szCs w:val="16"/>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552"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Compensation Arrangements; No Employment Rights</w:t>
      </w:r>
      <w:r>
        <w:rPr>
          <w:rFonts w:ascii="Times New Roman" w:cs="Times New Roman" w:eastAsia="Times New Roman" w:hAnsi="Times New Roman"/>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90"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19"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Policy Restrictions</w:t>
      </w:r>
      <w:r>
        <w:rPr>
          <w:rFonts w:ascii="Times New Roman" w:cs="Times New Roman" w:eastAsia="Times New Roman" w:hAnsi="Times New Roman"/>
          <w:sz w:val="16"/>
          <w:szCs w:val="16"/>
          <w:color w:val="auto"/>
        </w:rPr>
        <w:t>. Option exercises and other Awards under the Plan shall be subject to the Company’s insider trading policies and procedures, as in effect from time to time.</w:t>
      </w:r>
    </w:p>
    <w:p>
      <w:pPr>
        <w:spacing w:after="0" w:line="84"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513"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 Policy</w:t>
      </w:r>
      <w:r>
        <w:rPr>
          <w:rFonts w:ascii="Times New Roman" w:cs="Times New Roman" w:eastAsia="Times New Roman" w:hAnsi="Times New Roman"/>
          <w:sz w:val="16"/>
          <w:szCs w:val="16"/>
          <w:color w:val="auto"/>
        </w:rPr>
        <w:t>. Awards under the Plan shall be subject to the Company’s clawback policy, as in effect from time to time.</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EFFECTIVE DATE OF PLAN</w:t>
      </w:r>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58" w:name="page459"/>
    <w:bookmarkEnd w:id="45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20. </w:t>
      </w:r>
      <w:r>
        <w:rPr>
          <w:rFonts w:ascii="Times New Roman" w:cs="Times New Roman" w:eastAsia="Times New Roman" w:hAnsi="Times New Roman"/>
          <w:sz w:val="16"/>
          <w:szCs w:val="16"/>
          <w:u w:val="single" w:color="auto"/>
          <w:color w:val="auto"/>
        </w:rPr>
        <w:t>GOVERNING LAW</w:t>
      </w:r>
    </w:p>
    <w:p>
      <w:pPr>
        <w:spacing w:after="0" w:line="139"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DATE APPROVED BY BOARD OF DIRECTORS:</w:t>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DATE APPROVED BY STOCKHOLDERS: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9" w:name="page460"/>
    <w:bookmarkEnd w:id="45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u w:val="single" w:color="auto"/>
          <w:color w:val="auto"/>
        </w:rPr>
        <w:t>EXHIBIT J</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FIRPTA Certificate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Treasury Regulations Section 1.1445-2(c)(3) and Section 1.897-2(h)</w:t>
      </w:r>
    </w:p>
    <w:p>
      <w:pPr>
        <w:spacing w:after="0" w:line="122"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0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84" w:lineRule="exact"/>
        <w:rPr>
          <w:sz w:val="20"/>
          <w:szCs w:val="20"/>
          <w:color w:val="auto"/>
        </w:rPr>
      </w:pPr>
    </w:p>
    <w:p>
      <w:pPr>
        <w:ind w:left="1460" w:hanging="159"/>
        <w:spacing w:after="0"/>
        <w:tabs>
          <w:tab w:leader="none" w:pos="1460"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and is treated as a corporation for U.S. federal income tax purposes.</w:t>
      </w:r>
    </w:p>
    <w:p>
      <w:pPr>
        <w:spacing w:after="0" w:line="138"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U.S. employer identification number is [•].</w:t>
      </w:r>
    </w:p>
    <w:p>
      <w:pPr>
        <w:spacing w:after="0" w:line="138" w:lineRule="exact"/>
        <w:rPr>
          <w:rFonts w:ascii="Times New Roman" w:cs="Times New Roman" w:eastAsia="Times New Roman" w:hAnsi="Times New Roman"/>
          <w:sz w:val="16"/>
          <w:szCs w:val="16"/>
          <w:color w:val="auto"/>
        </w:rPr>
      </w:pPr>
    </w:p>
    <w:p>
      <w:pPr>
        <w:ind w:left="1460" w:hanging="159"/>
        <w:spacing w:after="0"/>
        <w:tabs>
          <w:tab w:leader="none" w:pos="1460"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address is: 300 One Kendall Square,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Cambridge, MA 02139.</w:t>
      </w:r>
    </w:p>
    <w:p>
      <w:pPr>
        <w:spacing w:after="0" w:line="103"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491"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0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477"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understands that this certification may be disclosed to the Internal Revenue Service by Transferee and that any false statement contained herein could be punished by fine, imprisonment or both.</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Attached hereto is a notice, dated as of the date hereof, from the Company to the Internal Revenue Service to the effect that the Company has determined equity interests in the Company are not USRPIs.</w:t>
      </w:r>
    </w:p>
    <w:p>
      <w:pPr>
        <w:spacing w:after="0" w:line="73"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0" w:name="page461"/>
    <w:bookmarkEnd w:id="46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Dated: [date]</w:t>
      </w:r>
    </w:p>
    <w:p>
      <w:pPr>
        <w:spacing w:after="0" w:line="1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color w:val="auto"/>
        </w:rPr>
        <w:t>GEMINI THERAPEUTICS, INC.,</w:t>
      </w:r>
    </w:p>
    <w:p>
      <w:pPr>
        <w:spacing w:after="0" w:line="7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38100</wp:posOffset>
            </wp:positionV>
            <wp:extent cx="1722755"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22755"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Title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1" w:name="page462"/>
    <w:bookmarkEnd w:id="46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[VIA CERTIFIED MAIL</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RETURN RECEIPT REQUESTED]</w:t>
      </w:r>
    </w:p>
    <w:p>
      <w:pPr>
        <w:spacing w:after="0" w:line="1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Internal Revenue Service Center</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P.O. Box 409101</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Ogden, UT 84409</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 Notice Required Under Treasury Regulations Section 1.897-2(h)(2)</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Dear Sir/Madam:</w:t>
      </w:r>
    </w:p>
    <w:p>
      <w:pPr>
        <w:spacing w:after="0" w:line="139"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This notice is provided pursuant to the requirements of Treasury Regulations Section 1.897-2(h)(2).</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information relates to the corporation providing the notice:</w:t>
      </w:r>
    </w:p>
    <w:p>
      <w:pPr>
        <w:sectPr>
          <w:pgSz w:w="11900" w:h="16838" w:orient="portrait"/>
          <w:cols w:equalWidth="0" w:num="1">
            <w:col w:w="9019"/>
          </w:cols>
          <w:pgMar w:left="1440" w:top="254" w:right="1440" w:bottom="1440" w:gutter="0" w:footer="0" w:header="0"/>
        </w:sectPr>
      </w:pP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Address:</w:t>
      </w:r>
    </w:p>
    <w:p>
      <w:pPr>
        <w:spacing w:after="0" w:line="193"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11"/>
          <w:szCs w:val="11"/>
          <w:color w:val="auto"/>
        </w:rPr>
        <w:t>EIN:</w:t>
      </w:r>
      <w:r>
        <w:rPr>
          <w:sz w:val="20"/>
          <w:szCs w:val="20"/>
          <w:color w:val="auto"/>
        </w:rPr>
        <w:tab/>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300 One Kendall Square, 3</w:t>
      </w:r>
      <w:r>
        <w:rPr>
          <w:rFonts w:ascii="Times New Roman" w:cs="Times New Roman" w:eastAsia="Times New Roman" w:hAnsi="Times New Roman"/>
          <w:sz w:val="9"/>
          <w:szCs w:val="9"/>
          <w:color w:val="auto"/>
        </w:rPr>
        <w:t>rd</w:t>
      </w:r>
      <w:r>
        <w:rPr>
          <w:rFonts w:ascii="Times New Roman" w:cs="Times New Roman" w:eastAsia="Times New Roman" w:hAnsi="Times New Roman"/>
          <w:sz w:val="16"/>
          <w:szCs w:val="16"/>
          <w:color w:val="auto"/>
        </w:rPr>
        <w:t xml:space="preserve"> Floor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Cambridge, MA 02139</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p>
    <w:p>
      <w:pPr>
        <w:spacing w:after="0" w:line="122" w:lineRule="exact"/>
        <w:rPr>
          <w:sz w:val="20"/>
          <w:szCs w:val="20"/>
          <w:color w:val="auto"/>
        </w:rPr>
      </w:pPr>
    </w:p>
    <w:p>
      <w:pPr>
        <w:sectPr>
          <w:pgSz w:w="11900" w:h="16838" w:orient="portrait"/>
          <w:cols w:equalWidth="0" w:num="2">
            <w:col w:w="1860" w:space="60"/>
            <w:col w:w="7099"/>
          </w:cols>
          <w:pgMar w:left="1440" w:top="254" w:right="1440" w:bottom="1440" w:gutter="0" w:footer="0" w:header="0"/>
          <w:type w:val="continuous"/>
        </w:sect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9019"/>
          </w:cols>
          <w:pgMar w:left="1440" w:top="254" w:right="1440" w:bottom="1440" w:gutter="0" w:footer="0" w:header="0"/>
          <w:type w:val="continuous"/>
        </w:sectPr>
      </w:pP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Address:</w:t>
      </w:r>
    </w:p>
    <w:p>
      <w:pPr>
        <w:spacing w:after="0" w:line="193"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11"/>
          <w:szCs w:val="11"/>
          <w:color w:val="auto"/>
        </w:rPr>
        <w:t>EIN:</w:t>
      </w:r>
      <w:r>
        <w:rPr>
          <w:sz w:val="20"/>
          <w:szCs w:val="20"/>
          <w:color w:val="auto"/>
        </w:rPr>
        <w:tab/>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San Francisco, CA 94111</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p>
    <w:p>
      <w:pPr>
        <w:spacing w:after="0" w:line="122" w:lineRule="exact"/>
        <w:rPr>
          <w:sz w:val="20"/>
          <w:szCs w:val="20"/>
          <w:color w:val="auto"/>
        </w:rPr>
      </w:pPr>
    </w:p>
    <w:p>
      <w:pPr>
        <w:sectPr>
          <w:pgSz w:w="11900" w:h="16838" w:orient="portrait"/>
          <w:cols w:equalWidth="0" w:num="2">
            <w:col w:w="1860" w:space="60"/>
            <w:col w:w="7099"/>
          </w:cols>
          <w:pgMar w:left="1440" w:top="254" w:right="1440" w:bottom="1440" w:gutter="0" w:footer="0" w:header="0"/>
          <w:type w:val="continuous"/>
        </w:sect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The interests in question (equity interests in the Company) are not “U.S. real property interests,” as that term is defined in section 897(c)(1) of the Internal Revenue Code of 1986, as amended.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462" w:name="page463"/>
    <w:bookmarkEnd w:id="46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38100</wp:posOffset>
            </wp:positionV>
            <wp:extent cx="162369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spacing w:after="0" w:line="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[Name]</w:t>
      </w:r>
    </w:p>
    <w:p>
      <w:pPr>
        <w:spacing w:after="0" w:line="6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Title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63" w:name="page464"/>
    <w:bookmarkEnd w:id="46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u w:val="single" w:color="auto"/>
          <w:color w:val="auto"/>
        </w:rPr>
        <w:t>EXHIBIT K</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FORM OF LOCKUP AGREEMENT</w:t>
      </w:r>
    </w:p>
    <w:p>
      <w:pPr>
        <w:spacing w:after="0" w:line="139"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color w:val="auto"/>
        </w:rPr>
        <w:t>This Lockup Agreement (this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is dated as of October [•], 2020 and is between FS Development Corp., a Delaware corporation (“</w:t>
      </w:r>
      <w:r>
        <w:rPr>
          <w:rFonts w:ascii="Times New Roman" w:cs="Times New Roman" w:eastAsia="Times New Roman" w:hAnsi="Times New Roman"/>
          <w:sz w:val="16"/>
          <w:szCs w:val="16"/>
          <w:b w:val="1"/>
          <w:bCs w:val="1"/>
          <w:u w:val="single" w:color="auto"/>
          <w:color w:val="auto"/>
        </w:rPr>
        <w:t>FSD</w:t>
      </w:r>
      <w:r>
        <w:rPr>
          <w:rFonts w:ascii="Times New Roman" w:cs="Times New Roman" w:eastAsia="Times New Roman" w:hAnsi="Times New Roman"/>
          <w:sz w:val="16"/>
          <w:szCs w:val="16"/>
          <w:color w:val="auto"/>
        </w:rPr>
        <w:t xml:space="preserve">”), and each of the stockholder parties identified on </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hereto and the other persons who enter into a joinder to this Agreement substantially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 with FSD in order to become a “Stockholder Party” for purposes of this Agreement (collectively, the “</w:t>
      </w:r>
      <w:r>
        <w:rPr>
          <w:rFonts w:ascii="Times New Roman" w:cs="Times New Roman" w:eastAsia="Times New Roman" w:hAnsi="Times New Roman"/>
          <w:sz w:val="16"/>
          <w:szCs w:val="16"/>
          <w:b w:val="1"/>
          <w:bCs w:val="1"/>
          <w:u w:val="single" w:color="auto"/>
          <w:color w:val="auto"/>
        </w:rPr>
        <w:t>Stockholder Parties</w:t>
      </w:r>
      <w:r>
        <w:rPr>
          <w:rFonts w:ascii="Times New Roman" w:cs="Times New Roman" w:eastAsia="Times New Roman" w:hAnsi="Times New Roman"/>
          <w:sz w:val="16"/>
          <w:szCs w:val="16"/>
          <w:color w:val="auto"/>
        </w:rPr>
        <w:t>”). Capitalized terms used but not defined herein shall have the meanings assigned to them in the Merger Agreement (as defined below).</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39"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that certain Agreement and Plan of Merger, dated as of October [•], 2020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 Agreement</w:t>
      </w:r>
      <w:r>
        <w:rPr>
          <w:rFonts w:ascii="Times New Roman" w:cs="Times New Roman" w:eastAsia="Times New Roman" w:hAnsi="Times New Roman"/>
          <w:sz w:val="16"/>
          <w:szCs w:val="16"/>
          <w:color w:val="auto"/>
        </w:rPr>
        <w:t>”), FSG Merger Sub Inc., a Delaware corporation and a direct, wholly owned subsidiary of FSD, will merge (the “</w:t>
      </w:r>
      <w:r>
        <w:rPr>
          <w:rFonts w:ascii="Times New Roman" w:cs="Times New Roman" w:eastAsia="Times New Roman" w:hAnsi="Times New Roman"/>
          <w:sz w:val="16"/>
          <w:szCs w:val="16"/>
          <w:b w:val="1"/>
          <w:bCs w:val="1"/>
          <w:u w:val="single" w:color="auto"/>
          <w:color w:val="auto"/>
        </w:rPr>
        <w:t>Merger</w:t>
      </w:r>
      <w:r>
        <w:rPr>
          <w:rFonts w:ascii="Times New Roman" w:cs="Times New Roman" w:eastAsia="Times New Roman" w:hAnsi="Times New Roman"/>
          <w:sz w:val="16"/>
          <w:szCs w:val="16"/>
          <w:color w:val="auto"/>
        </w:rPr>
        <w:t>”) with and into Gemini Therapeutics, Inc., a Delaware corporation (“</w:t>
      </w:r>
      <w:r>
        <w:rPr>
          <w:rFonts w:ascii="Times New Roman" w:cs="Times New Roman" w:eastAsia="Times New Roman" w:hAnsi="Times New Roman"/>
          <w:sz w:val="16"/>
          <w:szCs w:val="16"/>
          <w:b w:val="1"/>
          <w:bCs w:val="1"/>
          <w:u w:val="single" w:color="auto"/>
          <w:color w:val="auto"/>
        </w:rPr>
        <w:t>Gemini</w:t>
      </w:r>
      <w:r>
        <w:rPr>
          <w:rFonts w:ascii="Times New Roman" w:cs="Times New Roman" w:eastAsia="Times New Roman" w:hAnsi="Times New Roman"/>
          <w:sz w:val="16"/>
          <w:szCs w:val="16"/>
          <w:color w:val="auto"/>
        </w:rPr>
        <w:t>”), with Gemini surviving the Merger as a wholly owned subsidiary of FSD;</w:t>
      </w:r>
    </w:p>
    <w:p>
      <w:pPr>
        <w:spacing w:after="0" w:line="87"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of the Stockholder Parties owns the number and type of Equity Interest in Gemini set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forth opposite of such Stockholder Party’s name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(such Equity Interests, the “</w:t>
      </w:r>
      <w:r>
        <w:rPr>
          <w:rFonts w:ascii="Times New Roman" w:cs="Times New Roman" w:eastAsia="Times New Roman" w:hAnsi="Times New Roman"/>
          <w:sz w:val="16"/>
          <w:szCs w:val="16"/>
          <w:b w:val="1"/>
          <w:bCs w:val="1"/>
          <w:u w:val="single" w:color="auto"/>
          <w:color w:val="auto"/>
        </w:rPr>
        <w:t>Gemini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Interests</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each of the Stockholder Parties will receive a certain number of shares of Class A common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 $0.0001 par value per share, of FSD and/or options to purchase such shares of Class A common stock (the “</w:t>
      </w:r>
      <w:r>
        <w:rPr>
          <w:rFonts w:ascii="Times New Roman" w:cs="Times New Roman" w:eastAsia="Times New Roman" w:hAnsi="Times New Roman"/>
          <w:sz w:val="15"/>
          <w:szCs w:val="15"/>
          <w:b w:val="1"/>
          <w:bCs w:val="1"/>
          <w:u w:val="single" w:color="auto"/>
          <w:color w:val="auto"/>
        </w:rPr>
        <w:t>FSD Equity Interests</w:t>
      </w:r>
      <w:r>
        <w:rPr>
          <w:rFonts w:ascii="Times New Roman" w:cs="Times New Roman" w:eastAsia="Times New Roman" w:hAnsi="Times New Roman"/>
          <w:sz w:val="15"/>
          <w:szCs w:val="15"/>
          <w:color w:val="auto"/>
        </w:rPr>
        <w:t>”, together with the Gemini Equity Interests, and together with any of the foregoing acquired after the date hereof, the “</w:t>
      </w:r>
      <w:r>
        <w:rPr>
          <w:rFonts w:ascii="Times New Roman" w:cs="Times New Roman" w:eastAsia="Times New Roman" w:hAnsi="Times New Roman"/>
          <w:sz w:val="15"/>
          <w:szCs w:val="15"/>
          <w:b w:val="1"/>
          <w:bCs w:val="1"/>
          <w:u w:val="single" w:color="auto"/>
          <w:color w:val="auto"/>
        </w:rPr>
        <w:t>Covered Equity Interest</w:t>
      </w:r>
      <w:r>
        <w:rPr>
          <w:rFonts w:ascii="Times New Roman" w:cs="Times New Roman" w:eastAsia="Times New Roman" w:hAnsi="Times New Roman"/>
          <w:sz w:val="15"/>
          <w:szCs w:val="15"/>
          <w:color w:val="auto"/>
        </w:rPr>
        <w:t>”), pursuant to the terms of the Merger Agreement;</w:t>
      </w:r>
    </w:p>
    <w:p>
      <w:pPr>
        <w:spacing w:after="0" w:line="83"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consideration for the benefits to be received by each Stockholder Party under the terms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Agreement and as a 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90"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hereto acknowledge and agree that FSD would not have entered into and agreed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consummate the transactions contemplated by the Merger Agreement without each Stockholder Party entering into this Agreement and agreeing to be bound by the agreements, covenants and obligations contained in this Agreement;</w:t>
      </w:r>
    </w:p>
    <w:p>
      <w:pPr>
        <w:spacing w:after="0" w:line="99"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in connection with FSD entering into the Merger Agreement, the parties hereto wish to set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forth herein certain understandings between such parties with respect to restrictions on transfer of the Covered Equity Interest.</w:t>
      </w:r>
    </w:p>
    <w:p>
      <w:pPr>
        <w:spacing w:after="0" w:line="93"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premises and the mutual promises set forth herein and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good and valuable consideration, the receipt and sufficiency of which are hereby acknowledged, the parties hereto, each intending to be legally bound, hereby agree as follows: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INTRODUCTORY MATTERS</w:t>
      </w:r>
    </w:p>
    <w:p>
      <w:pPr>
        <w:spacing w:after="0" w:line="127"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b w:val="1"/>
          <w:bCs w:val="1"/>
          <w:u w:val="single" w:color="auto"/>
          <w:color w:val="auto"/>
        </w:rPr>
        <w:t>Defined Terms</w:t>
      </w:r>
      <w:r>
        <w:rPr>
          <w:rFonts w:ascii="Times New Roman" w:cs="Times New Roman" w:eastAsia="Times New Roman" w:hAnsi="Times New Roman"/>
          <w:sz w:val="16"/>
          <w:szCs w:val="16"/>
          <w:color w:val="auto"/>
        </w:rPr>
        <w:t>. In addition to the terms defined elsewhere herein, the following terms have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meanings when used herein with initial capital letters:</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means this Lockup Agreement, as the same may be amended, supplemented, restated or otherwise modified from time to time in accordance with the terms hereof.</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 as the same may be amended from time to time.</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Lock-Up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 Agreement</w:t>
      </w:r>
      <w:r>
        <w:rPr>
          <w:rFonts w:ascii="Times New Roman" w:cs="Times New Roman" w:eastAsia="Times New Roman" w:hAnsi="Times New Roman"/>
          <w:sz w:val="16"/>
          <w:szCs w:val="16"/>
          <w:color w:val="auto"/>
        </w:rPr>
        <w:t>” has the meaning set forth in the Recitals.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4" w:name="page465"/>
    <w:bookmarkEnd w:id="46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Non-Recourse Party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4.16</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Stockholder Parties</w:t>
      </w:r>
      <w:r>
        <w:rPr>
          <w:rFonts w:ascii="Times New Roman" w:cs="Times New Roman" w:eastAsia="Times New Roman" w:hAnsi="Times New Roman"/>
          <w:sz w:val="16"/>
          <w:szCs w:val="16"/>
          <w:color w:val="auto"/>
        </w:rPr>
        <w:t>” has the meaning set forth in the Preamble.</w:t>
      </w:r>
    </w:p>
    <w:p>
      <w:pPr>
        <w:spacing w:after="0" w:line="139"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b w:val="1"/>
          <w:bCs w:val="1"/>
          <w:u w:val="single" w:color="auto"/>
          <w:color w:val="auto"/>
        </w:rPr>
        <w:t>Construction</w:t>
      </w:r>
      <w:r>
        <w:rPr>
          <w:rFonts w:ascii="Times New Roman" w:cs="Times New Roman" w:eastAsia="Times New Roman" w:hAnsi="Times New Roman"/>
          <w:sz w:val="16"/>
          <w:szCs w:val="16"/>
          <w:color w:val="auto"/>
        </w:rPr>
        <w:t>. The language used in this Agreement will be deemed to be the language chosen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LOCKUP</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 xml:space="preserve">2.1 </w:t>
      </w:r>
      <w:r>
        <w:rPr>
          <w:rFonts w:ascii="Times New Roman" w:cs="Times New Roman" w:eastAsia="Times New Roman" w:hAnsi="Times New Roman"/>
          <w:sz w:val="16"/>
          <w:szCs w:val="16"/>
          <w:b w:val="1"/>
          <w:bCs w:val="1"/>
          <w:u w:val="single" w:color="auto"/>
          <w:color w:val="auto"/>
        </w:rPr>
        <w:t>Lockup</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left="1680" w:right="939" w:hanging="379"/>
        <w:spacing w:after="0" w:line="250" w:lineRule="auto"/>
        <w:tabs>
          <w:tab w:leader="none" w:pos="1727"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6"/>
          <w:szCs w:val="16"/>
          <w:b w:val="1"/>
          <w:bCs w:val="1"/>
          <w:u w:val="single" w:color="auto"/>
          <w:color w:val="auto"/>
        </w:rPr>
        <w:t>Lock-Up Period</w:t>
      </w:r>
      <w:r>
        <w:rPr>
          <w:rFonts w:ascii="Times New Roman" w:cs="Times New Roman" w:eastAsia="Times New Roman" w:hAnsi="Times New Roman"/>
          <w:sz w:val="16"/>
          <w:szCs w:val="16"/>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6"/>
          <w:szCs w:val="16"/>
          <w:b w:val="1"/>
          <w:bCs w:val="1"/>
          <w:u w:val="single" w:color="auto"/>
          <w:color w:val="auto"/>
        </w:rPr>
        <w:t>Transfer</w:t>
      </w:r>
      <w:r>
        <w:rPr>
          <w:rFonts w:ascii="Times New Roman" w:cs="Times New Roman" w:eastAsia="Times New Roman" w:hAnsi="Times New Roman"/>
          <w:sz w:val="16"/>
          <w:szCs w:val="16"/>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17"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48"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5" w:name="page466"/>
    <w:bookmarkEnd w:id="46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STOCKHOLDER PARTIES</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b w:val="1"/>
          <w:bCs w:val="1"/>
          <w:u w:val="single" w:color="auto"/>
          <w:color w:val="auto"/>
        </w:rPr>
        <w:t>Stockholder Representations and Warranties</w:t>
      </w:r>
      <w:r>
        <w:rPr>
          <w:rFonts w:ascii="Times New Roman" w:cs="Times New Roman" w:eastAsia="Times New Roman" w:hAnsi="Times New Roman"/>
          <w:sz w:val="16"/>
          <w:szCs w:val="16"/>
          <w:color w:val="auto"/>
        </w:rPr>
        <w:t>. Each Stockholder Party represents and warrants to</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FSD as follows:</w:t>
      </w:r>
    </w:p>
    <w:p>
      <w:pPr>
        <w:spacing w:after="0" w:line="122" w:lineRule="exact"/>
        <w:rPr>
          <w:sz w:val="20"/>
          <w:szCs w:val="20"/>
          <w:color w:val="auto"/>
        </w:rPr>
      </w:pPr>
    </w:p>
    <w:p>
      <w:pPr>
        <w:jc w:val="both"/>
        <w:ind w:left="1680" w:right="939" w:hanging="379"/>
        <w:spacing w:after="0" w:line="257" w:lineRule="auto"/>
        <w:tabs>
          <w:tab w:leader="none" w:pos="1749"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2" w:lineRule="auto"/>
        <w:tabs>
          <w:tab w:leader="none" w:pos="1682"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95" w:lineRule="exact"/>
        <w:rPr>
          <w:rFonts w:ascii="Times New Roman" w:cs="Times New Roman" w:eastAsia="Times New Roman" w:hAnsi="Times New Roman"/>
          <w:sz w:val="16"/>
          <w:szCs w:val="16"/>
          <w:color w:val="auto"/>
        </w:rPr>
      </w:pPr>
    </w:p>
    <w:p>
      <w:pPr>
        <w:jc w:val="both"/>
        <w:ind w:left="1680" w:right="939" w:hanging="379"/>
        <w:spacing w:after="0" w:line="253" w:lineRule="auto"/>
        <w:tabs>
          <w:tab w:leader="none" w:pos="1715"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Stockholder Party is the record and beneficial owner of the Gemini Equity Interests set forth opposite such Stockholder Party’s name on Exhibit A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120"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and the obligations of each Stockholder Party hereunder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02"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requests, claims, demands and other communications hereunder shall be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FSD’s address is: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Attn: Dennis Ryan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 docs-Investments@foresitecapital.com</w:t>
      </w:r>
    </w:p>
    <w:p>
      <w:pPr>
        <w:spacing w:after="0" w:line="14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6" w:name="page467"/>
    <w:bookmarkEnd w:id="46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White&amp; Case LLP</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1221 Avenue of the Americas</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New York, New York 10020</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Attention: Joel L. Rubinstein, Esq.</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e-mail: joel.rubinstein@whitecase.com</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such address as such Stockholder Party shall furnish to FSD in writing.</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left="1680" w:right="939" w:hanging="379"/>
        <w:spacing w:after="0" w:line="257" w:lineRule="auto"/>
        <w:tabs>
          <w:tab w:leader="none" w:pos="1751"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54" w:lineRule="auto"/>
        <w:tabs>
          <w:tab w:leader="none" w:pos="1653"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94" w:lineRule="exact"/>
        <w:rPr>
          <w:rFonts w:ascii="Times New Roman" w:cs="Times New Roman" w:eastAsia="Times New Roman" w:hAnsi="Times New Roman"/>
          <w:sz w:val="16"/>
          <w:szCs w:val="16"/>
          <w:color w:val="auto"/>
        </w:rPr>
      </w:pPr>
    </w:p>
    <w:p>
      <w:pPr>
        <w:jc w:val="both"/>
        <w:ind w:left="1680" w:right="939" w:hanging="379"/>
        <w:spacing w:after="0" w:line="257" w:lineRule="auto"/>
        <w:tabs>
          <w:tab w:leader="none" w:pos="1752"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00"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4.4. </w:t>
      </w: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parties hereto will sign such further documents, cause such meetings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held, resolutions passed, exercise their votes and do and perform and cause to be done such further acts and things necessary, proper or advisable in order to give full effect to this Agreement and every provision hereof.</w:t>
      </w:r>
    </w:p>
    <w:p>
      <w:pPr>
        <w:spacing w:after="0" w:line="93"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4.5. </w:t>
      </w:r>
      <w:r>
        <w:rPr>
          <w:rFonts w:ascii="Times New Roman" w:cs="Times New Roman" w:eastAsia="Times New Roman" w:hAnsi="Times New Roman"/>
          <w:sz w:val="16"/>
          <w:szCs w:val="16"/>
          <w:b w:val="1"/>
          <w:bCs w:val="1"/>
          <w:u w:val="single" w:color="auto"/>
          <w:color w:val="auto"/>
        </w:rPr>
        <w:t>Assignment</w:t>
      </w:r>
      <w:r>
        <w:rPr>
          <w:rFonts w:ascii="Times New Roman" w:cs="Times New Roman" w:eastAsia="Times New Roman" w:hAnsi="Times New Roman"/>
          <w:sz w:val="16"/>
          <w:szCs w:val="16"/>
          <w:color w:val="auto"/>
        </w:rPr>
        <w:t>. This Agreement may not be assigned without the express prior written consent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parties hereto, and any attempted assignment, without such consents, will be null and void. This Agreement will inure to the benefit of and be binding on the parties hereto and their respective successors and permitted assigns.</w:t>
      </w:r>
    </w:p>
    <w:p>
      <w:pPr>
        <w:spacing w:after="0" w:line="87"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4.6. </w:t>
      </w:r>
      <w:r>
        <w:rPr>
          <w:rFonts w:ascii="Times New Roman" w:cs="Times New Roman" w:eastAsia="Times New Roman" w:hAnsi="Times New Roman"/>
          <w:sz w:val="16"/>
          <w:szCs w:val="16"/>
          <w:b w:val="1"/>
          <w:bCs w:val="1"/>
          <w:u w:val="single" w:color="auto"/>
          <w:color w:val="auto"/>
        </w:rPr>
        <w:t>Third Parties</w:t>
      </w:r>
      <w:r>
        <w:rPr>
          <w:rFonts w:ascii="Times New Roman" w:cs="Times New Roman" w:eastAsia="Times New Roman" w:hAnsi="Times New Roman"/>
          <w:sz w:val="16"/>
          <w:szCs w:val="16"/>
          <w:color w:val="auto"/>
        </w:rPr>
        <w:t>. Except with respect to any Non-Recourse Party, this Agreement does not create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claims or benefits inuring to any person that is not a party hereto nor create or establish any third party beneficiary hereto.</w:t>
      </w:r>
    </w:p>
    <w:p>
      <w:pPr>
        <w:spacing w:after="0" w:line="93"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4.7.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color w:val="auto"/>
        </w:rPr>
        <w:t>. THIS AGREEMENT AND THE LEGAL RELATIONS BETWEEN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PARTIES ARISING HEREUNDER SHALL BE GOVERNED BY AND INTERPRETED IN ACCORDANCE WITH THE LAWS OF THE STATE OF DELAWARE WITHOUT REFERENCE TO ITS CONFLICTS OF LAW PROVISIONS.</w:t>
      </w:r>
    </w:p>
    <w:p>
      <w:pPr>
        <w:spacing w:after="0" w:line="99"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4.8. </w:t>
      </w:r>
      <w:r>
        <w:rPr>
          <w:rFonts w:ascii="Times New Roman" w:cs="Times New Roman" w:eastAsia="Times New Roman" w:hAnsi="Times New Roman"/>
          <w:sz w:val="16"/>
          <w:szCs w:val="16"/>
          <w:b w:val="1"/>
          <w:bCs w:val="1"/>
          <w:u w:val="single" w:color="auto"/>
          <w:color w:val="auto"/>
        </w:rPr>
        <w:t>Jurisdiction; Waiver of Jury Trial</w:t>
      </w:r>
      <w:r>
        <w:rPr>
          <w:rFonts w:ascii="Times New Roman" w:cs="Times New Roman" w:eastAsia="Times New Roman" w:hAnsi="Times New Roman"/>
          <w:sz w:val="16"/>
          <w:szCs w:val="16"/>
          <w:color w:val="auto"/>
        </w:rPr>
        <w:t>. All Actions arising out of or relating to this Agreement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91" w:lineRule="exact"/>
        <w:rPr>
          <w:sz w:val="20"/>
          <w:szCs w:val="20"/>
          <w:color w:val="auto"/>
        </w:rPr>
      </w:pPr>
    </w:p>
    <w:p>
      <w:pPr>
        <w:jc w:val="both"/>
        <w:ind w:left="920" w:right="939" w:firstLine="382"/>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4.9. </w:t>
      </w:r>
      <w:r>
        <w:rPr>
          <w:rFonts w:ascii="Times New Roman" w:cs="Times New Roman" w:eastAsia="Times New Roman" w:hAnsi="Times New Roman"/>
          <w:sz w:val="16"/>
          <w:szCs w:val="16"/>
          <w:b w:val="1"/>
          <w:bCs w:val="1"/>
          <w:u w:val="single" w:color="auto"/>
          <w:color w:val="auto"/>
        </w:rPr>
        <w:t>Specific Performance</w:t>
      </w:r>
      <w:r>
        <w:rPr>
          <w:rFonts w:ascii="Times New Roman" w:cs="Times New Roman" w:eastAsia="Times New Roman" w:hAnsi="Times New Roman"/>
          <w:sz w:val="16"/>
          <w:szCs w:val="16"/>
          <w:color w:val="auto"/>
        </w:rPr>
        <w:t>. Each party hereto acknowledges and agrees that in the event of any breach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7" w:name="page468"/>
    <w:bookmarkEnd w:id="46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4.10. </w:t>
      </w: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color w:val="auto"/>
        </w:rPr>
        <w:t>. This Agreement sets forth the entire understanding of the parties hereto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02"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4.11. </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If any provision of this Agreement, or the application of such provision to any 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01"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4.12. </w:t>
      </w:r>
      <w:r>
        <w:rPr>
          <w:rFonts w:ascii="Times New Roman" w:cs="Times New Roman" w:eastAsia="Times New Roman" w:hAnsi="Times New Roman"/>
          <w:sz w:val="16"/>
          <w:szCs w:val="16"/>
          <w:b w:val="1"/>
          <w:bCs w:val="1"/>
          <w:u w:val="single" w:color="auto"/>
          <w:color w:val="auto"/>
        </w:rPr>
        <w:t>Table of Contents, Headings and Captions</w:t>
      </w:r>
      <w:r>
        <w:rPr>
          <w:rFonts w:ascii="Times New Roman" w:cs="Times New Roman" w:eastAsia="Times New Roman" w:hAnsi="Times New Roman"/>
          <w:sz w:val="16"/>
          <w:szCs w:val="16"/>
          <w:color w:val="auto"/>
        </w:rPr>
        <w:t>. The table of contents, headings, subheadings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captions contained in this Agreement are included for convenience of reference only, and in no way define, limit or describe the scope of this Agreement or the intent of any provision hereof.</w:t>
      </w:r>
    </w:p>
    <w:p>
      <w:pPr>
        <w:spacing w:after="0" w:line="81"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4.13. </w:t>
      </w: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 hereto may be signed in any number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separate counterparts, each of which shall be deemed an original, but all of which taken together shall constitute one agreement (or amendment, as applicable).</w:t>
      </w:r>
    </w:p>
    <w:p>
      <w:pPr>
        <w:spacing w:after="0" w:line="93"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4.14. </w:t>
      </w:r>
      <w:r>
        <w:rPr>
          <w:rFonts w:ascii="Times New Roman" w:cs="Times New Roman" w:eastAsia="Times New Roman" w:hAnsi="Times New Roman"/>
          <w:sz w:val="16"/>
          <w:szCs w:val="16"/>
          <w:b w:val="1"/>
          <w:bCs w:val="1"/>
          <w:u w:val="single" w:color="auto"/>
          <w:color w:val="auto"/>
        </w:rPr>
        <w:t>Effectiveness</w:t>
      </w:r>
      <w:r>
        <w:rPr>
          <w:rFonts w:ascii="Times New Roman" w:cs="Times New Roman" w:eastAsia="Times New Roman" w:hAnsi="Times New Roman"/>
          <w:sz w:val="16"/>
          <w:szCs w:val="16"/>
          <w:color w:val="auto"/>
        </w:rPr>
        <w:t>. This Agreement shall be valid and enforceable as of the date of this Agreement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may not be revoked by any party hereto.</w:t>
      </w:r>
    </w:p>
    <w:p>
      <w:pPr>
        <w:spacing w:after="0" w:line="80"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4.15. </w:t>
      </w:r>
      <w:r>
        <w:rPr>
          <w:rFonts w:ascii="Times New Roman" w:cs="Times New Roman" w:eastAsia="Times New Roman" w:hAnsi="Times New Roman"/>
          <w:sz w:val="16"/>
          <w:szCs w:val="16"/>
          <w:b w:val="1"/>
          <w:bCs w:val="1"/>
          <w:u w:val="single" w:color="auto"/>
          <w:color w:val="auto"/>
        </w:rPr>
        <w:t>No Recourse</w:t>
      </w:r>
      <w:r>
        <w:rPr>
          <w:rFonts w:ascii="Times New Roman" w:cs="Times New Roman" w:eastAsia="Times New Roman" w:hAnsi="Times New Roman"/>
          <w:sz w:val="16"/>
          <w:szCs w:val="16"/>
          <w:color w:val="auto"/>
        </w:rPr>
        <w:t>. This Agreement may only be enforced against, and any claim or cause of action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6"/>
          <w:szCs w:val="16"/>
          <w:u w:val="single" w:color="auto"/>
          <w:color w:val="auto"/>
        </w:rPr>
        <w:t>Non-Recourse Party</w:t>
      </w:r>
      <w:r>
        <w:rPr>
          <w:rFonts w:ascii="Times New Roman" w:cs="Times New Roman" w:eastAsia="Times New Roman" w:hAnsi="Times New Roman"/>
          <w:sz w:val="16"/>
          <w:szCs w:val="16"/>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8" w:name="page469"/>
    <w:bookmarkEnd w:id="46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IN WITNESS WHEREOF, the parties hereto have executed this Lockup Agreement on the day and year first above written.</w:t>
      </w:r>
    </w:p>
    <w:p>
      <w:pPr>
        <w:spacing w:after="0" w:line="14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9" w:name="page470"/>
    <w:bookmarkEnd w:id="46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STOCKHOLDER PARTY:</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LIGHTSTONE VENTURES, L.P.</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0" w:name="page471"/>
    <w:bookmarkEnd w:id="47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STOCKHOLDER PARTY:</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LIGHTSTONE VENTURES (A), L.P.</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1" w:name="page472"/>
    <w:bookmarkEnd w:id="47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STOCKHOLDER PARTY:</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LIGHSTONE SINGAPORE L.P.</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2" w:name="page473"/>
    <w:bookmarkEnd w:id="47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STOCKHOLDER PARTY:</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ORBIMED PRIVATE INVESTMENTS VI, L.P.</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3" w:name="page474"/>
    <w:bookmarkEnd w:id="47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STOCKHOLDER PARTY:</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ATLAS VENTURE FUND X, L.P.</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4" w:name="page475"/>
    <w:bookmarkEnd w:id="47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STOCKHOLDER PARTY:</w:t>
      </w:r>
    </w:p>
    <w:p>
      <w:pPr>
        <w:spacing w:after="0" w:line="7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WU CAPITAL</w:t>
      </w:r>
    </w:p>
    <w:p>
      <w:pPr>
        <w:spacing w:after="0" w:line="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5" w:name="page476"/>
    <w:bookmarkEnd w:id="47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STOCKHOLDER PARTY:</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76" w:name="page477"/>
    <w:bookmarkEnd w:id="47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STOCKHOLDER PARTY:</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7" w:name="page478"/>
    <w:bookmarkEnd w:id="47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STOCKHOLDER PARTY:</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8" w:name="page479"/>
    <w:bookmarkEnd w:id="47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STOCKHOLDER PARTY:</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Lockup Agreement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9" w:name="page480"/>
    <w:bookmarkEnd w:id="47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STOCKHOLDER PARTIES</w:t>
      </w:r>
      <w:r>
        <w:rPr>
          <w:rFonts w:ascii="Times New Roman" w:cs="Times New Roman" w:eastAsia="Times New Roman" w:hAnsi="Times New Roman"/>
          <w:sz w:val="18"/>
          <w:szCs w:val="18"/>
          <w:b w:val="1"/>
          <w:bCs w:val="1"/>
          <w:color w:val="auto"/>
          <w:vertAlign w:val="superscript"/>
        </w:rPr>
        <w:t>[10]</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42"/>
        </w:trPr>
        <w:tc>
          <w:tcPr>
            <w:tcW w:w="27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Lightstone Ventures, L.P.</w:t>
            </w: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11,653,137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976,931</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Lightstone Ventures (A), L.P.</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1,587,559</w:t>
            </w: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133,112</w:t>
            </w:r>
          </w:p>
        </w:tc>
        <w:tc>
          <w:tcPr>
            <w:tcW w:w="1120" w:type="dxa"/>
            <w:vAlign w:val="bottom"/>
          </w:tcPr>
          <w:p>
            <w:pPr>
              <w:spacing w:after="0"/>
              <w:rPr>
                <w:sz w:val="18"/>
                <w:szCs w:val="18"/>
                <w:color w:val="auto"/>
              </w:rPr>
            </w:pP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Lighstone Singapore L.P.</w:t>
            </w: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3,700,139</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OrbiMed Private Investments VI, L.P.</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13,240,696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7,400,280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Atlas Venture Fund X, L.P.</w:t>
            </w: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13,240,696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5,180,196</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Wu Capital</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7,400,280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Lauder</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480,000</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James McLaughlin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Phil Reilly</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185,175</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Steve Squinto</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396,803</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Meyenburg</w:t>
            </w: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3,285,939</w:t>
            </w: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Gregg Beloff</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 Uknis</w:t>
            </w: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Suresh Katti</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319,535</w:t>
            </w: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Walter Strapps</w:t>
            </w: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319,535</w:t>
            </w: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David Lubner</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
        </w:trPr>
        <w:tc>
          <w:tcPr>
            <w:tcW w:w="2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Tuyen Ong</w:t>
            </w: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Phil Reilly</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185,175</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80" w:lineRule="exact"/>
        <w:rPr>
          <w:sz w:val="20"/>
          <w:szCs w:val="20"/>
          <w:color w:val="auto"/>
        </w:rPr>
      </w:pPr>
    </w:p>
    <w:p>
      <w:pPr>
        <w:ind w:left="1300" w:hanging="381"/>
        <w:spacing w:after="0"/>
        <w:tabs>
          <w:tab w:leader="none" w:pos="1300" w:val="left"/>
        </w:tabs>
        <w:numPr>
          <w:ilvl w:val="0"/>
          <w:numId w:val="44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b w:val="1"/>
          <w:bCs w:val="1"/>
          <w:color w:val="auto"/>
        </w:rPr>
        <w:t>Note to Draft</w:t>
      </w:r>
      <w:r>
        <w:rPr>
          <w:rFonts w:ascii="Times New Roman" w:cs="Times New Roman" w:eastAsia="Times New Roman" w:hAnsi="Times New Roman"/>
          <w:sz w:val="14"/>
          <w:szCs w:val="14"/>
          <w:color w:val="auto"/>
        </w:rPr>
        <w:t>: To be confirmed whether any other members of Gemini management owns shares of Gemini.</w:t>
      </w:r>
    </w:p>
    <w:p>
      <w:pPr>
        <w:spacing w:after="0" w:line="156" w:lineRule="exact"/>
        <w:rPr>
          <w:rFonts w:ascii="Times New Roman" w:cs="Times New Roman" w:eastAsia="Times New Roman" w:hAnsi="Times New Roman"/>
          <w:sz w:val="17"/>
          <w:szCs w:val="17"/>
          <w:color w:val="auto"/>
          <w:vertAlign w:val="superscript"/>
        </w:rPr>
      </w:pPr>
    </w:p>
    <w:p>
      <w:pPr>
        <w:ind w:left="406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rPr>
        <w:t>Annex A-179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0" w:name="page481"/>
    <w:bookmarkEnd w:id="48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JOINDER TO LOCKUP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20</w:t>
      </w:r>
    </w:p>
    <w:p>
      <w:pPr>
        <w:spacing w:after="0" w:line="129"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Reference is made to the Lockup Agreement, dated as of October [•], 2020, by and between FSD Development Corp. and the Stockholder Parties (as defined therein) from time to time party thereto (as amended from time to time, the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Capitalized terms used but not otherwise defined herein shall have the meanings ascribed to such terms in the Lockup Agreement.</w:t>
      </w:r>
    </w:p>
    <w:p>
      <w:pPr>
        <w:spacing w:after="0" w:line="102"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Each of FSD and each undersigned holder of shares of FSD (each, a “</w:t>
      </w:r>
      <w:r>
        <w:rPr>
          <w:rFonts w:ascii="Times New Roman" w:cs="Times New Roman" w:eastAsia="Times New Roman" w:hAnsi="Times New Roman"/>
          <w:sz w:val="16"/>
          <w:szCs w:val="16"/>
          <w:u w:val="single" w:color="auto"/>
          <w:color w:val="auto"/>
        </w:rPr>
        <w:t>New Stockholder Party</w:t>
      </w:r>
      <w:r>
        <w:rPr>
          <w:rFonts w:ascii="Times New Roman" w:cs="Times New Roman" w:eastAsia="Times New Roman" w:hAnsi="Times New Roman"/>
          <w:sz w:val="16"/>
          <w:szCs w:val="16"/>
          <w:color w:val="auto"/>
        </w:rPr>
        <w:t>”) agrees that this Joinder to the Lockup Agreement (this “</w:t>
      </w:r>
      <w:r>
        <w:rPr>
          <w:rFonts w:ascii="Times New Roman" w:cs="Times New Roman" w:eastAsia="Times New Roman" w:hAnsi="Times New Roman"/>
          <w:sz w:val="16"/>
          <w:szCs w:val="16"/>
          <w:u w:val="single" w:color="auto"/>
          <w:color w:val="auto"/>
        </w:rPr>
        <w:t>Joinder</w:t>
      </w:r>
      <w:r>
        <w:rPr>
          <w:rFonts w:ascii="Times New Roman" w:cs="Times New Roman" w:eastAsia="Times New Roman" w:hAnsi="Times New Roman"/>
          <w:sz w:val="16"/>
          <w:szCs w:val="16"/>
          <w:color w:val="auto"/>
        </w:rPr>
        <w:t>”) is being executed and delivered for good and valuable consideration.</w:t>
      </w:r>
    </w:p>
    <w:p>
      <w:pPr>
        <w:spacing w:after="0" w:line="9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90"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This Joinder may be executed in multiple counterparts, including by means of facsimile or electronic signature, each of which shall be deemed an original, but all of which together shall constitute the same instrument.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81" w:name="page482"/>
    <w:bookmarkEnd w:id="48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WITNESS WHEREOF, the undersigned have duly executed this joinder as of the date first set forth above.</w:t>
      </w: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[NEW STOCKHOLDER PARTY]</w:t>
      </w:r>
    </w:p>
    <w:p>
      <w:pPr>
        <w:spacing w:after="0" w:line="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38100</wp:posOffset>
            </wp:positionV>
            <wp:extent cx="176022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6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82" w:name="page483"/>
    <w:bookmarkEnd w:id="48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u w:val="single" w:color="auto"/>
          <w:color w:val="auto"/>
        </w:rPr>
        <w:t>EXHIBIT 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CERTIFICATE OF MERGER OF</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FSG MERGER SUB,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WITH AND INTO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2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Pursuant to the provisions of Section 251 of the Delaware General Corporation Law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Gemini Therapeutics, Inc., a corporation organized and existing under the laws of Delaware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hereby certifies the following information relating to the merger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of FSG Merger Sub, Inc., a corporation organized and existing under the laws of Delaware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with and into the Company, with the Company as the surviving corporation of the Merger:</w:t>
      </w:r>
    </w:p>
    <w:p>
      <w:pPr>
        <w:spacing w:after="0" w:line="88"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FIRST</w:t>
      </w:r>
      <w:r>
        <w:rPr>
          <w:rFonts w:ascii="Times New Roman" w:cs="Times New Roman" w:eastAsia="Times New Roman" w:hAnsi="Times New Roman"/>
          <w:sz w:val="16"/>
          <w:szCs w:val="16"/>
          <w:color w:val="auto"/>
        </w:rPr>
        <w:t>: The names and states of incorporation of the constituent corporations to the Merger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Constituent Corporations</w:t>
      </w:r>
      <w:r>
        <w:rPr>
          <w:rFonts w:ascii="Times New Roman" w:cs="Times New Roman" w:eastAsia="Times New Roman" w:hAnsi="Times New Roman"/>
          <w:sz w:val="16"/>
          <w:szCs w:val="16"/>
          <w:color w:val="auto"/>
        </w:rPr>
        <w:t>”) are as follows:</w:t>
      </w:r>
    </w:p>
    <w:p>
      <w:pPr>
        <w:spacing w:after="0" w:line="156" w:lineRule="exact"/>
        <w:rPr>
          <w:sz w:val="20"/>
          <w:szCs w:val="20"/>
          <w:color w:val="auto"/>
        </w:rPr>
      </w:pPr>
    </w:p>
    <w:tbl>
      <w:tblPr>
        <w:tblLayout w:type="fixed"/>
        <w:tblInd w:w="1300" w:type="dxa"/>
        <w:tblCellMar>
          <w:top w:w="0" w:type="dxa"/>
          <w:left w:w="0" w:type="dxa"/>
          <w:bottom w:w="0" w:type="dxa"/>
          <w:right w:w="0" w:type="dxa"/>
        </w:tblCellMar>
      </w:tblPr>
      <w:tr>
        <w:trPr>
          <w:trHeight w:val="188"/>
        </w:trPr>
        <w:tc>
          <w:tcPr>
            <w:tcW w:w="3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r>
      <w:tr>
        <w:trPr>
          <w:trHeight w:val="42"/>
        </w:trPr>
        <w:tc>
          <w:tcPr>
            <w:tcW w:w="2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r>
        <w:trPr>
          <w:trHeight w:val="200"/>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Gemini Therapeutics, Inc.</w:t>
            </w:r>
          </w:p>
        </w:tc>
        <w:tc>
          <w:tcPr>
            <w:tcW w:w="8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46"/>
        </w:trPr>
        <w:tc>
          <w:tcPr>
            <w:tcW w:w="3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FSG Merger Sub, Inc.</w:t>
            </w: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17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The Agreement and Plan of Merger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October [•], 2020, by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among the Company, FS Development Corp., 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02"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The name of the surviving corporation, upon the effectiveness of the Merger, shall be Gemini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Therapeutics, Inc., a Delaware corporation.</w:t>
      </w:r>
    </w:p>
    <w:p>
      <w:pPr>
        <w:spacing w:after="0" w:line="68"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b w:val="1"/>
          <w:bCs w:val="1"/>
          <w:color w:val="auto"/>
        </w:rPr>
        <w:t>FOURTH</w:t>
      </w:r>
      <w:r>
        <w:rPr>
          <w:rFonts w:ascii="Times New Roman" w:cs="Times New Roman" w:eastAsia="Times New Roman" w:hAnsi="Times New Roman"/>
          <w:sz w:val="16"/>
          <w:szCs w:val="16"/>
          <w:color w:val="auto"/>
        </w:rPr>
        <w:t>: The Certificate of Incorporation of the Company, as in effect prior to the filing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Certificate of Merger, shall be amended as of the filing of this Certificate of Merger so as to contain the provisions, and only the provisions, contained in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attached hereto, and, as so amended, shall be the Certificate of Incorporation of the surviving corporation.</w:t>
      </w:r>
    </w:p>
    <w:p>
      <w:pPr>
        <w:spacing w:after="0" w:line="9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FIFTH</w:t>
      </w:r>
      <w:r>
        <w:rPr>
          <w:rFonts w:ascii="Times New Roman" w:cs="Times New Roman" w:eastAsia="Times New Roman" w:hAnsi="Times New Roman"/>
          <w:sz w:val="16"/>
          <w:szCs w:val="16"/>
          <w:color w:val="auto"/>
        </w:rPr>
        <w:t>: This Certificate of Merger and the Merger shall become effective immediately upon the filing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Certificate of Merger with the Secretary of State of the State of Delaware.</w:t>
      </w:r>
    </w:p>
    <w:p>
      <w:pPr>
        <w:spacing w:after="0" w:line="80" w:lineRule="exact"/>
        <w:rPr>
          <w:sz w:val="20"/>
          <w:szCs w:val="20"/>
          <w:color w:val="auto"/>
        </w:rPr>
      </w:pPr>
    </w:p>
    <w:p>
      <w:pPr>
        <w:jc w:val="both"/>
        <w:ind w:left="920" w:right="939" w:firstLine="382"/>
        <w:spacing w:after="0" w:line="250" w:lineRule="auto"/>
        <w:rPr>
          <w:sz w:val="20"/>
          <w:szCs w:val="20"/>
          <w:color w:val="auto"/>
        </w:rPr>
      </w:pPr>
      <w:r>
        <w:rPr>
          <w:rFonts w:ascii="Times New Roman" w:cs="Times New Roman" w:eastAsia="Times New Roman" w:hAnsi="Times New Roman"/>
          <w:sz w:val="16"/>
          <w:szCs w:val="16"/>
          <w:b w:val="1"/>
          <w:bCs w:val="1"/>
          <w:color w:val="auto"/>
        </w:rPr>
        <w:t>SIXTH</w:t>
      </w:r>
      <w:r>
        <w:rPr>
          <w:rFonts w:ascii="Times New Roman" w:cs="Times New Roman" w:eastAsia="Times New Roman" w:hAnsi="Times New Roman"/>
          <w:sz w:val="16"/>
          <w:szCs w:val="16"/>
          <w:color w:val="auto"/>
        </w:rPr>
        <w:t>: The executed Agreement is on file at the principal place of business of the surviving corporation.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address of the principal place of business of the surviving corporation is 300 One Kendall Square,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Cambridge, MA 02139.</w:t>
      </w:r>
    </w:p>
    <w:p>
      <w:pPr>
        <w:spacing w:after="0" w:line="94"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SEVENTH</w:t>
      </w:r>
      <w:r>
        <w:rPr>
          <w:rFonts w:ascii="Times New Roman" w:cs="Times New Roman" w:eastAsia="Times New Roman" w:hAnsi="Times New Roman"/>
          <w:sz w:val="16"/>
          <w:szCs w:val="16"/>
          <w:color w:val="auto"/>
        </w:rPr>
        <w:t>: A copy of the Agreement will be furnished by the surviving corporation on request, without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cost, to any stockholder of either of the Constituent Corporations.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REMAINDER OF THIS PAGE IS BLANK INTENTIONALLY]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3" w:name="page484"/>
    <w:bookmarkEnd w:id="48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said surviving corporation has caused this certificate to be signed by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authorized officer on the _____ day of _____, 2020.</w:t>
      </w:r>
    </w:p>
    <w:p>
      <w:pPr>
        <w:spacing w:after="0" w:line="14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38100</wp:posOffset>
            </wp:positionV>
            <wp:extent cx="1980565"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the Delaware Certificate of Merger</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A-183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4" w:name="page485"/>
    <w:bookmarkEnd w:id="48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See attached.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5" w:name="page486"/>
    <w:bookmarkEnd w:id="48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Annex B</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CERTIFICATE OF INCORPORATION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name of the Corporation is Gemini Therapeutics, Inc.</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41"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The address of the Corporation’s registered office in the State of Delaware is [•]. The name of its registered agent at such address is [•].</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29"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Capital Stock</w:t>
      </w:r>
    </w:p>
    <w:p>
      <w:pPr>
        <w:spacing w:after="0" w:line="141"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color w:val="auto"/>
        </w:rPr>
        <w:t>The total number of shares of capital stock which the Corporation shall have authority to issue is [__________] Million ([__________]) of which (i) [__________] Million ([______]) shares shall be a class</w:t>
      </w: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designated as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and (ii) Ten Million (10,000,000) shares shall be a class designated as undesignated preferred stock, par value $0.0001 per share (the “</w:t>
      </w:r>
      <w:r>
        <w:rPr>
          <w:rFonts w:ascii="Times New Roman" w:cs="Times New Roman" w:eastAsia="Times New Roman" w:hAnsi="Times New Roman"/>
          <w:sz w:val="16"/>
          <w:szCs w:val="16"/>
          <w:u w:val="single" w:color="auto"/>
          <w:color w:val="auto"/>
        </w:rPr>
        <w:t>Undesignated Preferred Stock</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90"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The powers, preferences and rights of, and the qualifications, limitations and restrictions upon, each class or series of stock shall be determined in accordance with, or as set forth below in, this Article IV.</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u w:val="single" w:color="auto"/>
          <w:color w:val="auto"/>
        </w:rPr>
        <w:t>Common Stock</w:t>
      </w:r>
    </w:p>
    <w:p>
      <w:pPr>
        <w:spacing w:after="0" w:line="139"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96" w:lineRule="exact"/>
        <w:rPr>
          <w:sz w:val="20"/>
          <w:szCs w:val="20"/>
          <w:color w:val="auto"/>
        </w:rPr>
      </w:pPr>
    </w:p>
    <w:p>
      <w:pPr>
        <w:jc w:val="both"/>
        <w:ind w:left="920" w:right="939" w:firstLine="764"/>
        <w:spacing w:after="0" w:line="252" w:lineRule="auto"/>
        <w:tabs>
          <w:tab w:leader="none" w:pos="2137"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Common Stock shall have the exclusive right to vote for the election of directors of the Corporation (the “</w:t>
      </w:r>
      <w:r>
        <w:rPr>
          <w:rFonts w:ascii="Times New Roman" w:cs="Times New Roman" w:eastAsia="Times New Roman" w:hAnsi="Times New Roman"/>
          <w:sz w:val="16"/>
          <w:szCs w:val="16"/>
          <w:u w:val="single" w:color="auto"/>
          <w:color w:val="auto"/>
        </w:rPr>
        <w:t>Directors</w:t>
      </w:r>
      <w:r>
        <w:rPr>
          <w:rFonts w:ascii="Times New Roman" w:cs="Times New Roman" w:eastAsia="Times New Roman" w:hAnsi="Times New Roman"/>
          <w:sz w:val="16"/>
          <w:szCs w:val="16"/>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97"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209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6" w:name="page487"/>
    <w:bookmarkEnd w:id="48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939" w:firstLine="764"/>
        <w:spacing w:after="0" w:line="280" w:lineRule="auto"/>
        <w:tabs>
          <w:tab w:leader="none" w:pos="2113"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voluntary or involuntary liquidation, dissolution or winding up of the Corporation, the net assets of the Corporation shall be distributed pro rata to the holders of the Common Stock.</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Undesignated Preferred Stock</w:t>
      </w:r>
    </w:p>
    <w:p>
      <w:pPr>
        <w:spacing w:after="0" w:line="139"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 Action</w:t>
      </w:r>
    </w:p>
    <w:p>
      <w:pPr>
        <w:spacing w:after="0" w:line="141" w:lineRule="exact"/>
        <w:rPr>
          <w:sz w:val="20"/>
          <w:szCs w:val="20"/>
          <w:color w:val="auto"/>
        </w:rPr>
      </w:pPr>
    </w:p>
    <w:p>
      <w:pPr>
        <w:jc w:val="both"/>
        <w:ind w:left="920" w:right="939" w:firstLine="445"/>
        <w:spacing w:after="0" w:line="272" w:lineRule="auto"/>
        <w:tabs>
          <w:tab w:leader="none" w:pos="1724" w:val="left"/>
        </w:tabs>
        <w:numPr>
          <w:ilvl w:val="1"/>
          <w:numId w:val="4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Action without Meeting</w:t>
      </w:r>
      <w:r>
        <w:rPr>
          <w:rFonts w:ascii="Times New Roman" w:cs="Times New Roman" w:eastAsia="Times New Roman" w:hAnsi="Times New Roman"/>
          <w:sz w:val="15"/>
          <w:szCs w:val="15"/>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80" w:lineRule="exact"/>
        <w:rPr>
          <w:rFonts w:ascii="Times New Roman" w:cs="Times New Roman" w:eastAsia="Times New Roman" w:hAnsi="Times New Roman"/>
          <w:sz w:val="15"/>
          <w:szCs w:val="15"/>
          <w:color w:val="auto"/>
        </w:rPr>
      </w:pPr>
    </w:p>
    <w:p>
      <w:pPr>
        <w:jc w:val="both"/>
        <w:ind w:left="920" w:right="939" w:firstLine="381"/>
        <w:spacing w:after="0" w:line="272" w:lineRule="auto"/>
        <w:tabs>
          <w:tab w:leader="none" w:pos="1732" w:val="left"/>
        </w:tabs>
        <w:numPr>
          <w:ilvl w:val="0"/>
          <w:numId w:val="4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Directors</w:t>
      </w:r>
    </w:p>
    <w:p>
      <w:pPr>
        <w:spacing w:after="0" w:line="141" w:lineRule="exact"/>
        <w:rPr>
          <w:sz w:val="20"/>
          <w:szCs w:val="20"/>
          <w:color w:val="auto"/>
        </w:rPr>
      </w:pPr>
    </w:p>
    <w:p>
      <w:pPr>
        <w:ind w:left="920" w:right="939" w:firstLine="381"/>
        <w:spacing w:after="0" w:line="280" w:lineRule="auto"/>
        <w:tabs>
          <w:tab w:leader="none" w:pos="1697"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business and affairs of the Corporation shall be managed by or under the direction of the Board of Directors except as otherwise provided herein or required by law</w:t>
      </w:r>
    </w:p>
    <w:p>
      <w:pPr>
        <w:spacing w:after="0" w:line="84"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709"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 of Directors</w:t>
      </w:r>
      <w:r>
        <w:rPr>
          <w:rFonts w:ascii="Times New Roman" w:cs="Times New Roman" w:eastAsia="Times New Roman" w:hAnsi="Times New Roman"/>
          <w:sz w:val="16"/>
          <w:szCs w:val="16"/>
          <w:color w:val="auto"/>
        </w:rPr>
        <w:t>. Election of Directors need not be by written ballot unless the Bylaws of the Corporation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shall so provide.</w:t>
      </w:r>
    </w:p>
    <w:p>
      <w:pPr>
        <w:spacing w:after="0" w:line="72"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888"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Directors; Term of Office</w:t>
      </w:r>
      <w:r>
        <w:rPr>
          <w:rFonts w:ascii="Times New Roman" w:cs="Times New Roman" w:eastAsia="Times New Roman" w:hAnsi="Times New Roman"/>
          <w:sz w:val="16"/>
          <w:szCs w:val="16"/>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87" w:name="page488"/>
    <w:bookmarkEnd w:id="48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72" w:lineRule="auto"/>
        <w:rPr>
          <w:sz w:val="20"/>
          <w:szCs w:val="20"/>
          <w:color w:val="auto"/>
        </w:rPr>
      </w:pPr>
      <w:r>
        <w:rPr>
          <w:rFonts w:ascii="Times New Roman" w:cs="Times New Roman" w:eastAsia="Times New Roman" w:hAnsi="Times New Roman"/>
          <w:sz w:val="15"/>
          <w:szCs w:val="15"/>
          <w:color w:val="auto"/>
        </w:rPr>
        <w:t>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93"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02"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0" w:lineRule="exact"/>
        <w:rPr>
          <w:sz w:val="20"/>
          <w:szCs w:val="20"/>
          <w:color w:val="auto"/>
        </w:rPr>
      </w:pPr>
    </w:p>
    <w:p>
      <w:pPr>
        <w:jc w:val="both"/>
        <w:ind w:left="920" w:right="939" w:firstLine="381"/>
        <w:spacing w:after="0" w:line="251" w:lineRule="auto"/>
        <w:tabs>
          <w:tab w:leader="none" w:pos="1673"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Vacancies</w:t>
      </w:r>
      <w:r>
        <w:rPr>
          <w:rFonts w:ascii="Times New Roman" w:cs="Times New Roman" w:eastAsia="Times New Roman" w:hAnsi="Times New Roman"/>
          <w:sz w:val="16"/>
          <w:szCs w:val="16"/>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determine the class or classes to which the increased or decreased number of Directors shall be apportioned;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10"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816"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w:t>
      </w:r>
      <w:r>
        <w:rPr>
          <w:rFonts w:ascii="Times New Roman" w:cs="Times New Roman" w:eastAsia="Times New Roman" w:hAnsi="Times New Roman"/>
          <w:sz w:val="16"/>
          <w:szCs w:val="16"/>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Limitation of Liability</w:t>
      </w:r>
    </w:p>
    <w:p>
      <w:pPr>
        <w:spacing w:after="0" w:line="141" w:lineRule="exact"/>
        <w:rPr>
          <w:sz w:val="20"/>
          <w:szCs w:val="20"/>
          <w:color w:val="auto"/>
        </w:rPr>
      </w:pPr>
    </w:p>
    <w:p>
      <w:pPr>
        <w:jc w:val="both"/>
        <w:ind w:left="920" w:right="939" w:firstLine="381"/>
        <w:spacing w:after="0" w:line="256" w:lineRule="auto"/>
        <w:tabs>
          <w:tab w:leader="none" w:pos="1709" w:val="left"/>
        </w:tabs>
        <w:numPr>
          <w:ilvl w:val="1"/>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Director Liability</w:t>
      </w:r>
      <w:r>
        <w:rPr>
          <w:rFonts w:ascii="Times New Roman" w:cs="Times New Roman" w:eastAsia="Times New Roman" w:hAnsi="Times New Roman"/>
          <w:sz w:val="16"/>
          <w:szCs w:val="16"/>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6"/>
          <w:szCs w:val="16"/>
          <w:color w:val="auto"/>
        </w:rPr>
      </w:pPr>
    </w:p>
    <w:p>
      <w:pPr>
        <w:jc w:val="both"/>
        <w:ind w:left="920" w:right="939" w:hanging="1"/>
        <w:spacing w:after="0" w:line="254" w:lineRule="auto"/>
        <w:tabs>
          <w:tab w:leader="none" w:pos="116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acts or omissions not in good faith or which involve intentional misconduct or a knowing violation of law, (c) under Section 174 of the DGCL or (d) for any transaction from which the Director derived an improper personal benefit. If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8" w:name="page489"/>
    <w:bookmarkEnd w:id="48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96" w:lineRule="exact"/>
        <w:rPr>
          <w:sz w:val="20"/>
          <w:szCs w:val="20"/>
          <w:color w:val="auto"/>
        </w:rPr>
      </w:pPr>
    </w:p>
    <w:p>
      <w:pPr>
        <w:jc w:val="both"/>
        <w:ind w:left="920" w:right="939" w:firstLine="381"/>
        <w:spacing w:after="0" w:line="257" w:lineRule="auto"/>
        <w:tabs>
          <w:tab w:leader="none" w:pos="1717"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661"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Amendment of By-Laws</w:t>
      </w:r>
    </w:p>
    <w:p>
      <w:pPr>
        <w:spacing w:after="0" w:line="129" w:lineRule="exact"/>
        <w:rPr>
          <w:sz w:val="20"/>
          <w:szCs w:val="20"/>
          <w:color w:val="auto"/>
        </w:rPr>
      </w:pPr>
    </w:p>
    <w:p>
      <w:pPr>
        <w:jc w:val="both"/>
        <w:ind w:left="920" w:right="939" w:firstLine="381"/>
        <w:spacing w:after="0" w:line="265" w:lineRule="auto"/>
        <w:tabs>
          <w:tab w:leader="none" w:pos="1661" w:val="left"/>
        </w:tabs>
        <w:numPr>
          <w:ilvl w:val="0"/>
          <w:numId w:val="4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by Directors</w:t>
      </w:r>
      <w:r>
        <w:rPr>
          <w:rFonts w:ascii="Times New Roman" w:cs="Times New Roman" w:eastAsia="Times New Roman" w:hAnsi="Times New Roman"/>
          <w:sz w:val="16"/>
          <w:szCs w:val="16"/>
          <w:color w:val="auto"/>
        </w:rPr>
        <w:t>. Except as otherwise provided by law, the By-laws of the Corporation may be amended or repealed by the Board of Directors by the affirmative vote of a majority of the Directors then in office.</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673" w:val="left"/>
        </w:tabs>
        <w:numPr>
          <w:ilvl w:val="0"/>
          <w:numId w:val="4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by Stockholders</w:t>
      </w:r>
      <w:r>
        <w:rPr>
          <w:rFonts w:ascii="Times New Roman" w:cs="Times New Roman" w:eastAsia="Times New Roman" w:hAnsi="Times New Roman"/>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Amendment of Certificate of Incorporation</w:t>
      </w:r>
    </w:p>
    <w:p>
      <w:pPr>
        <w:spacing w:after="0" w:line="141"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Business Combinations</w:t>
      </w:r>
    </w:p>
    <w:p>
      <w:pPr>
        <w:spacing w:after="0" w:line="129" w:lineRule="exact"/>
        <w:rPr>
          <w:sz w:val="20"/>
          <w:szCs w:val="20"/>
          <w:color w:val="auto"/>
        </w:rPr>
      </w:pPr>
    </w:p>
    <w:p>
      <w:pPr>
        <w:ind w:left="1660" w:hanging="359"/>
        <w:spacing w:after="0"/>
        <w:tabs>
          <w:tab w:leader="none" w:pos="1660"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 Out of DGCL 203</w:t>
      </w:r>
      <w:r>
        <w:rPr>
          <w:rFonts w:ascii="Times New Roman" w:cs="Times New Roman" w:eastAsia="Times New Roman" w:hAnsi="Times New Roman"/>
          <w:sz w:val="16"/>
          <w:szCs w:val="16"/>
          <w:color w:val="auto"/>
        </w:rPr>
        <w:t>. The Corporation shall not be governed by Section 203 of the DGCL.</w:t>
      </w:r>
    </w:p>
    <w:p>
      <w:pPr>
        <w:spacing w:after="0" w:line="138"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673"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Excluded Opportunity</w:t>
      </w:r>
      <w:r>
        <w:rPr>
          <w:rFonts w:ascii="Times New Roman" w:cs="Times New Roman" w:eastAsia="Times New Roman" w:hAnsi="Times New Roman"/>
          <w:sz w:val="16"/>
          <w:szCs w:val="16"/>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6"/>
          <w:szCs w:val="16"/>
          <w:u w:val="single" w:color="auto"/>
          <w:color w:val="auto"/>
        </w:rPr>
        <w:t>Covered Person</w:t>
      </w:r>
      <w:r>
        <w:rPr>
          <w:rFonts w:ascii="Times New Roman" w:cs="Times New Roman" w:eastAsia="Times New Roman" w:hAnsi="Times New Roman"/>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[End of Text]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9" w:name="page490"/>
    <w:bookmarkEnd w:id="48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THIS AMENDED AND RESTATED CERTIFICATE OF INCORPORATION is executed as of this ____</w:t>
      </w:r>
    </w:p>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day of __________, 2020.</w:t>
      </w:r>
    </w:p>
    <w:p>
      <w:pPr>
        <w:spacing w:after="0" w:line="1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45720</wp:posOffset>
            </wp:positionV>
            <wp:extent cx="2200275"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200275" cy="7620"/>
                    </a:xfrm>
                    <a:prstGeom prst="rect">
                      <a:avLst/>
                    </a:prstGeom>
                    <a:noFill/>
                  </pic:spPr>
                </pic:pic>
              </a:graphicData>
            </a:graphic>
          </wp:anchor>
        </w:drawing>
      </w:r>
    </w:p>
    <w:p>
      <w:pPr>
        <w:spacing w:after="0" w:line="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Name: James Meyenburg</w:t>
      </w:r>
    </w:p>
    <w:p>
      <w:pPr>
        <w:spacing w:after="0" w:line="67" w:lineRule="exact"/>
        <w:rPr>
          <w:sz w:val="20"/>
          <w:szCs w:val="20"/>
          <w:color w:val="auto"/>
        </w:rPr>
      </w:pPr>
    </w:p>
    <w:p>
      <w:pPr>
        <w:ind w:left="4100"/>
        <w:spacing w:after="0"/>
        <w:tabs>
          <w:tab w:leader="none" w:pos="4600"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Closing Certificate of Incorporation]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0" w:name="page491"/>
    <w:bookmarkEnd w:id="49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Annex 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BY-LAWS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Stockholders</w:t>
      </w:r>
    </w:p>
    <w:p>
      <w:pPr>
        <w:spacing w:after="0" w:line="141"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SECTION 1. Annual Meeting. The annual meeting of stockholders (any such meeting being referred to in these By-laws as an “</w:t>
      </w:r>
      <w:r>
        <w:rPr>
          <w:rFonts w:ascii="Times New Roman" w:cs="Times New Roman" w:eastAsia="Times New Roman" w:hAnsi="Times New Roman"/>
          <w:sz w:val="16"/>
          <w:szCs w:val="16"/>
          <w:u w:val="single" w:color="auto"/>
          <w:color w:val="auto"/>
        </w:rPr>
        <w:t>Annual Meeting</w:t>
      </w:r>
      <w:r>
        <w:rPr>
          <w:rFonts w:ascii="Times New Roman" w:cs="Times New Roman" w:eastAsia="Times New Roman" w:hAnsi="Times New Roman"/>
          <w:sz w:val="16"/>
          <w:szCs w:val="16"/>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01"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5"/>
          <w:szCs w:val="15"/>
          <w:color w:val="auto"/>
        </w:rPr>
        <w:t>Notice of Stockholder Business and Nominations.</w:t>
      </w:r>
    </w:p>
    <w:p>
      <w:pPr>
        <w:spacing w:after="0" w:line="127" w:lineRule="exact"/>
        <w:rPr>
          <w:sz w:val="20"/>
          <w:szCs w:val="20"/>
          <w:color w:val="auto"/>
        </w:rPr>
      </w:pPr>
    </w:p>
    <w:p>
      <w:pPr>
        <w:ind w:left="1680" w:hanging="379"/>
        <w:spacing w:after="0"/>
        <w:tabs>
          <w:tab w:leader="none" w:pos="1680" w:val="left"/>
        </w:tabs>
        <w:numPr>
          <w:ilvl w:val="0"/>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Meetings of Stockholders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381"/>
        <w:spacing w:after="0" w:line="252" w:lineRule="auto"/>
        <w:tabs>
          <w:tab w:leader="none" w:pos="1676" w:val="left"/>
        </w:tabs>
        <w:numPr>
          <w:ilvl w:val="1"/>
          <w:numId w:val="4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xml:space="preserve">”)), and such stockholder must comply with the notice and other procedures set forth in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05"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820" w:val="left"/>
        </w:tabs>
        <w:numPr>
          <w:ilvl w:val="1"/>
          <w:numId w:val="4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2(a)(1)</w:t>
      </w:r>
      <w:r>
        <w:rPr>
          <w:rFonts w:ascii="Times New Roman" w:cs="Times New Roman" w:eastAsia="Times New Roman" w:hAnsi="Times New Roman"/>
          <w:sz w:val="16"/>
          <w:szCs w:val="16"/>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w:t>
      </w:r>
    </w:p>
    <w:p>
      <w:pPr>
        <w:spacing w:after="0" w:line="2" w:lineRule="exact"/>
        <w:rPr>
          <w:rFonts w:ascii="Times New Roman" w:cs="Times New Roman" w:eastAsia="Times New Roman" w:hAnsi="Times New Roman"/>
          <w:sz w:val="16"/>
          <w:szCs w:val="16"/>
          <w:color w:val="auto"/>
        </w:rPr>
      </w:pPr>
    </w:p>
    <w:p>
      <w:pPr>
        <w:jc w:val="both"/>
        <w:ind w:left="920" w:right="939" w:hanging="1"/>
        <w:spacing w:after="0"/>
        <w:tabs>
          <w:tab w:leader="none" w:pos="1202"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nor earlier than the close of business on the one hundred twentieth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day prior to the one-year anniversary of the preceding year’s Annual Meeting;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prior to the scheduled date of such Annual Meeting or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6"/>
          <w:szCs w:val="16"/>
          <w:u w:val="single" w:color="auto"/>
          <w:color w:val="auto"/>
        </w:rPr>
        <w:t>Timely Notice</w:t>
      </w:r>
      <w:r>
        <w:rPr>
          <w:rFonts w:ascii="Times New Roman" w:cs="Times New Roman" w:eastAsia="Times New Roman" w:hAnsi="Times New Roman"/>
          <w:sz w:val="16"/>
          <w:szCs w:val="16"/>
          <w:color w:val="auto"/>
        </w:rPr>
        <w:t>”). Notwithstanding anything to the contrary provided herein, for the first Annual Meeting following the initial public offering of common stock of the Corporation, a stockholder’s notice shall be timely if received by the Secretary at the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1" w:name="page492"/>
    <w:bookmarkEnd w:id="49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49" w:lineRule="auto"/>
        <w:rPr>
          <w:sz w:val="20"/>
          <w:szCs w:val="20"/>
          <w:color w:val="auto"/>
        </w:rPr>
      </w:pPr>
      <w:r>
        <w:rPr>
          <w:rFonts w:ascii="Times New Roman" w:cs="Times New Roman" w:eastAsia="Times New Roman" w:hAnsi="Times New Roman"/>
          <w:sz w:val="16"/>
          <w:szCs w:val="16"/>
          <w:color w:val="auto"/>
        </w:rPr>
        <w:t>principal executive offices of the Corporation not later than the close of business on the later of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prior to the scheduled date of such Annual Meeting or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 public announcement of the date of such Annual Meeting is first made or sent by the Corporation. Such stockholder’s Timely Notice shall set forth:</w:t>
      </w:r>
    </w:p>
    <w:p>
      <w:pPr>
        <w:spacing w:after="0" w:line="109" w:lineRule="exact"/>
        <w:rPr>
          <w:sz w:val="20"/>
          <w:szCs w:val="20"/>
          <w:color w:val="auto"/>
        </w:rPr>
      </w:pPr>
    </w:p>
    <w:p>
      <w:pPr>
        <w:jc w:val="both"/>
        <w:ind w:left="2060" w:right="939" w:firstLine="389"/>
        <w:spacing w:after="0" w:line="250" w:lineRule="auto"/>
        <w:tabs>
          <w:tab w:leader="none" w:pos="3063"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1" w:lineRule="exact"/>
        <w:rPr>
          <w:rFonts w:ascii="Times New Roman" w:cs="Times New Roman" w:eastAsia="Times New Roman" w:hAnsi="Times New Roman"/>
          <w:sz w:val="16"/>
          <w:szCs w:val="16"/>
          <w:color w:val="auto"/>
        </w:rPr>
      </w:pPr>
    </w:p>
    <w:p>
      <w:pPr>
        <w:jc w:val="both"/>
        <w:ind w:left="2060" w:right="939" w:firstLine="389"/>
        <w:spacing w:after="0" w:line="257" w:lineRule="auto"/>
        <w:tabs>
          <w:tab w:leader="none" w:pos="3160"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0" w:lineRule="exact"/>
        <w:rPr>
          <w:rFonts w:ascii="Times New Roman" w:cs="Times New Roman" w:eastAsia="Times New Roman" w:hAnsi="Times New Roman"/>
          <w:sz w:val="16"/>
          <w:szCs w:val="16"/>
          <w:color w:val="auto"/>
        </w:rPr>
      </w:pPr>
    </w:p>
    <w:p>
      <w:pPr>
        <w:jc w:val="both"/>
        <w:ind w:left="2060" w:right="939" w:firstLine="389"/>
        <w:spacing w:after="0" w:line="267" w:lineRule="auto"/>
        <w:tabs>
          <w:tab w:leader="none" w:pos="2995" w:val="left"/>
        </w:tabs>
        <w:numPr>
          <w:ilvl w:val="0"/>
          <w:numId w:val="4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2" w:name="page493"/>
    <w:bookmarkEnd w:id="49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clauses (a) through (e) are referred to, collectively, as “</w:t>
      </w:r>
      <w:r>
        <w:rPr>
          <w:rFonts w:ascii="Times New Roman" w:cs="Times New Roman" w:eastAsia="Times New Roman" w:hAnsi="Times New Roman"/>
          <w:sz w:val="16"/>
          <w:szCs w:val="16"/>
          <w:u w:val="single" w:color="auto"/>
          <w:color w:val="auto"/>
        </w:rPr>
        <w:t>Material Ownership Interests</w:t>
      </w:r>
      <w:r>
        <w:rPr>
          <w:rFonts w:ascii="Times New Roman" w:cs="Times New Roman" w:eastAsia="Times New Roman" w:hAnsi="Times New Roman"/>
          <w:sz w:val="16"/>
          <w:szCs w:val="16"/>
          <w:color w:val="auto"/>
        </w:rPr>
        <w:t>”) and</w:t>
      </w:r>
    </w:p>
    <w:p>
      <w:pPr>
        <w:spacing w:after="0" w:line="24" w:lineRule="exact"/>
        <w:rPr>
          <w:sz w:val="20"/>
          <w:szCs w:val="20"/>
          <w:color w:val="auto"/>
        </w:rPr>
      </w:pPr>
    </w:p>
    <w:p>
      <w:pPr>
        <w:jc w:val="both"/>
        <w:ind w:left="2060" w:right="939" w:firstLine="6"/>
        <w:spacing w:after="0" w:line="252" w:lineRule="auto"/>
        <w:tabs>
          <w:tab w:leader="none" w:pos="2365"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06" w:lineRule="exact"/>
        <w:rPr>
          <w:rFonts w:ascii="Times New Roman" w:cs="Times New Roman" w:eastAsia="Times New Roman" w:hAnsi="Times New Roman"/>
          <w:sz w:val="16"/>
          <w:szCs w:val="16"/>
          <w:color w:val="auto"/>
        </w:rPr>
      </w:pPr>
    </w:p>
    <w:p>
      <w:pPr>
        <w:jc w:val="both"/>
        <w:ind w:left="2060" w:right="939" w:firstLine="389"/>
        <w:spacing w:after="0" w:line="252" w:lineRule="auto"/>
        <w:tabs>
          <w:tab w:leader="none" w:pos="3147" w:val="left"/>
        </w:tabs>
        <w:numPr>
          <w:ilvl w:val="1"/>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11" w:lineRule="exact"/>
        <w:rPr>
          <w:rFonts w:ascii="Times New Roman" w:cs="Times New Roman" w:eastAsia="Times New Roman" w:hAnsi="Times New Roman"/>
          <w:sz w:val="16"/>
          <w:szCs w:val="16"/>
          <w:color w:val="auto"/>
        </w:rPr>
      </w:pPr>
    </w:p>
    <w:p>
      <w:pPr>
        <w:jc w:val="both"/>
        <w:ind w:left="2060" w:right="939" w:firstLine="389"/>
        <w:spacing w:after="0" w:line="253" w:lineRule="auto"/>
        <w:tabs>
          <w:tab w:leader="none" w:pos="3065" w:val="left"/>
        </w:tabs>
        <w:numPr>
          <w:ilvl w:val="1"/>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6"/>
          <w:szCs w:val="16"/>
          <w:u w:val="single" w:color="auto"/>
          <w:color w:val="auto"/>
        </w:rPr>
        <w:t>Solicitation Statement</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 the term “</w:t>
      </w:r>
      <w:r>
        <w:rPr>
          <w:rFonts w:ascii="Times New Roman" w:cs="Times New Roman" w:eastAsia="Times New Roman" w:hAnsi="Times New Roman"/>
          <w:sz w:val="16"/>
          <w:szCs w:val="16"/>
          <w:u w:val="single" w:color="auto"/>
          <w:color w:val="auto"/>
        </w:rPr>
        <w:t>Proposing Person</w:t>
      </w:r>
      <w:r>
        <w:rPr>
          <w:rFonts w:ascii="Times New Roman" w:cs="Times New Roman" w:eastAsia="Times New Roman" w:hAnsi="Times New Roman"/>
          <w:sz w:val="16"/>
          <w:szCs w:val="16"/>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 the term “</w:t>
      </w:r>
      <w:r>
        <w:rPr>
          <w:rFonts w:ascii="Times New Roman" w:cs="Times New Roman" w:eastAsia="Times New Roman" w:hAnsi="Times New Roman"/>
          <w:sz w:val="16"/>
          <w:szCs w:val="16"/>
          <w:u w:val="single" w:color="auto"/>
          <w:color w:val="auto"/>
        </w:rPr>
        <w:t>Synthetic Equity Interest</w:t>
      </w:r>
      <w:r>
        <w:rPr>
          <w:rFonts w:ascii="Times New Roman" w:cs="Times New Roman" w:eastAsia="Times New Roman" w:hAnsi="Times New Roman"/>
          <w:sz w:val="16"/>
          <w:szCs w:val="16"/>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11" w:lineRule="exact"/>
        <w:rPr>
          <w:sz w:val="20"/>
          <w:szCs w:val="20"/>
          <w:color w:val="auto"/>
        </w:rPr>
      </w:pPr>
    </w:p>
    <w:p>
      <w:pPr>
        <w:jc w:val="both"/>
        <w:ind w:left="920" w:right="939" w:firstLine="381"/>
        <w:spacing w:after="0" w:line="246" w:lineRule="auto"/>
        <w:tabs>
          <w:tab w:leader="none" w:pos="1644"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business day prior to the date of the Annual Meeting (in the case of the update and supplement required to be made as of ten (10) business days prior to the meeting).</w:t>
      </w:r>
    </w:p>
    <w:p>
      <w:pPr>
        <w:spacing w:after="0" w:line="110"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652"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the second sentence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a stockholder’s notice required by these By-laws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3" w:name="page494"/>
    <w:bookmarkEnd w:id="49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76" w:lineRule="auto"/>
        <w:rPr>
          <w:sz w:val="20"/>
          <w:szCs w:val="20"/>
          <w:color w:val="auto"/>
        </w:rPr>
      </w:pPr>
      <w:r>
        <w:rPr>
          <w:rFonts w:ascii="Times New Roman" w:cs="Times New Roman" w:eastAsia="Times New Roman" w:hAnsi="Times New Roman"/>
          <w:sz w:val="16"/>
          <w:szCs w:val="16"/>
          <w:color w:val="auto"/>
        </w:rPr>
        <w:t>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day following the day on which such public announcement is first made by the Corporation.</w:t>
      </w:r>
    </w:p>
    <w:p>
      <w:pPr>
        <w:spacing w:after="0" w:line="44" w:lineRule="exact"/>
        <w:rPr>
          <w:sz w:val="20"/>
          <w:szCs w:val="20"/>
          <w:color w:val="auto"/>
        </w:rPr>
      </w:pPr>
    </w:p>
    <w:p>
      <w:pPr>
        <w:ind w:left="1640" w:hanging="339"/>
        <w:spacing w:after="0"/>
        <w:tabs>
          <w:tab w:leader="none" w:pos="1640" w:val="left"/>
        </w:tabs>
        <w:numPr>
          <w:ilvl w:val="0"/>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20" w:right="939" w:firstLine="381"/>
        <w:spacing w:after="0" w:line="268" w:lineRule="auto"/>
        <w:tabs>
          <w:tab w:leader="none" w:pos="1743" w:val="left"/>
        </w:tabs>
        <w:numPr>
          <w:ilvl w:val="0"/>
          <w:numId w:val="4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5"/>
          <w:szCs w:val="15"/>
          <w:u w:val="single" w:color="auto"/>
          <w:color w:val="auto"/>
        </w:rPr>
        <w:t>Registration and Shareholder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Rights Agreement</w:t>
      </w:r>
      <w:r>
        <w:rPr>
          <w:rFonts w:ascii="Times New Roman" w:cs="Times New Roman" w:eastAsia="Times New Roman" w:hAnsi="Times New Roman"/>
          <w:sz w:val="15"/>
          <w:szCs w:val="15"/>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5"/>
          <w:szCs w:val="15"/>
          <w:u w:val="single" w:color="auto"/>
          <w:color w:val="auto"/>
        </w:rPr>
        <w:t>Voting Agreement</w:t>
      </w:r>
      <w:r>
        <w:rPr>
          <w:rFonts w:ascii="Times New Roman" w:cs="Times New Roman" w:eastAsia="Times New Roman" w:hAnsi="Times New Roman"/>
          <w:sz w:val="15"/>
          <w:szCs w:val="15"/>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91" w:lineRule="exact"/>
        <w:rPr>
          <w:rFonts w:ascii="Times New Roman" w:cs="Times New Roman" w:eastAsia="Times New Roman" w:hAnsi="Times New Roman"/>
          <w:sz w:val="15"/>
          <w:szCs w:val="15"/>
          <w:color w:val="auto"/>
        </w:rPr>
      </w:pPr>
    </w:p>
    <w:p>
      <w:pPr>
        <w:jc w:val="both"/>
        <w:ind w:left="920" w:right="939" w:firstLine="381"/>
        <w:spacing w:after="0" w:line="257" w:lineRule="auto"/>
        <w:tabs>
          <w:tab w:leader="none" w:pos="1729" w:val="left"/>
        </w:tabs>
        <w:numPr>
          <w:ilvl w:val="0"/>
          <w:numId w:val="4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657" w:val="left"/>
        </w:tabs>
        <w:numPr>
          <w:ilvl w:val="0"/>
          <w:numId w:val="4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provisions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780" w:val="left"/>
        </w:tabs>
        <w:numPr>
          <w:ilvl w:val="0"/>
          <w:numId w:val="4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90" w:lineRule="exact"/>
        <w:rPr>
          <w:rFonts w:ascii="Times New Roman" w:cs="Times New Roman" w:eastAsia="Times New Roman" w:hAnsi="Times New Roman"/>
          <w:sz w:val="16"/>
          <w:szCs w:val="16"/>
          <w:color w:val="auto"/>
        </w:rPr>
      </w:pPr>
    </w:p>
    <w:p>
      <w:pPr>
        <w:jc w:val="both"/>
        <w:ind w:left="920" w:right="939" w:firstLine="381"/>
        <w:spacing w:after="0" w:line="260" w:lineRule="auto"/>
        <w:tabs>
          <w:tab w:leader="none" w:pos="1662" w:val="left"/>
        </w:tabs>
        <w:numPr>
          <w:ilvl w:val="0"/>
          <w:numId w:val="4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6"/>
          <w:szCs w:val="16"/>
          <w:color w:val="auto"/>
        </w:rPr>
        <w:t>matters set forth in these By-laws. Nothing in these By-laws shall be deemed to affect any rights of</w:t>
      </w:r>
    </w:p>
    <w:p>
      <w:pPr>
        <w:spacing w:after="0" w:line="7" w:lineRule="exact"/>
        <w:rPr>
          <w:sz w:val="20"/>
          <w:szCs w:val="20"/>
          <w:color w:val="auto"/>
        </w:rPr>
      </w:pPr>
    </w:p>
    <w:p>
      <w:pPr>
        <w:jc w:val="both"/>
        <w:ind w:left="920" w:right="939" w:hanging="1"/>
        <w:spacing w:after="0" w:line="252" w:lineRule="auto"/>
        <w:tabs>
          <w:tab w:leader="none" w:pos="1114" w:val="left"/>
        </w:tabs>
        <w:numPr>
          <w:ilvl w:val="0"/>
          <w:numId w:val="4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4" w:name="page495"/>
    <w:bookmarkEnd w:id="49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4" w:lineRule="auto"/>
        <w:tabs>
          <w:tab w:leader="none" w:pos="1763" w:val="left"/>
        </w:tabs>
        <w:numPr>
          <w:ilvl w:val="0"/>
          <w:numId w:val="4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7" w:lineRule="exact"/>
        <w:rPr>
          <w:sz w:val="20"/>
          <w:szCs w:val="20"/>
          <w:color w:val="auto"/>
        </w:rPr>
      </w:pPr>
    </w:p>
    <w:p>
      <w:pPr>
        <w:jc w:val="both"/>
        <w:ind w:left="920" w:right="939" w:firstLine="382"/>
        <w:spacing w:after="0" w:line="270" w:lineRule="auto"/>
        <w:rPr>
          <w:sz w:val="20"/>
          <w:szCs w:val="20"/>
          <w:color w:val="auto"/>
        </w:rPr>
      </w:pPr>
      <w:r>
        <w:rPr>
          <w:rFonts w:ascii="Times New Roman" w:cs="Times New Roman" w:eastAsia="Times New Roman" w:hAnsi="Times New Roman"/>
          <w:sz w:val="15"/>
          <w:szCs w:val="15"/>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of these By-laws shall govern such special meeting.</w:t>
      </w:r>
    </w:p>
    <w:p>
      <w:pPr>
        <w:spacing w:after="0" w:line="100"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95"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6"/>
          <w:szCs w:val="16"/>
          <w:color w:val="auto"/>
        </w:rPr>
        <w:t>SECTION 4.</w:t>
      </w:r>
      <w:r>
        <w:rPr>
          <w:sz w:val="20"/>
          <w:szCs w:val="20"/>
          <w:color w:val="auto"/>
        </w:rPr>
        <w:tab/>
      </w:r>
      <w:r>
        <w:rPr>
          <w:rFonts w:ascii="Times New Roman" w:cs="Times New Roman" w:eastAsia="Times New Roman" w:hAnsi="Times New Roman"/>
          <w:sz w:val="15"/>
          <w:szCs w:val="15"/>
          <w:color w:val="auto"/>
        </w:rPr>
        <w:t>Notice of Meetings; Adjournments.</w:t>
      </w:r>
    </w:p>
    <w:p>
      <w:pPr>
        <w:spacing w:after="0" w:line="139" w:lineRule="exact"/>
        <w:rPr>
          <w:sz w:val="20"/>
          <w:szCs w:val="20"/>
          <w:color w:val="auto"/>
        </w:rPr>
      </w:pPr>
    </w:p>
    <w:p>
      <w:pPr>
        <w:jc w:val="both"/>
        <w:ind w:left="920" w:right="939" w:firstLine="381"/>
        <w:spacing w:after="0" w:line="253" w:lineRule="auto"/>
        <w:tabs>
          <w:tab w:leader="none" w:pos="1718"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w:t>
      </w:r>
    </w:p>
    <w:p>
      <w:pPr>
        <w:spacing w:after="0" w:line="109"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732"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701"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675"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of these By-laws.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5" w:name="page496"/>
    <w:bookmarkEnd w:id="49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69" w:lineRule="auto"/>
        <w:tabs>
          <w:tab w:leader="none" w:pos="1724" w:val="left"/>
        </w:tabs>
        <w:numPr>
          <w:ilvl w:val="0"/>
          <w:numId w:val="4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5"/>
          <w:szCs w:val="15"/>
          <w:u w:val="single" w:color="auto"/>
          <w:color w:val="auto"/>
        </w:rPr>
        <w:t>Certificate</w:t>
      </w:r>
      <w:r>
        <w:rPr>
          <w:rFonts w:ascii="Times New Roman" w:cs="Times New Roman" w:eastAsia="Times New Roman" w:hAnsi="Times New Roman"/>
          <w:sz w:val="15"/>
          <w:szCs w:val="15"/>
          <w:color w:val="auto"/>
        </w:rPr>
        <w:t>”) or these By-laws, is entitled to such notice.</w:t>
      </w:r>
    </w:p>
    <w:p>
      <w:pPr>
        <w:spacing w:after="0" w:line="293"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09" w:lineRule="exact"/>
        <w:rPr>
          <w:sz w:val="20"/>
          <w:szCs w:val="20"/>
          <w:color w:val="auto"/>
        </w:rPr>
      </w:pPr>
    </w:p>
    <w:p>
      <w:pPr>
        <w:jc w:val="both"/>
        <w:ind w:left="920" w:right="939" w:firstLine="382"/>
        <w:spacing w:after="0" w:line="269" w:lineRule="auto"/>
        <w:rPr>
          <w:sz w:val="20"/>
          <w:szCs w:val="20"/>
          <w:color w:val="auto"/>
        </w:rPr>
      </w:pPr>
      <w:r>
        <w:rPr>
          <w:rFonts w:ascii="Times New Roman" w:cs="Times New Roman" w:eastAsia="Times New Roman" w:hAnsi="Times New Roman"/>
          <w:sz w:val="15"/>
          <w:szCs w:val="15"/>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90"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02"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09"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6" w:name="page497"/>
    <w:bookmarkEnd w:id="49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 xml:space="preserve">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6"/>
          <w:szCs w:val="16"/>
          <w:u w:val="single" w:color="auto"/>
          <w:color w:val="auto"/>
        </w:rPr>
        <w:t>Sections 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The order of business and all other matters of procedure at any meeting of the stockholders shall be determined by the presiding officer.</w:t>
      </w:r>
    </w:p>
    <w:p>
      <w:pPr>
        <w:spacing w:after="0" w:line="10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Directors</w:t>
      </w:r>
    </w:p>
    <w:p>
      <w:pPr>
        <w:spacing w:after="0" w:line="141"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1. Powers. The business and affairs of the Corporation shall be managed by or under the direction of the Board of Directors except as otherwise provided by the Certificate or required by law.</w:t>
      </w:r>
    </w:p>
    <w:p>
      <w:pPr>
        <w:spacing w:after="0" w:line="73"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02"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6"/>
          <w:szCs w:val="16"/>
          <w:color w:val="auto"/>
        </w:rPr>
        <w:t>SECTION 3.</w:t>
      </w:r>
      <w:r>
        <w:rPr>
          <w:sz w:val="20"/>
          <w:szCs w:val="20"/>
          <w:color w:val="auto"/>
        </w:rPr>
        <w:tab/>
      </w:r>
      <w:r>
        <w:rPr>
          <w:rFonts w:ascii="Times New Roman" w:cs="Times New Roman" w:eastAsia="Times New Roman" w:hAnsi="Times New Roman"/>
          <w:sz w:val="15"/>
          <w:szCs w:val="15"/>
          <w:color w:val="auto"/>
        </w:rPr>
        <w:t>Qualification. No director need be a stockholder of the Corporation.</w:t>
      </w:r>
    </w:p>
    <w:p>
      <w:pPr>
        <w:spacing w:after="0" w:line="139"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4. Vacancies. Vacancies in the Board of Directors shall be filled in the manner provided in the Certificate, the Registration and Shareholder Rights Agreement and the Voting Agreement.</w:t>
      </w:r>
    </w:p>
    <w:p>
      <w:pPr>
        <w:spacing w:after="0" w:line="73"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5. Removal. Directors may be removed from office only in the manner provided in the Certificate, the Registration and Shareholder Rights Agreement and the Voting Agreement.</w:t>
      </w:r>
    </w:p>
    <w:p>
      <w:pPr>
        <w:spacing w:after="0" w:line="85"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96"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02"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7" w:name="page498"/>
    <w:bookmarkEnd w:id="49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10"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0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84"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06"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02"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95"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10"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8" w:name="page499"/>
    <w:bookmarkEnd w:id="49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III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Officers</w:t>
      </w:r>
    </w:p>
    <w:p>
      <w:pPr>
        <w:spacing w:after="0" w:line="129"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02"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02"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3. Qualification. No officer need be a stockholder or a director. Any person may occupy more than one office of the Corporation at any time.</w:t>
      </w:r>
    </w:p>
    <w:p>
      <w:pPr>
        <w:spacing w:after="0" w:line="73"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02"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9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84"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7. Absence or Disability. In the event of the absence or disability of any officer, the Board of Directors may designate another officer to act temporarily in place of such absent or disabled officer.</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8. Vacancies. Any vacancy in any office may be filled for the unexpired portion of the term by the Board of Directors.</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9. President. The President shall, subject to the direction of the Board of Directors, have such powers and shall perform such duties as the Board of Directors may from time to time designate.</w:t>
      </w:r>
    </w:p>
    <w:p>
      <w:pPr>
        <w:spacing w:after="0" w:line="73"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10. Chairman of the Board. The Chairman of the Board, if one is elected, shall have such powers and shall perform such duties as the Board of Directors may from time to time designate.</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11. Chief Executive Officer. The Chief Executive Officer, if one is elected, shall have such powers and shall perform such duties as the Board of Directors may from time to time designate.</w:t>
      </w:r>
    </w:p>
    <w:p>
      <w:pPr>
        <w:spacing w:after="0" w:line="85"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90"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07"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99" w:name="page500"/>
    <w:bookmarkEnd w:id="49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06"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IV</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Capital Stock</w:t>
      </w:r>
    </w:p>
    <w:p>
      <w:pPr>
        <w:spacing w:after="0" w:line="141"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6"/>
          <w:szCs w:val="16"/>
          <w:b w:val="1"/>
          <w:bCs w:val="1"/>
          <w:color w:val="auto"/>
        </w:rPr>
        <w:t>Notwithstanding anything to</w:t>
      </w:r>
      <w:r>
        <w:rPr>
          <w:rFonts w:ascii="Times New Roman" w:cs="Times New Roman" w:eastAsia="Times New Roman" w:hAnsi="Times New Roman"/>
          <w:sz w:val="16"/>
          <w:szCs w:val="16"/>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01"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09"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2"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00" w:name="page501"/>
    <w:bookmarkEnd w:id="50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02"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V</w:t>
      </w:r>
    </w:p>
    <w:p>
      <w:pPr>
        <w:spacing w:after="0" w:line="19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u w:val="single" w:color="auto"/>
          <w:color w:val="auto"/>
        </w:rPr>
        <w:t>Indemnification</w:t>
      </w:r>
    </w:p>
    <w:p>
      <w:pPr>
        <w:spacing w:after="0" w:line="141"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6"/>
          <w:szCs w:val="16"/>
          <w:color w:val="auto"/>
        </w:rPr>
        <w:t>SECTION 1.</w:t>
      </w:r>
      <w:r>
        <w:rPr>
          <w:sz w:val="20"/>
          <w:szCs w:val="20"/>
          <w:color w:val="auto"/>
        </w:rPr>
        <w:tab/>
      </w:r>
      <w:r>
        <w:rPr>
          <w:rFonts w:ascii="Times New Roman" w:cs="Times New Roman" w:eastAsia="Times New Roman" w:hAnsi="Times New Roman"/>
          <w:sz w:val="15"/>
          <w:szCs w:val="15"/>
          <w:color w:val="auto"/>
        </w:rPr>
        <w:t>Definitions. For purposes of this Article:</w:t>
      </w:r>
    </w:p>
    <w:p>
      <w:pPr>
        <w:spacing w:after="0" w:line="127" w:lineRule="exact"/>
        <w:rPr>
          <w:sz w:val="20"/>
          <w:szCs w:val="20"/>
          <w:color w:val="auto"/>
        </w:rPr>
      </w:pPr>
    </w:p>
    <w:p>
      <w:pPr>
        <w:jc w:val="both"/>
        <w:ind w:left="920" w:right="939" w:firstLine="381"/>
        <w:spacing w:after="0" w:line="260" w:lineRule="auto"/>
        <w:tabs>
          <w:tab w:leader="none" w:pos="1702" w:val="left"/>
        </w:tabs>
        <w:numPr>
          <w:ilvl w:val="1"/>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Corporate Status</w:t>
      </w:r>
      <w:r>
        <w:rPr>
          <w:rFonts w:ascii="Times New Roman" w:cs="Times New Roman" w:eastAsia="Times New Roman" w:hAnsi="Times New Roman"/>
          <w:sz w:val="16"/>
          <w:szCs w:val="16"/>
          <w:color w:val="auto"/>
        </w:rPr>
        <w:t>” describes the status of a person who is serving or has served (i) as a Director of the Corporation, (ii) as an Officer of the Corporation, (iii) as a Non-Officer Employee of the Corporation, or</w:t>
      </w:r>
    </w:p>
    <w:p>
      <w:pPr>
        <w:jc w:val="both"/>
        <w:ind w:left="920" w:right="939" w:hanging="1"/>
        <w:spacing w:after="0" w:line="250" w:lineRule="auto"/>
        <w:tabs>
          <w:tab w:leader="none" w:pos="1218"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0"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647"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Director</w:t>
      </w:r>
      <w:r>
        <w:rPr>
          <w:rFonts w:ascii="Times New Roman" w:cs="Times New Roman" w:eastAsia="Times New Roman" w:hAnsi="Times New Roman"/>
          <w:sz w:val="16"/>
          <w:szCs w:val="16"/>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2065"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Disinterested Director</w:t>
      </w:r>
      <w:r>
        <w:rPr>
          <w:rFonts w:ascii="Times New Roman" w:cs="Times New Roman" w:eastAsia="Times New Roman" w:hAnsi="Times New Roman"/>
          <w:sz w:val="16"/>
          <w:szCs w:val="16"/>
          <w:color w:val="auto"/>
        </w:rPr>
        <w:t>” means, with respect to each Proceeding in respect of which indemnification is sought hereunder, a Director of the Corporation who is not and was not a party to such Proceeding;</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719"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09"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858"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means judgments, damages, liabilities, losses, penalties, excise taxes, fines and amounts paid in settlement;</w:t>
      </w:r>
    </w:p>
    <w:p>
      <w:pPr>
        <w:spacing w:after="0" w:line="84"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661"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Non-Officer Employee</w:t>
      </w:r>
      <w:r>
        <w:rPr>
          <w:rFonts w:ascii="Times New Roman" w:cs="Times New Roman" w:eastAsia="Times New Roman" w:hAnsi="Times New Roman"/>
          <w:sz w:val="16"/>
          <w:szCs w:val="16"/>
          <w:color w:val="auto"/>
        </w:rPr>
        <w:t>” means any person who serves or has served as an employee or agent of the Corporation, but who is not or was not a Director or Officer;</w:t>
      </w:r>
    </w:p>
    <w:p>
      <w:pPr>
        <w:spacing w:after="0" w:line="72"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803"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w:t>
      </w:r>
      <w:r>
        <w:rPr>
          <w:rFonts w:ascii="Times New Roman" w:cs="Times New Roman" w:eastAsia="Times New Roman" w:hAnsi="Times New Roman"/>
          <w:sz w:val="16"/>
          <w:szCs w:val="16"/>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659"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01" w:name="page502"/>
    <w:bookmarkEnd w:id="50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4" w:lineRule="auto"/>
        <w:tabs>
          <w:tab w:leader="none" w:pos="1688"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07"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5"/>
          <w:szCs w:val="15"/>
          <w:color w:val="auto"/>
        </w:rPr>
        <w:t>Indemnification of Directors and Officers.</w:t>
      </w:r>
    </w:p>
    <w:p>
      <w:pPr>
        <w:spacing w:after="0" w:line="139" w:lineRule="exact"/>
        <w:rPr>
          <w:sz w:val="20"/>
          <w:szCs w:val="20"/>
          <w:color w:val="auto"/>
        </w:rPr>
      </w:pPr>
    </w:p>
    <w:p>
      <w:pPr>
        <w:jc w:val="both"/>
        <w:ind w:left="920" w:right="939" w:firstLine="381"/>
        <w:spacing w:after="0" w:line="257" w:lineRule="auto"/>
        <w:tabs>
          <w:tab w:leader="none" w:pos="172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operation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90" w:lineRule="exact"/>
        <w:rPr>
          <w:rFonts w:ascii="Times New Roman" w:cs="Times New Roman" w:eastAsia="Times New Roman" w:hAnsi="Times New Roman"/>
          <w:sz w:val="16"/>
          <w:szCs w:val="16"/>
          <w:color w:val="auto"/>
        </w:rPr>
      </w:pPr>
    </w:p>
    <w:p>
      <w:pPr>
        <w:jc w:val="both"/>
        <w:ind w:left="1300" w:right="939" w:firstLine="384"/>
        <w:spacing w:after="0" w:line="253" w:lineRule="auto"/>
        <w:tabs>
          <w:tab w:leader="none" w:pos="2147"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Suits and Proceedings Other than By or In the Right of the Corporation</w:t>
      </w:r>
      <w:r>
        <w:rPr>
          <w:rFonts w:ascii="Times New Roman" w:cs="Times New Roman" w:eastAsia="Times New Roman" w:hAnsi="Times New Roman"/>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06" w:lineRule="exact"/>
        <w:rPr>
          <w:rFonts w:ascii="Times New Roman" w:cs="Times New Roman" w:eastAsia="Times New Roman" w:hAnsi="Times New Roman"/>
          <w:sz w:val="16"/>
          <w:szCs w:val="16"/>
          <w:color w:val="auto"/>
        </w:rPr>
      </w:pPr>
    </w:p>
    <w:p>
      <w:pPr>
        <w:jc w:val="both"/>
        <w:ind w:left="1300" w:right="939" w:firstLine="384"/>
        <w:spacing w:after="0" w:line="252" w:lineRule="auto"/>
        <w:tabs>
          <w:tab w:leader="none" w:pos="2111"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Suits and Proceedings By or In the Right of the Corporation</w:t>
      </w:r>
      <w:r>
        <w:rPr>
          <w:rFonts w:ascii="Times New Roman" w:cs="Times New Roman" w:eastAsia="Times New Roman" w:hAnsi="Times New Roman"/>
          <w:sz w:val="16"/>
          <w:szCs w:val="16"/>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6"/>
          <w:szCs w:val="16"/>
          <w:u w:val="single" w:color="auto"/>
          <w:color w:val="auto"/>
        </w:rPr>
        <w:t>Section 2(a)(2)</w:t>
      </w:r>
      <w:r>
        <w:rPr>
          <w:rFonts w:ascii="Times New Roman" w:cs="Times New Roman" w:eastAsia="Times New Roman" w:hAnsi="Times New Roman"/>
          <w:sz w:val="16"/>
          <w:szCs w:val="16"/>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05" w:lineRule="exact"/>
        <w:rPr>
          <w:rFonts w:ascii="Times New Roman" w:cs="Times New Roman" w:eastAsia="Times New Roman" w:hAnsi="Times New Roman"/>
          <w:sz w:val="16"/>
          <w:szCs w:val="16"/>
          <w:color w:val="auto"/>
        </w:rPr>
      </w:pPr>
    </w:p>
    <w:p>
      <w:pPr>
        <w:jc w:val="both"/>
        <w:ind w:left="1300" w:right="939" w:firstLine="384"/>
        <w:spacing w:after="0" w:line="265" w:lineRule="auto"/>
        <w:tabs>
          <w:tab w:leader="none" w:pos="2051"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of Rights</w:t>
      </w:r>
      <w:r>
        <w:rPr>
          <w:rFonts w:ascii="Times New Roman" w:cs="Times New Roman" w:eastAsia="Times New Roman" w:hAnsi="Times New Roman"/>
          <w:sz w:val="16"/>
          <w:szCs w:val="16"/>
          <w:color w:val="auto"/>
        </w:rPr>
        <w:t xml:space="preserve">. The rights of indemnification provided by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83" w:lineRule="exact"/>
        <w:rPr>
          <w:rFonts w:ascii="Times New Roman" w:cs="Times New Roman" w:eastAsia="Times New Roman" w:hAnsi="Times New Roman"/>
          <w:sz w:val="16"/>
          <w:szCs w:val="16"/>
          <w:color w:val="auto"/>
        </w:rPr>
      </w:pPr>
    </w:p>
    <w:p>
      <w:pPr>
        <w:jc w:val="both"/>
        <w:ind w:left="1300" w:right="939" w:firstLine="384"/>
        <w:spacing w:after="0" w:line="255" w:lineRule="auto"/>
        <w:tabs>
          <w:tab w:leader="none" w:pos="2171"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by Directors or Officers</w:t>
      </w:r>
      <w:r>
        <w:rPr>
          <w:rFonts w:ascii="Times New Roman" w:cs="Times New Roman" w:eastAsia="Times New Roman" w:hAnsi="Times New Roman"/>
          <w:sz w:val="16"/>
          <w:szCs w:val="16"/>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06"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3. Indemnification of Non-Officer Employees. Subject to the operation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shall exist as to a Non-Officer Employee after he or she has ceased to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2" w:name="page503"/>
    <w:bookmarkEnd w:id="50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02"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 xml:space="preserve">SECTION 4. Determination. Unless ordered by a court, no indemnification shall be provided pursuant to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2"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6"/>
          <w:szCs w:val="16"/>
          <w:color w:val="auto"/>
        </w:rPr>
        <w:t>SECTION 5.</w:t>
      </w:r>
      <w:r>
        <w:rPr>
          <w:sz w:val="20"/>
          <w:szCs w:val="20"/>
          <w:color w:val="auto"/>
        </w:rPr>
        <w:tab/>
      </w:r>
      <w:r>
        <w:rPr>
          <w:rFonts w:ascii="Times New Roman" w:cs="Times New Roman" w:eastAsia="Times New Roman" w:hAnsi="Times New Roman"/>
          <w:sz w:val="15"/>
          <w:szCs w:val="15"/>
          <w:color w:val="auto"/>
        </w:rPr>
        <w:t>Advancement of Expenses to Directors Prior to Final Disposition.</w:t>
      </w:r>
    </w:p>
    <w:p>
      <w:pPr>
        <w:spacing w:after="0" w:line="127" w:lineRule="exact"/>
        <w:rPr>
          <w:sz w:val="20"/>
          <w:szCs w:val="20"/>
          <w:color w:val="auto"/>
        </w:rPr>
      </w:pPr>
    </w:p>
    <w:p>
      <w:pPr>
        <w:jc w:val="both"/>
        <w:ind w:left="920" w:right="939" w:firstLine="381"/>
        <w:spacing w:after="0" w:line="268" w:lineRule="auto"/>
        <w:tabs>
          <w:tab w:leader="none" w:pos="1705" w:val="left"/>
        </w:tabs>
        <w:numPr>
          <w:ilvl w:val="0"/>
          <w:numId w:val="4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only if such Proceeding (including any parts of such Proceeding not initiated by such Director) was</w:t>
      </w:r>
    </w:p>
    <w:p>
      <w:pPr>
        <w:spacing w:after="0" w:line="7" w:lineRule="exact"/>
        <w:rPr>
          <w:sz w:val="20"/>
          <w:szCs w:val="20"/>
          <w:color w:val="auto"/>
        </w:rPr>
      </w:pPr>
    </w:p>
    <w:p>
      <w:pPr>
        <w:ind w:left="920" w:right="939" w:hanging="1"/>
        <w:spacing w:after="0" w:line="258" w:lineRule="auto"/>
        <w:tabs>
          <w:tab w:leader="none" w:pos="11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authorized by the Board of Directors, or (ii) brought to enforce such Director’s rights to indemnification or advancement of Expenses under these By-laws.</w:t>
      </w:r>
    </w:p>
    <w:p>
      <w:pPr>
        <w:spacing w:after="0" w:line="101"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798" w:val="left"/>
        </w:tabs>
        <w:numPr>
          <w:ilvl w:val="1"/>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11"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687" w:val="left"/>
        </w:tabs>
        <w:numPr>
          <w:ilvl w:val="1"/>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84"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6. Advancement of Expenses to Officers and Non-Officer Employees Prior to Final Disposition.</w:t>
      </w:r>
    </w:p>
    <w:p>
      <w:pPr>
        <w:spacing w:after="0" w:line="85" w:lineRule="exact"/>
        <w:rPr>
          <w:sz w:val="20"/>
          <w:szCs w:val="20"/>
          <w:color w:val="auto"/>
        </w:rPr>
      </w:pPr>
    </w:p>
    <w:p>
      <w:pPr>
        <w:jc w:val="both"/>
        <w:ind w:left="920" w:right="939" w:firstLine="381"/>
        <w:spacing w:after="0" w:line="253" w:lineRule="auto"/>
        <w:tabs>
          <w:tab w:leader="none" w:pos="1783"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662"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3" w:name="page504"/>
    <w:bookmarkEnd w:id="50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6"/>
          <w:szCs w:val="16"/>
          <w:color w:val="auto"/>
        </w:rPr>
        <w:t>SECTION 7.</w:t>
      </w:r>
      <w:r>
        <w:rPr>
          <w:sz w:val="20"/>
          <w:szCs w:val="20"/>
          <w:color w:val="auto"/>
        </w:rPr>
        <w:tab/>
      </w:r>
      <w:r>
        <w:rPr>
          <w:rFonts w:ascii="Times New Roman" w:cs="Times New Roman" w:eastAsia="Times New Roman" w:hAnsi="Times New Roman"/>
          <w:sz w:val="15"/>
          <w:szCs w:val="15"/>
          <w:color w:val="auto"/>
        </w:rPr>
        <w:t>Contractual Nature of Rights.</w:t>
      </w:r>
    </w:p>
    <w:p>
      <w:pPr>
        <w:spacing w:after="0" w:line="139" w:lineRule="exact"/>
        <w:rPr>
          <w:sz w:val="20"/>
          <w:szCs w:val="20"/>
          <w:color w:val="auto"/>
        </w:rPr>
      </w:pPr>
    </w:p>
    <w:p>
      <w:pPr>
        <w:jc w:val="both"/>
        <w:ind w:left="920" w:right="939" w:firstLine="381"/>
        <w:spacing w:after="0" w:line="251" w:lineRule="auto"/>
        <w:tabs>
          <w:tab w:leader="none" w:pos="1695"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nor the adoption of any provision of the Certificate of Incorporation inconsistent with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eliminate or reduce any right conferred by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14" w:lineRule="exact"/>
        <w:rPr>
          <w:rFonts w:ascii="Times New Roman" w:cs="Times New Roman" w:eastAsia="Times New Roman" w:hAnsi="Times New Roman"/>
          <w:sz w:val="16"/>
          <w:szCs w:val="16"/>
          <w:color w:val="auto"/>
        </w:rPr>
      </w:pPr>
    </w:p>
    <w:p>
      <w:pPr>
        <w:jc w:val="both"/>
        <w:ind w:left="920" w:right="939" w:firstLine="381"/>
        <w:spacing w:after="0" w:line="270" w:lineRule="auto"/>
        <w:tabs>
          <w:tab w:leader="none" w:pos="1701" w:val="left"/>
        </w:tabs>
        <w:numPr>
          <w:ilvl w:val="0"/>
          <w:numId w:val="4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88" w:lineRule="exact"/>
        <w:rPr>
          <w:rFonts w:ascii="Times New Roman" w:cs="Times New Roman" w:eastAsia="Times New Roman" w:hAnsi="Times New Roman"/>
          <w:sz w:val="15"/>
          <w:szCs w:val="15"/>
          <w:color w:val="auto"/>
        </w:rPr>
      </w:pPr>
    </w:p>
    <w:p>
      <w:pPr>
        <w:jc w:val="both"/>
        <w:ind w:left="920" w:right="939" w:firstLine="381"/>
        <w:spacing w:after="0" w:line="265" w:lineRule="auto"/>
        <w:tabs>
          <w:tab w:leader="none" w:pos="1708"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6"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 xml:space="preserve">SECTION 8. Non-Exclusivity of Rights. The rights to indemnification and to advancement of Expenses set forth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0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6"/>
          <w:szCs w:val="16"/>
          <w:u w:val="single" w:color="auto"/>
          <w:color w:val="auto"/>
        </w:rPr>
        <w:t>Primary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Indemnitor</w:t>
      </w:r>
      <w:r>
        <w:rPr>
          <w:rFonts w:ascii="Times New Roman" w:cs="Times New Roman" w:eastAsia="Times New Roman" w:hAnsi="Times New Roman"/>
          <w:sz w:val="16"/>
          <w:szCs w:val="16"/>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4" w:name="page505"/>
    <w:bookmarkEnd w:id="50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VI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 Provisions</w:t>
      </w:r>
    </w:p>
    <w:p>
      <w:pPr>
        <w:spacing w:after="0" w:line="129"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1. Fiscal Year. The fiscal year of the Corporation shall be determined by the Board of Directors.</w:t>
      </w:r>
    </w:p>
    <w:p>
      <w:pPr>
        <w:spacing w:after="0" w:line="85"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2. Seal. The Board of Directors shall have power to adopt and alter the seal of the Corporation.</w:t>
      </w:r>
    </w:p>
    <w:p>
      <w:pPr>
        <w:spacing w:after="0" w:line="85"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90"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06"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SECTION 5. Resident Agent. The Board of Directors may appoint a resident agent upon whom legal process may be served in any action or proceeding against the Corporation.</w:t>
      </w:r>
    </w:p>
    <w:p>
      <w:pPr>
        <w:spacing w:after="0" w:line="85" w:lineRule="exact"/>
        <w:rPr>
          <w:sz w:val="20"/>
          <w:szCs w:val="20"/>
          <w:color w:val="auto"/>
        </w:rPr>
      </w:pPr>
    </w:p>
    <w:p>
      <w:pPr>
        <w:jc w:val="both"/>
        <w:ind w:left="920" w:right="939" w:firstLine="382"/>
        <w:spacing w:after="0" w:line="255" w:lineRule="auto"/>
        <w:rPr>
          <w:sz w:val="20"/>
          <w:szCs w:val="20"/>
          <w:color w:val="auto"/>
        </w:rPr>
      </w:pPr>
      <w:r>
        <w:rPr>
          <w:rFonts w:ascii="Times New Roman" w:cs="Times New Roman" w:eastAsia="Times New Roman" w:hAnsi="Times New Roman"/>
          <w:sz w:val="16"/>
          <w:szCs w:val="16"/>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94"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96" w:lineRule="exact"/>
        <w:rPr>
          <w:sz w:val="20"/>
          <w:szCs w:val="20"/>
          <w:color w:val="auto"/>
        </w:rPr>
      </w:pPr>
    </w:p>
    <w:p>
      <w:pPr>
        <w:jc w:val="both"/>
        <w:ind w:left="920" w:right="939" w:firstLine="382"/>
        <w:spacing w:after="0" w:line="251" w:lineRule="auto"/>
        <w:rPr>
          <w:sz w:val="20"/>
          <w:szCs w:val="20"/>
          <w:color w:val="auto"/>
        </w:rPr>
      </w:pPr>
      <w:r>
        <w:rPr>
          <w:rFonts w:ascii="Times New Roman" w:cs="Times New Roman" w:eastAsia="Times New Roman" w:hAnsi="Times New Roman"/>
          <w:sz w:val="16"/>
          <w:szCs w:val="16"/>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6"/>
          <w:szCs w:val="16"/>
          <w:color w:val="auto"/>
        </w:rPr>
        <w:t>SECTION 9.</w:t>
        <w:tab/>
        <w:t>Amendment of By-laws.</w:t>
      </w:r>
    </w:p>
    <w:p>
      <w:pPr>
        <w:spacing w:after="0" w:line="127" w:lineRule="exact"/>
        <w:rPr>
          <w:sz w:val="20"/>
          <w:szCs w:val="20"/>
          <w:color w:val="auto"/>
        </w:rPr>
      </w:pPr>
    </w:p>
    <w:p>
      <w:pPr>
        <w:jc w:val="both"/>
        <w:ind w:left="920" w:right="939" w:firstLine="381"/>
        <w:spacing w:after="0" w:line="265" w:lineRule="auto"/>
        <w:tabs>
          <w:tab w:leader="none" w:pos="169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by Directors</w:t>
      </w:r>
      <w:r>
        <w:rPr>
          <w:rFonts w:ascii="Times New Roman" w:cs="Times New Roman" w:eastAsia="Times New Roman" w:hAnsi="Times New Roman"/>
          <w:sz w:val="16"/>
          <w:szCs w:val="16"/>
          <w:color w:val="auto"/>
        </w:rPr>
        <w:t>. Except as provided otherwise by law, any section or portion of these By-laws may be amended or repealed by the Board of Directors by the affirmative vote of a majority of the directors then in office.</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683"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by Stockholders</w:t>
      </w:r>
      <w:r>
        <w:rPr>
          <w:rFonts w:ascii="Times New Roman" w:cs="Times New Roman" w:eastAsia="Times New Roman" w:hAnsi="Times New Roman"/>
          <w:sz w:val="16"/>
          <w:szCs w:val="16"/>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05" w:name="page506"/>
    <w:bookmarkEnd w:id="50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02"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6" w:name="page507"/>
    <w:bookmarkEnd w:id="50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5"/>
          <w:szCs w:val="15"/>
          <w:b w:val="1"/>
          <w:bCs w:val="1"/>
          <w:color w:val="auto"/>
        </w:rPr>
        <w:t>Annex 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98" w:lineRule="exact"/>
        <w:rPr>
          <w:sz w:val="20"/>
          <w:szCs w:val="20"/>
          <w:color w:val="auto"/>
        </w:rPr>
      </w:pPr>
    </w:p>
    <w:p>
      <w:pPr>
        <w:ind w:left="920" w:right="2819" w:firstLine="1894"/>
        <w:spacing w:after="0" w:line="422" w:lineRule="auto"/>
        <w:rPr>
          <w:sz w:val="20"/>
          <w:szCs w:val="20"/>
          <w:color w:val="auto"/>
        </w:rPr>
      </w:pPr>
      <w:r>
        <w:rPr>
          <w:rFonts w:ascii="Times New Roman" w:cs="Times New Roman" w:eastAsia="Times New Roman" w:hAnsi="Times New Roman"/>
          <w:sz w:val="16"/>
          <w:szCs w:val="16"/>
          <w:b w:val="1"/>
          <w:bCs w:val="1"/>
          <w:color w:val="auto"/>
        </w:rPr>
        <w:t xml:space="preserve">2021 STOCK OPTION AND INCENTIVE PLAN </w:t>
      </w: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GENERAL PURPOSE OF THE PLAN; DEFINITIONS</w:t>
      </w: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color w:val="auto"/>
        </w:rPr>
        <w:t>The name of the plan is the Gemini Therapeutics, Inc. 2021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terms shall be defined as set forth below:</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“Act” </w:t>
      </w:r>
      <w:r>
        <w:rPr>
          <w:rFonts w:ascii="Times New Roman" w:cs="Times New Roman" w:eastAsia="Times New Roman" w:hAnsi="Times New Roman"/>
          <w:sz w:val="16"/>
          <w:szCs w:val="16"/>
          <w:color w:val="auto"/>
        </w:rPr>
        <w:t>means the Securities Act of 1933, as amended, and the rules and regulations thereunder.</w:t>
      </w:r>
    </w:p>
    <w:p>
      <w:pPr>
        <w:spacing w:after="0" w:line="139"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“Administrator” </w:t>
      </w:r>
      <w:r>
        <w:rPr>
          <w:rFonts w:ascii="Times New Roman" w:cs="Times New Roman" w:eastAsia="Times New Roman" w:hAnsi="Times New Roman"/>
          <w:sz w:val="16"/>
          <w:szCs w:val="16"/>
          <w:color w:val="auto"/>
        </w:rPr>
        <w:t>means either the Board or the compensation committee of the Board or a similar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performing the functions of the compensation committee and which is comprised of not less than two Non Employee Directors who are independent.</w:t>
      </w:r>
    </w:p>
    <w:p>
      <w:pPr>
        <w:spacing w:after="0" w:line="81"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93" w:lineRule="exact"/>
        <w:rPr>
          <w:sz w:val="20"/>
          <w:szCs w:val="20"/>
          <w:color w:val="auto"/>
        </w:rPr>
      </w:pPr>
    </w:p>
    <w:p>
      <w:pPr>
        <w:jc w:val="both"/>
        <w:ind w:left="920" w:right="939" w:firstLine="382"/>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“Award”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“Awards,” </w:t>
      </w:r>
      <w:r>
        <w:rPr>
          <w:rFonts w:ascii="Times New Roman" w:cs="Times New Roman" w:eastAsia="Times New Roman" w:hAnsi="Times New Roman"/>
          <w:sz w:val="16"/>
          <w:szCs w:val="16"/>
          <w:color w:val="auto"/>
        </w:rPr>
        <w:t>except where referring to a particular category of grant under the Plan,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Incentive Stock Options, Non-Qualified Stock Options, Stock Appreciation Rights, Restricted Stock Units, Restricted Stock Awards, Unrestricted Stock Awards, Cash-Based Awards, and Dividend Equivalent Rights.</w:t>
      </w:r>
    </w:p>
    <w:p>
      <w:pPr>
        <w:spacing w:after="0" w:line="99"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“Award Certificate” </w:t>
      </w:r>
      <w:r>
        <w:rPr>
          <w:rFonts w:ascii="Times New Roman" w:cs="Times New Roman" w:eastAsia="Times New Roman" w:hAnsi="Times New Roman"/>
          <w:sz w:val="16"/>
          <w:szCs w:val="16"/>
          <w:color w:val="auto"/>
        </w:rPr>
        <w:t>means a written or electronic document setting forth the terms and provisions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to an Award granted under the Plan. Each Award Certificate is subject to the terms and conditions of the Plan.</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“Board” </w:t>
      </w:r>
      <w:r>
        <w:rPr>
          <w:rFonts w:ascii="Times New Roman" w:cs="Times New Roman" w:eastAsia="Times New Roman" w:hAnsi="Times New Roman"/>
          <w:sz w:val="16"/>
          <w:szCs w:val="16"/>
          <w:color w:val="auto"/>
        </w:rPr>
        <w:t>means the Board of Directors of the Company.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“Cash-Based Award” </w:t>
      </w:r>
      <w:r>
        <w:rPr>
          <w:rFonts w:ascii="Times New Roman" w:cs="Times New Roman" w:eastAsia="Times New Roman" w:hAnsi="Times New Roman"/>
          <w:sz w:val="16"/>
          <w:szCs w:val="16"/>
          <w:color w:val="auto"/>
        </w:rPr>
        <w:t>means an Award entitling the recipient to receive a cash-denominated payment.</w:t>
      </w:r>
    </w:p>
    <w:p>
      <w:pPr>
        <w:spacing w:after="0" w:line="13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Closing Date</w:t>
      </w:r>
      <w:r>
        <w:rPr>
          <w:rFonts w:ascii="Times New Roman" w:cs="Times New Roman" w:eastAsia="Times New Roman" w:hAnsi="Times New Roman"/>
          <w:sz w:val="16"/>
          <w:szCs w:val="16"/>
          <w:color w:val="auto"/>
        </w:rPr>
        <w:t>” means the date of the closing of the transactions contemplated by that certain Merger Agreement, dated as of October 15, 2020, by and among the Company and the other parties thereto.</w:t>
      </w:r>
    </w:p>
    <w:p>
      <w:pPr>
        <w:spacing w:after="0" w:line="68"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“Code” </w:t>
      </w:r>
      <w:r>
        <w:rPr>
          <w:rFonts w:ascii="Times New Roman" w:cs="Times New Roman" w:eastAsia="Times New Roman" w:hAnsi="Times New Roman"/>
          <w:sz w:val="16"/>
          <w:szCs w:val="16"/>
          <w:color w:val="auto"/>
        </w:rPr>
        <w:t>means the Internal Revenue Code of 1986, as amended, and any successor Code, and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regulations and interpretations.</w:t>
      </w:r>
    </w:p>
    <w:p>
      <w:pPr>
        <w:spacing w:after="0" w:line="80"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“Consultant” </w:t>
      </w:r>
      <w:r>
        <w:rPr>
          <w:rFonts w:ascii="Times New Roman" w:cs="Times New Roman" w:eastAsia="Times New Roman" w:hAnsi="Times New Roman"/>
          <w:sz w:val="16"/>
          <w:szCs w:val="16"/>
          <w:color w:val="auto"/>
        </w:rPr>
        <w:t>means a consultant or adviser who provides</w:t>
      </w:r>
      <w:r>
        <w:rPr>
          <w:rFonts w:ascii="Times New Roman" w:cs="Times New Roman" w:eastAsia="Times New Roman" w:hAnsi="Times New Roman"/>
          <w:sz w:val="16"/>
          <w:szCs w:val="16"/>
          <w:i w:val="1"/>
          <w:iCs w:val="1"/>
          <w:color w:val="auto"/>
        </w:rPr>
        <w:t xml:space="preserve"> bona fide </w:t>
      </w:r>
      <w:r>
        <w:rPr>
          <w:rFonts w:ascii="Times New Roman" w:cs="Times New Roman" w:eastAsia="Times New Roman" w:hAnsi="Times New Roman"/>
          <w:sz w:val="16"/>
          <w:szCs w:val="16"/>
          <w:color w:val="auto"/>
        </w:rPr>
        <w:t>services to the Company or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Affiliate as an independent contractor and who qualifies as a consultant or advisor under Instruction A.1.(a)(1) of Form S-8 under the Act.</w:t>
      </w:r>
    </w:p>
    <w:p>
      <w:pPr>
        <w:spacing w:after="0" w:line="93"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“Dividend Equivalent Right” </w:t>
      </w:r>
      <w:r>
        <w:rPr>
          <w:rFonts w:ascii="Times New Roman" w:cs="Times New Roman" w:eastAsia="Times New Roman" w:hAnsi="Times New Roman"/>
          <w:sz w:val="16"/>
          <w:szCs w:val="16"/>
          <w:color w:val="auto"/>
        </w:rPr>
        <w:t>means an Award entitling the grantee to receive credits based on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dividends that would have been paid on the shares of Stock specified in the Dividend Equivalent Right (or other award to which it relates) if such shares had been issued to and held by the grantee.</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“Effective Date” </w:t>
      </w:r>
      <w:r>
        <w:rPr>
          <w:rFonts w:ascii="Times New Roman" w:cs="Times New Roman" w:eastAsia="Times New Roman" w:hAnsi="Times New Roman"/>
          <w:sz w:val="16"/>
          <w:szCs w:val="16"/>
          <w:color w:val="auto"/>
        </w:rPr>
        <w:t>means the date on which the Plan becomes effective as set forth in Section 19.</w:t>
      </w:r>
    </w:p>
    <w:p>
      <w:pPr>
        <w:spacing w:after="0" w:line="13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“Exchange Act” </w:t>
      </w:r>
      <w:r>
        <w:rPr>
          <w:rFonts w:ascii="Times New Roman" w:cs="Times New Roman" w:eastAsia="Times New Roman" w:hAnsi="Times New Roman"/>
          <w:sz w:val="16"/>
          <w:szCs w:val="16"/>
          <w:color w:val="auto"/>
        </w:rPr>
        <w:t>means the Securities Exchange Act of 1934, as amended, and the rules and regulations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thereunder.</w:t>
      </w:r>
    </w:p>
    <w:p>
      <w:pPr>
        <w:spacing w:after="0" w:line="68"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“Fair Market Value” </w:t>
      </w:r>
      <w:r>
        <w:rPr>
          <w:rFonts w:ascii="Times New Roman" w:cs="Times New Roman" w:eastAsia="Times New Roman" w:hAnsi="Times New Roman"/>
          <w:sz w:val="16"/>
          <w:szCs w:val="16"/>
          <w:color w:val="auto"/>
        </w:rPr>
        <w:t>of the Stock on any given date means the fair market value of the Stock determined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7" w:name="page508"/>
    <w:bookmarkEnd w:id="50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market quotations. If there are no market quotations for such date, the determination shall be made by reference to the last date preceding such date for which there are market quotations.</w:t>
      </w:r>
    </w:p>
    <w:p>
      <w:pPr>
        <w:spacing w:after="0" w:line="83"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“Incentive Stock Option” </w:t>
      </w:r>
      <w:r>
        <w:rPr>
          <w:rFonts w:ascii="Times New Roman" w:cs="Times New Roman" w:eastAsia="Times New Roman" w:hAnsi="Times New Roman"/>
          <w:sz w:val="16"/>
          <w:szCs w:val="16"/>
          <w:color w:val="auto"/>
        </w:rPr>
        <w:t>means any Stock Option designated and qualified as an “incentive stock option”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defined in Section 422 of the Code.</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“Non-Employee Director” </w:t>
      </w:r>
      <w:r>
        <w:rPr>
          <w:rFonts w:ascii="Times New Roman" w:cs="Times New Roman" w:eastAsia="Times New Roman" w:hAnsi="Times New Roman"/>
          <w:sz w:val="16"/>
          <w:szCs w:val="16"/>
          <w:color w:val="auto"/>
        </w:rPr>
        <w:t>means a member of the Board who is not also an employee of the Company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Subsidiary.</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“Non-Qualified Stock Option” </w:t>
      </w:r>
      <w:r>
        <w:rPr>
          <w:rFonts w:ascii="Times New Roman" w:cs="Times New Roman" w:eastAsia="Times New Roman" w:hAnsi="Times New Roman"/>
          <w:sz w:val="16"/>
          <w:szCs w:val="16"/>
          <w:color w:val="auto"/>
        </w:rPr>
        <w:t>means any Stock Option that is not an Incentive Stock Option.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“Option”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“Stock Option” </w:t>
      </w:r>
      <w:r>
        <w:rPr>
          <w:rFonts w:ascii="Times New Roman" w:cs="Times New Roman" w:eastAsia="Times New Roman" w:hAnsi="Times New Roman"/>
          <w:sz w:val="16"/>
          <w:szCs w:val="16"/>
          <w:color w:val="auto"/>
        </w:rPr>
        <w:t>means any option to purchase shares of Stock granted pursuant to Section 5.</w:t>
      </w:r>
    </w:p>
    <w:p>
      <w:pPr>
        <w:spacing w:after="0" w:line="139"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“Restricted Shares” </w:t>
      </w:r>
      <w:r>
        <w:rPr>
          <w:rFonts w:ascii="Times New Roman" w:cs="Times New Roman" w:eastAsia="Times New Roman" w:hAnsi="Times New Roman"/>
          <w:sz w:val="16"/>
          <w:szCs w:val="16"/>
          <w:color w:val="auto"/>
        </w:rPr>
        <w:t>means the shares of Stock underlying a Restricted Stock Award that remain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risk of forfeiture or the Company’s right of repurchase.</w:t>
      </w:r>
    </w:p>
    <w:p>
      <w:pPr>
        <w:spacing w:after="0" w:line="68"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“Restricted Stock Award” </w:t>
      </w:r>
      <w:r>
        <w:rPr>
          <w:rFonts w:ascii="Times New Roman" w:cs="Times New Roman" w:eastAsia="Times New Roman" w:hAnsi="Times New Roman"/>
          <w:sz w:val="16"/>
          <w:szCs w:val="16"/>
          <w:color w:val="auto"/>
        </w:rPr>
        <w:t>means an Award of Restricted Shares subject to such restrictions and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the Administrator may determine at the time of grant.</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means an Award of stock units subject to such restrictions and conditions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Administrator may determine at the time of grant.</w:t>
      </w:r>
    </w:p>
    <w:p>
      <w:pPr>
        <w:spacing w:after="0" w:line="80"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“Sale Event” </w:t>
      </w:r>
      <w:r>
        <w:rPr>
          <w:rFonts w:ascii="Times New Roman" w:cs="Times New Roman" w:eastAsia="Times New Roman" w:hAnsi="Times New Roman"/>
          <w:sz w:val="16"/>
          <w:szCs w:val="16"/>
          <w:color w:val="auto"/>
        </w:rPr>
        <w:t>means (i) the sale of all or substantially all of the assets of the Company on a consolidated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92"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Sale Price</w:t>
      </w:r>
      <w:r>
        <w:rPr>
          <w:rFonts w:ascii="Times New Roman" w:cs="Times New Roman" w:eastAsia="Times New Roman" w:hAnsi="Times New Roman"/>
          <w:sz w:val="16"/>
          <w:szCs w:val="16"/>
          <w:color w:val="auto"/>
        </w:rPr>
        <w:t>” means the value as determined by the Administrator of the consideration payable, or otherwise to be received by stockholders, per share of Stock pursuant to a Sale Event.</w:t>
      </w:r>
    </w:p>
    <w:p>
      <w:pPr>
        <w:spacing w:after="0" w:line="80"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“Section 409A” </w:t>
      </w:r>
      <w:r>
        <w:rPr>
          <w:rFonts w:ascii="Times New Roman" w:cs="Times New Roman" w:eastAsia="Times New Roman" w:hAnsi="Times New Roman"/>
          <w:sz w:val="16"/>
          <w:szCs w:val="16"/>
          <w:color w:val="auto"/>
        </w:rPr>
        <w:t>means Section 409A of the Code and the regulations and other guidance promulgated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thereunder.</w:t>
      </w:r>
    </w:p>
    <w:p>
      <w:pPr>
        <w:spacing w:after="0" w:line="80"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“Service Relationship” </w:t>
      </w:r>
      <w:r>
        <w:rPr>
          <w:rFonts w:ascii="Times New Roman" w:cs="Times New Roman" w:eastAsia="Times New Roman" w:hAnsi="Times New Roman"/>
          <w:sz w:val="16"/>
          <w:szCs w:val="16"/>
          <w:color w:val="auto"/>
        </w:rPr>
        <w:t>means any relationship as an employee, director or Consultant of the Company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Affiliate (e.g., a Service Relationship shall be deemed to continue without interruption in the event an individual’s status changes from full-time employee to part-time employee or Consultant).</w:t>
      </w:r>
    </w:p>
    <w:p>
      <w:pPr>
        <w:spacing w:after="0" w:line="81"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“Stock” </w:t>
      </w:r>
      <w:r>
        <w:rPr>
          <w:rFonts w:ascii="Times New Roman" w:cs="Times New Roman" w:eastAsia="Times New Roman" w:hAnsi="Times New Roman"/>
          <w:sz w:val="16"/>
          <w:szCs w:val="16"/>
          <w:color w:val="auto"/>
        </w:rPr>
        <w:t>means the Common Stock, par value $0.0001 per share, of the Company, subject to adjustments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Section 3.</w:t>
      </w:r>
    </w:p>
    <w:p>
      <w:pPr>
        <w:spacing w:after="0" w:line="80"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“Stock Appreciation Right” </w:t>
      </w:r>
      <w:r>
        <w:rPr>
          <w:rFonts w:ascii="Times New Roman" w:cs="Times New Roman" w:eastAsia="Times New Roman" w:hAnsi="Times New Roman"/>
          <w:sz w:val="16"/>
          <w:szCs w:val="16"/>
          <w:color w:val="auto"/>
        </w:rPr>
        <w:t>means an Award entitling the recipient to receive shares of Stock (or cash,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02" w:lineRule="exact"/>
        <w:rPr>
          <w:sz w:val="20"/>
          <w:szCs w:val="20"/>
          <w:color w:val="auto"/>
        </w:rPr>
      </w:pPr>
    </w:p>
    <w:p>
      <w:pPr>
        <w:jc w:val="both"/>
        <w:ind w:left="920" w:right="939" w:firstLine="382"/>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“Subsidiary” </w:t>
      </w:r>
      <w:r>
        <w:rPr>
          <w:rFonts w:ascii="Times New Roman" w:cs="Times New Roman" w:eastAsia="Times New Roman" w:hAnsi="Times New Roman"/>
          <w:sz w:val="16"/>
          <w:szCs w:val="16"/>
          <w:color w:val="auto"/>
        </w:rPr>
        <w:t>means any corporation or other entity (other than the Company) in which the Company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 least a 50 percent interest, either directly or indirectly.</w:t>
      </w:r>
    </w:p>
    <w:p>
      <w:pPr>
        <w:spacing w:after="0" w:line="68" w:lineRule="exact"/>
        <w:rPr>
          <w:sz w:val="20"/>
          <w:szCs w:val="20"/>
          <w:color w:val="auto"/>
        </w:rPr>
      </w:pPr>
    </w:p>
    <w:p>
      <w:pPr>
        <w:jc w:val="both"/>
        <w:ind w:left="920" w:right="939" w:firstLine="38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“Ten Percent Owner” </w:t>
      </w:r>
      <w:r>
        <w:rPr>
          <w:rFonts w:ascii="Times New Roman" w:cs="Times New Roman" w:eastAsia="Times New Roman" w:hAnsi="Times New Roman"/>
          <w:sz w:val="16"/>
          <w:szCs w:val="16"/>
          <w:color w:val="auto"/>
        </w:rPr>
        <w:t>means an employee who owns or is deemed to own (by reason of the attribution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of Section 424(d) of the Code) more than 10 percent of the combined voting power of all classes of stock of the Company or any parent or subsidiary corporation.</w:t>
      </w:r>
    </w:p>
    <w:p>
      <w:pPr>
        <w:spacing w:after="0" w:line="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 xml:space="preserve">“Unrestricted Stock Award” </w:t>
      </w:r>
      <w:r>
        <w:rPr>
          <w:rFonts w:ascii="Times New Roman" w:cs="Times New Roman" w:eastAsia="Times New Roman" w:hAnsi="Times New Roman"/>
          <w:sz w:val="16"/>
          <w:szCs w:val="16"/>
          <w:color w:val="auto"/>
        </w:rPr>
        <w:t>means an Award of shares of Stock free of any restrictions.</w:t>
      </w:r>
    </w:p>
    <w:p>
      <w:pPr>
        <w:spacing w:after="0" w:line="16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8" w:name="page509"/>
    <w:bookmarkEnd w:id="50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980" w:right="939" w:hanging="1051"/>
        <w:spacing w:after="0" w:line="280" w:lineRule="auto"/>
        <w:tabs>
          <w:tab w:leader="none" w:pos="196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6"/>
          <w:szCs w:val="16"/>
          <w:u w:val="single" w:color="auto"/>
          <w:color w:val="auto"/>
        </w:rPr>
        <w:t>ADMINISTRATION OF PLAN; ADMINISTRATOR AUTHORITY TO SELECT GRANTEES AND DETERMINE AWARDS</w:t>
      </w:r>
    </w:p>
    <w:p>
      <w:pPr>
        <w:spacing w:after="0" w:line="85" w:lineRule="exact"/>
        <w:rPr>
          <w:sz w:val="20"/>
          <w:szCs w:val="20"/>
          <w:color w:val="auto"/>
        </w:rPr>
      </w:pPr>
    </w:p>
    <w:p>
      <w:pPr>
        <w:ind w:left="1640" w:hanging="339"/>
        <w:spacing w:after="0"/>
        <w:tabs>
          <w:tab w:leader="none" w:pos="1640"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 of Plan</w:t>
      </w:r>
      <w:r>
        <w:rPr>
          <w:rFonts w:ascii="Times New Roman" w:cs="Times New Roman" w:eastAsia="Times New Roman" w:hAnsi="Times New Roman"/>
          <w:sz w:val="16"/>
          <w:szCs w:val="16"/>
          <w:color w:val="auto"/>
        </w:rPr>
        <w:t>. The Plan shall be administered by the Administrator.</w:t>
      </w:r>
    </w:p>
    <w:p>
      <w:pPr>
        <w:spacing w:after="0" w:line="138"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719"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Powers of Administrator</w:t>
      </w:r>
      <w:r>
        <w:rPr>
          <w:rFonts w:ascii="Times New Roman" w:cs="Times New Roman" w:eastAsia="Times New Roman" w:hAnsi="Times New Roman"/>
          <w:sz w:val="16"/>
          <w:szCs w:val="16"/>
          <w:color w:val="auto"/>
        </w:rPr>
        <w:t>. The Administrator shall have the power and authority to grant Awards consistent with the terms of the Plan, including the power and authority:</w:t>
      </w:r>
    </w:p>
    <w:p>
      <w:pPr>
        <w:spacing w:after="0" w:line="72" w:lineRule="exact"/>
        <w:rPr>
          <w:rFonts w:ascii="Times New Roman" w:cs="Times New Roman" w:eastAsia="Times New Roman" w:hAnsi="Times New Roman"/>
          <w:sz w:val="16"/>
          <w:szCs w:val="16"/>
          <w:color w:val="auto"/>
        </w:rPr>
      </w:pPr>
    </w:p>
    <w:p>
      <w:pPr>
        <w:ind w:left="2000" w:hanging="316"/>
        <w:spacing w:after="0"/>
        <w:tabs>
          <w:tab w:leader="none" w:pos="2000" w:val="left"/>
        </w:tabs>
        <w:numPr>
          <w:ilvl w:val="1"/>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select the individuals to whom Awards may from time to time be granted;</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2108" w:val="left"/>
        </w:tabs>
        <w:numPr>
          <w:ilvl w:val="1"/>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02" w:lineRule="exact"/>
        <w:rPr>
          <w:rFonts w:ascii="Times New Roman" w:cs="Times New Roman" w:eastAsia="Times New Roman" w:hAnsi="Times New Roman"/>
          <w:sz w:val="16"/>
          <w:szCs w:val="16"/>
          <w:color w:val="auto"/>
        </w:rPr>
      </w:pPr>
    </w:p>
    <w:p>
      <w:pPr>
        <w:ind w:left="2080" w:hanging="396"/>
        <w:spacing w:after="0"/>
        <w:tabs>
          <w:tab w:leader="none" w:pos="2080" w:val="left"/>
        </w:tabs>
        <w:numPr>
          <w:ilvl w:val="1"/>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the number of shares of Stock to be covered by any Award;</w:t>
      </w:r>
    </w:p>
    <w:p>
      <w:pPr>
        <w:spacing w:after="0" w:line="126"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2125" w:val="left"/>
        </w:tabs>
        <w:numPr>
          <w:ilvl w:val="1"/>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95" w:lineRule="exact"/>
        <w:rPr>
          <w:rFonts w:ascii="Times New Roman" w:cs="Times New Roman" w:eastAsia="Times New Roman" w:hAnsi="Times New Roman"/>
          <w:sz w:val="16"/>
          <w:szCs w:val="16"/>
          <w:color w:val="auto"/>
        </w:rPr>
      </w:pPr>
    </w:p>
    <w:p>
      <w:pPr>
        <w:ind w:left="2020" w:hanging="336"/>
        <w:spacing w:after="0"/>
        <w:tabs>
          <w:tab w:leader="none" w:pos="2020" w:val="left"/>
        </w:tabs>
        <w:numPr>
          <w:ilvl w:val="1"/>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accelerate at any time the exercisability or vesting of all or any portion of any Award;</w:t>
      </w:r>
    </w:p>
    <w:p>
      <w:pPr>
        <w:spacing w:after="0" w:line="138"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2151" w:val="left"/>
        </w:tabs>
        <w:numPr>
          <w:ilvl w:val="1"/>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5(c), to extend at any time the period in which Stock Options may be exercised; and</w:t>
      </w:r>
    </w:p>
    <w:p>
      <w:pPr>
        <w:spacing w:after="0" w:line="72"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2155" w:val="left"/>
        </w:tabs>
        <w:numPr>
          <w:ilvl w:val="1"/>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02" w:lineRule="exact"/>
        <w:rPr>
          <w:sz w:val="20"/>
          <w:szCs w:val="20"/>
          <w:color w:val="auto"/>
        </w:rPr>
      </w:pPr>
    </w:p>
    <w:p>
      <w:pPr>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All decisions and interpretations of the Administrator shall be binding on all persons, including the Company and Plan grantees.</w:t>
      </w:r>
    </w:p>
    <w:p>
      <w:pPr>
        <w:spacing w:after="0" w:line="85" w:lineRule="exact"/>
        <w:rPr>
          <w:sz w:val="20"/>
          <w:szCs w:val="20"/>
          <w:color w:val="auto"/>
        </w:rPr>
      </w:pPr>
    </w:p>
    <w:p>
      <w:pPr>
        <w:jc w:val="both"/>
        <w:ind w:left="920" w:right="939" w:firstLine="381"/>
        <w:spacing w:after="0" w:line="252" w:lineRule="auto"/>
        <w:tabs>
          <w:tab w:leader="none" w:pos="1770"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Delegation of Authority to Grant Awards</w:t>
      </w:r>
      <w:r>
        <w:rPr>
          <w:rFonts w:ascii="Times New Roman" w:cs="Times New Roman" w:eastAsia="Times New Roman" w:hAnsi="Times New Roman"/>
          <w:sz w:val="16"/>
          <w:szCs w:val="16"/>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99"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659"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Certificate</w:t>
      </w:r>
      <w:r>
        <w:rPr>
          <w:rFonts w:ascii="Times New Roman" w:cs="Times New Roman" w:eastAsia="Times New Roman" w:hAnsi="Times New Roman"/>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650"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09"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681"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Award Recipients</w:t>
      </w:r>
      <w:r>
        <w:rPr>
          <w:rFonts w:ascii="Times New Roman" w:cs="Times New Roman" w:eastAsia="Times New Roman" w:hAnsi="Times New Roman"/>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9" w:name="page510"/>
    <w:bookmarkEnd w:id="50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10" w:lineRule="exact"/>
        <w:rPr>
          <w:sz w:val="20"/>
          <w:szCs w:val="20"/>
          <w:color w:val="auto"/>
        </w:rPr>
      </w:pPr>
    </w:p>
    <w:p>
      <w:pPr>
        <w:ind w:left="920"/>
        <w:spacing w:after="0"/>
        <w:tabs>
          <w:tab w:leader="none" w:pos="1920" w:val="left"/>
        </w:tabs>
        <w:rPr>
          <w:sz w:val="20"/>
          <w:szCs w:val="20"/>
          <w:color w:val="auto"/>
        </w:rPr>
      </w:pPr>
      <w:r>
        <w:rPr>
          <w:rFonts w:ascii="Times New Roman" w:cs="Times New Roman" w:eastAsia="Times New Roman" w:hAnsi="Times New Roman"/>
          <w:sz w:val="16"/>
          <w:szCs w:val="16"/>
          <w:color w:val="auto"/>
        </w:rPr>
        <w:t>SECTION 3.</w:t>
      </w:r>
      <w:r>
        <w:rPr>
          <w:sz w:val="20"/>
          <w:szCs w:val="20"/>
          <w:color w:val="auto"/>
        </w:rPr>
        <w:tab/>
      </w:r>
      <w:r>
        <w:rPr>
          <w:rFonts w:ascii="Times New Roman" w:cs="Times New Roman" w:eastAsia="Times New Roman" w:hAnsi="Times New Roman"/>
          <w:sz w:val="15"/>
          <w:szCs w:val="15"/>
          <w:u w:val="single" w:color="auto"/>
          <w:color w:val="auto"/>
        </w:rPr>
        <w:t>STOCK ISSUABLE UNDER THE PLAN; MERGERS; SUBSTITUTION</w:t>
      </w:r>
    </w:p>
    <w:p>
      <w:pPr>
        <w:spacing w:after="0" w:line="139" w:lineRule="exact"/>
        <w:rPr>
          <w:sz w:val="20"/>
          <w:szCs w:val="20"/>
          <w:color w:val="auto"/>
        </w:rPr>
      </w:pPr>
    </w:p>
    <w:p>
      <w:pPr>
        <w:jc w:val="both"/>
        <w:ind w:left="920" w:right="939" w:firstLine="381"/>
        <w:spacing w:after="0" w:line="251" w:lineRule="auto"/>
        <w:tabs>
          <w:tab w:leader="none" w:pos="1662" w:val="left"/>
        </w:tabs>
        <w:numPr>
          <w:ilvl w:val="1"/>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Issuable</w:t>
      </w:r>
      <w:r>
        <w:rPr>
          <w:rFonts w:ascii="Times New Roman" w:cs="Times New Roman" w:eastAsia="Times New Roman" w:hAnsi="Times New Roman"/>
          <w:sz w:val="16"/>
          <w:szCs w:val="16"/>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97" w:lineRule="exact"/>
        <w:rPr>
          <w:rFonts w:ascii="Times New Roman" w:cs="Times New Roman" w:eastAsia="Times New Roman" w:hAnsi="Times New Roman"/>
          <w:sz w:val="16"/>
          <w:szCs w:val="16"/>
          <w:color w:val="auto"/>
        </w:rPr>
      </w:pPr>
    </w:p>
    <w:p>
      <w:pPr>
        <w:jc w:val="both"/>
        <w:ind w:left="920" w:right="939" w:firstLine="381"/>
        <w:spacing w:after="0" w:line="251" w:lineRule="auto"/>
        <w:tabs>
          <w:tab w:leader="none" w:pos="1862" w:val="left"/>
        </w:tabs>
        <w:numPr>
          <w:ilvl w:val="1"/>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Stock</w:t>
      </w:r>
      <w:r>
        <w:rPr>
          <w:rFonts w:ascii="Times New Roman" w:cs="Times New Roman" w:eastAsia="Times New Roman" w:hAnsi="Times New Roman"/>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4" w:lineRule="exact"/>
        <w:rPr>
          <w:rFonts w:ascii="Times New Roman" w:cs="Times New Roman" w:eastAsia="Times New Roman" w:hAnsi="Times New Roman"/>
          <w:sz w:val="16"/>
          <w:szCs w:val="16"/>
          <w:color w:val="auto"/>
        </w:rPr>
      </w:pPr>
    </w:p>
    <w:p>
      <w:pPr>
        <w:ind w:left="1160" w:hanging="241"/>
        <w:spacing w:after="0"/>
        <w:tabs>
          <w:tab w:leader="none" w:pos="1160" w:val="left"/>
        </w:tabs>
        <w:numPr>
          <w:ilvl w:val="0"/>
          <w:numId w:val="4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kind of shares or other securities subject to any then outstanding Awards under the Plan,</w:t>
      </w:r>
    </w:p>
    <w:p>
      <w:pPr>
        <w:spacing w:after="0" w:line="7" w:lineRule="exact"/>
        <w:rPr>
          <w:rFonts w:ascii="Times New Roman" w:cs="Times New Roman" w:eastAsia="Times New Roman" w:hAnsi="Times New Roman"/>
          <w:sz w:val="16"/>
          <w:szCs w:val="16"/>
          <w:color w:val="auto"/>
        </w:rPr>
      </w:pPr>
    </w:p>
    <w:p>
      <w:pPr>
        <w:jc w:val="both"/>
        <w:ind w:left="920" w:right="939" w:hanging="1"/>
        <w:spacing w:after="0" w:line="250" w:lineRule="auto"/>
        <w:tabs>
          <w:tab w:leader="none" w:pos="1221" w:val="left"/>
        </w:tabs>
        <w:numPr>
          <w:ilvl w:val="0"/>
          <w:numId w:val="4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10" w:name="page511"/>
    <w:bookmarkEnd w:id="51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0" w:lineRule="auto"/>
        <w:tabs>
          <w:tab w:leader="none" w:pos="1638" w:val="left"/>
        </w:tabs>
        <w:numPr>
          <w:ilvl w:val="0"/>
          <w:numId w:val="4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Mergers and Other Transactions</w:t>
      </w:r>
      <w:r>
        <w:rPr>
          <w:rFonts w:ascii="Times New Roman" w:cs="Times New Roman" w:eastAsia="Times New Roman" w:hAnsi="Times New Roman"/>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20" w:lineRule="exact"/>
        <w:rPr>
          <w:rFonts w:ascii="Times New Roman" w:cs="Times New Roman" w:eastAsia="Times New Roman" w:hAnsi="Times New Roman"/>
          <w:sz w:val="16"/>
          <w:szCs w:val="16"/>
          <w:color w:val="auto"/>
        </w:rPr>
      </w:pPr>
    </w:p>
    <w:p>
      <w:pPr>
        <w:jc w:val="both"/>
        <w:ind w:left="920" w:right="939" w:firstLine="381"/>
        <w:spacing w:after="0" w:line="253" w:lineRule="auto"/>
        <w:tabs>
          <w:tab w:leader="none" w:pos="1719" w:val="left"/>
        </w:tabs>
        <w:numPr>
          <w:ilvl w:val="0"/>
          <w:numId w:val="4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Maximum Awards to Non-Employee Directors</w:t>
      </w:r>
      <w:r>
        <w:rPr>
          <w:rFonts w:ascii="Times New Roman" w:cs="Times New Roman" w:eastAsia="Times New Roman" w:hAnsi="Times New Roman"/>
          <w:sz w:val="16"/>
          <w:szCs w:val="16"/>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09" w:lineRule="exact"/>
        <w:rPr>
          <w:sz w:val="20"/>
          <w:szCs w:val="20"/>
          <w:color w:val="auto"/>
        </w:rPr>
      </w:pPr>
    </w:p>
    <w:p>
      <w:pPr>
        <w:ind w:left="920"/>
        <w:spacing w:after="0"/>
        <w:tabs>
          <w:tab w:leader="none" w:pos="1920" w:val="left"/>
        </w:tabs>
        <w:rPr>
          <w:sz w:val="20"/>
          <w:szCs w:val="20"/>
          <w:color w:val="auto"/>
        </w:rPr>
      </w:pPr>
      <w:r>
        <w:rPr>
          <w:rFonts w:ascii="Times New Roman" w:cs="Times New Roman" w:eastAsia="Times New Roman" w:hAnsi="Times New Roman"/>
          <w:sz w:val="16"/>
          <w:szCs w:val="16"/>
          <w:color w:val="auto"/>
        </w:rPr>
        <w:t>SECTION 4.</w:t>
      </w:r>
      <w:r>
        <w:rPr>
          <w:sz w:val="20"/>
          <w:szCs w:val="20"/>
          <w:color w:val="auto"/>
        </w:rPr>
        <w:tab/>
      </w:r>
      <w:r>
        <w:rPr>
          <w:rFonts w:ascii="Times New Roman" w:cs="Times New Roman" w:eastAsia="Times New Roman" w:hAnsi="Times New Roman"/>
          <w:sz w:val="15"/>
          <w:szCs w:val="15"/>
          <w:u w:val="single" w:color="auto"/>
          <w:color w:val="auto"/>
        </w:rPr>
        <w:t>ELIGIBILITY</w:t>
      </w:r>
    </w:p>
    <w:p>
      <w:pPr>
        <w:spacing w:after="0" w:line="127"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07" w:lineRule="exact"/>
        <w:rPr>
          <w:sz w:val="20"/>
          <w:szCs w:val="20"/>
          <w:color w:val="auto"/>
        </w:rPr>
      </w:pPr>
    </w:p>
    <w:p>
      <w:pPr>
        <w:ind w:left="920"/>
        <w:spacing w:after="0"/>
        <w:tabs>
          <w:tab w:leader="none" w:pos="1920" w:val="left"/>
        </w:tabs>
        <w:rPr>
          <w:sz w:val="20"/>
          <w:szCs w:val="20"/>
          <w:color w:val="auto"/>
        </w:rPr>
      </w:pPr>
      <w:r>
        <w:rPr>
          <w:rFonts w:ascii="Times New Roman" w:cs="Times New Roman" w:eastAsia="Times New Roman" w:hAnsi="Times New Roman"/>
          <w:sz w:val="16"/>
          <w:szCs w:val="16"/>
          <w:color w:val="auto"/>
        </w:rPr>
        <w:t>SECTION 5.</w:t>
      </w:r>
      <w:r>
        <w:rPr>
          <w:sz w:val="20"/>
          <w:szCs w:val="20"/>
          <w:color w:val="auto"/>
        </w:rPr>
        <w:tab/>
      </w:r>
      <w:r>
        <w:rPr>
          <w:rFonts w:ascii="Times New Roman" w:cs="Times New Roman" w:eastAsia="Times New Roman" w:hAnsi="Times New Roman"/>
          <w:sz w:val="15"/>
          <w:szCs w:val="15"/>
          <w:u w:val="single" w:color="auto"/>
          <w:color w:val="auto"/>
        </w:rPr>
        <w:t>STOCK OPTIONS</w:t>
      </w:r>
    </w:p>
    <w:p>
      <w:pPr>
        <w:spacing w:after="0" w:line="139" w:lineRule="exact"/>
        <w:rPr>
          <w:sz w:val="20"/>
          <w:szCs w:val="20"/>
          <w:color w:val="auto"/>
        </w:rPr>
      </w:pPr>
    </w:p>
    <w:p>
      <w:pPr>
        <w:ind w:left="920" w:right="939" w:firstLine="381"/>
        <w:spacing w:after="0" w:line="280" w:lineRule="auto"/>
        <w:tabs>
          <w:tab w:leader="none" w:pos="1698" w:val="left"/>
        </w:tabs>
        <w:numPr>
          <w:ilvl w:val="0"/>
          <w:numId w:val="4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of Stock Options</w:t>
      </w:r>
      <w:r>
        <w:rPr>
          <w:rFonts w:ascii="Times New Roman" w:cs="Times New Roman" w:eastAsia="Times New Roman" w:hAnsi="Times New Roman"/>
          <w:sz w:val="16"/>
          <w:szCs w:val="16"/>
          <w:color w:val="auto"/>
        </w:rPr>
        <w:t>. The Administrator may grant Stock Options under the Plan. Any Stock Option granted under the Plan shall be in such form as the Administrator may from time to time approve.</w:t>
      </w:r>
    </w:p>
    <w:p>
      <w:pPr>
        <w:spacing w:after="0" w:line="73"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02"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02" w:lineRule="exact"/>
        <w:rPr>
          <w:sz w:val="20"/>
          <w:szCs w:val="20"/>
          <w:color w:val="auto"/>
        </w:rPr>
      </w:pPr>
    </w:p>
    <w:p>
      <w:pPr>
        <w:jc w:val="both"/>
        <w:ind w:left="920" w:right="939" w:firstLine="381"/>
        <w:spacing w:after="0" w:line="259" w:lineRule="auto"/>
        <w:tabs>
          <w:tab w:leader="none" w:pos="1755" w:val="left"/>
        </w:tabs>
        <w:numPr>
          <w:ilvl w:val="0"/>
          <w:numId w:val="4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1" w:name="page512"/>
    <w:bookmarkEnd w:id="51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78" w:lineRule="auto"/>
        <w:rPr>
          <w:sz w:val="20"/>
          <w:szCs w:val="20"/>
          <w:color w:val="auto"/>
        </w:rPr>
      </w:pPr>
      <w:r>
        <w:rPr>
          <w:rFonts w:ascii="Times New Roman" w:cs="Times New Roman" w:eastAsia="Times New Roman" w:hAnsi="Times New Roman"/>
          <w:sz w:val="15"/>
          <w:szCs w:val="15"/>
          <w:color w:val="auto"/>
        </w:rPr>
        <w:t>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88" w:lineRule="exact"/>
        <w:rPr>
          <w:sz w:val="20"/>
          <w:szCs w:val="20"/>
          <w:color w:val="auto"/>
        </w:rPr>
      </w:pPr>
    </w:p>
    <w:p>
      <w:pPr>
        <w:jc w:val="both"/>
        <w:ind w:left="920" w:right="939" w:firstLine="381"/>
        <w:spacing w:after="0" w:line="259" w:lineRule="auto"/>
        <w:tabs>
          <w:tab w:leader="none" w:pos="1722"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Term</w:t>
      </w:r>
      <w:r>
        <w:rPr>
          <w:rFonts w:ascii="Times New Roman" w:cs="Times New Roman" w:eastAsia="Times New Roman" w:hAnsi="Times New Roman"/>
          <w:sz w:val="16"/>
          <w:szCs w:val="16"/>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731"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Exercisability; Rights of a Stockholder</w:t>
      </w:r>
      <w:r>
        <w:rPr>
          <w:rFonts w:ascii="Times New Roman" w:cs="Times New Roman" w:eastAsia="Times New Roman" w:hAnsi="Times New Roman"/>
          <w:sz w:val="16"/>
          <w:szCs w:val="16"/>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90"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734"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w:t>
      </w:r>
      <w:r>
        <w:rPr>
          <w:rFonts w:ascii="Times New Roman" w:cs="Times New Roman" w:eastAsia="Times New Roman" w:hAnsi="Times New Roman"/>
          <w:sz w:val="16"/>
          <w:szCs w:val="16"/>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02" w:lineRule="exact"/>
        <w:rPr>
          <w:rFonts w:ascii="Times New Roman" w:cs="Times New Roman" w:eastAsia="Times New Roman" w:hAnsi="Times New Roman"/>
          <w:sz w:val="16"/>
          <w:szCs w:val="16"/>
          <w:color w:val="auto"/>
        </w:rPr>
      </w:pPr>
    </w:p>
    <w:p>
      <w:pPr>
        <w:ind w:left="2000" w:hanging="316"/>
        <w:spacing w:after="0"/>
        <w:tabs>
          <w:tab w:leader="none" w:pos="2000" w:val="left"/>
        </w:tabs>
        <w:numPr>
          <w:ilvl w:val="1"/>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cash, by certified or bank check or other instrument acceptable to the Administrator;</w:t>
      </w:r>
    </w:p>
    <w:p>
      <w:pPr>
        <w:spacing w:after="0" w:line="138"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2173" w:val="left"/>
        </w:tabs>
        <w:numPr>
          <w:ilvl w:val="1"/>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78" w:lineRule="auto"/>
        <w:tabs>
          <w:tab w:leader="none" w:pos="2103" w:val="left"/>
        </w:tabs>
        <w:numPr>
          <w:ilvl w:val="1"/>
          <w:numId w:val="4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88" w:lineRule="exact"/>
        <w:rPr>
          <w:rFonts w:ascii="Times New Roman" w:cs="Times New Roman" w:eastAsia="Times New Roman" w:hAnsi="Times New Roman"/>
          <w:sz w:val="15"/>
          <w:szCs w:val="15"/>
          <w:color w:val="auto"/>
        </w:rPr>
      </w:pPr>
    </w:p>
    <w:p>
      <w:pPr>
        <w:jc w:val="both"/>
        <w:ind w:left="920" w:right="939" w:firstLine="764"/>
        <w:spacing w:after="0" w:line="259" w:lineRule="auto"/>
        <w:tabs>
          <w:tab w:leader="none" w:pos="2177" w:val="left"/>
        </w:tabs>
        <w:numPr>
          <w:ilvl w:val="1"/>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02" w:lineRule="exact"/>
        <w:rPr>
          <w:sz w:val="20"/>
          <w:szCs w:val="20"/>
          <w:color w:val="auto"/>
        </w:rPr>
      </w:pPr>
    </w:p>
    <w:p>
      <w:pPr>
        <w:ind w:left="920" w:right="939"/>
        <w:spacing w:after="0" w:line="252" w:lineRule="auto"/>
        <w:rPr>
          <w:sz w:val="20"/>
          <w:szCs w:val="20"/>
          <w:color w:val="auto"/>
        </w:rPr>
      </w:pPr>
      <w:r>
        <w:rPr>
          <w:rFonts w:ascii="Times New Roman" w:cs="Times New Roman" w:eastAsia="Times New Roman" w:hAnsi="Times New Roman"/>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96" w:lineRule="exact"/>
        <w:rPr>
          <w:sz w:val="20"/>
          <w:szCs w:val="20"/>
          <w:color w:val="auto"/>
        </w:rPr>
      </w:pPr>
    </w:p>
    <w:p>
      <w:pPr>
        <w:jc w:val="both"/>
        <w:ind w:left="920" w:right="939" w:firstLine="381"/>
        <w:spacing w:after="0" w:line="255" w:lineRule="auto"/>
        <w:tabs>
          <w:tab w:leader="none" w:pos="1740" w:val="left"/>
        </w:tabs>
        <w:numPr>
          <w:ilvl w:val="0"/>
          <w:numId w:val="4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Limit on Incentive Stock Options</w:t>
      </w:r>
      <w:r>
        <w:rPr>
          <w:rFonts w:ascii="Times New Roman" w:cs="Times New Roman" w:eastAsia="Times New Roman" w:hAnsi="Times New Roman"/>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2" w:name="page513"/>
    <w:bookmarkEnd w:id="51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tabs>
          <w:tab w:leader="none" w:pos="1920" w:val="left"/>
        </w:tabs>
        <w:rPr>
          <w:sz w:val="20"/>
          <w:szCs w:val="20"/>
          <w:color w:val="auto"/>
        </w:rPr>
      </w:pPr>
      <w:r>
        <w:rPr>
          <w:rFonts w:ascii="Times New Roman" w:cs="Times New Roman" w:eastAsia="Times New Roman" w:hAnsi="Times New Roman"/>
          <w:sz w:val="16"/>
          <w:szCs w:val="16"/>
          <w:color w:val="auto"/>
        </w:rPr>
        <w:t>SECTION 6.</w:t>
      </w:r>
      <w:r>
        <w:rPr>
          <w:sz w:val="20"/>
          <w:szCs w:val="20"/>
          <w:color w:val="auto"/>
        </w:rPr>
        <w:tab/>
      </w:r>
      <w:r>
        <w:rPr>
          <w:rFonts w:ascii="Times New Roman" w:cs="Times New Roman" w:eastAsia="Times New Roman" w:hAnsi="Times New Roman"/>
          <w:sz w:val="15"/>
          <w:szCs w:val="15"/>
          <w:u w:val="single" w:color="auto"/>
          <w:color w:val="auto"/>
        </w:rPr>
        <w:t>STOCK APPRECIATION RIGHTS</w:t>
      </w:r>
    </w:p>
    <w:p>
      <w:pPr>
        <w:spacing w:after="0" w:line="139" w:lineRule="exact"/>
        <w:rPr>
          <w:sz w:val="20"/>
          <w:szCs w:val="20"/>
          <w:color w:val="auto"/>
        </w:rPr>
      </w:pPr>
    </w:p>
    <w:p>
      <w:pPr>
        <w:jc w:val="both"/>
        <w:ind w:left="920" w:right="939" w:firstLine="381"/>
        <w:spacing w:after="0" w:line="255" w:lineRule="auto"/>
        <w:tabs>
          <w:tab w:leader="none" w:pos="165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of Stock Appreciation Rights</w:t>
      </w:r>
      <w:r>
        <w:rPr>
          <w:rFonts w:ascii="Times New Roman" w:cs="Times New Roman" w:eastAsia="Times New Roman" w:hAnsi="Times New Roman"/>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0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659"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 of Stock Appreciation Rights</w:t>
      </w:r>
      <w:r>
        <w:rPr>
          <w:rFonts w:ascii="Times New Roman" w:cs="Times New Roman" w:eastAsia="Times New Roman" w:hAnsi="Times New Roman"/>
          <w:sz w:val="16"/>
          <w:szCs w:val="16"/>
          <w:color w:val="auto"/>
        </w:rPr>
        <w:t>. The exercise price of a Stock Appreciation Right shall not be less than 100 percent of the Fair Market Value of the Stock on the date of grant.</w:t>
      </w:r>
    </w:p>
    <w:p>
      <w:pPr>
        <w:spacing w:after="0" w:line="72"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65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and Exercise of Stock Appreciation Rights</w:t>
      </w:r>
      <w:r>
        <w:rPr>
          <w:rFonts w:ascii="Times New Roman" w:cs="Times New Roman" w:eastAsia="Times New Roman" w:hAnsi="Times New Roman"/>
          <w:sz w:val="16"/>
          <w:szCs w:val="16"/>
          <w:color w:val="auto"/>
        </w:rPr>
        <w:t>. Stock Appreciation Rights may be granted by the Administrator independently of any Stock Option granted pursuant to Section 5 of the Plan.</w:t>
      </w:r>
    </w:p>
    <w:p>
      <w:pPr>
        <w:spacing w:after="0" w:line="84" w:lineRule="exact"/>
        <w:rPr>
          <w:rFonts w:ascii="Times New Roman" w:cs="Times New Roman" w:eastAsia="Times New Roman" w:hAnsi="Times New Roman"/>
          <w:sz w:val="16"/>
          <w:szCs w:val="16"/>
          <w:color w:val="auto"/>
        </w:rPr>
      </w:pPr>
    </w:p>
    <w:p>
      <w:pPr>
        <w:jc w:val="both"/>
        <w:ind w:left="920" w:right="939" w:firstLine="381"/>
        <w:spacing w:after="0" w:line="282" w:lineRule="auto"/>
        <w:tabs>
          <w:tab w:leader="none" w:pos="1683" w:val="left"/>
        </w:tabs>
        <w:numPr>
          <w:ilvl w:val="0"/>
          <w:numId w:val="4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Terms and Conditions of Stock Appreciation Rights</w:t>
      </w:r>
      <w:r>
        <w:rPr>
          <w:rFonts w:ascii="Times New Roman" w:cs="Times New Roman" w:eastAsia="Times New Roman" w:hAnsi="Times New Roman"/>
          <w:sz w:val="15"/>
          <w:szCs w:val="15"/>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86" w:lineRule="exact"/>
        <w:rPr>
          <w:sz w:val="20"/>
          <w:szCs w:val="20"/>
          <w:color w:val="auto"/>
        </w:rPr>
      </w:pPr>
    </w:p>
    <w:p>
      <w:pPr>
        <w:ind w:left="920"/>
        <w:spacing w:after="0"/>
        <w:tabs>
          <w:tab w:leader="none" w:pos="1920" w:val="left"/>
        </w:tabs>
        <w:rPr>
          <w:sz w:val="20"/>
          <w:szCs w:val="20"/>
          <w:color w:val="auto"/>
        </w:rPr>
      </w:pPr>
      <w:r>
        <w:rPr>
          <w:rFonts w:ascii="Times New Roman" w:cs="Times New Roman" w:eastAsia="Times New Roman" w:hAnsi="Times New Roman"/>
          <w:sz w:val="16"/>
          <w:szCs w:val="16"/>
          <w:color w:val="auto"/>
        </w:rPr>
        <w:t>SECTION 7.</w:t>
      </w:r>
      <w:r>
        <w:rPr>
          <w:sz w:val="20"/>
          <w:szCs w:val="20"/>
          <w:color w:val="auto"/>
        </w:rPr>
        <w:tab/>
      </w:r>
      <w:r>
        <w:rPr>
          <w:rFonts w:ascii="Times New Roman" w:cs="Times New Roman" w:eastAsia="Times New Roman" w:hAnsi="Times New Roman"/>
          <w:sz w:val="15"/>
          <w:szCs w:val="15"/>
          <w:u w:val="single" w:color="auto"/>
          <w:color w:val="auto"/>
        </w:rPr>
        <w:t>RESTRICTED STOCK AWARDS</w:t>
      </w:r>
    </w:p>
    <w:p>
      <w:pPr>
        <w:spacing w:after="0" w:line="127" w:lineRule="exact"/>
        <w:rPr>
          <w:sz w:val="20"/>
          <w:szCs w:val="20"/>
          <w:color w:val="auto"/>
        </w:rPr>
      </w:pPr>
    </w:p>
    <w:p>
      <w:pPr>
        <w:jc w:val="both"/>
        <w:ind w:left="920" w:right="939" w:firstLine="381"/>
        <w:spacing w:after="0" w:line="282" w:lineRule="auto"/>
        <w:tabs>
          <w:tab w:leader="none" w:pos="1638" w:val="left"/>
        </w:tabs>
        <w:numPr>
          <w:ilvl w:val="1"/>
          <w:numId w:val="4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Nature of Restricted Stock Awards</w:t>
      </w:r>
      <w:r>
        <w:rPr>
          <w:rFonts w:ascii="Times New Roman" w:cs="Times New Roman" w:eastAsia="Times New Roman" w:hAnsi="Times New Roman"/>
          <w:sz w:val="15"/>
          <w:szCs w:val="15"/>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85" w:lineRule="exact"/>
        <w:rPr>
          <w:rFonts w:ascii="Times New Roman" w:cs="Times New Roman" w:eastAsia="Times New Roman" w:hAnsi="Times New Roman"/>
          <w:sz w:val="15"/>
          <w:szCs w:val="15"/>
          <w:color w:val="auto"/>
        </w:rPr>
      </w:pPr>
    </w:p>
    <w:p>
      <w:pPr>
        <w:jc w:val="both"/>
        <w:ind w:left="920" w:right="939" w:firstLine="381"/>
        <w:spacing w:after="0" w:line="269" w:lineRule="auto"/>
        <w:tabs>
          <w:tab w:leader="none" w:pos="1779" w:val="left"/>
        </w:tabs>
        <w:numPr>
          <w:ilvl w:val="1"/>
          <w:numId w:val="4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Rights as a Stockholder</w:t>
      </w:r>
      <w:r>
        <w:rPr>
          <w:rFonts w:ascii="Times New Roman" w:cs="Times New Roman" w:eastAsia="Times New Roman" w:hAnsi="Times New Roman"/>
          <w:sz w:val="15"/>
          <w:szCs w:val="15"/>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3" w:lineRule="exact"/>
        <w:rPr>
          <w:rFonts w:ascii="Times New Roman" w:cs="Times New Roman" w:eastAsia="Times New Roman" w:hAnsi="Times New Roman"/>
          <w:sz w:val="15"/>
          <w:szCs w:val="15"/>
          <w:color w:val="auto"/>
        </w:rPr>
      </w:pPr>
    </w:p>
    <w:p>
      <w:pPr>
        <w:jc w:val="both"/>
        <w:ind w:left="920" w:right="939" w:hanging="1"/>
        <w:spacing w:after="0" w:line="251" w:lineRule="auto"/>
        <w:tabs>
          <w:tab w:leader="none" w:pos="1125"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07"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806" w:val="left"/>
        </w:tabs>
        <w:numPr>
          <w:ilvl w:val="1"/>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683" w:val="left"/>
        </w:tabs>
        <w:numPr>
          <w:ilvl w:val="1"/>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of Restricted Shares</w:t>
      </w:r>
      <w:r>
        <w:rPr>
          <w:rFonts w:ascii="Times New Roman" w:cs="Times New Roman" w:eastAsia="Times New Roman" w:hAnsi="Times New Roman"/>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3" w:name="page514"/>
    <w:bookmarkEnd w:id="51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tabs>
          <w:tab w:leader="none" w:pos="1920" w:val="left"/>
        </w:tabs>
        <w:rPr>
          <w:sz w:val="20"/>
          <w:szCs w:val="20"/>
          <w:color w:val="auto"/>
        </w:rPr>
      </w:pPr>
      <w:r>
        <w:rPr>
          <w:rFonts w:ascii="Times New Roman" w:cs="Times New Roman" w:eastAsia="Times New Roman" w:hAnsi="Times New Roman"/>
          <w:sz w:val="16"/>
          <w:szCs w:val="16"/>
          <w:color w:val="auto"/>
        </w:rPr>
        <w:t>SECTION 8.</w:t>
      </w:r>
      <w:r>
        <w:rPr>
          <w:sz w:val="20"/>
          <w:szCs w:val="20"/>
          <w:color w:val="auto"/>
        </w:rPr>
        <w:tab/>
      </w:r>
      <w:r>
        <w:rPr>
          <w:rFonts w:ascii="Times New Roman" w:cs="Times New Roman" w:eastAsia="Times New Roman" w:hAnsi="Times New Roman"/>
          <w:sz w:val="15"/>
          <w:szCs w:val="15"/>
          <w:u w:val="single" w:color="auto"/>
          <w:color w:val="auto"/>
        </w:rPr>
        <w:t>RESTRICTED STOCK UNITS</w:t>
      </w:r>
    </w:p>
    <w:p>
      <w:pPr>
        <w:spacing w:after="0" w:line="139" w:lineRule="exact"/>
        <w:rPr>
          <w:sz w:val="20"/>
          <w:szCs w:val="20"/>
          <w:color w:val="auto"/>
        </w:rPr>
      </w:pPr>
    </w:p>
    <w:p>
      <w:pPr>
        <w:jc w:val="both"/>
        <w:ind w:left="920" w:right="939" w:firstLine="381"/>
        <w:spacing w:after="0" w:line="252" w:lineRule="auto"/>
        <w:tabs>
          <w:tab w:leader="none" w:pos="171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Restricted Stock Units</w:t>
      </w:r>
      <w:r>
        <w:rPr>
          <w:rFonts w:ascii="Times New Roman" w:cs="Times New Roman" w:eastAsia="Times New Roman" w:hAnsi="Times New Roman"/>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09" w:lineRule="exact"/>
        <w:rPr>
          <w:rFonts w:ascii="Times New Roman" w:cs="Times New Roman" w:eastAsia="Times New Roman" w:hAnsi="Times New Roman"/>
          <w:sz w:val="16"/>
          <w:szCs w:val="16"/>
          <w:color w:val="auto"/>
        </w:rPr>
      </w:pPr>
    </w:p>
    <w:p>
      <w:pPr>
        <w:jc w:val="both"/>
        <w:ind w:left="920" w:right="939" w:firstLine="381"/>
        <w:spacing w:after="0" w:line="252" w:lineRule="auto"/>
        <w:tabs>
          <w:tab w:leader="none" w:pos="1671"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 to Receive Restricted Stock Units in Lieu of Compensation</w:t>
      </w:r>
      <w:r>
        <w:rPr>
          <w:rFonts w:ascii="Times New Roman" w:cs="Times New Roman" w:eastAsia="Times New Roman" w:hAnsi="Times New Roman"/>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662"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as a Stockholder</w:t>
      </w:r>
      <w:r>
        <w:rPr>
          <w:rFonts w:ascii="Times New Roman" w:cs="Times New Roman" w:eastAsia="Times New Roman" w:hAnsi="Times New Roman"/>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02" w:lineRule="exact"/>
        <w:rPr>
          <w:rFonts w:ascii="Times New Roman" w:cs="Times New Roman" w:eastAsia="Times New Roman" w:hAnsi="Times New Roman"/>
          <w:sz w:val="16"/>
          <w:szCs w:val="16"/>
          <w:color w:val="auto"/>
        </w:rPr>
      </w:pPr>
    </w:p>
    <w:p>
      <w:pPr>
        <w:jc w:val="both"/>
        <w:ind w:left="920" w:right="939" w:firstLine="381"/>
        <w:spacing w:after="0" w:line="259" w:lineRule="auto"/>
        <w:tabs>
          <w:tab w:leader="none" w:pos="1779"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02" w:lineRule="exact"/>
        <w:rPr>
          <w:sz w:val="20"/>
          <w:szCs w:val="20"/>
          <w:color w:val="auto"/>
        </w:rPr>
      </w:pPr>
    </w:p>
    <w:p>
      <w:pPr>
        <w:ind w:left="920"/>
        <w:spacing w:after="0"/>
        <w:tabs>
          <w:tab w:leader="none" w:pos="1920" w:val="left"/>
        </w:tabs>
        <w:rPr>
          <w:sz w:val="20"/>
          <w:szCs w:val="20"/>
          <w:color w:val="auto"/>
        </w:rPr>
      </w:pPr>
      <w:r>
        <w:rPr>
          <w:rFonts w:ascii="Times New Roman" w:cs="Times New Roman" w:eastAsia="Times New Roman" w:hAnsi="Times New Roman"/>
          <w:sz w:val="16"/>
          <w:szCs w:val="16"/>
          <w:color w:val="auto"/>
        </w:rPr>
        <w:t>SECTION 9.</w:t>
      </w:r>
      <w:r>
        <w:rPr>
          <w:sz w:val="20"/>
          <w:szCs w:val="20"/>
          <w:color w:val="auto"/>
        </w:rPr>
        <w:tab/>
      </w:r>
      <w:r>
        <w:rPr>
          <w:rFonts w:ascii="Times New Roman" w:cs="Times New Roman" w:eastAsia="Times New Roman" w:hAnsi="Times New Roman"/>
          <w:sz w:val="15"/>
          <w:szCs w:val="15"/>
          <w:u w:val="single" w:color="auto"/>
          <w:color w:val="auto"/>
        </w:rPr>
        <w:t>UNRESTRICTED STOCK AWARDS</w:t>
      </w:r>
    </w:p>
    <w:p>
      <w:pPr>
        <w:spacing w:after="0" w:line="127"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u w:val="single" w:color="auto"/>
          <w:color w:val="auto"/>
        </w:rPr>
        <w:t>Grant or Sale of Unrestricted Stock</w:t>
      </w:r>
      <w:r>
        <w:rPr>
          <w:rFonts w:ascii="Times New Roman" w:cs="Times New Roman" w:eastAsia="Times New Roman" w:hAnsi="Times New Roman"/>
          <w:sz w:val="16"/>
          <w:szCs w:val="16"/>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CASH-BASED AWARDS</w:t>
      </w:r>
    </w:p>
    <w:p>
      <w:pPr>
        <w:spacing w:after="0" w:line="139" w:lineRule="exact"/>
        <w:rPr>
          <w:sz w:val="20"/>
          <w:szCs w:val="20"/>
          <w:color w:val="auto"/>
        </w:rPr>
      </w:pPr>
    </w:p>
    <w:p>
      <w:pPr>
        <w:jc w:val="both"/>
        <w:ind w:left="920" w:right="939" w:firstLine="382"/>
        <w:spacing w:after="0" w:line="253" w:lineRule="auto"/>
        <w:rPr>
          <w:sz w:val="20"/>
          <w:szCs w:val="20"/>
          <w:color w:val="auto"/>
        </w:rPr>
      </w:pPr>
      <w:r>
        <w:rPr>
          <w:rFonts w:ascii="Times New Roman" w:cs="Times New Roman" w:eastAsia="Times New Roman" w:hAnsi="Times New Roman"/>
          <w:sz w:val="16"/>
          <w:szCs w:val="16"/>
          <w:u w:val="single" w:color="auto"/>
          <w:color w:val="auto"/>
        </w:rPr>
        <w:t>Grant of Cash-Based Awards</w:t>
      </w:r>
      <w:r>
        <w:rPr>
          <w:rFonts w:ascii="Times New Roman" w:cs="Times New Roman" w:eastAsia="Times New Roman" w:hAnsi="Times New Roman"/>
          <w:sz w:val="16"/>
          <w:szCs w:val="16"/>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DIVIDEND EQUIVALENT RIGHTS</w:t>
      </w:r>
    </w:p>
    <w:p>
      <w:pPr>
        <w:spacing w:after="0" w:line="139" w:lineRule="exact"/>
        <w:rPr>
          <w:sz w:val="20"/>
          <w:szCs w:val="20"/>
          <w:color w:val="auto"/>
        </w:rPr>
      </w:pPr>
    </w:p>
    <w:p>
      <w:pPr>
        <w:jc w:val="both"/>
        <w:ind w:left="920" w:right="939" w:firstLine="381"/>
        <w:spacing w:after="0" w:line="257" w:lineRule="auto"/>
        <w:tabs>
          <w:tab w:leader="none" w:pos="171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Equivalent Rights</w:t>
      </w:r>
      <w:r>
        <w:rPr>
          <w:rFonts w:ascii="Times New Roman" w:cs="Times New Roman" w:eastAsia="Times New Roman" w:hAnsi="Times New Roman"/>
          <w:sz w:val="16"/>
          <w:szCs w:val="16"/>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4" w:name="page515"/>
    <w:bookmarkEnd w:id="51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2" w:lineRule="auto"/>
        <w:rPr>
          <w:sz w:val="20"/>
          <w:szCs w:val="20"/>
          <w:color w:val="auto"/>
        </w:rPr>
      </w:pPr>
      <w:r>
        <w:rPr>
          <w:rFonts w:ascii="Times New Roman" w:cs="Times New Roman" w:eastAsia="Times New Roman" w:hAnsi="Times New Roman"/>
          <w:sz w:val="16"/>
          <w:szCs w:val="16"/>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0" w:lineRule="exact"/>
        <w:rPr>
          <w:sz w:val="20"/>
          <w:szCs w:val="20"/>
          <w:color w:val="auto"/>
        </w:rPr>
      </w:pPr>
    </w:p>
    <w:p>
      <w:pPr>
        <w:jc w:val="both"/>
        <w:ind w:left="920" w:right="939" w:firstLine="381"/>
        <w:spacing w:after="0" w:line="259" w:lineRule="auto"/>
        <w:tabs>
          <w:tab w:leader="none" w:pos="1779"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TRANSFERABILITY OF AWARDS</w:t>
      </w:r>
    </w:p>
    <w:p>
      <w:pPr>
        <w:spacing w:after="0" w:line="127" w:lineRule="exact"/>
        <w:rPr>
          <w:sz w:val="20"/>
          <w:szCs w:val="20"/>
          <w:color w:val="auto"/>
        </w:rPr>
      </w:pPr>
    </w:p>
    <w:p>
      <w:pPr>
        <w:jc w:val="both"/>
        <w:ind w:left="920" w:right="939" w:firstLine="381"/>
        <w:spacing w:after="0" w:line="255" w:lineRule="auto"/>
        <w:tabs>
          <w:tab w:leader="none" w:pos="1698"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05"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767"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Administrator Action</w:t>
      </w:r>
      <w:r>
        <w:rPr>
          <w:rFonts w:ascii="Times New Roman" w:cs="Times New Roman" w:eastAsia="Times New Roman" w:hAnsi="Times New Roman"/>
          <w:sz w:val="16"/>
          <w:szCs w:val="16"/>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06" w:lineRule="exact"/>
        <w:rPr>
          <w:rFonts w:ascii="Times New Roman" w:cs="Times New Roman" w:eastAsia="Times New Roman" w:hAnsi="Times New Roman"/>
          <w:sz w:val="16"/>
          <w:szCs w:val="16"/>
          <w:color w:val="auto"/>
        </w:rPr>
      </w:pPr>
    </w:p>
    <w:p>
      <w:pPr>
        <w:jc w:val="both"/>
        <w:ind w:left="920" w:right="939" w:firstLine="381"/>
        <w:spacing w:after="0" w:line="254" w:lineRule="auto"/>
        <w:tabs>
          <w:tab w:leader="none" w:pos="1722"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94"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731"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Designation of Beneficiary</w:t>
      </w:r>
      <w:r>
        <w:rPr>
          <w:rFonts w:ascii="Times New Roman" w:cs="Times New Roman" w:eastAsia="Times New Roman" w:hAnsi="Times New Roman"/>
          <w:sz w:val="16"/>
          <w:szCs w:val="16"/>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TAX WITHHOLDING</w:t>
      </w:r>
    </w:p>
    <w:p>
      <w:pPr>
        <w:spacing w:after="0" w:line="139" w:lineRule="exact"/>
        <w:rPr>
          <w:sz w:val="20"/>
          <w:szCs w:val="20"/>
          <w:color w:val="auto"/>
        </w:rPr>
      </w:pPr>
    </w:p>
    <w:p>
      <w:pPr>
        <w:jc w:val="both"/>
        <w:ind w:left="920" w:right="939" w:firstLine="381"/>
        <w:spacing w:after="0" w:line="253" w:lineRule="auto"/>
        <w:tabs>
          <w:tab w:leader="none" w:pos="1650" w:val="left"/>
        </w:tabs>
        <w:numPr>
          <w:ilvl w:val="0"/>
          <w:numId w:val="4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by Grantee</w:t>
      </w:r>
      <w:r>
        <w:rPr>
          <w:rFonts w:ascii="Times New Roman" w:cs="Times New Roman" w:eastAsia="Times New Roman" w:hAnsi="Times New Roman"/>
          <w:sz w:val="16"/>
          <w:szCs w:val="16"/>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15" w:name="page516"/>
    <w:bookmarkEnd w:id="51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381"/>
        <w:spacing w:after="0" w:line="252" w:lineRule="auto"/>
        <w:tabs>
          <w:tab w:leader="none" w:pos="1683"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in Stock</w:t>
      </w:r>
      <w:r>
        <w:rPr>
          <w:rFonts w:ascii="Times New Roman" w:cs="Times New Roman" w:eastAsia="Times New Roman" w:hAnsi="Times New Roman"/>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SECTION 409A AWARDS</w:t>
      </w:r>
    </w:p>
    <w:p>
      <w:pPr>
        <w:spacing w:after="0" w:line="139"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u w:val="single" w:color="auto"/>
          <w:color w:val="auto"/>
        </w:rPr>
        <w:t>TERMINATION OF SERVICE RELATIONSHIP, TRANSFER, LEAVE OF ABSENCE, ETC.</w:t>
      </w:r>
    </w:p>
    <w:p>
      <w:pPr>
        <w:spacing w:after="0" w:line="150" w:lineRule="exact"/>
        <w:rPr>
          <w:sz w:val="20"/>
          <w:szCs w:val="20"/>
          <w:color w:val="auto"/>
        </w:rPr>
      </w:pPr>
    </w:p>
    <w:p>
      <w:pPr>
        <w:jc w:val="both"/>
        <w:ind w:left="920" w:right="939" w:firstLine="381"/>
        <w:spacing w:after="0" w:line="265" w:lineRule="auto"/>
        <w:tabs>
          <w:tab w:leader="none" w:pos="1686" w:val="left"/>
        </w:tabs>
        <w:numPr>
          <w:ilvl w:val="0"/>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Service Relationship</w:t>
      </w:r>
      <w:r>
        <w:rPr>
          <w:rFonts w:ascii="Times New Roman" w:cs="Times New Roman" w:eastAsia="Times New Roman" w:hAnsi="Times New Roman"/>
          <w:sz w:val="16"/>
          <w:szCs w:val="16"/>
          <w:color w:val="auto"/>
        </w:rPr>
        <w:t>. If the grantee’s Service Relationship is with an Affiliate and such Affiliate ceases to be an Affiliate, the grantee shall be deemed to have terminated his or her Service Relationship for purposes of the Plan.</w:t>
      </w:r>
    </w:p>
    <w:p>
      <w:pPr>
        <w:spacing w:after="0" w:line="9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748" w:val="left"/>
        </w:tabs>
        <w:numPr>
          <w:ilvl w:val="0"/>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the Plan, the following events shall not be deemed a termination of a Service Relationship:</w:t>
      </w:r>
    </w:p>
    <w:p>
      <w:pPr>
        <w:spacing w:after="0" w:line="7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2057" w:val="left"/>
        </w:tabs>
        <w:numPr>
          <w:ilvl w:val="1"/>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to the employment of the Company from an Affiliate or from the Company to an Affiliate, or from one Affiliate to another; or</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2161" w:val="left"/>
        </w:tabs>
        <w:numPr>
          <w:ilvl w:val="1"/>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AMENDMENTS AND TERMINATION</w:t>
      </w:r>
    </w:p>
    <w:p>
      <w:pPr>
        <w:spacing w:after="0" w:line="12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6" w:name="page517"/>
    <w:bookmarkEnd w:id="51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STATUS OF PLAN</w:t>
      </w:r>
    </w:p>
    <w:p>
      <w:pPr>
        <w:spacing w:after="0" w:line="139" w:lineRule="exact"/>
        <w:rPr>
          <w:sz w:val="20"/>
          <w:szCs w:val="20"/>
          <w:color w:val="auto"/>
        </w:rPr>
      </w:pPr>
    </w:p>
    <w:p>
      <w:pPr>
        <w:jc w:val="both"/>
        <w:ind w:left="920" w:right="939" w:firstLine="382"/>
        <w:spacing w:after="0" w:line="254" w:lineRule="auto"/>
        <w:rPr>
          <w:sz w:val="20"/>
          <w:szCs w:val="20"/>
          <w:color w:val="auto"/>
        </w:rPr>
      </w:pPr>
      <w:r>
        <w:rPr>
          <w:rFonts w:ascii="Times New Roman" w:cs="Times New Roman" w:eastAsia="Times New Roman" w:hAnsi="Times New Roman"/>
          <w:sz w:val="16"/>
          <w:szCs w:val="16"/>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GENERAL PROVISIONS</w:t>
      </w:r>
    </w:p>
    <w:p>
      <w:pPr>
        <w:spacing w:after="0" w:line="127" w:lineRule="exact"/>
        <w:rPr>
          <w:sz w:val="20"/>
          <w:szCs w:val="20"/>
          <w:color w:val="auto"/>
        </w:rPr>
      </w:pPr>
    </w:p>
    <w:p>
      <w:pPr>
        <w:jc w:val="both"/>
        <w:ind w:left="920" w:right="939" w:firstLine="381"/>
        <w:spacing w:after="0" w:line="265" w:lineRule="auto"/>
        <w:tabs>
          <w:tab w:leader="none" w:pos="1662"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Distribution</w:t>
      </w:r>
      <w:r>
        <w:rPr>
          <w:rFonts w:ascii="Times New Roman" w:cs="Times New Roman" w:eastAsia="Times New Roman" w:hAnsi="Times New Roman"/>
          <w:sz w:val="16"/>
          <w:szCs w:val="16"/>
          <w:color w:val="auto"/>
        </w:rPr>
        <w:t>. The Administrator may require each person acquiring Stock pursuant to an Award to represent to and agree with the Company in writing that such person is acquiring the shares without a view to distribution thereof.</w:t>
      </w:r>
    </w:p>
    <w:p>
      <w:pPr>
        <w:spacing w:after="0" w:line="95" w:lineRule="exact"/>
        <w:rPr>
          <w:rFonts w:ascii="Times New Roman" w:cs="Times New Roman" w:eastAsia="Times New Roman" w:hAnsi="Times New Roman"/>
          <w:sz w:val="16"/>
          <w:szCs w:val="16"/>
          <w:color w:val="auto"/>
        </w:rPr>
      </w:pPr>
    </w:p>
    <w:p>
      <w:pPr>
        <w:jc w:val="both"/>
        <w:ind w:left="920" w:right="939" w:firstLine="381"/>
        <w:spacing w:after="0" w:line="268" w:lineRule="auto"/>
        <w:tabs>
          <w:tab w:leader="none" w:pos="1695" w:val="left"/>
        </w:tabs>
        <w:numPr>
          <w:ilvl w:val="0"/>
          <w:numId w:val="4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Issuance of Stock</w:t>
      </w:r>
      <w:r>
        <w:rPr>
          <w:rFonts w:ascii="Times New Roman" w:cs="Times New Roman" w:eastAsia="Times New Roman" w:hAnsi="Times New Roman"/>
          <w:sz w:val="15"/>
          <w:szCs w:val="15"/>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92" w:lineRule="exact"/>
        <w:rPr>
          <w:rFonts w:ascii="Times New Roman" w:cs="Times New Roman" w:eastAsia="Times New Roman" w:hAnsi="Times New Roman"/>
          <w:sz w:val="15"/>
          <w:szCs w:val="15"/>
          <w:color w:val="auto"/>
        </w:rPr>
      </w:pPr>
    </w:p>
    <w:p>
      <w:pPr>
        <w:jc w:val="both"/>
        <w:ind w:left="920" w:right="939" w:firstLine="381"/>
        <w:spacing w:after="0" w:line="259" w:lineRule="auto"/>
        <w:tabs>
          <w:tab w:leader="none" w:pos="1686"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Rights</w:t>
      </w:r>
      <w:r>
        <w:rPr>
          <w:rFonts w:ascii="Times New Roman" w:cs="Times New Roman" w:eastAsia="Times New Roman" w:hAnsi="Times New Roman"/>
          <w:sz w:val="16"/>
          <w:szCs w:val="16"/>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90" w:lineRule="exact"/>
        <w:rPr>
          <w:rFonts w:ascii="Times New Roman" w:cs="Times New Roman" w:eastAsia="Times New Roman" w:hAnsi="Times New Roman"/>
          <w:sz w:val="16"/>
          <w:szCs w:val="16"/>
          <w:color w:val="auto"/>
        </w:rPr>
      </w:pPr>
    </w:p>
    <w:p>
      <w:pPr>
        <w:jc w:val="both"/>
        <w:ind w:left="920" w:right="939" w:firstLine="381"/>
        <w:spacing w:after="0" w:line="257" w:lineRule="auto"/>
        <w:tabs>
          <w:tab w:leader="none" w:pos="1695"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Compensation Arrangements; No Employment Rights</w:t>
      </w:r>
      <w:r>
        <w:rPr>
          <w:rFonts w:ascii="Times New Roman" w:cs="Times New Roman" w:eastAsia="Times New Roman" w:hAnsi="Times New Roman"/>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2"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638"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Policy Restrictions</w:t>
      </w:r>
      <w:r>
        <w:rPr>
          <w:rFonts w:ascii="Times New Roman" w:cs="Times New Roman" w:eastAsia="Times New Roman" w:hAnsi="Times New Roman"/>
          <w:sz w:val="16"/>
          <w:szCs w:val="16"/>
          <w:color w:val="auto"/>
        </w:rPr>
        <w:t>. Option exercises and other Awards under the Plan shall be subject to the Company’s insider trading policies and procedures, as in effect from time to time.</w:t>
      </w:r>
    </w:p>
    <w:p>
      <w:pPr>
        <w:spacing w:after="0" w:line="84"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669"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 Policy</w:t>
      </w:r>
      <w:r>
        <w:rPr>
          <w:rFonts w:ascii="Times New Roman" w:cs="Times New Roman" w:eastAsia="Times New Roman" w:hAnsi="Times New Roman"/>
          <w:sz w:val="16"/>
          <w:szCs w:val="16"/>
          <w:color w:val="auto"/>
        </w:rPr>
        <w:t>. Awards under the Plan shall be subject to the Company’s clawback policy, as in effect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7" w:name="page518"/>
    <w:bookmarkEnd w:id="51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EFFECTIVE DATE OF PLAN</w:t>
      </w:r>
    </w:p>
    <w:p>
      <w:pPr>
        <w:spacing w:after="0" w:line="139" w:lineRule="exact"/>
        <w:rPr>
          <w:sz w:val="20"/>
          <w:szCs w:val="20"/>
          <w:color w:val="auto"/>
        </w:rPr>
      </w:pPr>
    </w:p>
    <w:p>
      <w:pPr>
        <w:jc w:val="both"/>
        <w:ind w:left="920" w:right="939" w:firstLine="382"/>
        <w:spacing w:after="0" w:line="257" w:lineRule="auto"/>
        <w:rPr>
          <w:sz w:val="20"/>
          <w:szCs w:val="20"/>
          <w:color w:val="auto"/>
        </w:rPr>
      </w:pPr>
      <w:r>
        <w:rPr>
          <w:rFonts w:ascii="Times New Roman" w:cs="Times New Roman" w:eastAsia="Times New Roman" w:hAnsi="Times New Roman"/>
          <w:sz w:val="16"/>
          <w:szCs w:val="16"/>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20.  </w:t>
      </w:r>
      <w:r>
        <w:rPr>
          <w:rFonts w:ascii="Times New Roman" w:cs="Times New Roman" w:eastAsia="Times New Roman" w:hAnsi="Times New Roman"/>
          <w:sz w:val="16"/>
          <w:szCs w:val="16"/>
          <w:u w:val="single" w:color="auto"/>
          <w:color w:val="auto"/>
        </w:rPr>
        <w:t>GOVERNING LAW</w:t>
      </w:r>
    </w:p>
    <w:p>
      <w:pPr>
        <w:spacing w:after="0" w:line="127" w:lineRule="exact"/>
        <w:rPr>
          <w:sz w:val="20"/>
          <w:szCs w:val="20"/>
          <w:color w:val="auto"/>
        </w:rPr>
      </w:pPr>
    </w:p>
    <w:p>
      <w:pPr>
        <w:jc w:val="both"/>
        <w:ind w:left="920" w:right="939" w:firstLine="382"/>
        <w:spacing w:after="0" w:line="259" w:lineRule="auto"/>
        <w:rPr>
          <w:sz w:val="20"/>
          <w:szCs w:val="20"/>
          <w:color w:val="auto"/>
        </w:rPr>
      </w:pPr>
      <w:r>
        <w:rPr>
          <w:rFonts w:ascii="Times New Roman" w:cs="Times New Roman" w:eastAsia="Times New Roman" w:hAnsi="Times New Roman"/>
          <w:sz w:val="16"/>
          <w:szCs w:val="16"/>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DATE APPROVED BY BOARD OF DIRECTORS:</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DATE APPROVED BY STOCKHOLDERS: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8" w:name="page519"/>
    <w:bookmarkEnd w:id="51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Annex 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SUBSCRIPTION AGREEMENT</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1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27" w:lineRule="exact"/>
        <w:rPr>
          <w:sz w:val="20"/>
          <w:szCs w:val="20"/>
          <w:color w:val="auto"/>
        </w:rPr>
      </w:pPr>
    </w:p>
    <w:p>
      <w:pPr>
        <w:jc w:val="both"/>
        <w:ind w:left="920" w:right="939" w:firstLine="382"/>
        <w:spacing w:after="0" w:line="252" w:lineRule="auto"/>
        <w:rPr>
          <w:sz w:val="20"/>
          <w:szCs w:val="20"/>
          <w:color w:val="auto"/>
        </w:rPr>
      </w:pPr>
      <w:r>
        <w:rPr>
          <w:rFonts w:ascii="Times New Roman" w:cs="Times New Roman" w:eastAsia="Times New Roman" w:hAnsi="Times New Roman"/>
          <w:sz w:val="16"/>
          <w:szCs w:val="16"/>
          <w:color w:val="auto"/>
        </w:rPr>
        <w:t>In connection with the proposed business combination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between FS Development Corp., a Delaware corporation (“</w:t>
      </w:r>
      <w:r>
        <w:rPr>
          <w:rFonts w:ascii="Times New Roman" w:cs="Times New Roman" w:eastAsia="Times New Roman" w:hAnsi="Times New Roman"/>
          <w:sz w:val="16"/>
          <w:szCs w:val="16"/>
          <w:u w:val="single" w:color="auto"/>
          <w:color w:val="auto"/>
        </w:rPr>
        <w:t>FSD</w:t>
      </w:r>
      <w:r>
        <w:rPr>
          <w:rFonts w:ascii="Times New Roman" w:cs="Times New Roman" w:eastAsia="Times New Roman" w:hAnsi="Times New Roman"/>
          <w:sz w:val="16"/>
          <w:szCs w:val="16"/>
          <w:color w:val="auto"/>
        </w:rPr>
        <w:t>”), and Gemini Therapeutics, Inc., a Delaware corporation (“</w:t>
      </w:r>
      <w:r>
        <w:rPr>
          <w:rFonts w:ascii="Times New Roman" w:cs="Times New Roman" w:eastAsia="Times New Roman" w:hAnsi="Times New Roman"/>
          <w:sz w:val="16"/>
          <w:szCs w:val="16"/>
          <w:u w:val="single" w:color="auto"/>
          <w:color w:val="auto"/>
        </w:rPr>
        <w:t>Target</w:t>
      </w:r>
      <w:r>
        <w:rPr>
          <w:rFonts w:ascii="Times New Roman" w:cs="Times New Roman" w:eastAsia="Times New Roman" w:hAnsi="Times New Roman"/>
          <w:sz w:val="16"/>
          <w:szCs w:val="16"/>
          <w:color w:val="auto"/>
        </w:rPr>
        <w:t>”), pursuant to a merger agreement to be entered into among FSD, Target, and the other parties thereto (the “</w:t>
      </w:r>
      <w:r>
        <w:rPr>
          <w:rFonts w:ascii="Times New Roman" w:cs="Times New Roman" w:eastAsia="Times New Roman" w:hAnsi="Times New Roman"/>
          <w:sz w:val="16"/>
          <w:szCs w:val="16"/>
          <w:u w:val="single" w:color="auto"/>
          <w:color w:val="auto"/>
        </w:rPr>
        <w:t>Transaction Agreement</w:t>
      </w:r>
      <w:r>
        <w:rPr>
          <w:rFonts w:ascii="Times New Roman" w:cs="Times New Roman" w:eastAsia="Times New Roman" w:hAnsi="Times New Roman"/>
          <w:sz w:val="16"/>
          <w:szCs w:val="16"/>
          <w:color w:val="auto"/>
        </w:rPr>
        <w:t>”), FSD is seeking commitments from interested investors to purchase shares of Class A common stock, par value $0.0001 per share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of FSD, for a purchase price of $10.00 per share (the “</w:t>
      </w:r>
      <w:r>
        <w:rPr>
          <w:rFonts w:ascii="Times New Roman" w:cs="Times New Roman" w:eastAsia="Times New Roman" w:hAnsi="Times New Roman"/>
          <w:sz w:val="16"/>
          <w:szCs w:val="16"/>
          <w:u w:val="single" w:color="auto"/>
          <w:color w:val="auto"/>
        </w:rPr>
        <w:t>Per Share Purchase Price</w:t>
      </w:r>
      <w:r>
        <w:rPr>
          <w:rFonts w:ascii="Times New Roman" w:cs="Times New Roman" w:eastAsia="Times New Roman" w:hAnsi="Times New Roman"/>
          <w:sz w:val="16"/>
          <w:szCs w:val="16"/>
          <w:color w:val="auto"/>
        </w:rPr>
        <w:t>”). The aggregate purchase price to be paid by the undersigned (the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for the subscribed Shares (as set forth on the signature page hereto) is referred to herein as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Amount</w:t>
      </w:r>
      <w:r>
        <w:rPr>
          <w:rFonts w:ascii="Times New Roman" w:cs="Times New Roman" w:eastAsia="Times New Roman" w:hAnsi="Times New Roman"/>
          <w:sz w:val="16"/>
          <w:szCs w:val="16"/>
          <w:color w:val="auto"/>
        </w:rPr>
        <w:t>.” On or about the date of this Subscription Agreement, FSD is entering into subscription agreements (the “</w:t>
      </w:r>
      <w:r>
        <w:rPr>
          <w:rFonts w:ascii="Times New Roman" w:cs="Times New Roman" w:eastAsia="Times New Roman" w:hAnsi="Times New Roman"/>
          <w:sz w:val="16"/>
          <w:szCs w:val="16"/>
          <w:u w:val="single" w:color="auto"/>
          <w:color w:val="auto"/>
        </w:rPr>
        <w:t>Other Subscription Agreements</w:t>
      </w:r>
      <w:r>
        <w:rPr>
          <w:rFonts w:ascii="Times New Roman" w:cs="Times New Roman" w:eastAsia="Times New Roman" w:hAnsi="Times New Roman"/>
          <w:sz w:val="16"/>
          <w:szCs w:val="16"/>
          <w:color w:val="auto"/>
        </w:rPr>
        <w:t>” and together with this Subscription Agreement,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 with certain other investors (the “</w:t>
      </w:r>
      <w:r>
        <w:rPr>
          <w:rFonts w:ascii="Times New Roman" w:cs="Times New Roman" w:eastAsia="Times New Roman" w:hAnsi="Times New Roman"/>
          <w:sz w:val="16"/>
          <w:szCs w:val="16"/>
          <w:u w:val="single" w:color="auto"/>
          <w:color w:val="auto"/>
        </w:rPr>
        <w:t>Other Investors</w:t>
      </w:r>
      <w:r>
        <w:rPr>
          <w:rFonts w:ascii="Times New Roman" w:cs="Times New Roman" w:eastAsia="Times New Roman" w:hAnsi="Times New Roman"/>
          <w:sz w:val="16"/>
          <w:szCs w:val="16"/>
          <w:color w:val="auto"/>
        </w:rPr>
        <w:t>” and together with the Investor,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06" w:lineRule="exact"/>
        <w:rPr>
          <w:sz w:val="20"/>
          <w:szCs w:val="20"/>
          <w:color w:val="auto"/>
        </w:rPr>
      </w:pPr>
    </w:p>
    <w:p>
      <w:pPr>
        <w:jc w:val="both"/>
        <w:ind w:left="920" w:right="939" w:firstLine="382"/>
        <w:spacing w:after="0" w:line="265" w:lineRule="auto"/>
        <w:rPr>
          <w:sz w:val="20"/>
          <w:szCs w:val="20"/>
          <w:color w:val="auto"/>
        </w:rPr>
      </w:pPr>
      <w:r>
        <w:rPr>
          <w:rFonts w:ascii="Times New Roman" w:cs="Times New Roman" w:eastAsia="Times New Roman" w:hAnsi="Times New Roman"/>
          <w:sz w:val="16"/>
          <w:szCs w:val="16"/>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96" w:lineRule="exact"/>
        <w:rPr>
          <w:sz w:val="20"/>
          <w:szCs w:val="20"/>
          <w:color w:val="auto"/>
        </w:rPr>
      </w:pPr>
    </w:p>
    <w:p>
      <w:pPr>
        <w:jc w:val="both"/>
        <w:ind w:left="920" w:right="939" w:firstLine="381"/>
        <w:spacing w:after="0" w:line="265" w:lineRule="auto"/>
        <w:tabs>
          <w:tab w:leader="none" w:pos="1593" w:val="left"/>
        </w:tabs>
        <w:numPr>
          <w:ilvl w:val="0"/>
          <w:numId w:val="4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50" w:lineRule="auto"/>
        <w:tabs>
          <w:tab w:leader="none" w:pos="1581" w:val="left"/>
        </w:tabs>
        <w:numPr>
          <w:ilvl w:val="0"/>
          <w:numId w:val="4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closing of the sale of the Shares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Subscription Agreement and (ii) delivery of written notice from (or on behalf of) FSD to the Investor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9" w:name="page520"/>
    <w:bookmarkEnd w:id="51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580" w:hanging="279"/>
        <w:spacing w:after="0"/>
        <w:tabs>
          <w:tab w:leader="none" w:pos="1580" w:val="left"/>
        </w:tabs>
        <w:numPr>
          <w:ilvl w:val="0"/>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57" w:val="left"/>
        </w:tabs>
        <w:numPr>
          <w:ilvl w:val="1"/>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parties hereto to consummate the purchase and sale of the Shares pursuant to this Subscription Agreement is subject to the following conditions:</w:t>
      </w:r>
    </w:p>
    <w:p>
      <w:pPr>
        <w:spacing w:after="0" w:line="84" w:lineRule="exact"/>
        <w:rPr>
          <w:rFonts w:ascii="Times New Roman" w:cs="Times New Roman" w:eastAsia="Times New Roman" w:hAnsi="Times New Roman"/>
          <w:sz w:val="16"/>
          <w:szCs w:val="16"/>
          <w:color w:val="auto"/>
        </w:rPr>
      </w:pPr>
    </w:p>
    <w:p>
      <w:pPr>
        <w:jc w:val="both"/>
        <w:ind w:left="920" w:right="939" w:firstLine="1146"/>
        <w:spacing w:after="0" w:line="259" w:lineRule="auto"/>
        <w:tabs>
          <w:tab w:leader="none" w:pos="2414"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90" w:lineRule="exact"/>
        <w:rPr>
          <w:rFonts w:ascii="Times New Roman" w:cs="Times New Roman" w:eastAsia="Times New Roman" w:hAnsi="Times New Roman"/>
          <w:sz w:val="16"/>
          <w:szCs w:val="16"/>
          <w:color w:val="auto"/>
        </w:rPr>
      </w:pPr>
    </w:p>
    <w:p>
      <w:pPr>
        <w:jc w:val="both"/>
        <w:ind w:left="920" w:right="939" w:firstLine="1146"/>
        <w:spacing w:after="0" w:line="265" w:lineRule="auto"/>
        <w:tabs>
          <w:tab w:leader="none" w:pos="2435"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95" w:lineRule="exact"/>
        <w:rPr>
          <w:rFonts w:ascii="Times New Roman" w:cs="Times New Roman" w:eastAsia="Times New Roman" w:hAnsi="Times New Roman"/>
          <w:sz w:val="16"/>
          <w:szCs w:val="16"/>
          <w:color w:val="auto"/>
        </w:rPr>
      </w:pPr>
    </w:p>
    <w:p>
      <w:pPr>
        <w:jc w:val="both"/>
        <w:ind w:left="920" w:right="939" w:firstLine="1146"/>
        <w:spacing w:after="0" w:line="265" w:lineRule="auto"/>
        <w:tabs>
          <w:tab w:leader="none" w:pos="2510"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95" w:lineRule="exact"/>
        <w:rPr>
          <w:rFonts w:ascii="Times New Roman" w:cs="Times New Roman" w:eastAsia="Times New Roman" w:hAnsi="Times New Roman"/>
          <w:sz w:val="16"/>
          <w:szCs w:val="16"/>
          <w:color w:val="auto"/>
        </w:rPr>
      </w:pPr>
    </w:p>
    <w:p>
      <w:pPr>
        <w:ind w:left="2340" w:hanging="274"/>
        <w:spacing w:after="0"/>
        <w:tabs>
          <w:tab w:leader="none" w:pos="2340"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shall have been approved for listing on the Nasdaq Capital Market.</w:t>
      </w:r>
    </w:p>
    <w:p>
      <w:pPr>
        <w:spacing w:after="0" w:line="126"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2049" w:val="left"/>
        </w:tabs>
        <w:numPr>
          <w:ilvl w:val="1"/>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06"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2061" w:val="left"/>
        </w:tabs>
        <w:numPr>
          <w:ilvl w:val="1"/>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Investor to consummate the purchase of the Shares pursuant to this Subscription Agreement shall be subject to the following conditions:</w:t>
      </w:r>
    </w:p>
    <w:p>
      <w:pPr>
        <w:spacing w:after="0" w:line="84" w:lineRule="exact"/>
        <w:rPr>
          <w:rFonts w:ascii="Times New Roman" w:cs="Times New Roman" w:eastAsia="Times New Roman" w:hAnsi="Times New Roman"/>
          <w:sz w:val="16"/>
          <w:szCs w:val="16"/>
          <w:color w:val="auto"/>
        </w:rPr>
      </w:pPr>
    </w:p>
    <w:p>
      <w:pPr>
        <w:jc w:val="both"/>
        <w:ind w:left="920" w:right="939" w:firstLine="1146"/>
        <w:spacing w:after="0" w:line="255" w:lineRule="auto"/>
        <w:tabs>
          <w:tab w:leader="none" w:pos="2386"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93" w:lineRule="exact"/>
        <w:rPr>
          <w:rFonts w:ascii="Times New Roman" w:cs="Times New Roman" w:eastAsia="Times New Roman" w:hAnsi="Times New Roman"/>
          <w:sz w:val="16"/>
          <w:szCs w:val="16"/>
          <w:color w:val="auto"/>
        </w:rPr>
      </w:pPr>
    </w:p>
    <w:p>
      <w:pPr>
        <w:jc w:val="both"/>
        <w:ind w:left="920" w:right="939" w:firstLine="1146"/>
        <w:spacing w:after="0" w:line="265" w:lineRule="auto"/>
        <w:tabs>
          <w:tab w:leader="none" w:pos="2541"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95" w:lineRule="exact"/>
        <w:rPr>
          <w:rFonts w:ascii="Times New Roman" w:cs="Times New Roman" w:eastAsia="Times New Roman" w:hAnsi="Times New Roman"/>
          <w:sz w:val="16"/>
          <w:szCs w:val="16"/>
          <w:color w:val="auto"/>
        </w:rPr>
      </w:pPr>
    </w:p>
    <w:p>
      <w:pPr>
        <w:jc w:val="both"/>
        <w:ind w:left="920" w:right="939" w:firstLine="1146"/>
        <w:spacing w:after="0" w:line="265" w:lineRule="auto"/>
        <w:tabs>
          <w:tab w:leader="none" w:pos="2497"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95" w:lineRule="exact"/>
        <w:rPr>
          <w:rFonts w:ascii="Times New Roman" w:cs="Times New Roman" w:eastAsia="Times New Roman" w:hAnsi="Times New Roman"/>
          <w:sz w:val="16"/>
          <w:szCs w:val="16"/>
          <w:color w:val="auto"/>
        </w:rPr>
      </w:pPr>
    </w:p>
    <w:p>
      <w:pPr>
        <w:jc w:val="both"/>
        <w:ind w:left="920" w:right="939" w:firstLine="1146"/>
        <w:spacing w:after="0" w:line="265" w:lineRule="auto"/>
        <w:tabs>
          <w:tab w:leader="none" w:pos="2486" w:val="left"/>
        </w:tabs>
        <w:numPr>
          <w:ilvl w:val="2"/>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83" w:lineRule="exact"/>
        <w:rPr>
          <w:rFonts w:ascii="Times New Roman" w:cs="Times New Roman" w:eastAsia="Times New Roman" w:hAnsi="Times New Roman"/>
          <w:sz w:val="16"/>
          <w:szCs w:val="16"/>
          <w:color w:val="auto"/>
        </w:rPr>
      </w:pPr>
    </w:p>
    <w:p>
      <w:pPr>
        <w:jc w:val="both"/>
        <w:ind w:left="920" w:right="939" w:firstLine="381"/>
        <w:spacing w:after="0" w:line="265" w:lineRule="auto"/>
        <w:tabs>
          <w:tab w:leader="none" w:pos="1689" w:val="left"/>
        </w:tabs>
        <w:numPr>
          <w:ilvl w:val="0"/>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95" w:lineRule="exact"/>
        <w:rPr>
          <w:rFonts w:ascii="Times New Roman" w:cs="Times New Roman" w:eastAsia="Times New Roman" w:hAnsi="Times New Roman"/>
          <w:sz w:val="16"/>
          <w:szCs w:val="16"/>
          <w:color w:val="auto"/>
        </w:rPr>
      </w:pPr>
    </w:p>
    <w:p>
      <w:pPr>
        <w:ind w:left="920" w:right="939" w:firstLine="381"/>
        <w:spacing w:after="0" w:line="280" w:lineRule="auto"/>
        <w:tabs>
          <w:tab w:leader="none" w:pos="1653" w:val="left"/>
        </w:tabs>
        <w:numPr>
          <w:ilvl w:val="0"/>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FSD Representations and Warranties</w:t>
      </w:r>
      <w:r>
        <w:rPr>
          <w:rFonts w:ascii="Times New Roman" w:cs="Times New Roman" w:eastAsia="Times New Roman" w:hAnsi="Times New Roman"/>
          <w:sz w:val="16"/>
          <w:szCs w:val="16"/>
          <w:color w:val="auto"/>
        </w:rPr>
        <w:t>. FSD represents and warrants to the Investor, as of the date hereof and as of the Closing Date that:</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2010" w:val="left"/>
        </w:tabs>
        <w:numPr>
          <w:ilvl w:val="1"/>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0" w:name="page521"/>
    <w:bookmarkEnd w:id="52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7" w:lineRule="auto"/>
        <w:tabs>
          <w:tab w:leader="none" w:pos="1998"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2011"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69" w:lineRule="auto"/>
        <w:tabs>
          <w:tab w:leader="none" w:pos="1977" w:val="left"/>
        </w:tabs>
        <w:numPr>
          <w:ilvl w:val="0"/>
          <w:numId w:val="5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5"/>
          <w:szCs w:val="15"/>
          <w:u w:val="single" w:color="auto"/>
          <w:color w:val="auto"/>
        </w:rPr>
        <w:t>Material Adverse Effect</w:t>
      </w:r>
      <w:r>
        <w:rPr>
          <w:rFonts w:ascii="Times New Roman" w:cs="Times New Roman" w:eastAsia="Times New Roman" w:hAnsi="Times New Roman"/>
          <w:sz w:val="15"/>
          <w:szCs w:val="15"/>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85" w:lineRule="exact"/>
        <w:rPr>
          <w:rFonts w:ascii="Times New Roman" w:cs="Times New Roman" w:eastAsia="Times New Roman" w:hAnsi="Times New Roman"/>
          <w:sz w:val="15"/>
          <w:szCs w:val="15"/>
          <w:color w:val="auto"/>
        </w:rPr>
      </w:pPr>
    </w:p>
    <w:p>
      <w:pPr>
        <w:jc w:val="both"/>
        <w:ind w:left="920" w:right="939" w:firstLine="764"/>
        <w:spacing w:after="0" w:line="251" w:lineRule="auto"/>
        <w:tabs>
          <w:tab w:leader="none" w:pos="2053"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made all filings required to be filed by it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and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11"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92"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78"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1" w:name="page522"/>
    <w:bookmarkEnd w:id="52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stock exchange on which FSD’s Class A common stock is then listed (the “</w:t>
      </w:r>
      <w:r>
        <w:rPr>
          <w:rFonts w:ascii="Times New Roman" w:cs="Times New Roman" w:eastAsia="Times New Roman" w:hAnsi="Times New Roman"/>
          <w:sz w:val="16"/>
          <w:szCs w:val="16"/>
          <w:u w:val="single" w:color="auto"/>
          <w:color w:val="auto"/>
        </w:rPr>
        <w:t>Stock Exchange</w:t>
      </w:r>
      <w:r>
        <w:rPr>
          <w:rFonts w:ascii="Times New Roman" w:cs="Times New Roman" w:eastAsia="Times New Roman" w:hAnsi="Times New Roman"/>
          <w:sz w:val="16"/>
          <w:szCs w:val="16"/>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96" w:lineRule="exact"/>
        <w:rPr>
          <w:sz w:val="20"/>
          <w:szCs w:val="20"/>
          <w:color w:val="auto"/>
        </w:rPr>
      </w:pPr>
    </w:p>
    <w:p>
      <w:pPr>
        <w:jc w:val="both"/>
        <w:ind w:left="920" w:right="939" w:firstLine="764"/>
        <w:spacing w:after="0" w:line="251" w:lineRule="auto"/>
        <w:tabs>
          <w:tab w:leader="none" w:pos="2011"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13"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28"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22"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Investor’s representations and warranties set forth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2125"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91"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83"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2027"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is not under any obligation to pay any broker’s fee or commission in connection with the sale of the Shares hereunder other than to the Placement Agents (as defined herein).</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75" w:lineRule="auto"/>
        <w:tabs>
          <w:tab w:leader="none" w:pos="1975" w:val="left"/>
        </w:tabs>
        <w:numPr>
          <w:ilvl w:val="1"/>
          <w:numId w:val="5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92" w:lineRule="exact"/>
        <w:rPr>
          <w:rFonts w:ascii="Times New Roman" w:cs="Times New Roman" w:eastAsia="Times New Roman" w:hAnsi="Times New Roman"/>
          <w:sz w:val="15"/>
          <w:szCs w:val="15"/>
          <w:color w:val="auto"/>
        </w:rPr>
      </w:pPr>
    </w:p>
    <w:p>
      <w:pPr>
        <w:ind w:left="1580" w:hanging="279"/>
        <w:spacing w:after="0"/>
        <w:tabs>
          <w:tab w:leader="none" w:pos="1580" w:val="left"/>
        </w:tabs>
        <w:numPr>
          <w:ilvl w:val="0"/>
          <w:numId w:val="5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Investor Representations and Warranties</w:t>
      </w:r>
      <w:r>
        <w:rPr>
          <w:rFonts w:ascii="Times New Roman" w:cs="Times New Roman" w:eastAsia="Times New Roman" w:hAnsi="Times New Roman"/>
          <w:sz w:val="16"/>
          <w:szCs w:val="16"/>
          <w:color w:val="auto"/>
        </w:rPr>
        <w:t>. The Investor represents and warrants to FSD that:</w:t>
      </w:r>
    </w:p>
    <w:p>
      <w:pPr>
        <w:spacing w:after="0" w:line="126"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2095" w:val="left"/>
        </w:tabs>
        <w:numPr>
          <w:ilvl w:val="1"/>
          <w:numId w:val="5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2" w:name="page523"/>
    <w:bookmarkEnd w:id="52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acknowledgements, representations and agreements herein on behalf of each owner of each such account, and</w:t>
      </w:r>
    </w:p>
    <w:p>
      <w:pPr>
        <w:spacing w:after="0" w:line="24" w:lineRule="exact"/>
        <w:rPr>
          <w:sz w:val="20"/>
          <w:szCs w:val="20"/>
          <w:color w:val="auto"/>
        </w:rPr>
      </w:pPr>
    </w:p>
    <w:p>
      <w:pPr>
        <w:jc w:val="both"/>
        <w:ind w:left="920" w:right="939" w:hanging="1"/>
        <w:spacing w:after="0" w:line="254" w:lineRule="auto"/>
        <w:tabs>
          <w:tab w:leader="none" w:pos="1192" w:val="left"/>
        </w:tabs>
        <w:numPr>
          <w:ilvl w:val="0"/>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The Investor is not an entity formed for the specific purpose of acquiring the Shares.</w:t>
      </w:r>
    </w:p>
    <w:p>
      <w:pPr>
        <w:spacing w:after="0" w:line="104"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2014"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13"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84"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2051"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3" w:lineRule="auto"/>
        <w:tabs>
          <w:tab w:leader="none" w:pos="2005"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2" w:lineRule="auto"/>
        <w:tabs>
          <w:tab w:leader="none" w:pos="2017"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u w:val="single" w:color="auto"/>
          <w:color w:val="auto"/>
        </w:rPr>
        <w:t>Placement Agents</w:t>
      </w:r>
      <w:r>
        <w:rPr>
          <w:rFonts w:ascii="Times New Roman" w:cs="Times New Roman" w:eastAsia="Times New Roman" w:hAnsi="Times New Roman"/>
          <w:sz w:val="16"/>
          <w:szCs w:val="16"/>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93"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2075"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23" w:name="page524"/>
    <w:bookmarkEnd w:id="52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9" w:lineRule="auto"/>
        <w:tabs>
          <w:tab w:leader="none" w:pos="2003"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71"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1928"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understands and agrees that no federal or state agency has passed upon or endorsed the merits of the offering of the Shares or made any findings or determination as to the fairness of this investment.</w:t>
      </w:r>
    </w:p>
    <w:p>
      <w:pPr>
        <w:spacing w:after="0" w:line="83"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2035"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28"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14"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2118"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or in any Executive Order issued by the President of the United States and administered by OFAC (“</w:t>
      </w:r>
      <w:r>
        <w:rPr>
          <w:rFonts w:ascii="Times New Roman" w:cs="Times New Roman" w:eastAsia="Times New Roman" w:hAnsi="Times New Roman"/>
          <w:sz w:val="16"/>
          <w:szCs w:val="16"/>
          <w:u w:val="single" w:color="auto"/>
          <w:color w:val="auto"/>
        </w:rPr>
        <w:t>OFAC List</w:t>
      </w:r>
      <w:r>
        <w:rPr>
          <w:rFonts w:ascii="Times New Roman" w:cs="Times New Roman" w:eastAsia="Times New Roman" w:hAnsi="Times New Roman"/>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6"/>
          <w:szCs w:val="16"/>
          <w:u w:val="single" w:color="auto"/>
          <w:color w:val="auto"/>
        </w:rPr>
        <w:t>Prohibited Investor</w:t>
      </w:r>
      <w:r>
        <w:rPr>
          <w:rFonts w:ascii="Times New Roman" w:cs="Times New Roman" w:eastAsia="Times New Roman" w:hAnsi="Times New Roman"/>
          <w:sz w:val="16"/>
          <w:szCs w:val="16"/>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6"/>
          <w:szCs w:val="16"/>
          <w:u w:val="single" w:color="auto"/>
          <w:color w:val="auto"/>
        </w:rPr>
        <w:t>PATRIOT Act</w:t>
      </w:r>
      <w:r>
        <w:rPr>
          <w:rFonts w:ascii="Times New Roman" w:cs="Times New Roman" w:eastAsia="Times New Roman" w:hAnsi="Times New Roman"/>
          <w:sz w:val="16"/>
          <w:szCs w:val="16"/>
          <w:color w:val="auto"/>
        </w:rPr>
        <w:t>”),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99"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66"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disclosure or offering document has been prepared by either of the Placement Agents or any of their respective affiliates in connection with the offer and sale of the Shares.</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2107"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95"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1996"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issue and purchase of the Shares, the Placement Agents have not acted as the Investor’s financial advisor or fiduciary.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24" w:name="page525"/>
    <w:bookmarkEnd w:id="52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65" w:lineRule="auto"/>
        <w:tabs>
          <w:tab w:leader="none" w:pos="1996" w:val="left"/>
        </w:tabs>
        <w:numPr>
          <w:ilvl w:val="1"/>
          <w:numId w:val="5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65" w:lineRule="auto"/>
        <w:tabs>
          <w:tab w:leader="none" w:pos="2026" w:val="left"/>
        </w:tabs>
        <w:numPr>
          <w:ilvl w:val="1"/>
          <w:numId w:val="5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95" w:lineRule="exact"/>
        <w:rPr>
          <w:rFonts w:ascii="Times New Roman" w:cs="Times New Roman" w:eastAsia="Times New Roman" w:hAnsi="Times New Roman"/>
          <w:sz w:val="16"/>
          <w:szCs w:val="16"/>
          <w:color w:val="auto"/>
        </w:rPr>
      </w:pPr>
    </w:p>
    <w:p>
      <w:pPr>
        <w:ind w:left="1580" w:hanging="279"/>
        <w:spacing w:after="0"/>
        <w:tabs>
          <w:tab w:leader="none" w:pos="1580" w:val="left"/>
        </w:tabs>
        <w:numPr>
          <w:ilvl w:val="0"/>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jc w:val="both"/>
        <w:ind w:left="920" w:right="939" w:firstLine="764"/>
        <w:spacing w:after="0" w:line="266" w:lineRule="auto"/>
        <w:tabs>
          <w:tab w:leader="none" w:pos="2040" w:val="left"/>
        </w:tabs>
        <w:numPr>
          <w:ilvl w:val="1"/>
          <w:numId w:val="5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5"/>
          <w:szCs w:val="15"/>
          <w:u w:val="single" w:color="auto"/>
          <w:color w:val="auto"/>
        </w:rPr>
        <w:t>Filing Deadline</w:t>
      </w:r>
      <w:r>
        <w:rPr>
          <w:rFonts w:ascii="Times New Roman" w:cs="Times New Roman" w:eastAsia="Times New Roman" w:hAnsi="Times New Roman"/>
          <w:sz w:val="15"/>
          <w:szCs w:val="15"/>
          <w:color w:val="auto"/>
        </w:rPr>
        <w:t>”), it will file with the SEC (at the its sole cost and expense) a registration statement registering the resale of such Shares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and it shall use its commercially reasonable efforts to have the Registration Statement declared effective as soon as practicable after the filing thereof, but no later than the earlier of (1) the 90th calendar day after the consummation of the Transaction (or 120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5"/>
          <w:szCs w:val="15"/>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5"/>
          <w:szCs w:val="15"/>
          <w:u w:val="single" w:color="auto"/>
          <w:color w:val="auto"/>
        </w:rPr>
        <w:t>Effectiveness Date</w:t>
      </w:r>
      <w:r>
        <w:rPr>
          <w:rFonts w:ascii="Times New Roman" w:cs="Times New Roman" w:eastAsia="Times New Roman" w:hAnsi="Times New Roman"/>
          <w:sz w:val="15"/>
          <w:szCs w:val="15"/>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5" w:name="page526"/>
    <w:bookmarkEnd w:id="52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1" w:lineRule="auto"/>
        <w:tabs>
          <w:tab w:leader="none" w:pos="2002" w:val="left"/>
        </w:tabs>
        <w:numPr>
          <w:ilvl w:val="0"/>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6"/>
          <w:szCs w:val="16"/>
          <w:u w:val="single" w:color="auto"/>
          <w:color w:val="auto"/>
        </w:rPr>
        <w:t>Suspension Event</w:t>
      </w:r>
      <w:r>
        <w:rPr>
          <w:rFonts w:ascii="Times New Roman" w:cs="Times New Roman" w:eastAsia="Times New Roman" w:hAnsi="Times New Roman"/>
          <w:sz w:val="16"/>
          <w:szCs w:val="16"/>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09" w:lineRule="exact"/>
        <w:rPr>
          <w:rFonts w:ascii="Times New Roman" w:cs="Times New Roman" w:eastAsia="Times New Roman" w:hAnsi="Times New Roman"/>
          <w:sz w:val="16"/>
          <w:szCs w:val="16"/>
          <w:color w:val="auto"/>
        </w:rPr>
      </w:pPr>
    </w:p>
    <w:p>
      <w:pPr>
        <w:jc w:val="both"/>
        <w:ind w:left="920" w:right="939" w:firstLine="764"/>
        <w:spacing w:after="0" w:line="250" w:lineRule="auto"/>
        <w:tabs>
          <w:tab w:leader="none" w:pos="2099" w:val="left"/>
        </w:tabs>
        <w:numPr>
          <w:ilvl w:val="0"/>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16"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1970" w:val="left"/>
        </w:tabs>
        <w:numPr>
          <w:ilvl w:val="0"/>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6" w:name="page527"/>
    <w:bookmarkEnd w:id="52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1" w:lineRule="auto"/>
        <w:tabs>
          <w:tab w:leader="none" w:pos="2002" w:val="left"/>
        </w:tabs>
        <w:numPr>
          <w:ilvl w:val="0"/>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14"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76" w:val="left"/>
        </w:tabs>
        <w:numPr>
          <w:ilvl w:val="0"/>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14"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975" w:val="left"/>
        </w:tabs>
        <w:numPr>
          <w:ilvl w:val="0"/>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96" w:lineRule="exact"/>
        <w:rPr>
          <w:sz w:val="20"/>
          <w:szCs w:val="20"/>
          <w:color w:val="auto"/>
        </w:rPr>
      </w:pPr>
    </w:p>
    <w:p>
      <w:pPr>
        <w:jc w:val="both"/>
        <w:ind w:left="920" w:right="939" w:firstLine="764"/>
        <w:spacing w:after="0" w:line="252" w:lineRule="auto"/>
        <w:tabs>
          <w:tab w:leader="none" w:pos="1987"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herein will relieve any party from liability for any willful breach hereof prior to the time of termination,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7" w:name="page528"/>
    <w:bookmarkEnd w:id="52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96" w:lineRule="exact"/>
        <w:rPr>
          <w:sz w:val="20"/>
          <w:szCs w:val="20"/>
          <w:color w:val="auto"/>
        </w:rPr>
      </w:pPr>
    </w:p>
    <w:p>
      <w:pPr>
        <w:jc w:val="both"/>
        <w:ind w:left="920" w:right="939" w:firstLine="764"/>
        <w:spacing w:after="0" w:line="250" w:lineRule="auto"/>
        <w:tabs>
          <w:tab w:leader="none" w:pos="2047" w:val="left"/>
        </w:tabs>
        <w:numPr>
          <w:ilvl w:val="1"/>
          <w:numId w:val="5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Trust Account Waiver</w:t>
      </w:r>
      <w:r>
        <w:rPr>
          <w:rFonts w:ascii="Times New Roman" w:cs="Times New Roman" w:eastAsia="Times New Roman" w:hAnsi="Times New Roman"/>
          <w:sz w:val="16"/>
          <w:szCs w:val="16"/>
          <w:color w:val="auto"/>
        </w:rPr>
        <w:t>. The Investor hereby acknowledges that FSD has established a trust account (the “</w:t>
      </w:r>
      <w:r>
        <w:rPr>
          <w:rFonts w:ascii="Times New Roman" w:cs="Times New Roman" w:eastAsia="Times New Roman" w:hAnsi="Times New Roman"/>
          <w:sz w:val="16"/>
          <w:szCs w:val="16"/>
          <w:u w:val="single" w:color="auto"/>
          <w:color w:val="auto"/>
        </w:rPr>
        <w:t>Trust Account</w:t>
      </w:r>
      <w:r>
        <w:rPr>
          <w:rFonts w:ascii="Times New Roman" w:cs="Times New Roman" w:eastAsia="Times New Roman" w:hAnsi="Times New Roman"/>
          <w:sz w:val="16"/>
          <w:szCs w:val="16"/>
          <w:color w:val="auto"/>
        </w:rPr>
        <w:t>”) containing the proceeds of its initial public offering (the “</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6"/>
          <w:szCs w:val="16"/>
          <w:u w:val="single" w:color="auto"/>
          <w:color w:val="auto"/>
        </w:rPr>
        <w:t>Released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Claims</w:t>
      </w:r>
      <w:r>
        <w:rPr>
          <w:rFonts w:ascii="Times New Roman" w:cs="Times New Roman" w:eastAsia="Times New Roman" w:hAnsi="Times New Roman"/>
          <w:sz w:val="16"/>
          <w:szCs w:val="16"/>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1" w:lineRule="exact"/>
        <w:rPr>
          <w:rFonts w:ascii="Times New Roman" w:cs="Times New Roman" w:eastAsia="Times New Roman" w:hAnsi="Times New Roman"/>
          <w:sz w:val="16"/>
          <w:szCs w:val="16"/>
          <w:color w:val="auto"/>
        </w:rPr>
      </w:pPr>
    </w:p>
    <w:p>
      <w:pPr>
        <w:ind w:left="1660" w:hanging="359"/>
        <w:spacing w:after="0"/>
        <w:tabs>
          <w:tab w:leader="none" w:pos="1660" w:val="left"/>
        </w:tabs>
        <w:numPr>
          <w:ilvl w:val="0"/>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920" w:right="939" w:firstLine="764"/>
        <w:spacing w:after="0" w:line="265" w:lineRule="auto"/>
        <w:tabs>
          <w:tab w:leader="none" w:pos="1997"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95"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1974"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2092"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94"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2027"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02" w:lineRule="exact"/>
        <w:rPr>
          <w:rFonts w:ascii="Times New Roman" w:cs="Times New Roman" w:eastAsia="Times New Roman" w:hAnsi="Times New Roman"/>
          <w:sz w:val="16"/>
          <w:szCs w:val="16"/>
          <w:color w:val="auto"/>
        </w:rPr>
      </w:pPr>
    </w:p>
    <w:p>
      <w:pPr>
        <w:ind w:left="920" w:right="939" w:firstLine="764"/>
        <w:spacing w:after="0" w:line="280" w:lineRule="auto"/>
        <w:tabs>
          <w:tab w:leader="none" w:pos="2086"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agreements, representations and warranties made by each party hereto in this Subscription Agreement shall survive the Closing.</w:t>
      </w:r>
    </w:p>
    <w:p>
      <w:pPr>
        <w:spacing w:after="0" w:line="84" w:lineRule="exact"/>
        <w:rPr>
          <w:rFonts w:ascii="Times New Roman" w:cs="Times New Roman" w:eastAsia="Times New Roman" w:hAnsi="Times New Roman"/>
          <w:sz w:val="16"/>
          <w:szCs w:val="16"/>
          <w:color w:val="auto"/>
        </w:rPr>
      </w:pPr>
    </w:p>
    <w:p>
      <w:pPr>
        <w:jc w:val="both"/>
        <w:ind w:left="920" w:right="939" w:firstLine="764"/>
        <w:spacing w:after="0" w:line="254" w:lineRule="auto"/>
        <w:tabs>
          <w:tab w:leader="none" w:pos="2092"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28" w:name="page529"/>
    <w:bookmarkEnd w:id="52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firstLine="764"/>
        <w:spacing w:after="0" w:line="254" w:lineRule="auto"/>
        <w:tabs>
          <w:tab w:leader="none" w:pos="1998"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6"/>
          <w:szCs w:val="16"/>
          <w:u w:val="single" w:color="auto"/>
          <w:color w:val="auto"/>
        </w:rPr>
        <w:t>Sections 10(c)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10(d)</w:t>
      </w:r>
      <w:r>
        <w:rPr>
          <w:rFonts w:ascii="Times New Roman" w:cs="Times New Roman" w:eastAsia="Times New Roman" w:hAnsi="Times New Roman"/>
          <w:sz w:val="16"/>
          <w:szCs w:val="16"/>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06" w:lineRule="exact"/>
        <w:rPr>
          <w:rFonts w:ascii="Times New Roman" w:cs="Times New Roman" w:eastAsia="Times New Roman" w:hAnsi="Times New Roman"/>
          <w:sz w:val="16"/>
          <w:szCs w:val="16"/>
          <w:color w:val="auto"/>
        </w:rPr>
      </w:pPr>
    </w:p>
    <w:p>
      <w:pPr>
        <w:jc w:val="both"/>
        <w:ind w:left="920" w:right="939" w:firstLine="764"/>
        <w:spacing w:after="0" w:line="257" w:lineRule="auto"/>
        <w:tabs>
          <w:tab w:leader="none" w:pos="2008"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1984"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90" w:lineRule="exact"/>
        <w:rPr>
          <w:rFonts w:ascii="Times New Roman" w:cs="Times New Roman" w:eastAsia="Times New Roman" w:hAnsi="Times New Roman"/>
          <w:sz w:val="16"/>
          <w:szCs w:val="16"/>
          <w:color w:val="auto"/>
        </w:rPr>
      </w:pPr>
    </w:p>
    <w:p>
      <w:pPr>
        <w:jc w:val="both"/>
        <w:ind w:left="920" w:right="939" w:firstLine="764"/>
        <w:spacing w:after="0" w:line="259" w:lineRule="auto"/>
        <w:tabs>
          <w:tab w:leader="none" w:pos="2045"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02" w:lineRule="exact"/>
        <w:rPr>
          <w:rFonts w:ascii="Times New Roman" w:cs="Times New Roman" w:eastAsia="Times New Roman" w:hAnsi="Times New Roman"/>
          <w:sz w:val="16"/>
          <w:szCs w:val="16"/>
          <w:color w:val="auto"/>
        </w:rPr>
      </w:pPr>
    </w:p>
    <w:p>
      <w:pPr>
        <w:jc w:val="both"/>
        <w:ind w:left="920" w:right="939" w:firstLine="764"/>
        <w:spacing w:after="0" w:line="255" w:lineRule="auto"/>
        <w:tabs>
          <w:tab w:leader="none" w:pos="2061"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05" w:lineRule="exact"/>
        <w:rPr>
          <w:rFonts w:ascii="Times New Roman" w:cs="Times New Roman" w:eastAsia="Times New Roman" w:hAnsi="Times New Roman"/>
          <w:sz w:val="16"/>
          <w:szCs w:val="16"/>
          <w:color w:val="auto"/>
        </w:rPr>
      </w:pPr>
    </w:p>
    <w:p>
      <w:pPr>
        <w:jc w:val="both"/>
        <w:ind w:left="920" w:right="939" w:firstLine="764"/>
        <w:spacing w:after="0" w:line="251" w:lineRule="auto"/>
        <w:tabs>
          <w:tab w:leader="none" w:pos="1831"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6"/>
          <w:szCs w:val="16"/>
          <w:u w:val="single" w:color="auto"/>
          <w:color w:val="auto"/>
        </w:rPr>
        <w:t>SECTION 10(m)</w:t>
      </w:r>
      <w:r>
        <w:rPr>
          <w:rFonts w:ascii="Times New Roman" w:cs="Times New Roman" w:eastAsia="Times New Roman" w:hAnsi="Times New Roman"/>
          <w:sz w:val="16"/>
          <w:szCs w:val="16"/>
          <w:color w:val="auto"/>
        </w:rPr>
        <w:t>OF THIS SUBSCRIPTION AGREEMENT OR IN SUCH OTHER MANNER AS MAY BE PERMITTED BY LAW SHALL BE VALID AND SUFFICIENT SERVICE THEREOF.</w:t>
      </w:r>
    </w:p>
    <w:p>
      <w:pPr>
        <w:spacing w:after="0" w:line="9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29" w:name="page530"/>
    <w:bookmarkEnd w:id="52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 xml:space="preserve">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6"/>
          <w:szCs w:val="16"/>
          <w:u w:val="single" w:color="auto"/>
          <w:color w:val="auto"/>
        </w:rPr>
        <w:t>SECTION 10(l)</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both"/>
        <w:ind w:left="920" w:right="939" w:firstLine="764"/>
        <w:spacing w:after="0" w:line="268" w:lineRule="auto"/>
        <w:tabs>
          <w:tab w:leader="none" w:pos="2133" w:val="left"/>
        </w:tabs>
        <w:numPr>
          <w:ilvl w:val="2"/>
          <w:numId w:val="5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5"/>
          <w:szCs w:val="15"/>
          <w:u w:val="single" w:color="auto"/>
          <w:color w:val="auto"/>
        </w:rPr>
        <w:t>Section 10(m)</w:t>
      </w:r>
      <w:r>
        <w:rPr>
          <w:rFonts w:ascii="Times New Roman" w:cs="Times New Roman" w:eastAsia="Times New Roman" w:hAnsi="Times New Roman"/>
          <w:sz w:val="15"/>
          <w:szCs w:val="15"/>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5"/>
          <w:szCs w:val="15"/>
          <w:u w:val="single" w:color="auto"/>
          <w:color w:val="auto"/>
        </w:rPr>
        <w:t>Section 10(m)</w:t>
      </w:r>
      <w:r>
        <w:rPr>
          <w:rFonts w:ascii="Times New Roman" w:cs="Times New Roman" w:eastAsia="Times New Roman" w:hAnsi="Times New Roman"/>
          <w:sz w:val="15"/>
          <w:szCs w:val="15"/>
          <w:color w:val="auto"/>
        </w:rPr>
        <w:t>. All communications sent to FSD shall be sent to: FS Development Corp., 600 Montgomery Street, Suite 4500, San Francisco, California 94111, Attn: Jim Tananbaum, email: jim@foresitecapital.com, with a copy to: White</w:t>
      </w:r>
    </w:p>
    <w:p>
      <w:pPr>
        <w:spacing w:after="0" w:line="1" w:lineRule="exact"/>
        <w:rPr>
          <w:rFonts w:ascii="Times New Roman" w:cs="Times New Roman" w:eastAsia="Times New Roman" w:hAnsi="Times New Roman"/>
          <w:sz w:val="15"/>
          <w:szCs w:val="15"/>
          <w:color w:val="auto"/>
        </w:rPr>
      </w:pPr>
    </w:p>
    <w:p>
      <w:pPr>
        <w:ind w:left="920" w:right="939" w:hanging="1"/>
        <w:spacing w:after="0" w:line="258" w:lineRule="auto"/>
        <w:tabs>
          <w:tab w:leader="none" w:pos="1087" w:val="left"/>
        </w:tabs>
        <w:numPr>
          <w:ilvl w:val="0"/>
          <w:numId w:val="5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Case LLP, 1221 Avenue of the Americas, New York, New York 10020, Attn: Joel L. Rubinstein, Esq., email: joel.rubinstein@whitecase.com.</w:t>
      </w:r>
    </w:p>
    <w:p>
      <w:pPr>
        <w:spacing w:after="0" w:line="101" w:lineRule="exact"/>
        <w:rPr>
          <w:rFonts w:ascii="Times New Roman" w:cs="Times New Roman" w:eastAsia="Times New Roman" w:hAnsi="Times New Roman"/>
          <w:sz w:val="16"/>
          <w:szCs w:val="16"/>
          <w:color w:val="auto"/>
        </w:rPr>
      </w:pPr>
    </w:p>
    <w:p>
      <w:pPr>
        <w:jc w:val="both"/>
        <w:ind w:left="920" w:right="939" w:firstLine="381"/>
        <w:spacing w:after="0" w:line="251" w:lineRule="auto"/>
        <w:tabs>
          <w:tab w:leader="none" w:pos="1726" w:val="left"/>
        </w:tabs>
        <w:numPr>
          <w:ilvl w:val="1"/>
          <w:numId w:val="5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01" w:lineRule="exact"/>
        <w:rPr>
          <w:rFonts w:ascii="Times New Roman" w:cs="Times New Roman" w:eastAsia="Times New Roman" w:hAnsi="Times New Roman"/>
          <w:sz w:val="16"/>
          <w:szCs w:val="16"/>
          <w:color w:val="auto"/>
        </w:rPr>
      </w:pPr>
    </w:p>
    <w:p>
      <w:pPr>
        <w:jc w:val="both"/>
        <w:ind w:left="920" w:right="939" w:firstLine="381"/>
        <w:spacing w:after="0" w:line="255" w:lineRule="auto"/>
        <w:tabs>
          <w:tab w:leader="none" w:pos="1816" w:val="left"/>
        </w:tabs>
        <w:numPr>
          <w:ilvl w:val="1"/>
          <w:numId w:val="5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Exculpation</w:t>
      </w:r>
      <w:r>
        <w:rPr>
          <w:rFonts w:ascii="Times New Roman" w:cs="Times New Roman" w:eastAsia="Times New Roman" w:hAnsi="Times New Roman"/>
          <w:sz w:val="16"/>
          <w:szCs w:val="16"/>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0" w:name="page531"/>
    <w:bookmarkEnd w:id="53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5" w:lineRule="exact"/>
        <w:rPr>
          <w:sz w:val="20"/>
          <w:szCs w:val="20"/>
          <w:color w:val="auto"/>
        </w:rPr>
      </w:pPr>
    </w:p>
    <w:p>
      <w:pPr>
        <w:ind w:left="920" w:right="939" w:firstLine="382"/>
        <w:spacing w:after="0" w:line="283"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Investor has executed or caused this Subscription Agreement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executed by its duly authorized representative as of the date set forth below.</w:t>
      </w:r>
    </w:p>
    <w:p>
      <w:pPr>
        <w:spacing w:after="0" w:line="118" w:lineRule="exact"/>
        <w:rPr>
          <w:sz w:val="20"/>
          <w:szCs w:val="20"/>
          <w:color w:val="auto"/>
        </w:rPr>
      </w:pPr>
    </w:p>
    <w:p>
      <w:pPr>
        <w:ind w:left="920"/>
        <w:spacing w:after="0"/>
        <w:tabs>
          <w:tab w:leader="none" w:pos="5120" w:val="left"/>
        </w:tabs>
        <w:rPr>
          <w:sz w:val="20"/>
          <w:szCs w:val="20"/>
          <w:color w:val="auto"/>
        </w:rPr>
      </w:pPr>
      <w:r>
        <w:rPr>
          <w:rFonts w:ascii="Times New Roman" w:cs="Times New Roman" w:eastAsia="Times New Roman" w:hAnsi="Times New Roman"/>
          <w:sz w:val="16"/>
          <w:szCs w:val="16"/>
          <w:color w:val="auto"/>
        </w:rPr>
        <w:t>Name of Investor:</w:t>
      </w:r>
      <w:r>
        <w:rPr>
          <w:sz w:val="20"/>
          <w:szCs w:val="20"/>
          <w:color w:val="auto"/>
        </w:rPr>
        <w:tab/>
      </w:r>
      <w:r>
        <w:rPr>
          <w:rFonts w:ascii="Times New Roman" w:cs="Times New Roman" w:eastAsia="Times New Roman" w:hAnsi="Times New Roman"/>
          <w:sz w:val="15"/>
          <w:szCs w:val="15"/>
          <w:color w:val="auto"/>
        </w:rPr>
        <w:t>State/Country of Formation or Domicile:</w:t>
      </w:r>
    </w:p>
    <w:p>
      <w:pPr>
        <w:spacing w:after="0" w:line="318"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By:</w:t>
            </w: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6"/>
        </w:trPr>
        <w:tc>
          <w:tcPr>
            <w:tcW w:w="820" w:type="dxa"/>
            <w:vAlign w:val="bottom"/>
            <w:gridSpan w:val="2"/>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46"/>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Name:</w:t>
            </w:r>
          </w:p>
        </w:tc>
        <w:tc>
          <w:tcPr>
            <w:tcW w:w="4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6"/>
        </w:trPr>
        <w:tc>
          <w:tcPr>
            <w:tcW w:w="820" w:type="dxa"/>
            <w:vAlign w:val="bottom"/>
            <w:gridSpan w:val="2"/>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446"/>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Title:</w:t>
            </w:r>
          </w:p>
        </w:tc>
        <w:tc>
          <w:tcPr>
            <w:tcW w:w="4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6"/>
        </w:trPr>
        <w:tc>
          <w:tcPr>
            <w:tcW w:w="820" w:type="dxa"/>
            <w:vAlign w:val="bottom"/>
            <w:gridSpan w:val="2"/>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2940" w:type="dxa"/>
            <w:vAlign w:val="bottom"/>
            <w:gridSpan w:val="2"/>
          </w:tcPr>
          <w:p>
            <w:pPr>
              <w:spacing w:after="0"/>
              <w:rPr>
                <w:sz w:val="3"/>
                <w:szCs w:val="3"/>
                <w:color w:val="auto"/>
              </w:rPr>
            </w:pPr>
          </w:p>
        </w:tc>
      </w:tr>
      <w:tr>
        <w:trPr>
          <w:trHeight w:val="422"/>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Name in which Shares are to be registered (if different):</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 ________, 2020</w:t>
            </w:r>
          </w:p>
        </w:tc>
      </w:tr>
      <w:tr>
        <w:trPr>
          <w:trHeight w:val="502"/>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Investor’s EIN:</w:t>
            </w:r>
          </w:p>
        </w:tc>
        <w:tc>
          <w:tcPr>
            <w:tcW w:w="4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78"/>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Business Address-Street:</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Mailing Address-Street (if different):</w:t>
            </w:r>
          </w:p>
        </w:tc>
      </w:tr>
      <w:tr>
        <w:trPr>
          <w:trHeight w:val="478"/>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City, State, Zip:</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City, State, Zip:</w:t>
            </w:r>
          </w:p>
        </w:tc>
      </w:tr>
      <w:tr>
        <w:trPr>
          <w:trHeight w:val="502"/>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Attn:</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Attn:</w:t>
            </w:r>
          </w:p>
        </w:tc>
      </w:tr>
      <w:tr>
        <w:trPr>
          <w:trHeight w:val="36"/>
        </w:trPr>
        <w:tc>
          <w:tcPr>
            <w:tcW w:w="7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r>
      <w:tr>
        <w:trPr>
          <w:trHeight w:val="422"/>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Telephone No.:</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Telephone No.:</w:t>
            </w:r>
          </w:p>
        </w:tc>
      </w:tr>
      <w:tr>
        <w:trPr>
          <w:trHeight w:val="478"/>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Facsimile No.:</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Facsimile No.:</w:t>
            </w:r>
          </w:p>
        </w:tc>
      </w:tr>
      <w:tr>
        <w:trPr>
          <w:trHeight w:val="502"/>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Number of Shares subscribed for:</w:t>
            </w:r>
          </w:p>
        </w:tc>
        <w:tc>
          <w:tcPr>
            <w:tcW w:w="4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78"/>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Aggregate Subscription Amount:$</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Price Per Share: $10</w:t>
            </w:r>
          </w:p>
        </w:tc>
      </w:tr>
    </w:tbl>
    <w:p>
      <w:pPr>
        <w:spacing w:after="0" w:line="174" w:lineRule="exact"/>
        <w:rPr>
          <w:sz w:val="20"/>
          <w:szCs w:val="20"/>
          <w:color w:val="auto"/>
        </w:rPr>
      </w:pPr>
    </w:p>
    <w:p>
      <w:pPr>
        <w:jc w:val="both"/>
        <w:ind w:left="920" w:right="939" w:firstLine="382"/>
        <w:spacing w:after="0" w:line="280" w:lineRule="auto"/>
        <w:rPr>
          <w:sz w:val="20"/>
          <w:szCs w:val="20"/>
          <w:color w:val="auto"/>
        </w:rPr>
      </w:pPr>
      <w:r>
        <w:rPr>
          <w:rFonts w:ascii="Times New Roman" w:cs="Times New Roman" w:eastAsia="Times New Roman" w:hAnsi="Times New Roman"/>
          <w:sz w:val="16"/>
          <w:szCs w:val="16"/>
          <w:color w:val="auto"/>
        </w:rPr>
        <w:t>You must pay the Subscription Amount by wire transfer of United States dollars in immediately available funds to the account specified by FSD in the Closing Notice.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1" w:name="page532"/>
    <w:bookmarkEnd w:id="53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IN WITNESS WHEREOF, FSD has accepted this Subscription Agreement as of the date set forth below.</w:t>
      </w: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38100</wp:posOffset>
            </wp:positionV>
            <wp:extent cx="1600835"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Name:</w:t>
      </w:r>
    </w:p>
    <w:p>
      <w:pPr>
        <w:spacing w:after="0" w:line="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Title:</w:t>
      </w:r>
    </w:p>
    <w:p>
      <w:pPr>
        <w:spacing w:after="0" w:line="318"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 2020</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2" w:name="page533"/>
    <w:bookmarkEnd w:id="532"/>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ELIGIBILITY REPRESENTATIONS OF THE INVESTOR</w:t>
      </w:r>
    </w:p>
    <w:p>
      <w:pPr>
        <w:spacing w:after="0" w:line="129" w:lineRule="exact"/>
        <w:rPr>
          <w:sz w:val="20"/>
          <w:szCs w:val="20"/>
          <w:color w:val="auto"/>
        </w:rPr>
      </w:pPr>
    </w:p>
    <w:p>
      <w:pPr>
        <w:ind w:left="1300" w:right="4459" w:hanging="381"/>
        <w:spacing w:after="0" w:line="315" w:lineRule="auto"/>
        <w:tabs>
          <w:tab w:leader="none" w:pos="1272" w:val="left"/>
        </w:tabs>
        <w:numPr>
          <w:ilvl w:val="0"/>
          <w:numId w:val="5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INSTITUTIONAL BUYER STATUS (Please check the applicable subparagraphs):</w:t>
      </w:r>
    </w:p>
    <w:p>
      <w:pPr>
        <w:spacing w:after="0" w:line="61" w:lineRule="exact"/>
        <w:rPr>
          <w:rFonts w:ascii="Times New Roman" w:cs="Times New Roman" w:eastAsia="Times New Roman" w:hAnsi="Times New Roman"/>
          <w:sz w:val="15"/>
          <w:szCs w:val="15"/>
          <w:color w:val="auto"/>
        </w:rPr>
      </w:pPr>
    </w:p>
    <w:p>
      <w:pPr>
        <w:ind w:left="1420" w:hanging="119"/>
        <w:spacing w:after="0"/>
        <w:tabs>
          <w:tab w:leader="none" w:pos="1420" w:val="left"/>
        </w:tabs>
        <w:numPr>
          <w:ilvl w:val="1"/>
          <w:numId w:val="517"/>
        </w:numPr>
        <w:rPr>
          <w:rFonts w:ascii="Arial" w:cs="Arial" w:eastAsia="Arial" w:hAnsi="Arial"/>
          <w:sz w:val="16"/>
          <w:szCs w:val="16"/>
          <w:color w:val="auto"/>
        </w:rPr>
      </w:pPr>
      <w:r>
        <w:rPr>
          <w:rFonts w:ascii="Times New Roman" w:cs="Times New Roman" w:eastAsia="Times New Roman" w:hAnsi="Times New Roman"/>
          <w:sz w:val="16"/>
          <w:szCs w:val="16"/>
          <w:color w:val="auto"/>
        </w:rPr>
        <w:t>We are a “qualified institutional buyer” (as defined in Rule 144A under the Securities Act (a “</w:t>
      </w:r>
      <w:r>
        <w:rPr>
          <w:rFonts w:ascii="Times New Roman" w:cs="Times New Roman" w:eastAsia="Times New Roman" w:hAnsi="Times New Roman"/>
          <w:sz w:val="16"/>
          <w:szCs w:val="16"/>
          <w:u w:val="single" w:color="auto"/>
          <w:color w:val="auto"/>
        </w:rPr>
        <w:t>QIB</w:t>
      </w:r>
      <w:r>
        <w:rPr>
          <w:rFonts w:ascii="Times New Roman" w:cs="Times New Roman" w:eastAsia="Times New Roman" w:hAnsi="Times New Roman"/>
          <w:sz w:val="16"/>
          <w:szCs w:val="16"/>
          <w:color w:val="auto"/>
        </w:rPr>
        <w:t>”)).</w:t>
      </w:r>
    </w:p>
    <w:p>
      <w:pPr>
        <w:spacing w:after="0" w:line="137" w:lineRule="exact"/>
        <w:rPr>
          <w:rFonts w:ascii="Arial" w:cs="Arial" w:eastAsia="Arial" w:hAnsi="Arial"/>
          <w:sz w:val="16"/>
          <w:szCs w:val="16"/>
          <w:color w:val="auto"/>
        </w:rPr>
      </w:pPr>
    </w:p>
    <w:p>
      <w:pPr>
        <w:ind w:left="1260" w:hanging="341"/>
        <w:spacing w:after="0"/>
        <w:tabs>
          <w:tab w:leader="none" w:pos="1260" w:val="left"/>
        </w:tabs>
        <w:numPr>
          <w:ilvl w:val="0"/>
          <w:numId w:val="5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ACCREDITED INVESTOR STATUS</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(Please check the applicable subparagraphs):</w:t>
      </w:r>
    </w:p>
    <w:p>
      <w:pPr>
        <w:spacing w:after="0" w:line="106" w:lineRule="exact"/>
        <w:rPr>
          <w:sz w:val="20"/>
          <w:szCs w:val="20"/>
          <w:color w:val="auto"/>
        </w:rPr>
      </w:pPr>
    </w:p>
    <w:p>
      <w:pPr>
        <w:jc w:val="both"/>
        <w:ind w:left="1680" w:right="939" w:hanging="379"/>
        <w:spacing w:after="0" w:line="260" w:lineRule="auto"/>
        <w:tabs>
          <w:tab w:leader="none" w:pos="1640" w:val="left"/>
        </w:tabs>
        <w:numPr>
          <w:ilvl w:val="0"/>
          <w:numId w:val="51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We are an “accredited investor” within the meaning of Rule 501(a) under the Securities Act or an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97" w:lineRule="exact"/>
        <w:rPr>
          <w:rFonts w:ascii="Times New Roman" w:cs="Times New Roman" w:eastAsia="Times New Roman" w:hAnsi="Times New Roman"/>
          <w:sz w:val="16"/>
          <w:szCs w:val="16"/>
          <w:color w:val="auto"/>
        </w:rPr>
      </w:pPr>
    </w:p>
    <w:p>
      <w:pPr>
        <w:ind w:left="1620" w:hanging="319"/>
        <w:spacing w:after="0"/>
        <w:tabs>
          <w:tab w:leader="none" w:pos="1620" w:val="left"/>
        </w:tabs>
        <w:numPr>
          <w:ilvl w:val="0"/>
          <w:numId w:val="51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We are not a natural person.</w:t>
      </w:r>
    </w:p>
    <w:p>
      <w:pPr>
        <w:spacing w:after="0" w:line="142" w:lineRule="exact"/>
        <w:rPr>
          <w:sz w:val="20"/>
          <w:szCs w:val="20"/>
          <w:color w:val="auto"/>
        </w:rPr>
      </w:pPr>
    </w:p>
    <w:p>
      <w:pPr>
        <w:ind w:left="920" w:right="1079"/>
        <w:spacing w:after="0" w:line="257"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90" w:lineRule="exact"/>
        <w:rPr>
          <w:sz w:val="20"/>
          <w:szCs w:val="20"/>
          <w:color w:val="auto"/>
        </w:rPr>
      </w:pPr>
    </w:p>
    <w:p>
      <w:pPr>
        <w:ind w:left="1680" w:right="939" w:firstLine="4"/>
        <w:spacing w:after="0" w:line="279" w:lineRule="auto"/>
        <w:tabs>
          <w:tab w:leader="none" w:pos="1844" w:val="left"/>
        </w:tabs>
        <w:numPr>
          <w:ilvl w:val="1"/>
          <w:numId w:val="519"/>
        </w:numPr>
        <w:rPr>
          <w:rFonts w:ascii="Arial" w:cs="Arial" w:eastAsia="Arial" w:hAnsi="Arial"/>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or small business investment company;</w:t>
      </w:r>
    </w:p>
    <w:p>
      <w:pPr>
        <w:spacing w:after="0" w:line="85" w:lineRule="exact"/>
        <w:rPr>
          <w:rFonts w:ascii="Arial" w:cs="Arial" w:eastAsia="Arial" w:hAnsi="Arial"/>
          <w:sz w:val="16"/>
          <w:szCs w:val="16"/>
          <w:color w:val="auto"/>
        </w:rPr>
      </w:pPr>
    </w:p>
    <w:p>
      <w:pPr>
        <w:jc w:val="both"/>
        <w:ind w:left="1680" w:right="939" w:firstLine="4"/>
        <w:spacing w:after="0" w:line="264" w:lineRule="auto"/>
        <w:tabs>
          <w:tab w:leader="none" w:pos="1834" w:val="left"/>
        </w:tabs>
        <w:numPr>
          <w:ilvl w:val="1"/>
          <w:numId w:val="519"/>
        </w:numPr>
        <w:rPr>
          <w:rFonts w:ascii="Arial" w:cs="Arial" w:eastAsia="Arial" w:hAnsi="Arial"/>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97" w:lineRule="exact"/>
        <w:rPr>
          <w:rFonts w:ascii="Arial" w:cs="Arial" w:eastAsia="Arial" w:hAnsi="Arial"/>
          <w:sz w:val="16"/>
          <w:szCs w:val="16"/>
          <w:color w:val="auto"/>
        </w:rPr>
      </w:pPr>
    </w:p>
    <w:p>
      <w:pPr>
        <w:jc w:val="both"/>
        <w:ind w:left="1680" w:right="939" w:firstLine="4"/>
        <w:spacing w:after="0" w:line="264" w:lineRule="auto"/>
        <w:tabs>
          <w:tab w:leader="none" w:pos="1803" w:val="left"/>
        </w:tabs>
        <w:numPr>
          <w:ilvl w:val="1"/>
          <w:numId w:val="519"/>
        </w:numPr>
        <w:rPr>
          <w:rFonts w:ascii="Arial" w:cs="Arial" w:eastAsia="Arial" w:hAnsi="Arial"/>
          <w:sz w:val="16"/>
          <w:szCs w:val="16"/>
          <w:color w:val="auto"/>
        </w:rPr>
      </w:pPr>
      <w:r>
        <w:rPr>
          <w:rFonts w:ascii="Times New Roman" w:cs="Times New Roman" w:eastAsia="Times New Roman" w:hAnsi="Times New Roman"/>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85" w:lineRule="exact"/>
        <w:rPr>
          <w:rFonts w:ascii="Arial" w:cs="Arial" w:eastAsia="Arial" w:hAnsi="Arial"/>
          <w:sz w:val="16"/>
          <w:szCs w:val="16"/>
          <w:color w:val="auto"/>
        </w:rPr>
      </w:pPr>
    </w:p>
    <w:p>
      <w:pPr>
        <w:jc w:val="both"/>
        <w:ind w:left="1680" w:right="939" w:firstLine="4"/>
        <w:spacing w:after="0" w:line="264" w:lineRule="auto"/>
        <w:tabs>
          <w:tab w:leader="none" w:pos="1835" w:val="left"/>
        </w:tabs>
        <w:numPr>
          <w:ilvl w:val="1"/>
          <w:numId w:val="519"/>
        </w:numPr>
        <w:rPr>
          <w:rFonts w:ascii="Arial" w:cs="Arial" w:eastAsia="Arial" w:hAnsi="Arial"/>
          <w:sz w:val="16"/>
          <w:szCs w:val="16"/>
          <w:color w:val="auto"/>
        </w:rPr>
      </w:pPr>
      <w:r>
        <w:rPr>
          <w:rFonts w:ascii="Times New Roman" w:cs="Times New Roman" w:eastAsia="Times New Roman" w:hAnsi="Times New Roman"/>
          <w:sz w:val="16"/>
          <w:szCs w:val="16"/>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97" w:lineRule="exact"/>
        <w:rPr>
          <w:rFonts w:ascii="Arial" w:cs="Arial" w:eastAsia="Arial" w:hAnsi="Arial"/>
          <w:sz w:val="16"/>
          <w:szCs w:val="16"/>
          <w:color w:val="auto"/>
        </w:rPr>
      </w:pPr>
    </w:p>
    <w:p>
      <w:pPr>
        <w:ind w:left="1680" w:right="939" w:firstLine="4"/>
        <w:spacing w:after="0" w:line="279" w:lineRule="auto"/>
        <w:tabs>
          <w:tab w:leader="none" w:pos="1805" w:val="left"/>
        </w:tabs>
        <w:numPr>
          <w:ilvl w:val="1"/>
          <w:numId w:val="519"/>
        </w:numPr>
        <w:rPr>
          <w:rFonts w:ascii="Arial" w:cs="Arial" w:eastAsia="Arial" w:hAnsi="Arial"/>
          <w:sz w:val="16"/>
          <w:szCs w:val="16"/>
          <w:color w:val="auto"/>
        </w:rPr>
      </w:pPr>
      <w:r>
        <w:rPr>
          <w:rFonts w:ascii="Times New Roman" w:cs="Times New Roman" w:eastAsia="Times New Roman" w:hAnsi="Times New Roman"/>
          <w:sz w:val="16"/>
          <w:szCs w:val="16"/>
          <w:color w:val="auto"/>
        </w:rPr>
        <w:t>Any trust with assets in excess of $5,000,000, not formed to acquire the securities offered, whose purchase is directed by a sophisticated person; or</w:t>
      </w:r>
    </w:p>
    <w:p>
      <w:pPr>
        <w:spacing w:after="0" w:line="85" w:lineRule="exact"/>
        <w:rPr>
          <w:rFonts w:ascii="Arial" w:cs="Arial" w:eastAsia="Arial" w:hAnsi="Arial"/>
          <w:sz w:val="16"/>
          <w:szCs w:val="16"/>
          <w:color w:val="auto"/>
        </w:rPr>
      </w:pPr>
    </w:p>
    <w:p>
      <w:pPr>
        <w:ind w:left="1680" w:right="939" w:firstLine="4"/>
        <w:spacing w:after="0" w:line="279" w:lineRule="auto"/>
        <w:tabs>
          <w:tab w:leader="none" w:pos="1808" w:val="left"/>
        </w:tabs>
        <w:numPr>
          <w:ilvl w:val="1"/>
          <w:numId w:val="519"/>
        </w:numPr>
        <w:rPr>
          <w:rFonts w:ascii="Arial" w:cs="Arial" w:eastAsia="Arial" w:hAnsi="Arial"/>
          <w:sz w:val="16"/>
          <w:szCs w:val="16"/>
          <w:color w:val="auto"/>
        </w:rPr>
      </w:pPr>
      <w:r>
        <w:rPr>
          <w:rFonts w:ascii="Times New Roman" w:cs="Times New Roman" w:eastAsia="Times New Roman" w:hAnsi="Times New Roman"/>
          <w:sz w:val="16"/>
          <w:szCs w:val="16"/>
          <w:color w:val="auto"/>
        </w:rPr>
        <w:t>Any entity in which all of the equity owners are accredited investors meeting one or more of the above tests.</w:t>
      </w:r>
    </w:p>
    <w:p>
      <w:pPr>
        <w:spacing w:after="0" w:line="73" w:lineRule="exact"/>
        <w:rPr>
          <w:rFonts w:ascii="Arial" w:cs="Arial" w:eastAsia="Arial" w:hAnsi="Arial"/>
          <w:sz w:val="16"/>
          <w:szCs w:val="16"/>
          <w:color w:val="auto"/>
        </w:rPr>
      </w:pPr>
    </w:p>
    <w:p>
      <w:pPr>
        <w:ind w:left="1260" w:hanging="341"/>
        <w:spacing w:after="0"/>
        <w:tabs>
          <w:tab w:leader="none" w:pos="1260" w:val="left"/>
        </w:tabs>
        <w:numPr>
          <w:ilvl w:val="0"/>
          <w:numId w:val="5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ACCOUNTS STATUS</w:t>
      </w:r>
    </w:p>
    <w:p>
      <w:pPr>
        <w:spacing w:after="0" w:line="138" w:lineRule="exact"/>
        <w:rPr>
          <w:rFonts w:ascii="Times New Roman" w:cs="Times New Roman" w:eastAsia="Times New Roman" w:hAnsi="Times New Roman"/>
          <w:sz w:val="16"/>
          <w:szCs w:val="16"/>
          <w:color w:val="auto"/>
        </w:rPr>
      </w:pPr>
    </w:p>
    <w:p>
      <w:pPr>
        <w:ind w:left="1800" w:hanging="116"/>
        <w:spacing w:after="0"/>
        <w:tabs>
          <w:tab w:leader="none" w:pos="1800" w:val="left"/>
        </w:tabs>
        <w:numPr>
          <w:ilvl w:val="1"/>
          <w:numId w:val="519"/>
        </w:numPr>
        <w:rPr>
          <w:rFonts w:ascii="Arial" w:cs="Arial" w:eastAsia="Arial" w:hAnsi="Arial"/>
          <w:sz w:val="16"/>
          <w:szCs w:val="16"/>
          <w:color w:val="auto"/>
        </w:rPr>
      </w:pPr>
      <w:r>
        <w:rPr>
          <w:rFonts w:ascii="Times New Roman" w:cs="Times New Roman" w:eastAsia="Times New Roman" w:hAnsi="Times New Roman"/>
          <w:sz w:val="16"/>
          <w:szCs w:val="16"/>
          <w:color w:val="auto"/>
        </w:rPr>
        <w:t>We are an “institutional account” (as defined in FINRA RULE 4512(c)).</w:t>
      </w:r>
    </w:p>
    <w:p>
      <w:pPr>
        <w:spacing w:after="0" w:line="137" w:lineRule="exact"/>
        <w:rPr>
          <w:rFonts w:ascii="Arial" w:cs="Arial" w:eastAsia="Arial" w:hAnsi="Arial"/>
          <w:sz w:val="16"/>
          <w:szCs w:val="16"/>
          <w:color w:val="auto"/>
        </w:rPr>
      </w:pPr>
    </w:p>
    <w:p>
      <w:pPr>
        <w:ind w:left="1260" w:hanging="341"/>
        <w:spacing w:after="0"/>
        <w:tabs>
          <w:tab w:leader="none" w:pos="1260" w:val="left"/>
        </w:tabs>
        <w:numPr>
          <w:ilvl w:val="0"/>
          <w:numId w:val="5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(Please check the applicable subparagraphs):</w:t>
      </w:r>
    </w:p>
    <w:p>
      <w:pPr>
        <w:spacing w:after="0" w:line="134" w:lineRule="exact"/>
        <w:rPr>
          <w:sz w:val="20"/>
          <w:szCs w:val="20"/>
          <w:color w:val="auto"/>
        </w:rPr>
      </w:pPr>
    </w:p>
    <w:p>
      <w:pPr>
        <w:jc w:val="both"/>
        <w:ind w:left="1680" w:right="939" w:hanging="379"/>
        <w:spacing w:after="0" w:line="260" w:lineRule="auto"/>
        <w:tabs>
          <w:tab w:leader="none" w:pos="1676" w:val="left"/>
        </w:tabs>
        <w:numPr>
          <w:ilvl w:val="0"/>
          <w:numId w:val="52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 am an “accredited investor” within the meaning of Rule 501(a) under the Securities Act or an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85" w:lineRule="exact"/>
        <w:rPr>
          <w:rFonts w:ascii="Times New Roman" w:cs="Times New Roman" w:eastAsia="Times New Roman" w:hAnsi="Times New Roman"/>
          <w:sz w:val="16"/>
          <w:szCs w:val="16"/>
          <w:color w:val="auto"/>
        </w:rPr>
      </w:pPr>
    </w:p>
    <w:p>
      <w:pPr>
        <w:ind w:left="1620" w:hanging="319"/>
        <w:spacing w:after="0"/>
        <w:tabs>
          <w:tab w:leader="none" w:pos="1620" w:val="left"/>
        </w:tabs>
        <w:numPr>
          <w:ilvl w:val="0"/>
          <w:numId w:val="52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 am a natural person.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33" w:name="page534"/>
    <w:bookmarkEnd w:id="533"/>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ind w:left="920" w:right="1079"/>
        <w:spacing w:after="0" w:line="257"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2" w:lineRule="exact"/>
        <w:rPr>
          <w:sz w:val="20"/>
          <w:szCs w:val="20"/>
          <w:color w:val="auto"/>
        </w:rPr>
      </w:pPr>
    </w:p>
    <w:p>
      <w:pPr>
        <w:ind w:left="1680" w:right="939" w:firstLine="4"/>
        <w:spacing w:after="0" w:line="279" w:lineRule="auto"/>
        <w:tabs>
          <w:tab w:leader="none" w:pos="1812" w:val="left"/>
        </w:tabs>
        <w:numPr>
          <w:ilvl w:val="0"/>
          <w:numId w:val="521"/>
        </w:numPr>
        <w:rPr>
          <w:rFonts w:ascii="Arial" w:cs="Arial" w:eastAsia="Arial" w:hAnsi="Arial"/>
          <w:sz w:val="16"/>
          <w:szCs w:val="16"/>
          <w:color w:val="auto"/>
        </w:rPr>
      </w:pPr>
      <w:r>
        <w:rPr>
          <w:rFonts w:ascii="Times New Roman" w:cs="Times New Roman" w:eastAsia="Times New Roman" w:hAnsi="Times New Roman"/>
          <w:sz w:val="16"/>
          <w:szCs w:val="16"/>
          <w:color w:val="auto"/>
        </w:rPr>
        <w:t>Any director, executive officer, or general partner of the issuer of the securities being offered or sold, or any director, executive officer, or general partner of a general partner of that issuer;</w:t>
      </w:r>
    </w:p>
    <w:p>
      <w:pPr>
        <w:spacing w:after="0" w:line="85" w:lineRule="exact"/>
        <w:rPr>
          <w:rFonts w:ascii="Arial" w:cs="Arial" w:eastAsia="Arial" w:hAnsi="Arial"/>
          <w:sz w:val="16"/>
          <w:szCs w:val="16"/>
          <w:color w:val="auto"/>
        </w:rPr>
      </w:pPr>
    </w:p>
    <w:p>
      <w:pPr>
        <w:jc w:val="both"/>
        <w:ind w:left="1680" w:right="939" w:firstLine="4"/>
        <w:spacing w:after="0" w:line="277" w:lineRule="auto"/>
        <w:tabs>
          <w:tab w:leader="none" w:pos="1800" w:val="left"/>
        </w:tabs>
        <w:numPr>
          <w:ilvl w:val="0"/>
          <w:numId w:val="521"/>
        </w:numPr>
        <w:rPr>
          <w:rFonts w:ascii="Arial" w:cs="Arial" w:eastAsia="Arial" w:hAnsi="Arial"/>
          <w:sz w:val="15"/>
          <w:szCs w:val="15"/>
          <w:color w:val="auto"/>
        </w:rPr>
      </w:pPr>
      <w:r>
        <w:rPr>
          <w:rFonts w:ascii="Times New Roman" w:cs="Times New Roman" w:eastAsia="Times New Roman" w:hAnsi="Times New Roman"/>
          <w:sz w:val="15"/>
          <w:szCs w:val="15"/>
          <w:color w:val="auto"/>
        </w:rPr>
        <w:t>Any natural person whose individual net worth, or joint net worth with that person’s spouse, at the time of his purchase exceeds $1,000,000. For purposes of calculating a natural person’s net worth:</w:t>
      </w:r>
    </w:p>
    <w:p>
      <w:pPr>
        <w:jc w:val="both"/>
        <w:ind w:left="1680" w:right="939"/>
        <w:spacing w:after="0" w:line="249" w:lineRule="auto"/>
        <w:rPr>
          <w:rFonts w:ascii="Arial" w:cs="Arial" w:eastAsia="Arial" w:hAnsi="Arial"/>
          <w:sz w:val="15"/>
          <w:szCs w:val="15"/>
          <w:color w:val="auto"/>
        </w:rPr>
      </w:pPr>
      <w:r>
        <w:rPr>
          <w:rFonts w:ascii="Times New Roman" w:cs="Times New Roman" w:eastAsia="Times New Roman" w:hAnsi="Times New Roman"/>
          <w:sz w:val="16"/>
          <w:szCs w:val="16"/>
          <w:color w:val="auto"/>
        </w:rPr>
        <w:t>(a)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1" w:lineRule="exact"/>
        <w:rPr>
          <w:rFonts w:ascii="Arial" w:cs="Arial" w:eastAsia="Arial" w:hAnsi="Arial"/>
          <w:sz w:val="15"/>
          <w:szCs w:val="15"/>
          <w:color w:val="auto"/>
        </w:rPr>
      </w:pPr>
    </w:p>
    <w:p>
      <w:pPr>
        <w:ind w:left="1680" w:right="939"/>
        <w:spacing w:after="0" w:line="258" w:lineRule="auto"/>
        <w:rPr>
          <w:rFonts w:ascii="Arial" w:cs="Arial" w:eastAsia="Arial" w:hAnsi="Arial"/>
          <w:sz w:val="15"/>
          <w:szCs w:val="15"/>
          <w:color w:val="auto"/>
        </w:rPr>
      </w:pPr>
      <w:r>
        <w:rPr>
          <w:rFonts w:ascii="Times New Roman" w:cs="Times New Roman" w:eastAsia="Times New Roman" w:hAnsi="Times New Roman"/>
          <w:sz w:val="16"/>
          <w:szCs w:val="16"/>
          <w:color w:val="auto"/>
        </w:rPr>
        <w:t>(c) indebtedness that is secured by the person’s primary residence in excess of the estimated fair market value of the residence must be included as a liability; or</w:t>
      </w:r>
    </w:p>
    <w:p>
      <w:pPr>
        <w:spacing w:after="0" w:line="89" w:lineRule="exact"/>
        <w:rPr>
          <w:rFonts w:ascii="Arial" w:cs="Arial" w:eastAsia="Arial" w:hAnsi="Arial"/>
          <w:sz w:val="15"/>
          <w:szCs w:val="15"/>
          <w:color w:val="auto"/>
        </w:rPr>
      </w:pPr>
    </w:p>
    <w:p>
      <w:pPr>
        <w:jc w:val="both"/>
        <w:ind w:left="1680" w:right="939" w:firstLine="4"/>
        <w:spacing w:after="0" w:line="264" w:lineRule="auto"/>
        <w:tabs>
          <w:tab w:leader="none" w:pos="1807" w:val="left"/>
        </w:tabs>
        <w:numPr>
          <w:ilvl w:val="0"/>
          <w:numId w:val="521"/>
        </w:numPr>
        <w:rPr>
          <w:rFonts w:ascii="Arial" w:cs="Arial" w:eastAsia="Arial" w:hAnsi="Arial"/>
          <w:sz w:val="16"/>
          <w:szCs w:val="16"/>
          <w:color w:val="auto"/>
        </w:rPr>
      </w:pPr>
      <w:r>
        <w:rPr>
          <w:rFonts w:ascii="Times New Roman" w:cs="Times New Roman" w:eastAsia="Times New Roman" w:hAnsi="Times New Roman"/>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This page should be completed by the Investor</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and constitutes a part of the Subscription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Annex 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34" w:name="page535"/>
    <w:bookmarkEnd w:id="534"/>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20. Indemnification of Directors and Officers.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Section 145. Indemnification of officers, directors, employees and agents; insurance.</w:t>
      </w:r>
    </w:p>
    <w:p>
      <w:pPr>
        <w:spacing w:after="0" w:line="139" w:lineRule="exact"/>
        <w:rPr>
          <w:sz w:val="20"/>
          <w:szCs w:val="20"/>
          <w:color w:val="auto"/>
        </w:rPr>
      </w:pPr>
    </w:p>
    <w:p>
      <w:pPr>
        <w:jc w:val="both"/>
        <w:ind w:left="1680" w:right="939" w:hanging="379"/>
        <w:spacing w:after="0" w:line="251" w:lineRule="auto"/>
        <w:tabs>
          <w:tab w:leader="none" w:pos="1672" w:val="left"/>
        </w:tabs>
        <w:numPr>
          <w:ilvl w:val="0"/>
          <w:numId w:val="5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9" w:lineRule="exact"/>
        <w:rPr>
          <w:rFonts w:ascii="Times New Roman" w:cs="Times New Roman" w:eastAsia="Times New Roman" w:hAnsi="Times New Roman"/>
          <w:sz w:val="16"/>
          <w:szCs w:val="16"/>
          <w:color w:val="auto"/>
        </w:rPr>
      </w:pPr>
    </w:p>
    <w:p>
      <w:pPr>
        <w:jc w:val="both"/>
        <w:ind w:left="1680" w:right="939" w:hanging="379"/>
        <w:spacing w:after="0" w:line="269" w:lineRule="auto"/>
        <w:tabs>
          <w:tab w:leader="none" w:pos="1646" w:val="left"/>
        </w:tabs>
        <w:numPr>
          <w:ilvl w:val="0"/>
          <w:numId w:val="5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1" w:lineRule="exact"/>
        <w:rPr>
          <w:rFonts w:ascii="Times New Roman" w:cs="Times New Roman" w:eastAsia="Times New Roman" w:hAnsi="Times New Roman"/>
          <w:sz w:val="15"/>
          <w:szCs w:val="15"/>
          <w:color w:val="auto"/>
        </w:rPr>
      </w:pPr>
    </w:p>
    <w:p>
      <w:pPr>
        <w:jc w:val="both"/>
        <w:ind w:left="1680" w:right="939" w:hanging="379"/>
        <w:spacing w:after="0" w:line="257" w:lineRule="auto"/>
        <w:tabs>
          <w:tab w:leader="none" w:pos="1691" w:val="left"/>
        </w:tabs>
        <w:numPr>
          <w:ilvl w:val="0"/>
          <w:numId w:val="5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02" w:lineRule="exact"/>
        <w:rPr>
          <w:rFonts w:ascii="Times New Roman" w:cs="Times New Roman" w:eastAsia="Times New Roman" w:hAnsi="Times New Roman"/>
          <w:sz w:val="16"/>
          <w:szCs w:val="16"/>
          <w:color w:val="auto"/>
        </w:rPr>
      </w:pPr>
    </w:p>
    <w:p>
      <w:pPr>
        <w:jc w:val="both"/>
        <w:ind w:left="1680" w:right="939" w:hanging="379"/>
        <w:spacing w:after="0" w:line="271" w:lineRule="auto"/>
        <w:tabs>
          <w:tab w:leader="none" w:pos="1639" w:val="left"/>
        </w:tabs>
        <w:numPr>
          <w:ilvl w:val="0"/>
          <w:numId w:val="5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5"/>
          <w:szCs w:val="15"/>
          <w:color w:val="auto"/>
        </w:rPr>
      </w:pPr>
    </w:p>
    <w:p>
      <w:pPr>
        <w:jc w:val="both"/>
        <w:ind w:left="1680" w:right="939" w:firstLine="4"/>
        <w:spacing w:after="0" w:line="266" w:lineRule="auto"/>
        <w:tabs>
          <w:tab w:leader="none" w:pos="1919" w:val="left"/>
        </w:tabs>
        <w:numPr>
          <w:ilvl w:val="1"/>
          <w:numId w:val="5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ind w:left="1680" w:right="939"/>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(3) if there are no such directors, or if such directors so direct, by independent legal counsel in a written opinion, or (4) by the stockholders.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5" w:name="page536"/>
    <w:bookmarkEnd w:id="535"/>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1680" w:right="939" w:hanging="379"/>
        <w:spacing w:after="0" w:line="253" w:lineRule="auto"/>
        <w:tabs>
          <w:tab w:leader="none" w:pos="1806"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09" w:lineRule="exact"/>
        <w:rPr>
          <w:rFonts w:ascii="Times New Roman" w:cs="Times New Roman" w:eastAsia="Times New Roman" w:hAnsi="Times New Roman"/>
          <w:sz w:val="16"/>
          <w:szCs w:val="16"/>
          <w:color w:val="auto"/>
        </w:rPr>
      </w:pPr>
    </w:p>
    <w:p>
      <w:pPr>
        <w:jc w:val="both"/>
        <w:ind w:left="1680" w:right="939" w:hanging="379"/>
        <w:spacing w:after="0" w:line="252" w:lineRule="auto"/>
        <w:tabs>
          <w:tab w:leader="none" w:pos="1729"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9" w:lineRule="exact"/>
        <w:rPr>
          <w:rFonts w:ascii="Times New Roman" w:cs="Times New Roman" w:eastAsia="Times New Roman" w:hAnsi="Times New Roman"/>
          <w:sz w:val="16"/>
          <w:szCs w:val="16"/>
          <w:color w:val="auto"/>
        </w:rPr>
      </w:pPr>
    </w:p>
    <w:p>
      <w:pPr>
        <w:jc w:val="both"/>
        <w:ind w:left="1680" w:right="939" w:hanging="379"/>
        <w:spacing w:after="0" w:line="275" w:lineRule="auto"/>
        <w:tabs>
          <w:tab w:leader="none" w:pos="1662" w:val="left"/>
        </w:tabs>
        <w:numPr>
          <w:ilvl w:val="0"/>
          <w:numId w:val="5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0" w:lineRule="exact"/>
        <w:rPr>
          <w:rFonts w:ascii="Times New Roman" w:cs="Times New Roman" w:eastAsia="Times New Roman" w:hAnsi="Times New Roman"/>
          <w:sz w:val="15"/>
          <w:szCs w:val="15"/>
          <w:color w:val="auto"/>
        </w:rPr>
      </w:pPr>
    </w:p>
    <w:p>
      <w:pPr>
        <w:jc w:val="both"/>
        <w:ind w:left="1680" w:right="939" w:hanging="379"/>
        <w:spacing w:after="0" w:line="253" w:lineRule="auto"/>
        <w:tabs>
          <w:tab w:leader="none" w:pos="1648"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3" w:lineRule="auto"/>
        <w:tabs>
          <w:tab w:leader="none" w:pos="1684"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06" w:lineRule="exact"/>
        <w:rPr>
          <w:rFonts w:ascii="Times New Roman" w:cs="Times New Roman" w:eastAsia="Times New Roman" w:hAnsi="Times New Roman"/>
          <w:sz w:val="16"/>
          <w:szCs w:val="16"/>
          <w:color w:val="auto"/>
        </w:rPr>
      </w:pPr>
    </w:p>
    <w:p>
      <w:pPr>
        <w:jc w:val="both"/>
        <w:ind w:left="1680" w:right="939" w:hanging="379"/>
        <w:spacing w:after="0" w:line="259" w:lineRule="auto"/>
        <w:tabs>
          <w:tab w:leader="none" w:pos="1677"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0" w:lineRule="exact"/>
        <w:rPr>
          <w:rFonts w:ascii="Times New Roman" w:cs="Times New Roman" w:eastAsia="Times New Roman" w:hAnsi="Times New Roman"/>
          <w:sz w:val="16"/>
          <w:szCs w:val="16"/>
          <w:color w:val="auto"/>
        </w:rPr>
      </w:pPr>
    </w:p>
    <w:p>
      <w:pPr>
        <w:jc w:val="both"/>
        <w:ind w:left="1680" w:right="939" w:hanging="379"/>
        <w:spacing w:after="0" w:line="282" w:lineRule="auto"/>
        <w:tabs>
          <w:tab w:leader="none" w:pos="1652" w:val="left"/>
        </w:tabs>
        <w:numPr>
          <w:ilvl w:val="0"/>
          <w:numId w:val="5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86" w:lineRule="exact"/>
        <w:rPr>
          <w:sz w:val="20"/>
          <w:szCs w:val="20"/>
          <w:color w:val="auto"/>
        </w:rPr>
      </w:pPr>
    </w:p>
    <w:p>
      <w:pPr>
        <w:jc w:val="both"/>
        <w:ind w:left="920" w:right="939"/>
        <w:spacing w:after="0" w:line="259"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6" w:name="page537"/>
    <w:bookmarkEnd w:id="536"/>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0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0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95"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0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96"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95"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The rights to indemnification and advancement of expenses will not be deemed exclusive of any other rights which any person covered by our Current Charter may have or hereafter acquire under law, our Current Charter, our Current By-laws, an agreement, vote of stockholders or disinterested directors, or otherwise.</w:t>
      </w:r>
    </w:p>
    <w:p>
      <w:pPr>
        <w:spacing w:after="0" w:line="96" w:lineRule="exact"/>
        <w:rPr>
          <w:sz w:val="20"/>
          <w:szCs w:val="20"/>
          <w:color w:val="auto"/>
        </w:rPr>
      </w:pPr>
    </w:p>
    <w:p>
      <w:pPr>
        <w:jc w:val="both"/>
        <w:ind w:left="920" w:right="939"/>
        <w:spacing w:after="0" w:line="253" w:lineRule="auto"/>
        <w:rPr>
          <w:sz w:val="20"/>
          <w:szCs w:val="20"/>
          <w:color w:val="auto"/>
        </w:rPr>
      </w:pPr>
      <w:r>
        <w:rPr>
          <w:rFonts w:ascii="Times New Roman" w:cs="Times New Roman" w:eastAsia="Times New Roman" w:hAnsi="Times New Roman"/>
          <w:sz w:val="16"/>
          <w:szCs w:val="16"/>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7" w:name="page538"/>
    <w:bookmarkEnd w:id="537"/>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920" w:right="939"/>
        <w:spacing w:after="0" w:line="254" w:lineRule="auto"/>
        <w:rPr>
          <w:sz w:val="20"/>
          <w:szCs w:val="20"/>
          <w:color w:val="auto"/>
        </w:rPr>
      </w:pPr>
      <w:r>
        <w:rPr>
          <w:rFonts w:ascii="Times New Roman" w:cs="Times New Roman" w:eastAsia="Times New Roman" w:hAnsi="Times New Roman"/>
          <w:sz w:val="16"/>
          <w:szCs w:val="16"/>
          <w:color w:val="auto"/>
        </w:rPr>
        <w:t>Our Current By-laws include the provisions relating to advancement of expenses and indemnification rights consistent with those which are set forth in our Current Charter. In addition, our Current By-laws provide for a right of indemnity to bring a suit in the event a claim for indemnification or advancement of expenses is not paid in full by us within a specified period of time. Our Current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07" w:lineRule="exact"/>
        <w:rPr>
          <w:sz w:val="20"/>
          <w:szCs w:val="20"/>
          <w:color w:val="auto"/>
        </w:rPr>
      </w:pPr>
    </w:p>
    <w:p>
      <w:pPr>
        <w:jc w:val="both"/>
        <w:ind w:left="920" w:right="939"/>
        <w:spacing w:after="0" w:line="255" w:lineRule="auto"/>
        <w:rPr>
          <w:sz w:val="20"/>
          <w:szCs w:val="20"/>
          <w:color w:val="auto"/>
        </w:rPr>
      </w:pPr>
      <w:r>
        <w:rPr>
          <w:rFonts w:ascii="Times New Roman" w:cs="Times New Roman" w:eastAsia="Times New Roman" w:hAnsi="Times New Roman"/>
          <w:sz w:val="16"/>
          <w:szCs w:val="16"/>
          <w:color w:val="auto"/>
        </w:rPr>
        <w:t>Any repeal or amendment of provisions of our Current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06" w:lineRule="exact"/>
        <w:rPr>
          <w:sz w:val="20"/>
          <w:szCs w:val="20"/>
          <w:color w:val="auto"/>
        </w:rPr>
      </w:pPr>
    </w:p>
    <w:p>
      <w:pPr>
        <w:jc w:val="both"/>
        <w:ind w:left="920" w:right="939"/>
        <w:spacing w:after="0" w:line="257"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officers and directors a form that was filed as Exhibit 10.5 of our Registration Statement on Form S-1, filed with the SEC on April 16,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38" w:name="page539"/>
    <w:bookmarkEnd w:id="538"/>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21. Exhibits and Financial Statement Schedules.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12"/>
                <w:szCs w:val="12"/>
                <w:color w:val="auto"/>
              </w:rPr>
            </w:pPr>
          </w:p>
        </w:tc>
        <w:tc>
          <w:tcPr>
            <w:tcW w:w="6280" w:type="dxa"/>
            <w:vAlign w:val="bottom"/>
            <w:tcBorders>
              <w:bottom w:val="single" w:sz="8" w:color="0000EE"/>
            </w:tcBorders>
            <w:gridSpan w:val="13"/>
            <w:shd w:val="clear" w:color="auto" w:fill="CCEEFF"/>
          </w:tcPr>
          <w:p>
            <w:pPr>
              <w:spacing w:after="0" w:line="148" w:lineRule="exact"/>
              <w:rPr>
                <w:rFonts w:ascii="Times New Roman" w:cs="Times New Roman" w:eastAsia="Times New Roman" w:hAnsi="Times New Roman"/>
                <w:sz w:val="16"/>
                <w:szCs w:val="16"/>
                <w:color w:val="0000EE"/>
              </w:rPr>
            </w:pPr>
            <w:hyperlink w:anchor="page297">
              <w:r>
                <w:rPr>
                  <w:rFonts w:ascii="Times New Roman" w:cs="Times New Roman" w:eastAsia="Times New Roman" w:hAnsi="Times New Roman"/>
                  <w:sz w:val="16"/>
                  <w:szCs w:val="16"/>
                  <w:color w:val="0000EE"/>
                </w:rPr>
                <w:t>Merger Agreement, dated as of October 15, 2020, by and between FS Development Corp., FSG</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80" w:type="dxa"/>
            <w:vAlign w:val="bottom"/>
            <w:tcBorders>
              <w:bottom w:val="single" w:sz="8" w:color="0000EE"/>
            </w:tcBorders>
            <w:gridSpan w:val="13"/>
            <w:shd w:val="clear" w:color="auto" w:fill="CCEEFF"/>
          </w:tcPr>
          <w:p>
            <w:pPr>
              <w:spacing w:after="0" w:line="171" w:lineRule="exact"/>
              <w:rPr>
                <w:rFonts w:ascii="Times New Roman" w:cs="Times New Roman" w:eastAsia="Times New Roman" w:hAnsi="Times New Roman"/>
                <w:sz w:val="16"/>
                <w:szCs w:val="16"/>
                <w:color w:val="0000EE"/>
              </w:rPr>
            </w:pPr>
            <w:hyperlink w:anchor="page297">
              <w:r>
                <w:rPr>
                  <w:rFonts w:ascii="Times New Roman" w:cs="Times New Roman" w:eastAsia="Times New Roman" w:hAnsi="Times New Roman"/>
                  <w:sz w:val="16"/>
                  <w:szCs w:val="16"/>
                  <w:color w:val="0000EE"/>
                </w:rPr>
                <w:t>Merger Sub Inc., Gemini Therapeutics, Inc. and Shareholder Representative Services, LLC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80" w:type="dxa"/>
            <w:vAlign w:val="bottom"/>
            <w:tcBorders>
              <w:bottom w:val="single" w:sz="8" w:color="0000EE"/>
            </w:tcBorders>
            <w:gridSpan w:val="13"/>
            <w:shd w:val="clear" w:color="auto" w:fill="CCEEFF"/>
          </w:tcPr>
          <w:p>
            <w:pPr>
              <w:spacing w:after="0" w:line="171" w:lineRule="exact"/>
              <w:rPr>
                <w:rFonts w:ascii="Times New Roman" w:cs="Times New Roman" w:eastAsia="Times New Roman" w:hAnsi="Times New Roman"/>
                <w:sz w:val="16"/>
                <w:szCs w:val="16"/>
                <w:color w:val="0000EE"/>
              </w:rPr>
            </w:pPr>
            <w:hyperlink w:anchor="page297">
              <w:r>
                <w:rPr>
                  <w:rFonts w:ascii="Times New Roman" w:cs="Times New Roman" w:eastAsia="Times New Roman" w:hAnsi="Times New Roman"/>
                  <w:sz w:val="16"/>
                  <w:szCs w:val="16"/>
                  <w:color w:val="0000EE"/>
                </w:rPr>
                <w:t>(included as Annex A to the proxy statement/prospectus forming a part of this registration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0000EE"/>
            </w:tcBorders>
            <w:gridSpan w:val="2"/>
            <w:shd w:val="clear" w:color="auto" w:fill="CCEEFF"/>
          </w:tcPr>
          <w:p>
            <w:pPr>
              <w:spacing w:after="0" w:line="171" w:lineRule="exact"/>
              <w:rPr>
                <w:rFonts w:ascii="Times New Roman" w:cs="Times New Roman" w:eastAsia="Times New Roman" w:hAnsi="Times New Roman"/>
                <w:sz w:val="16"/>
                <w:szCs w:val="16"/>
                <w:color w:val="0000EE"/>
                <w:w w:val="96"/>
              </w:rPr>
            </w:pPr>
            <w:hyperlink w:anchor="page297">
              <w:r>
                <w:rPr>
                  <w:rFonts w:ascii="Times New Roman" w:cs="Times New Roman" w:eastAsia="Times New Roman" w:hAnsi="Times New Roman"/>
                  <w:sz w:val="16"/>
                  <w:szCs w:val="16"/>
                  <w:color w:val="0000EE"/>
                  <w:w w:val="96"/>
                </w:rPr>
                <w:t>statement).</w:t>
              </w:r>
            </w:hyperlink>
          </w:p>
        </w:tc>
        <w:tc>
          <w:tcPr>
            <w:tcW w:w="5580" w:type="dxa"/>
            <w:vAlign w:val="bottom"/>
            <w:tcBorders>
              <w:bottom w:val="single" w:sz="8" w:color="CCEEFF"/>
            </w:tcBorders>
            <w:gridSpan w:val="11"/>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3"/>
                <w:szCs w:val="13"/>
                <w:color w:val="auto"/>
              </w:rPr>
            </w:pPr>
          </w:p>
        </w:tc>
        <w:tc>
          <w:tcPr>
            <w:tcW w:w="62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rPr>
            </w:pPr>
            <w:hyperlink r:id="rId642">
              <w:r>
                <w:rPr>
                  <w:rFonts w:ascii="Times New Roman" w:cs="Times New Roman" w:eastAsia="Times New Roman" w:hAnsi="Times New Roman"/>
                  <w:sz w:val="16"/>
                  <w:szCs w:val="16"/>
                  <w:color w:val="0000EE"/>
                </w:rPr>
                <w:t>Amended and Restated Certificate of Incorporation of FS Development Corp. (incorporated by</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gridSpan w:val="14"/>
          </w:tcPr>
          <w:p>
            <w:pPr>
              <w:spacing w:after="0" w:line="171" w:lineRule="exact"/>
              <w:rPr>
                <w:rFonts w:ascii="Times New Roman" w:cs="Times New Roman" w:eastAsia="Times New Roman" w:hAnsi="Times New Roman"/>
                <w:sz w:val="16"/>
                <w:szCs w:val="16"/>
                <w:color w:val="0000EE"/>
              </w:rPr>
            </w:pPr>
            <w:hyperlink r:id="rId642">
              <w:r>
                <w:rPr>
                  <w:rFonts w:ascii="Times New Roman" w:cs="Times New Roman" w:eastAsia="Times New Roman" w:hAnsi="Times New Roman"/>
                  <w:sz w:val="16"/>
                  <w:szCs w:val="16"/>
                  <w:color w:val="0000EE"/>
                </w:rPr>
                <w:t>reference to Exhibit 3.1 of FS Development Corp.’s Form 8-K, filed with the SEC on August 14,</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tcBorders>
            <w:gridSpan w:val="2"/>
          </w:tcPr>
          <w:p>
            <w:pPr>
              <w:spacing w:after="0" w:line="171" w:lineRule="exact"/>
              <w:rPr>
                <w:rFonts w:ascii="Times New Roman" w:cs="Times New Roman" w:eastAsia="Times New Roman" w:hAnsi="Times New Roman"/>
                <w:sz w:val="16"/>
                <w:szCs w:val="16"/>
                <w:color w:val="0000EE"/>
              </w:rPr>
            </w:pPr>
            <w:hyperlink r:id="rId642">
              <w:r>
                <w:rPr>
                  <w:rFonts w:ascii="Times New Roman" w:cs="Times New Roman" w:eastAsia="Times New Roman" w:hAnsi="Times New Roman"/>
                  <w:sz w:val="16"/>
                  <w:szCs w:val="16"/>
                  <w:color w:val="0000EE"/>
                </w:rPr>
                <w:t>2020).</w:t>
              </w:r>
            </w:hyperlink>
          </w:p>
        </w:tc>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EE"/>
            </w:tcBorders>
            <w:gridSpan w:val="13"/>
            <w:shd w:val="clear" w:color="auto" w:fill="CCEEFF"/>
          </w:tcPr>
          <w:p>
            <w:pPr>
              <w:spacing w:after="0" w:line="155" w:lineRule="exact"/>
              <w:rPr>
                <w:rFonts w:ascii="Times New Roman" w:cs="Times New Roman" w:eastAsia="Times New Roman" w:hAnsi="Times New Roman"/>
                <w:sz w:val="16"/>
                <w:szCs w:val="16"/>
                <w:color w:val="0000EE"/>
              </w:rPr>
            </w:pPr>
            <w:hyperlink r:id="rId643">
              <w:r>
                <w:rPr>
                  <w:rFonts w:ascii="Times New Roman" w:cs="Times New Roman" w:eastAsia="Times New Roman" w:hAnsi="Times New Roman"/>
                  <w:sz w:val="16"/>
                  <w:szCs w:val="16"/>
                  <w:color w:val="0000EE"/>
                </w:rPr>
                <w:t>By-laws of FS Development Corp. (incorporated by reference to Exhibit 3.4 of FS Development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0000EE"/>
            </w:tcBorders>
            <w:gridSpan w:val="11"/>
            <w:shd w:val="clear" w:color="auto" w:fill="CCEEFF"/>
          </w:tcPr>
          <w:p>
            <w:pPr>
              <w:spacing w:after="0" w:line="171" w:lineRule="exact"/>
              <w:rPr>
                <w:rFonts w:ascii="Times New Roman" w:cs="Times New Roman" w:eastAsia="Times New Roman" w:hAnsi="Times New Roman"/>
                <w:sz w:val="16"/>
                <w:szCs w:val="16"/>
                <w:color w:val="0000EE"/>
                <w:w w:val="98"/>
              </w:rPr>
            </w:pPr>
            <w:hyperlink r:id="rId643">
              <w:r>
                <w:rPr>
                  <w:rFonts w:ascii="Times New Roman" w:cs="Times New Roman" w:eastAsia="Times New Roman" w:hAnsi="Times New Roman"/>
                  <w:sz w:val="16"/>
                  <w:szCs w:val="16"/>
                  <w:color w:val="0000EE"/>
                  <w:w w:val="98"/>
                </w:rPr>
                <w:t>Corp.’s Form S-1/A, filed with the SEC on August 7, 2020).</w:t>
              </w:r>
            </w:hyperlink>
          </w:p>
        </w:tc>
        <w:tc>
          <w:tcPr>
            <w:tcW w:w="244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3"/>
                <w:szCs w:val="13"/>
                <w:color w:val="auto"/>
              </w:rPr>
            </w:pPr>
          </w:p>
        </w:tc>
        <w:tc>
          <w:tcPr>
            <w:tcW w:w="62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rPr>
            </w:pPr>
            <w:hyperlink w:anchor="page486">
              <w:r>
                <w:rPr>
                  <w:rFonts w:ascii="Times New Roman" w:cs="Times New Roman" w:eastAsia="Times New Roman" w:hAnsi="Times New Roman"/>
                  <w:sz w:val="16"/>
                  <w:szCs w:val="16"/>
                  <w:color w:val="0000EE"/>
                </w:rPr>
                <w:t>Form of Amended and Restated Certificate of Incorporation (included as Annex B to the proxy</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gridSpan w:val="14"/>
          </w:tcPr>
          <w:p>
            <w:pPr>
              <w:spacing w:after="0" w:line="171" w:lineRule="exact"/>
              <w:rPr>
                <w:rFonts w:ascii="Times New Roman" w:cs="Times New Roman" w:eastAsia="Times New Roman" w:hAnsi="Times New Roman"/>
                <w:sz w:val="16"/>
                <w:szCs w:val="16"/>
                <w:color w:val="0000EE"/>
              </w:rPr>
            </w:pPr>
            <w:hyperlink w:anchor="page486">
              <w:r>
                <w:rPr>
                  <w:rFonts w:ascii="Times New Roman" w:cs="Times New Roman" w:eastAsia="Times New Roman" w:hAnsi="Times New Roman"/>
                  <w:sz w:val="16"/>
                  <w:szCs w:val="16"/>
                  <w:color w:val="0000EE"/>
                </w:rPr>
                <w:t>statement/prospectus forming a part of this registration statement).</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EE"/>
            </w:tcBorders>
            <w:gridSpan w:val="13"/>
            <w:shd w:val="clear" w:color="auto" w:fill="CCEEFF"/>
          </w:tcPr>
          <w:p>
            <w:pPr>
              <w:spacing w:after="0" w:line="155" w:lineRule="exact"/>
              <w:rPr>
                <w:rFonts w:ascii="Times New Roman" w:cs="Times New Roman" w:eastAsia="Times New Roman" w:hAnsi="Times New Roman"/>
                <w:sz w:val="16"/>
                <w:szCs w:val="16"/>
                <w:color w:val="0000EE"/>
              </w:rPr>
            </w:pPr>
            <w:hyperlink w:anchor="page491">
              <w:r>
                <w:rPr>
                  <w:rFonts w:ascii="Times New Roman" w:cs="Times New Roman" w:eastAsia="Times New Roman" w:hAnsi="Times New Roman"/>
                  <w:sz w:val="16"/>
                  <w:szCs w:val="16"/>
                  <w:color w:val="0000EE"/>
                </w:rPr>
                <w:t>Form of Amended and Restated By-laws (included as Annex C to the proxy statement/prospectus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80" w:type="dxa"/>
            <w:vAlign w:val="bottom"/>
            <w:gridSpan w:val="13"/>
            <w:shd w:val="clear" w:color="auto" w:fill="CCEEFF"/>
          </w:tcPr>
          <w:p>
            <w:pPr>
              <w:spacing w:after="0" w:line="171" w:lineRule="exact"/>
              <w:rPr>
                <w:rFonts w:ascii="Times New Roman" w:cs="Times New Roman" w:eastAsia="Times New Roman" w:hAnsi="Times New Roman"/>
                <w:sz w:val="16"/>
                <w:szCs w:val="16"/>
                <w:color w:val="0000EE"/>
              </w:rPr>
            </w:pPr>
            <w:hyperlink w:anchor="page491">
              <w:r>
                <w:rPr>
                  <w:rFonts w:ascii="Times New Roman" w:cs="Times New Roman" w:eastAsia="Times New Roman" w:hAnsi="Times New Roman"/>
                  <w:sz w:val="16"/>
                  <w:szCs w:val="16"/>
                  <w:color w:val="0000EE"/>
                </w:rPr>
                <w:t>forming part of this registration statement).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6280" w:type="dxa"/>
            <w:vAlign w:val="bottom"/>
            <w:gridSpan w:val="13"/>
          </w:tcPr>
          <w:p>
            <w:pPr>
              <w:spacing w:after="0"/>
              <w:rPr>
                <w:rFonts w:ascii="Times New Roman" w:cs="Times New Roman" w:eastAsia="Times New Roman" w:hAnsi="Times New Roman"/>
                <w:sz w:val="16"/>
                <w:szCs w:val="16"/>
                <w:u w:val="single" w:color="auto"/>
                <w:color w:val="0000EE"/>
              </w:rPr>
            </w:pPr>
            <w:hyperlink w:anchor="page543">
              <w:r>
                <w:rPr>
                  <w:rFonts w:ascii="Times New Roman" w:cs="Times New Roman" w:eastAsia="Times New Roman" w:hAnsi="Times New Roman"/>
                  <w:sz w:val="16"/>
                  <w:szCs w:val="16"/>
                  <w:u w:val="single" w:color="auto"/>
                  <w:color w:val="0000EE"/>
                </w:rPr>
                <w:t>Specimen Common Stock Certificate of the Combined Entity.</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EE"/>
            </w:tcBorders>
            <w:gridSpan w:val="13"/>
            <w:shd w:val="clear" w:color="auto" w:fill="CCEEFF"/>
          </w:tcPr>
          <w:p>
            <w:pPr>
              <w:spacing w:after="0" w:line="155" w:lineRule="exact"/>
              <w:rPr>
                <w:rFonts w:ascii="Times New Roman" w:cs="Times New Roman" w:eastAsia="Times New Roman" w:hAnsi="Times New Roman"/>
                <w:sz w:val="16"/>
                <w:szCs w:val="16"/>
                <w:color w:val="0000EE"/>
              </w:rPr>
            </w:pPr>
            <w:hyperlink w:anchor="page545">
              <w:r>
                <w:rPr>
                  <w:rFonts w:ascii="Times New Roman" w:cs="Times New Roman" w:eastAsia="Times New Roman" w:hAnsi="Times New Roman"/>
                  <w:sz w:val="16"/>
                  <w:szCs w:val="16"/>
                  <w:color w:val="0000EE"/>
                </w:rPr>
                <w:t>Opinion of White &amp; Case LLP as to the validity of the shares of Common Stock of FS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80" w:type="dxa"/>
            <w:vAlign w:val="bottom"/>
            <w:gridSpan w:val="13"/>
            <w:shd w:val="clear" w:color="auto" w:fill="CCEEFF"/>
          </w:tcPr>
          <w:p>
            <w:pPr>
              <w:spacing w:after="0" w:line="171" w:lineRule="exact"/>
              <w:rPr>
                <w:rFonts w:ascii="Times New Roman" w:cs="Times New Roman" w:eastAsia="Times New Roman" w:hAnsi="Times New Roman"/>
                <w:sz w:val="16"/>
                <w:szCs w:val="16"/>
                <w:color w:val="0000EE"/>
              </w:rPr>
            </w:pPr>
            <w:hyperlink w:anchor="page545">
              <w:r>
                <w:rPr>
                  <w:rFonts w:ascii="Times New Roman" w:cs="Times New Roman" w:eastAsia="Times New Roman" w:hAnsi="Times New Roman"/>
                  <w:sz w:val="16"/>
                  <w:szCs w:val="16"/>
                  <w:color w:val="0000EE"/>
                </w:rPr>
                <w:t>Development Corp.</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86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62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rPr>
            </w:pPr>
            <w:hyperlink w:anchor="page507">
              <w:r>
                <w:rPr>
                  <w:rFonts w:ascii="Times New Roman" w:cs="Times New Roman" w:eastAsia="Times New Roman" w:hAnsi="Times New Roman"/>
                  <w:sz w:val="16"/>
                  <w:szCs w:val="16"/>
                  <w:color w:val="0000EE"/>
                </w:rPr>
                <w:t>Form  of  2021  Stock  Option  and  Incentive  Plan  (included  as  Annex  D  to  the  proxy</w:t>
              </w:r>
            </w:hyperlink>
          </w:p>
        </w:tc>
        <w:tc>
          <w:tcPr>
            <w:tcW w:w="2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gridSpan w:val="14"/>
          </w:tcPr>
          <w:p>
            <w:pPr>
              <w:spacing w:after="0" w:line="171" w:lineRule="exact"/>
              <w:rPr>
                <w:rFonts w:ascii="Times New Roman" w:cs="Times New Roman" w:eastAsia="Times New Roman" w:hAnsi="Times New Roman"/>
                <w:sz w:val="16"/>
                <w:szCs w:val="16"/>
                <w:color w:val="0000EE"/>
              </w:rPr>
            </w:pPr>
            <w:hyperlink w:anchor="page507">
              <w:r>
                <w:rPr>
                  <w:rFonts w:ascii="Times New Roman" w:cs="Times New Roman" w:eastAsia="Times New Roman" w:hAnsi="Times New Roman"/>
                  <w:sz w:val="16"/>
                  <w:szCs w:val="16"/>
                  <w:color w:val="0000EE"/>
                </w:rPr>
                <w:t>statement/prospectus forming a part of this registration statement).</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EE"/>
            </w:tcBorders>
            <w:gridSpan w:val="13"/>
            <w:shd w:val="clear" w:color="auto" w:fill="CCEEFF"/>
          </w:tcPr>
          <w:p>
            <w:pPr>
              <w:spacing w:after="0" w:line="155" w:lineRule="exact"/>
              <w:rPr>
                <w:rFonts w:ascii="Times New Roman" w:cs="Times New Roman" w:eastAsia="Times New Roman" w:hAnsi="Times New Roman"/>
                <w:sz w:val="16"/>
                <w:szCs w:val="16"/>
                <w:color w:val="0000EE"/>
                <w:w w:val="99"/>
              </w:rPr>
            </w:pPr>
            <w:hyperlink w:anchor="page519">
              <w:r>
                <w:rPr>
                  <w:rFonts w:ascii="Times New Roman" w:cs="Times New Roman" w:eastAsia="Times New Roman" w:hAnsi="Times New Roman"/>
                  <w:sz w:val="16"/>
                  <w:szCs w:val="16"/>
                  <w:color w:val="0000EE"/>
                  <w:w w:val="99"/>
                </w:rPr>
                <w:t>Form of Subscription Agreement (included as Annex E to the proxy statement/prospectus forming</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80" w:type="dxa"/>
            <w:vAlign w:val="bottom"/>
            <w:gridSpan w:val="13"/>
            <w:shd w:val="clear" w:color="auto" w:fill="CCEEFF"/>
          </w:tcPr>
          <w:p>
            <w:pPr>
              <w:spacing w:after="0" w:line="171" w:lineRule="exact"/>
              <w:rPr>
                <w:rFonts w:ascii="Times New Roman" w:cs="Times New Roman" w:eastAsia="Times New Roman" w:hAnsi="Times New Roman"/>
                <w:sz w:val="16"/>
                <w:szCs w:val="16"/>
                <w:color w:val="0000EE"/>
              </w:rPr>
            </w:pPr>
            <w:hyperlink w:anchor="page519">
              <w:r>
                <w:rPr>
                  <w:rFonts w:ascii="Times New Roman" w:cs="Times New Roman" w:eastAsia="Times New Roman" w:hAnsi="Times New Roman"/>
                  <w:sz w:val="16"/>
                  <w:szCs w:val="16"/>
                  <w:color w:val="0000EE"/>
                </w:rPr>
                <w:t>part of this Registration Statement).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3"/>
                <w:szCs w:val="13"/>
                <w:color w:val="auto"/>
              </w:rPr>
            </w:pPr>
          </w:p>
        </w:tc>
        <w:tc>
          <w:tcPr>
            <w:tcW w:w="62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rPr>
            </w:pPr>
            <w:hyperlink r:id="rId644">
              <w:r>
                <w:rPr>
                  <w:rFonts w:ascii="Times New Roman" w:cs="Times New Roman" w:eastAsia="Times New Roman" w:hAnsi="Times New Roman"/>
                  <w:sz w:val="16"/>
                  <w:szCs w:val="16"/>
                  <w:color w:val="0000EE"/>
                </w:rPr>
                <w:t>Company Support Agreement, dated as of October 15, 2020, by and among FS Development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tcBorders>
              <w:bottom w:val="single" w:sz="8" w:color="0000EE"/>
            </w:tcBorders>
            <w:gridSpan w:val="14"/>
          </w:tcPr>
          <w:p>
            <w:pPr>
              <w:spacing w:after="0" w:line="171" w:lineRule="exact"/>
              <w:rPr>
                <w:rFonts w:ascii="Times New Roman" w:cs="Times New Roman" w:eastAsia="Times New Roman" w:hAnsi="Times New Roman"/>
                <w:sz w:val="16"/>
                <w:szCs w:val="16"/>
                <w:color w:val="0000EE"/>
                <w:w w:val="99"/>
              </w:rPr>
            </w:pPr>
            <w:hyperlink r:id="rId644">
              <w:r>
                <w:rPr>
                  <w:rFonts w:ascii="Times New Roman" w:cs="Times New Roman" w:eastAsia="Times New Roman" w:hAnsi="Times New Roman"/>
                  <w:sz w:val="16"/>
                  <w:szCs w:val="16"/>
                  <w:color w:val="0000EE"/>
                  <w:w w:val="99"/>
                </w:rPr>
                <w:t>Corp. and certain supporting stockholders of Gemini Therapeutics, Inc. (incorporated by reference</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tcBorders>
              <w:bottom w:val="single" w:sz="8" w:color="0000EE"/>
            </w:tcBorders>
            <w:gridSpan w:val="14"/>
          </w:tcPr>
          <w:p>
            <w:pPr>
              <w:spacing w:after="0" w:line="171" w:lineRule="exact"/>
              <w:rPr>
                <w:rFonts w:ascii="Times New Roman" w:cs="Times New Roman" w:eastAsia="Times New Roman" w:hAnsi="Times New Roman"/>
                <w:sz w:val="16"/>
                <w:szCs w:val="16"/>
                <w:color w:val="0000EE"/>
              </w:rPr>
            </w:pPr>
            <w:hyperlink r:id="rId644">
              <w:r>
                <w:rPr>
                  <w:rFonts w:ascii="Times New Roman" w:cs="Times New Roman" w:eastAsia="Times New Roman" w:hAnsi="Times New Roman"/>
                  <w:sz w:val="16"/>
                  <w:szCs w:val="16"/>
                  <w:color w:val="0000EE"/>
                </w:rPr>
                <w:t>to Exhibit 10.3 of FS Development Corp.’s Current Report on Form 8-K/A, filed with the SEC on</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gridSpan w:val="14"/>
          </w:tcPr>
          <w:p>
            <w:pPr>
              <w:spacing w:after="0" w:line="171" w:lineRule="exact"/>
              <w:rPr>
                <w:rFonts w:ascii="Times New Roman" w:cs="Times New Roman" w:eastAsia="Times New Roman" w:hAnsi="Times New Roman"/>
                <w:sz w:val="16"/>
                <w:szCs w:val="16"/>
                <w:color w:val="0000EE"/>
              </w:rPr>
            </w:pPr>
            <w:hyperlink r:id="rId644">
              <w:r>
                <w:rPr>
                  <w:rFonts w:ascii="Times New Roman" w:cs="Times New Roman" w:eastAsia="Times New Roman" w:hAnsi="Times New Roman"/>
                  <w:sz w:val="16"/>
                  <w:szCs w:val="16"/>
                  <w:color w:val="0000EE"/>
                </w:rPr>
                <w:t>October 20, 2020).</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EE"/>
            </w:tcBorders>
            <w:gridSpan w:val="13"/>
            <w:shd w:val="clear" w:color="auto" w:fill="CCEEFF"/>
          </w:tcPr>
          <w:p>
            <w:pPr>
              <w:spacing w:after="0" w:line="155" w:lineRule="exact"/>
              <w:rPr>
                <w:rFonts w:ascii="Times New Roman" w:cs="Times New Roman" w:eastAsia="Times New Roman" w:hAnsi="Times New Roman"/>
                <w:sz w:val="16"/>
                <w:szCs w:val="16"/>
                <w:color w:val="0000EE"/>
              </w:rPr>
            </w:pPr>
            <w:hyperlink r:id="rId644">
              <w:r>
                <w:rPr>
                  <w:rFonts w:ascii="Times New Roman" w:cs="Times New Roman" w:eastAsia="Times New Roman" w:hAnsi="Times New Roman"/>
                  <w:sz w:val="16"/>
                  <w:szCs w:val="16"/>
                  <w:color w:val="0000EE"/>
                </w:rPr>
                <w:t>FS Development Corp. Support Agreement, dated as of October 15, 2020, by and among FS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80" w:type="dxa"/>
            <w:vAlign w:val="bottom"/>
            <w:tcBorders>
              <w:bottom w:val="single" w:sz="8" w:color="0000EE"/>
            </w:tcBorders>
            <w:gridSpan w:val="13"/>
            <w:shd w:val="clear" w:color="auto" w:fill="CCEEFF"/>
          </w:tcPr>
          <w:p>
            <w:pPr>
              <w:spacing w:after="0" w:line="171" w:lineRule="exact"/>
              <w:rPr>
                <w:rFonts w:ascii="Times New Roman" w:cs="Times New Roman" w:eastAsia="Times New Roman" w:hAnsi="Times New Roman"/>
                <w:sz w:val="16"/>
                <w:szCs w:val="16"/>
                <w:color w:val="0000EE"/>
              </w:rPr>
            </w:pPr>
            <w:hyperlink r:id="rId644">
              <w:r>
                <w:rPr>
                  <w:rFonts w:ascii="Times New Roman" w:cs="Times New Roman" w:eastAsia="Times New Roman" w:hAnsi="Times New Roman"/>
                  <w:sz w:val="16"/>
                  <w:szCs w:val="16"/>
                  <w:color w:val="0000EE"/>
                </w:rPr>
                <w:t>Development Corp., Gemini Therapeutics, Inc., FS Development Holdings, LLC and certain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80" w:type="dxa"/>
            <w:vAlign w:val="bottom"/>
            <w:tcBorders>
              <w:bottom w:val="single" w:sz="8" w:color="0000EE"/>
            </w:tcBorders>
            <w:gridSpan w:val="13"/>
            <w:shd w:val="clear" w:color="auto" w:fill="CCEEFF"/>
          </w:tcPr>
          <w:p>
            <w:pPr>
              <w:spacing w:after="0" w:line="171" w:lineRule="exact"/>
              <w:rPr>
                <w:rFonts w:ascii="Times New Roman" w:cs="Times New Roman" w:eastAsia="Times New Roman" w:hAnsi="Times New Roman"/>
                <w:sz w:val="16"/>
                <w:szCs w:val="16"/>
                <w:color w:val="0000EE"/>
              </w:rPr>
            </w:pPr>
            <w:hyperlink r:id="rId644">
              <w:r>
                <w:rPr>
                  <w:rFonts w:ascii="Times New Roman" w:cs="Times New Roman" w:eastAsia="Times New Roman" w:hAnsi="Times New Roman"/>
                  <w:sz w:val="16"/>
                  <w:szCs w:val="16"/>
                  <w:color w:val="0000EE"/>
                </w:rPr>
                <w:t>supporting stockholders of FS Development Corp. (incorporated by reference to Exhibit 10.3 of</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80" w:type="dxa"/>
            <w:vAlign w:val="bottom"/>
            <w:gridSpan w:val="13"/>
            <w:shd w:val="clear" w:color="auto" w:fill="CCEEFF"/>
          </w:tcPr>
          <w:p>
            <w:pPr>
              <w:spacing w:after="0"/>
              <w:rPr>
                <w:rFonts w:ascii="Times New Roman" w:cs="Times New Roman" w:eastAsia="Times New Roman" w:hAnsi="Times New Roman"/>
                <w:sz w:val="16"/>
                <w:szCs w:val="16"/>
                <w:u w:val="single" w:color="auto"/>
                <w:color w:val="0000EE"/>
              </w:rPr>
            </w:pPr>
            <w:hyperlink r:id="rId644">
              <w:r>
                <w:rPr>
                  <w:rFonts w:ascii="Times New Roman" w:cs="Times New Roman" w:eastAsia="Times New Roman" w:hAnsi="Times New Roman"/>
                  <w:sz w:val="16"/>
                  <w:szCs w:val="16"/>
                  <w:u w:val="single" w:color="auto"/>
                  <w:color w:val="0000EE"/>
                </w:rPr>
                <w:t>FS Development Corp.’s Current Report on Form 8-K/A, filed with the SEC on October 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6"/>
                <w:szCs w:val="16"/>
                <w:u w:val="single" w:color="auto"/>
                <w:color w:val="0000EE"/>
              </w:rPr>
            </w:pPr>
            <w:hyperlink r:id="rId644">
              <w:r>
                <w:rPr>
                  <w:rFonts w:ascii="Times New Roman" w:cs="Times New Roman" w:eastAsia="Times New Roman" w:hAnsi="Times New Roman"/>
                  <w:sz w:val="16"/>
                  <w:szCs w:val="16"/>
                  <w:u w:val="single" w:color="auto"/>
                  <w:color w:val="0000EE"/>
                </w:rPr>
                <w:t>2020).</w:t>
              </w:r>
            </w:hyperlink>
          </w:p>
        </w:tc>
        <w:tc>
          <w:tcPr>
            <w:tcW w:w="4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6280" w:type="dxa"/>
            <w:vAlign w:val="bottom"/>
            <w:gridSpan w:val="13"/>
          </w:tcPr>
          <w:p>
            <w:pPr>
              <w:spacing w:after="0"/>
              <w:rPr>
                <w:rFonts w:ascii="Times New Roman" w:cs="Times New Roman" w:eastAsia="Times New Roman" w:hAnsi="Times New Roman"/>
                <w:sz w:val="16"/>
                <w:szCs w:val="16"/>
                <w:u w:val="single" w:color="auto"/>
                <w:color w:val="0000EE"/>
              </w:rPr>
            </w:pPr>
            <w:hyperlink r:id="rId645">
              <w:r>
                <w:rPr>
                  <w:rFonts w:ascii="Times New Roman" w:cs="Times New Roman" w:eastAsia="Times New Roman" w:hAnsi="Times New Roman"/>
                  <w:sz w:val="16"/>
                  <w:szCs w:val="16"/>
                  <w:u w:val="single" w:color="auto"/>
                  <w:color w:val="0000EE"/>
                </w:rPr>
                <w:t>Form of Non-Redemption Agreement.</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EE"/>
            </w:tcBorders>
            <w:gridSpan w:val="13"/>
            <w:shd w:val="clear" w:color="auto" w:fill="CCEEFF"/>
          </w:tcPr>
          <w:p>
            <w:pPr>
              <w:spacing w:after="0" w:line="155" w:lineRule="exact"/>
              <w:rPr>
                <w:rFonts w:ascii="Times New Roman" w:cs="Times New Roman" w:eastAsia="Times New Roman" w:hAnsi="Times New Roman"/>
                <w:sz w:val="16"/>
                <w:szCs w:val="16"/>
                <w:color w:val="0000EE"/>
                <w:w w:val="99"/>
              </w:rPr>
            </w:pPr>
            <w:hyperlink w:anchor="page519">
              <w:r>
                <w:rPr>
                  <w:rFonts w:ascii="Times New Roman" w:cs="Times New Roman" w:eastAsia="Times New Roman" w:hAnsi="Times New Roman"/>
                  <w:sz w:val="16"/>
                  <w:szCs w:val="16"/>
                  <w:color w:val="0000EE"/>
                  <w:w w:val="99"/>
                </w:rPr>
                <w:t>Form of Subscription Agreement (included as Annex E to the proxy statement/prospectus forming</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80" w:type="dxa"/>
            <w:vAlign w:val="bottom"/>
            <w:gridSpan w:val="13"/>
            <w:shd w:val="clear" w:color="auto" w:fill="CCEEFF"/>
          </w:tcPr>
          <w:p>
            <w:pPr>
              <w:spacing w:after="0" w:line="171" w:lineRule="exact"/>
              <w:rPr>
                <w:rFonts w:ascii="Times New Roman" w:cs="Times New Roman" w:eastAsia="Times New Roman" w:hAnsi="Times New Roman"/>
                <w:sz w:val="16"/>
                <w:szCs w:val="16"/>
                <w:color w:val="0000EE"/>
              </w:rPr>
            </w:pPr>
            <w:hyperlink w:anchor="page519">
              <w:r>
                <w:rPr>
                  <w:rFonts w:ascii="Times New Roman" w:cs="Times New Roman" w:eastAsia="Times New Roman" w:hAnsi="Times New Roman"/>
                  <w:sz w:val="16"/>
                  <w:szCs w:val="16"/>
                  <w:color w:val="0000EE"/>
                </w:rPr>
                <w:t>part of this registration statement)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3"/>
                <w:szCs w:val="13"/>
                <w:color w:val="auto"/>
              </w:rPr>
            </w:pPr>
          </w:p>
        </w:tc>
        <w:tc>
          <w:tcPr>
            <w:tcW w:w="62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rPr>
            </w:pPr>
            <w:hyperlink r:id="rId646">
              <w:r>
                <w:rPr>
                  <w:rFonts w:ascii="Times New Roman" w:cs="Times New Roman" w:eastAsia="Times New Roman" w:hAnsi="Times New Roman"/>
                  <w:sz w:val="16"/>
                  <w:szCs w:val="16"/>
                  <w:color w:val="0000EE"/>
                </w:rPr>
                <w:t>Research Collaboration and License Agreement, dated as of April 1, 2017, by and between</w:t>
              </w:r>
            </w:hyperlink>
          </w:p>
        </w:tc>
        <w:tc>
          <w:tcPr>
            <w:tcW w:w="2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gridSpan w:val="14"/>
          </w:tcPr>
          <w:p>
            <w:pPr>
              <w:spacing w:after="0" w:line="171" w:lineRule="exact"/>
              <w:rPr>
                <w:rFonts w:ascii="Times New Roman" w:cs="Times New Roman" w:eastAsia="Times New Roman" w:hAnsi="Times New Roman"/>
                <w:sz w:val="16"/>
                <w:szCs w:val="16"/>
                <w:color w:val="0000EE"/>
              </w:rPr>
            </w:pPr>
            <w:hyperlink r:id="rId646">
              <w:r>
                <w:rPr>
                  <w:rFonts w:ascii="Times New Roman" w:cs="Times New Roman" w:eastAsia="Times New Roman" w:hAnsi="Times New Roman"/>
                  <w:sz w:val="16"/>
                  <w:szCs w:val="16"/>
                  <w:color w:val="0000EE"/>
                </w:rPr>
                <w:t>Gemini Therapeutics, Inc. and Sanquin Blood Supply Foundation.</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0000EE"/>
            </w:tcBorders>
            <w:gridSpan w:val="13"/>
            <w:shd w:val="clear" w:color="auto" w:fill="CCEEFF"/>
          </w:tcPr>
          <w:p>
            <w:pPr>
              <w:spacing w:after="0" w:line="155" w:lineRule="exact"/>
              <w:rPr>
                <w:rFonts w:ascii="Times New Roman" w:cs="Times New Roman" w:eastAsia="Times New Roman" w:hAnsi="Times New Roman"/>
                <w:sz w:val="16"/>
                <w:szCs w:val="16"/>
                <w:color w:val="0000EE"/>
              </w:rPr>
            </w:pPr>
            <w:hyperlink w:anchor="page546">
              <w:r>
                <w:rPr>
                  <w:rFonts w:ascii="Times New Roman" w:cs="Times New Roman" w:eastAsia="Times New Roman" w:hAnsi="Times New Roman"/>
                  <w:sz w:val="16"/>
                  <w:szCs w:val="16"/>
                  <w:color w:val="0000EE"/>
                </w:rPr>
                <w:t>Consent of WithumSmith+Brown, PC, independent registered public accounting firm of FS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80" w:type="dxa"/>
            <w:vAlign w:val="bottom"/>
            <w:gridSpan w:val="13"/>
            <w:shd w:val="clear" w:color="auto" w:fill="CCEEFF"/>
          </w:tcPr>
          <w:p>
            <w:pPr>
              <w:spacing w:after="0" w:line="171" w:lineRule="exact"/>
              <w:rPr>
                <w:rFonts w:ascii="Times New Roman" w:cs="Times New Roman" w:eastAsia="Times New Roman" w:hAnsi="Times New Roman"/>
                <w:sz w:val="16"/>
                <w:szCs w:val="16"/>
                <w:color w:val="0000EE"/>
              </w:rPr>
            </w:pPr>
            <w:hyperlink w:anchor="page546">
              <w:r>
                <w:rPr>
                  <w:rFonts w:ascii="Times New Roman" w:cs="Times New Roman" w:eastAsia="Times New Roman" w:hAnsi="Times New Roman"/>
                  <w:sz w:val="16"/>
                  <w:szCs w:val="16"/>
                  <w:color w:val="0000EE"/>
                </w:rPr>
                <w:t>Development Corp.</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3"/>
                <w:szCs w:val="13"/>
                <w:color w:val="auto"/>
              </w:rPr>
            </w:pPr>
          </w:p>
        </w:tc>
        <w:tc>
          <w:tcPr>
            <w:tcW w:w="62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rPr>
            </w:pPr>
            <w:hyperlink w:anchor="page547">
              <w:r>
                <w:rPr>
                  <w:rFonts w:ascii="Times New Roman" w:cs="Times New Roman" w:eastAsia="Times New Roman" w:hAnsi="Times New Roman"/>
                  <w:sz w:val="16"/>
                  <w:szCs w:val="16"/>
                  <w:color w:val="0000EE"/>
                </w:rPr>
                <w:t>Consent of Ernst &amp; Young LLP, independent registered public accounting firm of Gemini</w:t>
              </w:r>
            </w:hyperlink>
          </w:p>
        </w:tc>
        <w:tc>
          <w:tcPr>
            <w:tcW w:w="2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gridSpan w:val="14"/>
          </w:tcPr>
          <w:p>
            <w:pPr>
              <w:spacing w:after="0" w:line="171" w:lineRule="exact"/>
              <w:rPr>
                <w:rFonts w:ascii="Times New Roman" w:cs="Times New Roman" w:eastAsia="Times New Roman" w:hAnsi="Times New Roman"/>
                <w:sz w:val="16"/>
                <w:szCs w:val="16"/>
                <w:color w:val="0000EE"/>
              </w:rPr>
            </w:pPr>
            <w:hyperlink w:anchor="page547">
              <w:r>
                <w:rPr>
                  <w:rFonts w:ascii="Times New Roman" w:cs="Times New Roman" w:eastAsia="Times New Roman" w:hAnsi="Times New Roman"/>
                  <w:sz w:val="16"/>
                  <w:szCs w:val="16"/>
                  <w:color w:val="0000EE"/>
                </w:rPr>
                <w:t>Therapeutics, Inc.</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13"/>
                <w:szCs w:val="13"/>
                <w:color w:val="auto"/>
              </w:rPr>
            </w:pPr>
          </w:p>
        </w:tc>
        <w:tc>
          <w:tcPr>
            <w:tcW w:w="6280" w:type="dxa"/>
            <w:vAlign w:val="bottom"/>
            <w:tcBorders>
              <w:bottom w:val="single" w:sz="8" w:color="215E9E"/>
            </w:tcBorders>
            <w:gridSpan w:val="13"/>
            <w:shd w:val="clear" w:color="auto" w:fill="CCEEFF"/>
          </w:tcPr>
          <w:p>
            <w:pPr>
              <w:spacing w:after="0" w:line="155" w:lineRule="exact"/>
              <w:rPr>
                <w:rFonts w:ascii="Times New Roman" w:cs="Times New Roman" w:eastAsia="Times New Roman" w:hAnsi="Times New Roman"/>
                <w:sz w:val="16"/>
                <w:szCs w:val="16"/>
                <w:color w:val="215E9E"/>
              </w:rPr>
            </w:pPr>
            <w:hyperlink w:anchor="page545">
              <w:r>
                <w:rPr>
                  <w:rFonts w:ascii="Times New Roman" w:cs="Times New Roman" w:eastAsia="Times New Roman" w:hAnsi="Times New Roman"/>
                  <w:sz w:val="16"/>
                  <w:szCs w:val="16"/>
                  <w:color w:val="215E9E"/>
                </w:rPr>
                <w:t>Consent of White &amp; Case LLP (included as part of the opinion filed as Exhibit 5.1 hereto and</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215E9E"/>
            </w:tcBorders>
            <w:gridSpan w:val="8"/>
            <w:shd w:val="clear" w:color="auto" w:fill="CCEEFF"/>
          </w:tcPr>
          <w:p>
            <w:pPr>
              <w:spacing w:after="0" w:line="171" w:lineRule="exact"/>
              <w:rPr>
                <w:rFonts w:ascii="Times New Roman" w:cs="Times New Roman" w:eastAsia="Times New Roman" w:hAnsi="Times New Roman"/>
                <w:sz w:val="16"/>
                <w:szCs w:val="16"/>
                <w:color w:val="215E9E"/>
                <w:w w:val="98"/>
              </w:rPr>
            </w:pPr>
            <w:hyperlink w:anchor="page545">
              <w:r>
                <w:rPr>
                  <w:rFonts w:ascii="Times New Roman" w:cs="Times New Roman" w:eastAsia="Times New Roman" w:hAnsi="Times New Roman"/>
                  <w:sz w:val="16"/>
                  <w:szCs w:val="16"/>
                  <w:color w:val="215E9E"/>
                  <w:w w:val="98"/>
                </w:rPr>
                <w:t>incorporated herein by reference).</w:t>
              </w:r>
            </w:hyperlink>
          </w:p>
        </w:tc>
        <w:tc>
          <w:tcPr>
            <w:tcW w:w="4120" w:type="dxa"/>
            <w:vAlign w:val="bottom"/>
            <w:tcBorders>
              <w:bottom w:val="single" w:sz="8" w:color="CCEEFF"/>
            </w:tcBorders>
            <w:gridSpan w:val="5"/>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3"/>
                <w:szCs w:val="13"/>
                <w:color w:val="auto"/>
              </w:rPr>
            </w:pPr>
          </w:p>
        </w:tc>
        <w:tc>
          <w:tcPr>
            <w:tcW w:w="6280" w:type="dxa"/>
            <w:vAlign w:val="bottom"/>
            <w:tcBorders>
              <w:bottom w:val="single" w:sz="8" w:color="0000EE"/>
            </w:tcBorders>
            <w:gridSpan w:val="13"/>
          </w:tcPr>
          <w:p>
            <w:pPr>
              <w:spacing w:after="0" w:line="155" w:lineRule="exact"/>
              <w:rPr>
                <w:rFonts w:ascii="Times New Roman" w:cs="Times New Roman" w:eastAsia="Times New Roman" w:hAnsi="Times New Roman"/>
                <w:sz w:val="16"/>
                <w:szCs w:val="16"/>
                <w:color w:val="0000EE"/>
                <w:w w:val="99"/>
              </w:rPr>
            </w:pPr>
            <w:hyperlink r:id="rId647">
              <w:r>
                <w:rPr>
                  <w:rFonts w:ascii="Times New Roman" w:cs="Times New Roman" w:eastAsia="Times New Roman" w:hAnsi="Times New Roman"/>
                  <w:sz w:val="16"/>
                  <w:szCs w:val="16"/>
                  <w:color w:val="0000EE"/>
                  <w:w w:val="99"/>
                </w:rPr>
                <w:t>Power of Attorney (contained on signature page to the proxy statement/prospectus forming part of</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00" w:type="dxa"/>
            <w:vAlign w:val="bottom"/>
            <w:gridSpan w:val="14"/>
          </w:tcPr>
          <w:p>
            <w:pPr>
              <w:spacing w:after="0" w:line="171" w:lineRule="exact"/>
              <w:rPr>
                <w:rFonts w:ascii="Times New Roman" w:cs="Times New Roman" w:eastAsia="Times New Roman" w:hAnsi="Times New Roman"/>
                <w:sz w:val="16"/>
                <w:szCs w:val="16"/>
                <w:color w:val="0000EE"/>
              </w:rPr>
            </w:pPr>
            <w:hyperlink r:id="rId647">
              <w:r>
                <w:rPr>
                  <w:rFonts w:ascii="Times New Roman" w:cs="Times New Roman" w:eastAsia="Times New Roman" w:hAnsi="Times New Roman"/>
                  <w:sz w:val="16"/>
                  <w:szCs w:val="16"/>
                  <w:color w:val="0000EE"/>
                </w:rPr>
                <w:t>this registration statement).</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gridSpan w:val="13"/>
            <w:shd w:val="clear" w:color="auto" w:fill="CCEEFF"/>
          </w:tcPr>
          <w:p>
            <w:pPr>
              <w:spacing w:after="0"/>
              <w:rPr>
                <w:rFonts w:ascii="Times New Roman" w:cs="Times New Roman" w:eastAsia="Times New Roman" w:hAnsi="Times New Roman"/>
                <w:sz w:val="16"/>
                <w:szCs w:val="16"/>
                <w:u w:val="single" w:color="auto"/>
                <w:color w:val="215E9E"/>
              </w:rPr>
            </w:pPr>
            <w:hyperlink w:anchor="page548">
              <w:r>
                <w:rPr>
                  <w:rFonts w:ascii="Times New Roman" w:cs="Times New Roman" w:eastAsia="Times New Roman" w:hAnsi="Times New Roman"/>
                  <w:sz w:val="16"/>
                  <w:szCs w:val="16"/>
                  <w:u w:val="single" w:color="auto"/>
                  <w:color w:val="215E9E"/>
                </w:rPr>
                <w:t>Form of Proxy Card.</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6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vMerge w:val="continue"/>
          </w:tcPr>
          <w:p>
            <w:pPr>
              <w:spacing w:after="0"/>
              <w:rPr>
                <w:sz w:val="20"/>
                <w:szCs w:val="20"/>
                <w:color w:val="auto"/>
              </w:rPr>
            </w:pPr>
          </w:p>
        </w:tc>
        <w:tc>
          <w:tcPr>
            <w:tcW w:w="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628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6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vMerge w:val="continue"/>
          </w:tcPr>
          <w:p>
            <w:pPr>
              <w:spacing w:after="0"/>
              <w:rPr>
                <w:sz w:val="20"/>
                <w:szCs w:val="20"/>
                <w:color w:val="auto"/>
              </w:rPr>
            </w:pPr>
          </w:p>
        </w:tc>
        <w:tc>
          <w:tcPr>
            <w:tcW w:w="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628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63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62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102" w:lineRule="exact"/>
        <w:rPr>
          <w:sz w:val="20"/>
          <w:szCs w:val="20"/>
          <w:color w:val="auto"/>
        </w:rPr>
      </w:pPr>
    </w:p>
    <w:p>
      <w:pPr>
        <w:jc w:val="both"/>
        <w:ind w:left="1300" w:right="939" w:hanging="381"/>
        <w:spacing w:after="0" w:line="270" w:lineRule="auto"/>
        <w:tabs>
          <w:tab w:leader="none" w:pos="1317"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annexes, schedules, and certain exhibits to the Merger Agreement have been omitted pursuant to Item 601(b)(2) of Regulation S-K. FS Development hereby agrees to furnish supplementally a copy of any omitted annex, schedule or exhibit to the Commission upon request.</w:t>
      </w:r>
    </w:p>
    <w:p>
      <w:pPr>
        <w:spacing w:after="0" w:line="1" w:lineRule="exact"/>
        <w:rPr>
          <w:sz w:val="20"/>
          <w:szCs w:val="20"/>
          <w:color w:val="auto"/>
        </w:rPr>
      </w:pPr>
    </w:p>
    <w:p>
      <w:pPr>
        <w:ind w:left="1280" w:hanging="361"/>
        <w:spacing w:after="0"/>
        <w:tabs>
          <w:tab w:leader="none" w:pos="1280" w:val="left"/>
        </w:tabs>
        <w:numPr>
          <w:ilvl w:val="0"/>
          <w:numId w:val="5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8" w:lineRule="exact"/>
        <w:rPr>
          <w:rFonts w:ascii="Times New Roman" w:cs="Times New Roman" w:eastAsia="Times New Roman" w:hAnsi="Times New Roman"/>
          <w:sz w:val="14"/>
          <w:szCs w:val="14"/>
          <w:color w:val="auto"/>
        </w:rPr>
      </w:pPr>
    </w:p>
    <w:p>
      <w:pPr>
        <w:ind w:left="1280" w:hanging="361"/>
        <w:spacing w:after="0"/>
        <w:tabs>
          <w:tab w:leader="none" w:pos="1280"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8" w:lineRule="exact"/>
        <w:rPr>
          <w:sz w:val="20"/>
          <w:szCs w:val="20"/>
          <w:color w:val="auto"/>
        </w:rPr>
      </w:pPr>
    </w:p>
    <w:p>
      <w:pPr>
        <w:ind w:left="1280" w:hanging="361"/>
        <w:spacing w:after="0"/>
        <w:tabs>
          <w:tab w:leader="none" w:pos="1280" w:val="left"/>
        </w:tabs>
        <w:numPr>
          <w:ilvl w:val="0"/>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162" w:lineRule="exact"/>
        <w:rPr>
          <w:rFonts w:ascii="Times New Roman" w:cs="Times New Roman" w:eastAsia="Times New Roman" w:hAnsi="Times New Roman"/>
          <w:sz w:val="14"/>
          <w:szCs w:val="14"/>
          <w:color w:val="auto"/>
        </w:rPr>
      </w:pPr>
    </w:p>
    <w:p>
      <w:pPr>
        <w:ind w:left="4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9" w:name="page540"/>
    <w:bookmarkEnd w:id="539"/>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22. Undertakings.</w:t>
      </w:r>
    </w:p>
    <w:p>
      <w:pPr>
        <w:spacing w:after="0" w:line="129" w:lineRule="exact"/>
        <w:rPr>
          <w:sz w:val="20"/>
          <w:szCs w:val="20"/>
          <w:color w:val="auto"/>
        </w:rPr>
      </w:pPr>
    </w:p>
    <w:p>
      <w:pPr>
        <w:ind w:left="1680" w:hanging="379"/>
        <w:spacing w:after="0"/>
        <w:tabs>
          <w:tab w:leader="none" w:pos="1680" w:val="left"/>
        </w:tabs>
        <w:numPr>
          <w:ilvl w:val="0"/>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as follows:</w:t>
      </w:r>
    </w:p>
    <w:p>
      <w:pPr>
        <w:spacing w:after="0" w:line="138" w:lineRule="exact"/>
        <w:rPr>
          <w:rFonts w:ascii="Times New Roman" w:cs="Times New Roman" w:eastAsia="Times New Roman" w:hAnsi="Times New Roman"/>
          <w:sz w:val="16"/>
          <w:szCs w:val="16"/>
          <w:color w:val="auto"/>
        </w:rPr>
      </w:pPr>
    </w:p>
    <w:p>
      <w:pPr>
        <w:ind w:left="2060" w:right="939" w:hanging="376"/>
        <w:spacing w:after="0" w:line="280" w:lineRule="auto"/>
        <w:tabs>
          <w:tab w:leader="none" w:pos="2030" w:val="left"/>
        </w:tabs>
        <w:numPr>
          <w:ilvl w:val="1"/>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84" w:lineRule="exact"/>
        <w:rPr>
          <w:rFonts w:ascii="Times New Roman" w:cs="Times New Roman" w:eastAsia="Times New Roman" w:hAnsi="Times New Roman"/>
          <w:sz w:val="16"/>
          <w:szCs w:val="16"/>
          <w:color w:val="auto"/>
        </w:rPr>
      </w:pPr>
    </w:p>
    <w:p>
      <w:pPr>
        <w:ind w:left="2420" w:hanging="354"/>
        <w:spacing w:after="0"/>
        <w:tabs>
          <w:tab w:leader="none" w:pos="2420" w:val="left"/>
        </w:tabs>
        <w:numPr>
          <w:ilvl w:val="2"/>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 of 1933;</w:t>
      </w:r>
    </w:p>
    <w:p>
      <w:pPr>
        <w:spacing w:after="0" w:line="126" w:lineRule="exact"/>
        <w:rPr>
          <w:rFonts w:ascii="Times New Roman" w:cs="Times New Roman" w:eastAsia="Times New Roman" w:hAnsi="Times New Roman"/>
          <w:sz w:val="16"/>
          <w:szCs w:val="16"/>
          <w:color w:val="auto"/>
        </w:rPr>
      </w:pPr>
    </w:p>
    <w:p>
      <w:pPr>
        <w:jc w:val="both"/>
        <w:ind w:left="2440" w:right="939" w:hanging="374"/>
        <w:spacing w:after="0" w:line="252" w:lineRule="auto"/>
        <w:tabs>
          <w:tab w:leader="none" w:pos="2521" w:val="left"/>
        </w:tabs>
        <w:numPr>
          <w:ilvl w:val="2"/>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09" w:lineRule="exact"/>
        <w:rPr>
          <w:rFonts w:ascii="Times New Roman" w:cs="Times New Roman" w:eastAsia="Times New Roman" w:hAnsi="Times New Roman"/>
          <w:sz w:val="16"/>
          <w:szCs w:val="16"/>
          <w:color w:val="auto"/>
        </w:rPr>
      </w:pPr>
    </w:p>
    <w:p>
      <w:pPr>
        <w:jc w:val="both"/>
        <w:ind w:left="2440" w:right="939" w:hanging="374"/>
        <w:spacing w:after="0" w:line="265" w:lineRule="auto"/>
        <w:tabs>
          <w:tab w:leader="none" w:pos="2613" w:val="left"/>
        </w:tabs>
        <w:numPr>
          <w:ilvl w:val="2"/>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95" w:lineRule="exact"/>
        <w:rPr>
          <w:rFonts w:ascii="Times New Roman" w:cs="Times New Roman" w:eastAsia="Times New Roman" w:hAnsi="Times New Roman"/>
          <w:sz w:val="16"/>
          <w:szCs w:val="16"/>
          <w:color w:val="auto"/>
        </w:rPr>
      </w:pPr>
    </w:p>
    <w:p>
      <w:pPr>
        <w:jc w:val="both"/>
        <w:ind w:left="2060" w:right="939" w:hanging="376"/>
        <w:spacing w:after="0" w:line="259" w:lineRule="auto"/>
        <w:tabs>
          <w:tab w:leader="none" w:pos="2047" w:val="left"/>
        </w:tabs>
        <w:numPr>
          <w:ilvl w:val="1"/>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90" w:lineRule="exact"/>
        <w:rPr>
          <w:rFonts w:ascii="Times New Roman" w:cs="Times New Roman" w:eastAsia="Times New Roman" w:hAnsi="Times New Roman"/>
          <w:sz w:val="16"/>
          <w:szCs w:val="16"/>
          <w:color w:val="auto"/>
        </w:rPr>
      </w:pPr>
    </w:p>
    <w:p>
      <w:pPr>
        <w:ind w:left="2060" w:right="939" w:hanging="376"/>
        <w:spacing w:after="0" w:line="280" w:lineRule="auto"/>
        <w:tabs>
          <w:tab w:leader="none" w:pos="2095" w:val="left"/>
        </w:tabs>
        <w:numPr>
          <w:ilvl w:val="1"/>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84" w:lineRule="exact"/>
        <w:rPr>
          <w:rFonts w:ascii="Times New Roman" w:cs="Times New Roman" w:eastAsia="Times New Roman" w:hAnsi="Times New Roman"/>
          <w:sz w:val="16"/>
          <w:szCs w:val="16"/>
          <w:color w:val="auto"/>
        </w:rPr>
      </w:pPr>
    </w:p>
    <w:p>
      <w:pPr>
        <w:jc w:val="both"/>
        <w:ind w:left="2060" w:right="939" w:hanging="376"/>
        <w:spacing w:after="0" w:line="252" w:lineRule="auto"/>
        <w:tabs>
          <w:tab w:leader="none" w:pos="2168" w:val="left"/>
        </w:tabs>
        <w:numPr>
          <w:ilvl w:val="1"/>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7" w:lineRule="exact"/>
        <w:rPr>
          <w:rFonts w:ascii="Times New Roman" w:cs="Times New Roman" w:eastAsia="Times New Roman" w:hAnsi="Times New Roman"/>
          <w:sz w:val="16"/>
          <w:szCs w:val="16"/>
          <w:color w:val="auto"/>
        </w:rPr>
      </w:pPr>
    </w:p>
    <w:p>
      <w:pPr>
        <w:jc w:val="both"/>
        <w:ind w:left="2060" w:right="939" w:hanging="376"/>
        <w:spacing w:after="0" w:line="254" w:lineRule="auto"/>
        <w:tabs>
          <w:tab w:leader="none" w:pos="2103" w:val="left"/>
        </w:tabs>
        <w:numPr>
          <w:ilvl w:val="1"/>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4" w:lineRule="exact"/>
        <w:rPr>
          <w:rFonts w:ascii="Times New Roman" w:cs="Times New Roman" w:eastAsia="Times New Roman" w:hAnsi="Times New Roman"/>
          <w:sz w:val="16"/>
          <w:szCs w:val="16"/>
          <w:color w:val="auto"/>
        </w:rPr>
      </w:pPr>
    </w:p>
    <w:p>
      <w:pPr>
        <w:ind w:left="2440" w:right="939" w:hanging="374"/>
        <w:spacing w:after="0" w:line="280" w:lineRule="auto"/>
        <w:tabs>
          <w:tab w:leader="none" w:pos="2491" w:val="left"/>
        </w:tabs>
        <w:numPr>
          <w:ilvl w:val="2"/>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84" w:lineRule="exact"/>
        <w:rPr>
          <w:rFonts w:ascii="Times New Roman" w:cs="Times New Roman" w:eastAsia="Times New Roman" w:hAnsi="Times New Roman"/>
          <w:sz w:val="16"/>
          <w:szCs w:val="16"/>
          <w:color w:val="auto"/>
        </w:rPr>
      </w:pPr>
    </w:p>
    <w:p>
      <w:pPr>
        <w:ind w:left="2440" w:right="939" w:hanging="374"/>
        <w:spacing w:after="0" w:line="280" w:lineRule="auto"/>
        <w:tabs>
          <w:tab w:leader="none" w:pos="2534" w:val="left"/>
        </w:tabs>
        <w:numPr>
          <w:ilvl w:val="2"/>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40" w:name="page541"/>
    <w:bookmarkEnd w:id="540"/>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27" w:lineRule="exact"/>
        <w:rPr>
          <w:sz w:val="20"/>
          <w:szCs w:val="20"/>
          <w:color w:val="auto"/>
        </w:rPr>
      </w:pPr>
    </w:p>
    <w:p>
      <w:pPr>
        <w:jc w:val="both"/>
        <w:ind w:left="2480" w:right="939" w:hanging="382"/>
        <w:spacing w:after="0" w:line="265" w:lineRule="auto"/>
        <w:tabs>
          <w:tab w:leader="none" w:pos="2575" w:val="left"/>
        </w:tabs>
        <w:numPr>
          <w:ilvl w:val="3"/>
          <w:numId w:val="5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95" w:lineRule="exact"/>
        <w:rPr>
          <w:rFonts w:ascii="Times New Roman" w:cs="Times New Roman" w:eastAsia="Times New Roman" w:hAnsi="Times New Roman"/>
          <w:sz w:val="16"/>
          <w:szCs w:val="16"/>
          <w:color w:val="auto"/>
        </w:rPr>
      </w:pPr>
    </w:p>
    <w:p>
      <w:pPr>
        <w:ind w:left="2440" w:right="939" w:hanging="374"/>
        <w:spacing w:after="0" w:line="280" w:lineRule="auto"/>
        <w:tabs>
          <w:tab w:leader="none" w:pos="2573" w:val="left"/>
        </w:tabs>
        <w:numPr>
          <w:ilvl w:val="2"/>
          <w:numId w:val="5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84" w:lineRule="exact"/>
        <w:rPr>
          <w:rFonts w:ascii="Times New Roman" w:cs="Times New Roman" w:eastAsia="Times New Roman" w:hAnsi="Times New Roman"/>
          <w:sz w:val="16"/>
          <w:szCs w:val="16"/>
          <w:color w:val="auto"/>
        </w:rPr>
      </w:pPr>
    </w:p>
    <w:p>
      <w:pPr>
        <w:jc w:val="both"/>
        <w:ind w:left="2060" w:right="939" w:hanging="376"/>
        <w:spacing w:after="0" w:line="254" w:lineRule="auto"/>
        <w:tabs>
          <w:tab w:leader="none" w:pos="2023" w:val="left"/>
        </w:tabs>
        <w:numPr>
          <w:ilvl w:val="1"/>
          <w:numId w:val="5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4" w:lineRule="exact"/>
        <w:rPr>
          <w:rFonts w:ascii="Times New Roman" w:cs="Times New Roman" w:eastAsia="Times New Roman" w:hAnsi="Times New Roman"/>
          <w:sz w:val="16"/>
          <w:szCs w:val="16"/>
          <w:color w:val="auto"/>
        </w:rPr>
      </w:pPr>
    </w:p>
    <w:p>
      <w:pPr>
        <w:jc w:val="both"/>
        <w:ind w:left="2060" w:right="939" w:hanging="376"/>
        <w:spacing w:after="0" w:line="253" w:lineRule="auto"/>
        <w:tabs>
          <w:tab w:leader="none" w:pos="2160" w:val="left"/>
        </w:tabs>
        <w:numPr>
          <w:ilvl w:val="1"/>
          <w:numId w:val="5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109" w:lineRule="exact"/>
        <w:rPr>
          <w:rFonts w:ascii="Times New Roman" w:cs="Times New Roman" w:eastAsia="Times New Roman" w:hAnsi="Times New Roman"/>
          <w:sz w:val="16"/>
          <w:szCs w:val="16"/>
          <w:color w:val="auto"/>
        </w:rPr>
      </w:pPr>
    </w:p>
    <w:p>
      <w:pPr>
        <w:jc w:val="both"/>
        <w:ind w:left="2060" w:right="939" w:hanging="376"/>
        <w:spacing w:after="0" w:line="252" w:lineRule="auto"/>
        <w:tabs>
          <w:tab w:leader="none" w:pos="2127" w:val="left"/>
        </w:tabs>
        <w:numPr>
          <w:ilvl w:val="1"/>
          <w:numId w:val="5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7" w:lineRule="exact"/>
        <w:rPr>
          <w:rFonts w:ascii="Times New Roman" w:cs="Times New Roman" w:eastAsia="Times New Roman" w:hAnsi="Times New Roman"/>
          <w:sz w:val="16"/>
          <w:szCs w:val="16"/>
          <w:color w:val="auto"/>
        </w:rPr>
      </w:pPr>
    </w:p>
    <w:p>
      <w:pPr>
        <w:jc w:val="both"/>
        <w:ind w:left="1680" w:right="939" w:hanging="379"/>
        <w:spacing w:after="0" w:line="255" w:lineRule="auto"/>
        <w:tabs>
          <w:tab w:leader="none" w:pos="1804" w:val="left"/>
        </w:tabs>
        <w:numPr>
          <w:ilvl w:val="0"/>
          <w:numId w:val="5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3" w:lineRule="exact"/>
        <w:rPr>
          <w:rFonts w:ascii="Times New Roman" w:cs="Times New Roman" w:eastAsia="Times New Roman" w:hAnsi="Times New Roman"/>
          <w:sz w:val="16"/>
          <w:szCs w:val="16"/>
          <w:color w:val="auto"/>
        </w:rPr>
      </w:pPr>
    </w:p>
    <w:p>
      <w:pPr>
        <w:jc w:val="both"/>
        <w:ind w:left="1680" w:right="939" w:hanging="379"/>
        <w:spacing w:after="0" w:line="265" w:lineRule="auto"/>
        <w:tabs>
          <w:tab w:leader="none" w:pos="1682" w:val="left"/>
        </w:tabs>
        <w:numPr>
          <w:ilvl w:val="0"/>
          <w:numId w:val="5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15240</wp:posOffset>
            </wp:positionV>
            <wp:extent cx="455295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41" w:name="page542"/>
    <w:bookmarkEnd w:id="541"/>
    <w:p>
      <w:pPr>
        <w:ind w:left="9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29" w:lineRule="exact"/>
        <w:rPr>
          <w:sz w:val="20"/>
          <w:szCs w:val="20"/>
          <w:color w:val="auto"/>
        </w:rPr>
      </w:pPr>
    </w:p>
    <w:p>
      <w:pPr>
        <w:jc w:val="both"/>
        <w:ind w:left="920" w:right="939"/>
        <w:spacing w:after="0" w:line="265" w:lineRule="auto"/>
        <w:rPr>
          <w:sz w:val="20"/>
          <w:szCs w:val="20"/>
          <w:color w:val="auto"/>
        </w:rPr>
      </w:pPr>
      <w:r>
        <w:rPr>
          <w:rFonts w:ascii="Times New Roman" w:cs="Times New Roman" w:eastAsia="Times New Roman" w:hAnsi="Times New Roman"/>
          <w:sz w:val="16"/>
          <w:szCs w:val="16"/>
          <w:color w:val="auto"/>
        </w:rPr>
        <w:t>Pursuant to the requirements of the Securities Act, the registrant has duly caused this Amendment No. 5 to the registration statement to be signed on its behalf by the undersigned, thereunto duly authorized in the City of San Francisco, California, on January 15, 2021.</w:t>
      </w:r>
    </w:p>
    <w:p>
      <w:pPr>
        <w:spacing w:after="0" w:line="15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16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By: /s/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45720</wp:posOffset>
            </wp:positionV>
            <wp:extent cx="184404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1">
                      <a:extLst>
                        <a:ext uri="{28A0092B-C50C-407E-A947-70E740481C1C}"/>
                      </a:extLst>
                    </a:blip>
                    <a:srcRect/>
                    <a:stretch>
                      <a:fillRect/>
                    </a:stretch>
                  </pic:blipFill>
                  <pic:spPr bwMode="auto">
                    <a:xfrm>
                      <a:off x="0" y="0"/>
                      <a:ext cx="1844040" cy="7620"/>
                    </a:xfrm>
                    <a:prstGeom prst="rect">
                      <a:avLst/>
                    </a:prstGeom>
                    <a:noFill/>
                  </pic:spPr>
                </pic:pic>
              </a:graphicData>
            </a:graphic>
          </wp:anchor>
        </w:drawing>
      </w:r>
    </w:p>
    <w:p>
      <w:pPr>
        <w:spacing w:after="0" w:line="5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Jim Tananbaum</w:t>
      </w:r>
    </w:p>
    <w:p>
      <w:pPr>
        <w:spacing w:after="0" w:line="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8" w:lineRule="exact"/>
        <w:rPr>
          <w:sz w:val="20"/>
          <w:szCs w:val="20"/>
          <w:color w:val="auto"/>
        </w:rPr>
      </w:pPr>
    </w:p>
    <w:p>
      <w:pPr>
        <w:jc w:val="both"/>
        <w:ind w:left="920" w:right="939"/>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and on the dates indicated.</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Dr. Jim Tananbaum</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President, Chief Executive Officer and Director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Jim Tananbaum</w:t>
            </w: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Dennis Ryan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Dennis Ryan</w:t>
            </w: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Vice President and Director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Michael Rome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Vikram Bajaj</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Carey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Dan Dubin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Deepa Pakianathan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By: /s/ Dennis Ryan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Dennis Ryan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As Attorney-In-Fact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6"/>
                <w:szCs w:val="16"/>
                <w:color w:val="auto"/>
              </w:rPr>
              <w:t>II-8</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542" w:name="page543"/>
    <w:bookmarkEnd w:id="542"/>
    <w:p>
      <w:pPr>
        <w:ind w:left="10360"/>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REVERSE FOR CERTAIN DEFINITIONS</w:t>
      </w:r>
    </w:p>
    <w:p>
      <w:pPr>
        <w:spacing w:after="0" w:line="19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5"/>
          <w:szCs w:val="15"/>
          <w:b w:val="1"/>
          <w:bCs w:val="1"/>
          <w:color w:val="auto"/>
        </w:rPr>
        <w:t xml:space="preserve">CUSIP </w:t>
      </w:r>
      <w:r>
        <w:rPr>
          <w:rFonts w:ascii="Times New Roman" w:cs="Times New Roman" w:eastAsia="Times New Roman" w:hAnsi="Times New Roman"/>
          <w:sz w:val="15"/>
          <w:szCs w:val="15"/>
          <w:color w:val="auto"/>
        </w:rPr>
        <w:t>_______</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CERTIFIES THAT _______________________ is the owner of _______________________ fully paid and non-assessable shares of common stock, par value $0.0001</w:t>
      </w:r>
    </w:p>
    <w:p>
      <w:pPr>
        <w:spacing w:after="0" w:line="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per share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of Gemini Therapeutics,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transferable on the books of the Company in person or by duly authorized attorney upon surrender of this certificate properly endorsed.</w:t>
      </w:r>
    </w:p>
    <w:p>
      <w:pPr>
        <w:spacing w:after="0" w:line="16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This certificate is not valid unless countersigned by the Transfer Agent and registered by the Registrar of the Company. Witness the facsimile signature of a duly authorized signatory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48195" cy="152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3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color w:val="auto"/>
        </w:rPr>
        <w:t>Authorized Signatory</w:t>
      </w:r>
      <w:r>
        <w:rPr>
          <w:sz w:val="20"/>
          <w:szCs w:val="20"/>
          <w:color w:val="auto"/>
        </w:rPr>
        <w:tab/>
      </w:r>
      <w:r>
        <w:rPr>
          <w:rFonts w:ascii="Times New Roman" w:cs="Times New Roman" w:eastAsia="Times New Roman" w:hAnsi="Times New Roman"/>
          <w:sz w:val="15"/>
          <w:szCs w:val="15"/>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48195" cy="152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43" w:name="page544"/>
    <w:bookmarkEnd w:id="543"/>
    <w:p>
      <w:pPr>
        <w:jc w:val="center"/>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Second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abbreviations, when used in the inscription on the face of this certificate, shall be construed as though they were written out in full according to applicable laws or regulations: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TEN COM — as tenants in common</w:t>
            </w:r>
          </w:p>
        </w:tc>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8"/>
              </w:rPr>
              <w:t>UNIF GIFT MIN ACT — ________ Custodian ____________</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364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(Cust)</w:t>
            </w: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(Minor)</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TEN ENT — as tenants by the entireties</w:t>
            </w:r>
          </w:p>
        </w:tc>
        <w:tc>
          <w:tcPr>
            <w:tcW w:w="3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under Uniform Gifts to Minors Act ___________</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JT TEN — as joint tenants with right of survivorship and not as tenants in</w:t>
            </w:r>
          </w:p>
        </w:tc>
        <w:tc>
          <w:tcPr>
            <w:tcW w:w="3640" w:type="dxa"/>
            <w:vAlign w:val="bottom"/>
          </w:tcPr>
          <w:p>
            <w:pPr>
              <w:ind w:left="2820"/>
              <w:spacing w:after="0"/>
              <w:rPr>
                <w:sz w:val="20"/>
                <w:szCs w:val="20"/>
                <w:color w:val="auto"/>
              </w:rPr>
            </w:pPr>
            <w:r>
              <w:rPr>
                <w:rFonts w:ascii="Times New Roman" w:cs="Times New Roman" w:eastAsia="Times New Roman" w:hAnsi="Times New Roman"/>
                <w:sz w:val="16"/>
                <w:szCs w:val="16"/>
                <w:color w:val="auto"/>
              </w:rPr>
              <w:t>(State)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60" w:type="dxa"/>
            <w:vAlign w:val="bottom"/>
            <w:vMerge w:val="continue"/>
          </w:tcPr>
          <w:p>
            <w:pPr>
              <w:spacing w:after="0"/>
              <w:rPr>
                <w:sz w:val="15"/>
                <w:szCs w:val="15"/>
                <w:color w:val="auto"/>
              </w:rPr>
            </w:pPr>
          </w:p>
        </w:tc>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common</w:t>
            </w:r>
          </w:p>
        </w:tc>
        <w:tc>
          <w:tcPr>
            <w:tcW w:w="3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color w:val="auto"/>
        </w:rPr>
        <w:t>Additional abbreviations may also be used though not in the above list.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value received, ___________ hereby sells, assigns and transfers unto___________________</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(PLEASE INSERT SOCIAL SECURITY OR OTHER IDENTIFYING NUMBER(S) OF ASSIGNEE(S))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(PLEASE PRINT OR TYPEWRITE NAME(S) AND ADDRESS(ES), INCLUDING ZIP CODE, OF ASSIGNEE(S))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___________ shares of Common Stock represented by the within Certificate, and hereby irrevocably constitutes and appoints ___________ </w:t>
      </w:r>
      <w:r>
        <w:rPr>
          <w:rFonts w:ascii="Times New Roman" w:cs="Times New Roman" w:eastAsia="Times New Roman" w:hAnsi="Times New Roman"/>
          <w:sz w:val="16"/>
          <w:szCs w:val="16"/>
          <w:color w:val="auto"/>
        </w:rPr>
        <w:t>Attorney to transfer the said shares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Common Stock on the books of the within named Company with full power of substitution in the premises.</w:t>
      </w:r>
    </w:p>
    <w:p>
      <w:pPr>
        <w:sectPr>
          <w:pgSz w:w="11900" w:h="16838" w:orient="portrait"/>
          <w:cols w:equalWidth="0" w:num="1">
            <w:col w:w="11260"/>
          </w:cols>
          <w:pgMar w:left="320" w:top="718" w:right="31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2860675" cy="152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4">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4" w:lineRule="exact"/>
        <w:rPr>
          <w:sz w:val="20"/>
          <w:szCs w:val="20"/>
          <w:color w:val="auto"/>
        </w:rPr>
      </w:pPr>
    </w:p>
    <w:p>
      <w:pPr>
        <w:ind w:right="1560"/>
        <w:spacing w:after="0" w:line="253" w:lineRule="auto"/>
        <w:rPr>
          <w:sz w:val="20"/>
          <w:szCs w:val="20"/>
          <w:color w:val="auto"/>
        </w:rPr>
      </w:pPr>
      <w:r>
        <w:rPr>
          <w:rFonts w:ascii="Times New Roman" w:cs="Times New Roman" w:eastAsia="Times New Roman" w:hAnsi="Times New Roman"/>
          <w:sz w:val="16"/>
          <w:szCs w:val="16"/>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Notice: </w:t>
      </w:r>
      <w:r>
        <w:rPr>
          <w:rFonts w:ascii="Times New Roman" w:cs="Times New Roman" w:eastAsia="Times New Roman" w:hAnsi="Times New Roman"/>
          <w:sz w:val="16"/>
          <w:szCs w:val="16"/>
          <w:color w:val="auto"/>
        </w:rPr>
        <w:t>The signature(s) to this assignment must correspond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2853055" cy="152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5">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1581150</wp:posOffset>
            </wp:positionV>
            <wp:extent cx="7148195" cy="152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6040" w:space="720"/>
            <w:col w:w="4500"/>
          </w:cols>
          <w:pgMar w:left="320" w:top="718" w:right="319" w:bottom="1440" w:gutter="0" w:footer="0" w:header="0"/>
          <w:type w:val="continuous"/>
        </w:sectPr>
      </w:pPr>
    </w:p>
    <w:bookmarkStart w:id="544" w:name="page545"/>
    <w:bookmarkEnd w:id="544"/>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White &amp; Case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15, 2021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FS Development Corp.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600 Montgomery Street, Suite 4500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Registration Statement on Form S-4 (File No. 333-249785)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6"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We have acted as counsel to FS Development Corp., a corporation organized under the laws of Delaware (“</w:t>
      </w:r>
      <w:r>
        <w:rPr>
          <w:rFonts w:ascii="Times New Roman" w:cs="Times New Roman" w:eastAsia="Times New Roman" w:hAnsi="Times New Roman"/>
          <w:sz w:val="16"/>
          <w:szCs w:val="16"/>
          <w:b w:val="1"/>
          <w:bCs w:val="1"/>
          <w:color w:val="auto"/>
        </w:rPr>
        <w:t>FS Development</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preparation and filing of FS Development’s Registration Statement on Form S-4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which term does not include any other document or agreement whether or not specifically referred to or incorporated by reference therein or attached as an exhibit or schedule thereto), including the proxy statement/prospectus forming a part thereof, relating to shares of FS Development’s Class A common stock, par value $0.0001 per share (the “</w:t>
      </w:r>
      <w:r>
        <w:rPr>
          <w:rFonts w:ascii="Times New Roman" w:cs="Times New Roman" w:eastAsia="Times New Roman" w:hAnsi="Times New Roman"/>
          <w:sz w:val="16"/>
          <w:szCs w:val="16"/>
          <w:b w:val="1"/>
          <w:bCs w:val="1"/>
          <w:color w:val="auto"/>
        </w:rPr>
        <w:t>FS Development Shares</w:t>
      </w:r>
      <w:r>
        <w:rPr>
          <w:rFonts w:ascii="Times New Roman" w:cs="Times New Roman" w:eastAsia="Times New Roman" w:hAnsi="Times New Roman"/>
          <w:sz w:val="16"/>
          <w:szCs w:val="16"/>
          <w:color w:val="auto"/>
        </w:rPr>
        <w:t>”), to be issued by FS Development pursuant to the terms of the agreement and plan of merger, dated as of October 15, 2020 (as may be amended and/or restated from time to time,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by and among FS Development, FSG Merger Sub, Inc., a Delaware corporation and a wholly-owned subsidiary of FS Development, Gemini Therapeutics, Inc.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a Delaware corporation, and Shareholder Representative Services LLC, solely in its capacity as representative of the stockholders of Gemini. Unless otherwise indicated, each capitalized term used herein has the meaning ascribed to it in the Registration Statement.</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In connection with our opinions expressed below, we have examined originals or copies certified to our satisfaction of the following documents and such other documents, certificates and other statements of government officials and corporate officers of FS Development as we deemed necessary for the purposes of the opinions set forth in this opinion letter: (i) the Registration Statement; (ii) the Merger Agreement; (iii) the form of certificate of incorporation of the Company to become effective upon consummation of the Business Combination; (iv) the form of bylaws of the Company to become effective upon consummation of the Business Combination; and (v) the specimen common stock certificate of the Company. We have also examined the originals, or duplicative or certificated or conformed copies, of such corporate records, agreements, documents and other instruments and have made such other investigations as we have deemed relevant and necessary in connection with this opinion letter. As to questions of fact material to this opinion letter, we have relied, with your approval, upon oral and written representations of FS Development and certificates or comparable documents of public officials and of officers and representatives of FS Development.</w:t>
      </w:r>
    </w:p>
    <w:p>
      <w:pPr>
        <w:spacing w:after="0" w:line="169"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In making such examination and rendering such opinions, we have assumed without independent investigation or verification of any kind the genuineness of all signatures, the legal capacity of all natural persons signing all documents, the authenticity of all documents submitted to us as originals, the conformity to authentic original documents of all documents submitted to us as copies, the truthfulness, completeness and correctness of all factual representations and statements contained in all documents, and the accuracy and completeness of all public records examined by us.</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Based upon the foregoing assumptions, and subject to the qualifications set forth in this opinion letter, having considered such questions of law as we have deemed necessary as a basis for the opinion expressed below, we are of the opinion that the FS Development Shares to be issued by FS Development pursuant to and in the manner contemplated by the terms of the Merger Agreement will be, upon issuance, duly authorized and, when the FS Development Shares have been issued upon the terms and conditions set forth in the Registration Statement and the Merger Agreement, such FS Development Shares will be validly issued, fully paid and nonassessable.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We are members of the bar of the State of New York. FS Development is a Delaware corporation, and we have not considered, and we express no opinion as to, any law other than the Delaware General Corporation Law.</w:t>
      </w:r>
    </w:p>
    <w:p>
      <w:pPr>
        <w:spacing w:after="0" w:line="144"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We hereby consent to be named in the Registration Statement and in the related proxy statement/prospectus contained therein as the attorneys who passed upon the legality of the FS Development Shares to be issued pursuant to the Registration Statement and to the filing of a copy of this opinion letter as Exhibit 5.1 to the Registration Statement. In giving such consent, we do not hereby admit that we are in the category of persons whose consent is required under Section 7 of the Securities Act of 1933, as amended, and the rules and regulations of the Securities and Exchange Commission promulgated thereunder. The opinions expressed above are as of the date hereof only, and we assume no responsibility to update this opinion letter, or to advise you of, any such facts or circumstances of which we become aware, regardless of whether or not they affect the opinions expressed in this opinion letter.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White &amp; Case LLP</w:t>
      </w:r>
    </w:p>
    <w:p>
      <w:pPr>
        <w:sectPr>
          <w:pgSz w:w="11900" w:h="16838" w:orient="portrait"/>
          <w:cols w:equalWidth="0" w:num="1">
            <w:col w:w="11260"/>
          </w:cols>
          <w:pgMar w:left="320" w:top="121" w:right="319" w:bottom="1440" w:gutter="0" w:footer="0" w:header="0"/>
        </w:sectPr>
      </w:pPr>
    </w:p>
    <w:bookmarkStart w:id="545" w:name="page546"/>
    <w:bookmarkEnd w:id="545"/>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hereby consent to the use in this Amendment No. 5 to the Registration Statement on Form S-4 (File No. 333-249785), of our report dated August 11, 2020, relating to the balance sheet of FS Development Corp. as of June 30, 2020, and the related statements of operations, changes in stockholder’s equity and cash flows for the period from June 25, 2020 (inception) through June 30, 2020, and to the reference to our Firm under the caption “Experts” in the Registration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WithumSmith+Brown, PC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15, 2021</w:t>
      </w:r>
    </w:p>
    <w:p>
      <w:pPr>
        <w:sectPr>
          <w:pgSz w:w="11900" w:h="16838" w:orient="portrait"/>
          <w:cols w:equalWidth="0" w:num="1">
            <w:col w:w="11260"/>
          </w:cols>
          <w:pgMar w:left="320" w:top="120" w:right="319" w:bottom="1440" w:gutter="0" w:footer="0" w:header="0"/>
        </w:sectPr>
      </w:pPr>
    </w:p>
    <w:bookmarkStart w:id="546" w:name="page547"/>
    <w:bookmarkEnd w:id="546"/>
    <w:p>
      <w:pPr>
        <w:jc w:val="right"/>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We consent to the reference to our firm under the caption “Experts” and to the use of our report dated October 30, 2020 with respect to the financial statements of Gemini Therapeutics, Inc. included in the Proxy Statement of FS Development Corp. that is made a part of the Registration Statement (Form S-4 No. 333-249785) and Prospectus of FS Development Corp. for the registration of 21,500,000 shares of its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15, 2021</w:t>
      </w:r>
    </w:p>
    <w:p>
      <w:pPr>
        <w:sectPr>
          <w:pgSz w:w="11900" w:h="16838" w:orient="portrait"/>
          <w:cols w:equalWidth="0" w:num="1">
            <w:col w:w="11260"/>
          </w:cols>
          <w:pgMar w:left="320" w:top="111" w:right="319" w:bottom="1440" w:gutter="0" w:footer="0" w:header="0"/>
        </w:sectPr>
      </w:pPr>
    </w:p>
    <w:bookmarkStart w:id="547" w:name="page548"/>
    <w:bookmarkEnd w:id="547"/>
    <w:p>
      <w:pPr>
        <w:ind w:left="914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151765</wp:posOffset>
            </wp:positionV>
            <wp:extent cx="7203440" cy="95986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7">
                      <a:extLst>
                        <a:ext uri="{28A0092B-C50C-407E-A947-70E740481C1C}"/>
                      </a:extLst>
                    </a:blip>
                    <a:srcRect/>
                    <a:stretch>
                      <a:fillRect/>
                    </a:stretch>
                  </pic:blipFill>
                  <pic:spPr bwMode="auto">
                    <a:xfrm>
                      <a:off x="0" y="0"/>
                      <a:ext cx="7203440" cy="9598660"/>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548" w:name="page549"/>
    <w:bookmarkEnd w:id="5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543560</wp:posOffset>
            </wp:positionV>
            <wp:extent cx="7203440" cy="94773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8">
                      <a:extLst>
                        <a:ext uri="{28A0092B-C50C-407E-A947-70E740481C1C}"/>
                      </a:extLst>
                    </a:blip>
                    <a:srcRect/>
                    <a:stretch>
                      <a:fillRect/>
                    </a:stretch>
                  </pic:blipFill>
                  <pic:spPr bwMode="auto">
                    <a:xfrm>
                      <a:off x="0" y="0"/>
                      <a:ext cx="7203440" cy="9477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3B72B2"/>
    <w:multiLevelType w:val="hybridMultilevel"/>
    <w:lvl w:ilvl="0">
      <w:lvlJc w:val="left"/>
      <w:lvlText w:val="(%1)"/>
      <w:numFmt w:val="decimal"/>
      <w:start w:val="1"/>
    </w:lvl>
  </w:abstractNum>
  <w:abstractNum w:abstractNumId="1">
    <w:nsid w:val="155EC4C2"/>
    <w:multiLevelType w:val="hybridMultilevel"/>
    <w:lvl w:ilvl="0">
      <w:lvlJc w:val="left"/>
      <w:lvlText w:val="(%1)"/>
      <w:numFmt w:val="decimal"/>
      <w:start w:val="1"/>
    </w:lvl>
    <w:lvl w:ilvl="1">
      <w:lvlJc w:val="left"/>
      <w:lvlText w:val="(%2)"/>
      <w:numFmt w:val="lowerLetter"/>
      <w:start w:val="1"/>
    </w:lvl>
  </w:abstractNum>
  <w:abstractNum w:abstractNumId="2">
    <w:nsid w:val="65D2A137"/>
    <w:multiLevelType w:val="hybridMultilevel"/>
    <w:lvl w:ilvl="0">
      <w:lvlJc w:val="left"/>
      <w:lvlText w:val="%1"/>
      <w:numFmt w:val="decimal"/>
      <w:start w:val="1"/>
    </w:lvl>
    <w:lvl w:ilvl="1">
      <w:lvlJc w:val="left"/>
      <w:lvlText w:val="(%2)"/>
      <w:numFmt w:val="lowerLetter"/>
      <w:start w:val="3"/>
    </w:lvl>
  </w:abstractNum>
  <w:abstractNum w:abstractNumId="3">
    <w:nsid w:val="6EBB1F2A"/>
    <w:multiLevelType w:val="hybridMultilevel"/>
    <w:lvl w:ilvl="0">
      <w:lvlJc w:val="left"/>
      <w:lvlText w:val="(%1)"/>
      <w:numFmt w:val="decimal"/>
      <w:start w:val="5"/>
    </w:lvl>
    <w:lvl w:ilvl="1">
      <w:lvlJc w:val="left"/>
      <w:lvlText w:val="%2"/>
      <w:numFmt w:val="lowerLetter"/>
      <w:start w:val="1"/>
    </w:lvl>
  </w:abstractNum>
  <w:abstractNum w:abstractNumId="4">
    <w:nsid w:val="6FBF29CB"/>
    <w:multiLevelType w:val="hybridMultilevel"/>
    <w:lvl w:ilvl="0">
      <w:lvlJc w:val="left"/>
      <w:lvlText w:val="(%1)"/>
      <w:numFmt w:val="lowerRoman"/>
      <w:start w:val="1"/>
    </w:lvl>
  </w:abstractNum>
  <w:abstractNum w:abstractNumId="5">
    <w:nsid w:val="550B8808"/>
    <w:multiLevelType w:val="hybridMultilevel"/>
    <w:lvl w:ilvl="0">
      <w:lvlJc w:val="left"/>
      <w:lvlText w:val="%1."/>
      <w:numFmt w:val="decimal"/>
      <w:start w:val="1"/>
    </w:lvl>
    <w:lvl w:ilvl="1">
      <w:lvlJc w:val="left"/>
      <w:lvlText w:val="(%2)"/>
      <w:numFmt w:val="lowerRoman"/>
      <w:start w:val="1"/>
    </w:lvl>
  </w:abstractNum>
  <w:abstractNum w:abstractNumId="6">
    <w:nsid w:val="34CC3ACF"/>
    <w:multiLevelType w:val="hybridMultilevel"/>
    <w:lvl w:ilvl="0">
      <w:lvlJc w:val="left"/>
      <w:lvlText w:val="%1."/>
      <w:numFmt w:val="decimal"/>
      <w:start w:val="2"/>
    </w:lvl>
  </w:abstractNum>
  <w:abstractNum w:abstractNumId="7">
    <w:nsid w:val="4E556261"/>
    <w:multiLevelType w:val="hybridMultilevel"/>
    <w:lvl w:ilvl="0">
      <w:lvlJc w:val="left"/>
      <w:lvlText w:val="%1."/>
      <w:numFmt w:val="decimal"/>
      <w:start w:val="4"/>
    </w:lvl>
    <w:lvl w:ilvl="1">
      <w:lvlJc w:val="left"/>
      <w:lvlText w:val="(%2)"/>
      <w:numFmt w:val="lowerLetter"/>
      <w:start w:val="1"/>
    </w:lvl>
  </w:abstractNum>
  <w:abstractNum w:abstractNumId="8">
    <w:nsid w:val="4C672FC9"/>
    <w:multiLevelType w:val="hybridMultilevel"/>
    <w:lvl w:ilvl="0">
      <w:lvlJc w:val="left"/>
      <w:lvlText w:val="(%1)"/>
      <w:numFmt w:val="lowerLetter"/>
      <w:start w:val="2"/>
    </w:lvl>
  </w:abstractNum>
  <w:abstractNum w:abstractNumId="9">
    <w:nsid w:val="52A311C3"/>
    <w:multiLevelType w:val="hybridMultilevel"/>
    <w:lvl w:ilvl="0">
      <w:lvlJc w:val="left"/>
      <w:lvlText w:val="(%1)"/>
      <w:numFmt w:val="lowerLetter"/>
      <w:start w:val="4"/>
    </w:lvl>
  </w:abstractNum>
  <w:abstractNum w:abstractNumId="10">
    <w:nsid w:val="44EF6B80"/>
    <w:multiLevelType w:val="hybridMultilevel"/>
    <w:lvl w:ilvl="0">
      <w:lvlJc w:val="left"/>
      <w:lvlText w:val="%1."/>
      <w:numFmt w:val="upperLetter"/>
      <w:start w:val="17"/>
    </w:lvl>
  </w:abstractNum>
  <w:abstractNum w:abstractNumId="11">
    <w:nsid w:val="12FCDE5E"/>
    <w:multiLevelType w:val="hybridMultilevel"/>
    <w:lvl w:ilvl="0">
      <w:lvlJc w:val="left"/>
      <w:lvlText w:val="%1."/>
      <w:numFmt w:val="upperLetter"/>
      <w:start w:val="1"/>
    </w:lvl>
  </w:abstractNum>
  <w:abstractNum w:abstractNumId="12">
    <w:nsid w:val="4A1D606E"/>
    <w:multiLevelType w:val="hybridMultilevel"/>
    <w:lvl w:ilvl="0">
      <w:lvlJc w:val="left"/>
      <w:lvlText w:val="%1:"/>
      <w:numFmt w:val="upperLetter"/>
      <w:start w:val="17"/>
    </w:lvl>
  </w:abstractNum>
  <w:abstractNum w:abstractNumId="13">
    <w:nsid w:val="4382503"/>
    <w:multiLevelType w:val="hybridMultilevel"/>
    <w:lvl w:ilvl="0">
      <w:lvlJc w:val="left"/>
      <w:lvlText w:val="%1:"/>
      <w:numFmt w:val="upperLetter"/>
      <w:start w:val="1"/>
    </w:lvl>
  </w:abstractNum>
  <w:abstractNum w:abstractNumId="14">
    <w:nsid w:val="59B76E28"/>
    <w:multiLevelType w:val="hybridMultilevel"/>
    <w:lvl w:ilvl="0">
      <w:lvlJc w:val="left"/>
      <w:lvlText w:val="%1:"/>
      <w:numFmt w:val="upperLetter"/>
      <w:start w:val="17"/>
    </w:lvl>
  </w:abstractNum>
  <w:abstractNum w:abstractNumId="15">
    <w:nsid w:val="4252C2D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6">
    <w:nsid w:val="6A92EF4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7">
    <w:nsid w:val="41ED20D7"/>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8">
    <w:nsid w:val="E6B3F6A"/>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19">
    <w:nsid w:val="3EB21819"/>
    <w:multiLevelType w:val="hybridMultilevel"/>
    <w:lvl w:ilvl="0">
      <w:lvlJc w:val="left"/>
      <w:lvlText w:val="%1:"/>
      <w:numFmt w:val="upperLetter"/>
      <w:start w:val="1"/>
    </w:lvl>
  </w:abstractNum>
  <w:abstractNum w:abstractNumId="20">
    <w:nsid w:val="41531DED"/>
    <w:multiLevelType w:val="hybridMultilevel"/>
    <w:lvl w:ilvl="0">
      <w:lvlJc w:val="left"/>
      <w:lvlText w:val="%1:"/>
      <w:numFmt w:val="upperLetter"/>
      <w:start w:val="17"/>
    </w:lvl>
  </w:abstractNum>
  <w:abstractNum w:abstractNumId="21">
    <w:nsid w:val="6353CD2"/>
    <w:multiLevelType w:val="hybridMultilevel"/>
    <w:lvl w:ilvl="0">
      <w:lvlJc w:val="left"/>
      <w:lvlText w:val="%1:"/>
      <w:numFmt w:val="upperLetter"/>
      <w:start w:val="1"/>
    </w:lvl>
  </w:abstractNum>
  <w:abstractNum w:abstractNumId="22">
    <w:nsid w:val="683CAAD3"/>
    <w:multiLevelType w:val="hybridMultilevel"/>
    <w:lvl w:ilvl="0">
      <w:lvlJc w:val="left"/>
      <w:lvlText w:val="%1:"/>
      <w:numFmt w:val="upperLetter"/>
      <w:start w:val="17"/>
    </w:lvl>
  </w:abstractNum>
  <w:abstractNum w:abstractNumId="23">
    <w:nsid w:val="313C7C99"/>
    <w:multiLevelType w:val="hybridMultilevel"/>
    <w:lvl w:ilvl="0">
      <w:lvlJc w:val="left"/>
      <w:lvlText w:val="%1:"/>
      <w:numFmt w:val="upperLetter"/>
      <w:start w:val="1"/>
    </w:lvl>
  </w:abstractNum>
  <w:abstractNum w:abstractNumId="24">
    <w:nsid w:val="519EB94C"/>
    <w:multiLevelType w:val="hybridMultilevel"/>
    <w:lvl w:ilvl="0">
      <w:lvlJc w:val="left"/>
      <w:lvlText w:val="%1:"/>
      <w:numFmt w:val="upperLetter"/>
      <w:start w:val="17"/>
    </w:lvl>
  </w:abstractNum>
  <w:abstractNum w:abstractNumId="25">
    <w:nsid w:val="39DF2579"/>
    <w:multiLevelType w:val="hybridMultilevel"/>
    <w:lvl w:ilvl="0">
      <w:lvlJc w:val="left"/>
      <w:lvlText w:val="%1:"/>
      <w:numFmt w:val="upperLetter"/>
      <w:start w:val="1"/>
    </w:lvl>
  </w:abstractNum>
  <w:abstractNum w:abstractNumId="26">
    <w:nsid w:val="126E008B"/>
    <w:multiLevelType w:val="hybridMultilevel"/>
    <w:lvl w:ilvl="0">
      <w:lvlJc w:val="left"/>
      <w:lvlText w:val="%1:"/>
      <w:numFmt w:val="upperLetter"/>
      <w:start w:val="17"/>
    </w:lvl>
  </w:abstractNum>
  <w:abstractNum w:abstractNumId="27">
    <w:nsid w:val="34DFBC00"/>
    <w:multiLevelType w:val="hybridMultilevel"/>
    <w:lvl w:ilvl="0">
      <w:lvlJc w:val="left"/>
      <w:lvlText w:val="%1:"/>
      <w:numFmt w:val="upperLetter"/>
      <w:start w:val="1"/>
    </w:lvl>
  </w:abstractNum>
  <w:abstractNum w:abstractNumId="28">
    <w:nsid w:val="1F9EC322"/>
    <w:multiLevelType w:val="hybridMultilevel"/>
    <w:lvl w:ilvl="0">
      <w:lvlJc w:val="left"/>
      <w:lvlText w:val="%1:"/>
      <w:numFmt w:val="upperLetter"/>
      <w:start w:val="17"/>
    </w:lvl>
  </w:abstractNum>
  <w:abstractNum w:abstractNumId="29">
    <w:nsid w:val="3410ED56"/>
    <w:multiLevelType w:val="hybridMultilevel"/>
    <w:lvl w:ilvl="0">
      <w:lvlJc w:val="left"/>
      <w:lvlText w:val="%1:"/>
      <w:numFmt w:val="upperLetter"/>
      <w:start w:val="1"/>
    </w:lvl>
  </w:abstractNum>
  <w:abstractNum w:abstractNumId="30">
    <w:nsid w:val="23C049A"/>
    <w:multiLevelType w:val="hybridMultilevel"/>
    <w:lvl w:ilvl="0">
      <w:lvlJc w:val="left"/>
      <w:lvlText w:val="%1:"/>
      <w:numFmt w:val="upperLetter"/>
      <w:start w:val="17"/>
    </w:lvl>
  </w:abstractNum>
  <w:abstractNum w:abstractNumId="31">
    <w:nsid w:val="5BDA35D4"/>
    <w:multiLevelType w:val="hybridMultilevel"/>
    <w:lvl w:ilvl="0">
      <w:lvlJc w:val="left"/>
      <w:lvlText w:val="%1:"/>
      <w:numFmt w:val="upperLetter"/>
      <w:start w:val="1"/>
    </w:lvl>
    <w:lvl w:ilvl="1">
      <w:lvlJc w:val="left"/>
      <w:lvlText w:val="(%2)"/>
      <w:numFmt w:val="lowerRoman"/>
      <w:start w:val="5"/>
    </w:lvl>
  </w:abstractNum>
  <w:abstractNum w:abstractNumId="32">
    <w:nsid w:val="496FB218"/>
    <w:multiLevelType w:val="hybridMultilevel"/>
    <w:lvl w:ilvl="0">
      <w:lvlJc w:val="left"/>
      <w:lvlText w:val="%1:"/>
      <w:numFmt w:val="upperLetter"/>
      <w:start w:val="17"/>
    </w:lvl>
  </w:abstractNum>
  <w:abstractNum w:abstractNumId="33">
    <w:nsid w:val="680EA5D1"/>
    <w:multiLevelType w:val="hybridMultilevel"/>
    <w:lvl w:ilvl="0">
      <w:lvlJc w:val="left"/>
      <w:lvlText w:val="%1:"/>
      <w:numFmt w:val="upperLetter"/>
      <w:start w:val="1"/>
    </w:lvl>
  </w:abstractNum>
  <w:abstractNum w:abstractNumId="34">
    <w:nsid w:val="4A9554FE"/>
    <w:multiLevelType w:val="hybridMultilevel"/>
    <w:lvl w:ilvl="0">
      <w:lvlJc w:val="left"/>
      <w:lvlText w:val="%1."/>
      <w:numFmt w:val="upperLetter"/>
      <w:start w:val="17"/>
    </w:lvl>
  </w:abstractNum>
  <w:abstractNum w:abstractNumId="35">
    <w:nsid w:val="392EDBE4"/>
    <w:multiLevelType w:val="hybridMultilevel"/>
    <w:lvl w:ilvl="0">
      <w:lvlJc w:val="left"/>
      <w:lvlText w:val="%1."/>
      <w:numFmt w:val="upperLetter"/>
      <w:start w:val="1"/>
    </w:lvl>
  </w:abstractNum>
  <w:abstractNum w:abstractNumId="36">
    <w:nsid w:val="3D1A2DD9"/>
    <w:multiLevelType w:val="hybridMultilevel"/>
    <w:lvl w:ilvl="0">
      <w:lvlJc w:val="left"/>
      <w:lvlText w:val="%1:"/>
      <w:numFmt w:val="upperLetter"/>
      <w:start w:val="17"/>
    </w:lvl>
  </w:abstractNum>
  <w:abstractNum w:abstractNumId="37">
    <w:nsid w:val="7F618FCD"/>
    <w:multiLevelType w:val="hybridMultilevel"/>
    <w:lvl w:ilvl="0">
      <w:lvlJc w:val="left"/>
      <w:lvlText w:val="%1:"/>
      <w:numFmt w:val="upperLetter"/>
      <w:start w:val="1"/>
    </w:lvl>
  </w:abstractNum>
  <w:abstractNum w:abstractNumId="38">
    <w:nsid w:val="7843E45"/>
    <w:multiLevelType w:val="hybridMultilevel"/>
    <w:lvl w:ilvl="0">
      <w:lvlJc w:val="left"/>
      <w:lvlText w:val="%1:"/>
      <w:numFmt w:val="upperLetter"/>
      <w:start w:val="17"/>
    </w:lvl>
  </w:abstractNum>
  <w:abstractNum w:abstractNumId="39">
    <w:nsid w:val="9815DA3"/>
    <w:multiLevelType w:val="hybridMultilevel"/>
    <w:lvl w:ilvl="0">
      <w:lvlJc w:val="left"/>
      <w:lvlText w:val="%1:"/>
      <w:numFmt w:val="upperLetter"/>
      <w:start w:val="1"/>
    </w:lvl>
  </w:abstractNum>
  <w:abstractNum w:abstractNumId="40">
    <w:nsid w:val="5204A191"/>
    <w:multiLevelType w:val="hybridMultilevel"/>
    <w:lvl w:ilvl="0">
      <w:lvlJc w:val="left"/>
      <w:lvlText w:val="%1:"/>
      <w:numFmt w:val="upperLetter"/>
      <w:start w:val="17"/>
    </w:lvl>
  </w:abstractNum>
  <w:abstractNum w:abstractNumId="41">
    <w:nsid w:val="4C73A9C6"/>
    <w:multiLevelType w:val="hybridMultilevel"/>
    <w:lvl w:ilvl="0">
      <w:lvlJc w:val="left"/>
      <w:lvlText w:val="%1:"/>
      <w:numFmt w:val="upperLetter"/>
      <w:start w:val="1"/>
    </w:lvl>
  </w:abstractNum>
  <w:abstractNum w:abstractNumId="42">
    <w:nsid w:val="1C7E3C01"/>
    <w:multiLevelType w:val="hybridMultilevel"/>
    <w:lvl w:ilvl="0">
      <w:lvlJc w:val="left"/>
      <w:lvlText w:val="%1:"/>
      <w:numFmt w:val="upperLetter"/>
      <w:start w:val="17"/>
    </w:lvl>
  </w:abstractNum>
  <w:abstractNum w:abstractNumId="43">
    <w:nsid w:val="1C2201FF"/>
    <w:multiLevelType w:val="hybridMultilevel"/>
    <w:lvl w:ilvl="0">
      <w:lvlJc w:val="left"/>
      <w:lvlText w:val="%1:"/>
      <w:numFmt w:val="upperLetter"/>
      <w:start w:val="1"/>
    </w:lvl>
  </w:abstractNum>
  <w:abstractNum w:abstractNumId="44">
    <w:nsid w:val="50ABCEC9"/>
    <w:multiLevelType w:val="hybridMultilevel"/>
    <w:lvl w:ilvl="0">
      <w:lvlJc w:val="left"/>
      <w:lvlText w:val="%1:"/>
      <w:numFmt w:val="upperLetter"/>
      <w:start w:val="17"/>
    </w:lvl>
  </w:abstractNum>
  <w:abstractNum w:abstractNumId="45">
    <w:nsid w:val="7635AA2A"/>
    <w:multiLevelType w:val="hybridMultilevel"/>
    <w:lvl w:ilvl="0">
      <w:lvlJc w:val="left"/>
      <w:lvlText w:val="%1:"/>
      <w:numFmt w:val="upperLetter"/>
      <w:start w:val="1"/>
    </w:lvl>
  </w:abstractNum>
  <w:abstractNum w:abstractNumId="46">
    <w:nsid w:val="5E74C4D9"/>
    <w:multiLevelType w:val="hybridMultilevel"/>
    <w:lvl w:ilvl="0">
      <w:lvlJc w:val="left"/>
      <w:lvlText w:val="%1:"/>
      <w:numFmt w:val="upperLetter"/>
      <w:start w:val="17"/>
    </w:lvl>
  </w:abstractNum>
  <w:abstractNum w:abstractNumId="47">
    <w:nsid w:val="3B3EBE15"/>
    <w:multiLevelType w:val="hybridMultilevel"/>
    <w:lvl w:ilvl="0">
      <w:lvlJc w:val="left"/>
      <w:lvlText w:val="%1:"/>
      <w:numFmt w:val="upperLetter"/>
      <w:start w:val="1"/>
    </w:lvl>
  </w:abstractNum>
  <w:abstractNum w:abstractNumId="48">
    <w:nsid w:val="3822CB01"/>
    <w:multiLevelType w:val="hybridMultilevel"/>
    <w:lvl w:ilvl="0">
      <w:lvlJc w:val="left"/>
      <w:lvlText w:val="%1:"/>
      <w:numFmt w:val="upperLetter"/>
      <w:start w:val="17"/>
    </w:lvl>
  </w:abstractNum>
  <w:abstractNum w:abstractNumId="49">
    <w:nsid w:val="6CE00443"/>
    <w:multiLevelType w:val="hybridMultilevel"/>
    <w:lvl w:ilvl="0">
      <w:lvlJc w:val="left"/>
      <w:lvlText w:val="%1:"/>
      <w:numFmt w:val="upperLetter"/>
      <w:start w:val="1"/>
    </w:lvl>
    <w:lvl w:ilvl="1">
      <w:lvlJc w:val="left"/>
      <w:lvlText w:val="•"/>
      <w:numFmt w:val="bullet"/>
      <w:start w:val="1"/>
    </w:lvl>
  </w:abstractNum>
  <w:abstractNum w:abstractNumId="50">
    <w:nsid w:val="79F0D62F"/>
    <w:multiLevelType w:val="hybridMultilevel"/>
    <w:lvl w:ilvl="0">
      <w:lvlJc w:val="left"/>
      <w:lvlText w:val="•"/>
      <w:numFmt w:val="bullet"/>
      <w:start w:val="1"/>
    </w:lvl>
  </w:abstractNum>
  <w:abstractNum w:abstractNumId="51">
    <w:nsid w:val="7975E8EE"/>
    <w:multiLevelType w:val="hybridMultilevel"/>
    <w:lvl w:ilvl="0">
      <w:lvlJc w:val="left"/>
      <w:lvlText w:val="%1:"/>
      <w:numFmt w:val="upperLetter"/>
      <w:start w:val="17"/>
    </w:lvl>
  </w:abstractNum>
  <w:abstractNum w:abstractNumId="52">
    <w:nsid w:val="73154115"/>
    <w:multiLevelType w:val="hybridMultilevel"/>
    <w:lvl w:ilvl="0">
      <w:lvlJc w:val="left"/>
      <w:lvlText w:val="%1:"/>
      <w:numFmt w:val="upperLetter"/>
      <w:start w:val="1"/>
    </w:lvl>
  </w:abstractNum>
  <w:abstractNum w:abstractNumId="53">
    <w:nsid w:val="622D8102"/>
    <w:multiLevelType w:val="hybridMultilevel"/>
    <w:lvl w:ilvl="0">
      <w:lvlJc w:val="left"/>
      <w:lvlText w:val="%1:"/>
      <w:numFmt w:val="upperLetter"/>
      <w:start w:val="17"/>
    </w:lvl>
  </w:abstractNum>
  <w:abstractNum w:abstractNumId="54">
    <w:nsid w:val="2AB26587"/>
    <w:multiLevelType w:val="hybridMultilevel"/>
    <w:lvl w:ilvl="0">
      <w:lvlJc w:val="left"/>
      <w:lvlText w:val="%1:"/>
      <w:numFmt w:val="upperLetter"/>
      <w:start w:val="17"/>
    </w:lvl>
  </w:abstractNum>
  <w:abstractNum w:abstractNumId="55">
    <w:nsid w:val="44B3FA61"/>
    <w:multiLevelType w:val="hybridMultilevel"/>
    <w:lvl w:ilvl="0">
      <w:lvlJc w:val="left"/>
      <w:lvlText w:val="%1:"/>
      <w:numFmt w:val="upperLetter"/>
      <w:start w:val="1"/>
    </w:lvl>
  </w:abstractNum>
  <w:abstractNum w:abstractNumId="56">
    <w:nsid w:val="1C0CA67C"/>
    <w:multiLevelType w:val="hybridMultilevel"/>
    <w:lvl w:ilvl="0">
      <w:lvlJc w:val="left"/>
      <w:lvlText w:val="%1:"/>
      <w:numFmt w:val="upperLetter"/>
      <w:start w:val="17"/>
    </w:lvl>
  </w:abstractNum>
  <w:abstractNum w:abstractNumId="57">
    <w:nsid w:val="3D206613"/>
    <w:multiLevelType w:val="hybridMultilevel"/>
    <w:lvl w:ilvl="0">
      <w:lvlJc w:val="left"/>
      <w:lvlText w:val="%1:"/>
      <w:numFmt w:val="upperLetter"/>
      <w:start w:val="1"/>
    </w:lvl>
  </w:abstractNum>
  <w:abstractNum w:abstractNumId="58">
    <w:nsid w:val="7993B662"/>
    <w:multiLevelType w:val="hybridMultilevel"/>
    <w:lvl w:ilvl="0">
      <w:lvlJc w:val="left"/>
      <w:lvlText w:val="%1:"/>
      <w:numFmt w:val="upperLetter"/>
      <w:start w:val="17"/>
    </w:lvl>
  </w:abstractNum>
  <w:abstractNum w:abstractNumId="59">
    <w:nsid w:val="3BAB699E"/>
    <w:multiLevelType w:val="hybridMultilevel"/>
    <w:lvl w:ilvl="0">
      <w:lvlJc w:val="left"/>
      <w:lvlText w:val="%1:"/>
      <w:numFmt w:val="upperLetter"/>
      <w:start w:val="1"/>
    </w:lvl>
  </w:abstractNum>
  <w:abstractNum w:abstractNumId="60">
    <w:nsid w:val="71315369"/>
    <w:multiLevelType w:val="hybridMultilevel"/>
    <w:lvl w:ilvl="0">
      <w:lvlJc w:val="left"/>
      <w:lvlText w:val="%1:"/>
      <w:numFmt w:val="upperLetter"/>
      <w:start w:val="17"/>
    </w:lvl>
  </w:abstractNum>
  <w:abstractNum w:abstractNumId="61">
    <w:nsid w:val="7BCFBAFC"/>
    <w:multiLevelType w:val="hybridMultilevel"/>
    <w:lvl w:ilvl="0">
      <w:lvlJc w:val="left"/>
      <w:lvlText w:val="%1:"/>
      <w:numFmt w:val="upperLetter"/>
      <w:start w:val="1"/>
    </w:lvl>
  </w:abstractNum>
  <w:abstractNum w:abstractNumId="62">
    <w:nsid w:val="17859F72"/>
    <w:multiLevelType w:val="hybridMultilevel"/>
    <w:lvl w:ilvl="0">
      <w:lvlJc w:val="left"/>
      <w:lvlText w:val="%1:"/>
      <w:numFmt w:val="upperLetter"/>
      <w:start w:val="17"/>
    </w:lvl>
  </w:abstractNum>
  <w:abstractNum w:abstractNumId="63">
    <w:nsid w:val="3AA10581"/>
    <w:multiLevelType w:val="hybridMultilevel"/>
    <w:lvl w:ilvl="0">
      <w:lvlJc w:val="left"/>
      <w:lvlText w:val="%1:"/>
      <w:numFmt w:val="upperLetter"/>
      <w:start w:val="1"/>
    </w:lvl>
  </w:abstractNum>
  <w:abstractNum w:abstractNumId="64">
    <w:nsid w:val="63DE60CD"/>
    <w:multiLevelType w:val="hybridMultilevel"/>
    <w:lvl w:ilvl="0">
      <w:lvlJc w:val="left"/>
      <w:lvlText w:val="%1:"/>
      <w:numFmt w:val="upperLetter"/>
      <w:start w:val="17"/>
    </w:lvl>
  </w:abstractNum>
  <w:abstractNum w:abstractNumId="65">
    <w:nsid w:val="621AF471"/>
    <w:multiLevelType w:val="hybridMultilevel"/>
    <w:lvl w:ilvl="0">
      <w:lvlJc w:val="left"/>
      <w:lvlText w:val="%1:"/>
      <w:numFmt w:val="upperLetter"/>
      <w:start w:val="1"/>
    </w:lvl>
    <w:lvl w:ilvl="1">
      <w:lvlJc w:val="left"/>
      <w:lvlText w:val="•"/>
      <w:numFmt w:val="bullet"/>
      <w:start w:val="1"/>
    </w:lvl>
  </w:abstractNum>
  <w:abstractNum w:abstractNumId="66">
    <w:nsid w:val="73CFE165"/>
    <w:multiLevelType w:val="hybridMultilevel"/>
    <w:lvl w:ilvl="0">
      <w:lvlJc w:val="left"/>
      <w:lvlText w:val="%1:"/>
      <w:numFmt w:val="upperLetter"/>
      <w:start w:val="16"/>
    </w:lvl>
    <w:lvl w:ilvl="1">
      <w:lvlJc w:val="left"/>
      <w:lvlText w:val="•"/>
      <w:numFmt w:val="bullet"/>
      <w:start w:val="1"/>
    </w:lvl>
  </w:abstractNum>
  <w:abstractNum w:abstractNumId="67">
    <w:nsid w:val="20F88EA6"/>
    <w:multiLevelType w:val="hybridMultilevel"/>
    <w:lvl w:ilvl="0">
      <w:lvlJc w:val="left"/>
      <w:lvlText w:val="%1:"/>
      <w:numFmt w:val="upperLetter"/>
      <w:start w:val="1"/>
    </w:lvl>
  </w:abstractNum>
  <w:abstractNum w:abstractNumId="68">
    <w:nsid w:val="617C843E"/>
    <w:multiLevelType w:val="hybridMultilevel"/>
    <w:lvl w:ilvl="0">
      <w:lvlJc w:val="left"/>
      <w:lvlText w:val="%1:"/>
      <w:numFmt w:val="upperLetter"/>
      <w:start w:val="17"/>
    </w:lvl>
  </w:abstractNum>
  <w:abstractNum w:abstractNumId="69">
    <w:nsid w:val="7B541FAB"/>
    <w:multiLevelType w:val="hybridMultilevel"/>
    <w:lvl w:ilvl="0">
      <w:lvlJc w:val="left"/>
      <w:lvlText w:val="%1:"/>
      <w:numFmt w:val="upperLetter"/>
      <w:start w:val="1"/>
    </w:lvl>
  </w:abstractNum>
  <w:abstractNum w:abstractNumId="70">
    <w:nsid w:val="2A79EC49"/>
    <w:multiLevelType w:val="hybridMultilevel"/>
    <w:lvl w:ilvl="0">
      <w:lvlJc w:val="left"/>
      <w:lvlText w:val="%1:"/>
      <w:numFmt w:val="upperLetter"/>
      <w:start w:val="17"/>
    </w:lvl>
  </w:abstractNum>
  <w:abstractNum w:abstractNumId="71">
    <w:nsid w:val="338125CF"/>
    <w:multiLevelType w:val="hybridMultilevel"/>
    <w:lvl w:ilvl="0">
      <w:lvlJc w:val="left"/>
      <w:lvlText w:val="%1:"/>
      <w:numFmt w:val="upperLetter"/>
      <w:start w:val="1"/>
    </w:lvl>
  </w:abstractNum>
  <w:abstractNum w:abstractNumId="72">
    <w:nsid w:val="47C7C971"/>
    <w:multiLevelType w:val="hybridMultilevel"/>
    <w:lvl w:ilvl="0">
      <w:lvlJc w:val="left"/>
      <w:lvlText w:val="%1:"/>
      <w:numFmt w:val="upperLetter"/>
      <w:start w:val="17"/>
    </w:lvl>
  </w:abstractNum>
  <w:abstractNum w:abstractNumId="73">
    <w:nsid w:val="46F8284B"/>
    <w:multiLevelType w:val="hybridMultilevel"/>
    <w:lvl w:ilvl="0">
      <w:lvlJc w:val="left"/>
      <w:lvlText w:val="%1."/>
      <w:numFmt w:val="upperLetter"/>
      <w:start w:val="1"/>
    </w:lvl>
  </w:abstractNum>
  <w:abstractNum w:abstractNumId="74">
    <w:nsid w:val="4FA327CE"/>
    <w:multiLevelType w:val="hybridMultilevel"/>
    <w:lvl w:ilvl="0">
      <w:lvlJc w:val="left"/>
      <w:lvlText w:val="%1:"/>
      <w:numFmt w:val="upperLetter"/>
      <w:start w:val="17"/>
    </w:lvl>
  </w:abstractNum>
  <w:abstractNum w:abstractNumId="75">
    <w:nsid w:val="1873983A"/>
    <w:multiLevelType w:val="hybridMultilevel"/>
    <w:lvl w:ilvl="0">
      <w:lvlJc w:val="left"/>
      <w:lvlText w:val="%1:"/>
      <w:numFmt w:val="upperLetter"/>
      <w:start w:val="1"/>
    </w:lvl>
  </w:abstractNum>
  <w:abstractNum w:abstractNumId="76">
    <w:nsid w:val="3D2DD275"/>
    <w:multiLevelType w:val="hybridMultilevel"/>
    <w:lvl w:ilvl="0">
      <w:lvlJc w:val="left"/>
      <w:lvlText w:val="%1:"/>
      <w:numFmt w:val="upperLetter"/>
      <w:start w:val="17"/>
    </w:lvl>
  </w:abstractNum>
  <w:abstractNum w:abstractNumId="77">
    <w:nsid w:val="2E17ECA7"/>
    <w:multiLevelType w:val="hybridMultilevel"/>
    <w:lvl w:ilvl="0">
      <w:lvlJc w:val="left"/>
      <w:lvlText w:val="%1:"/>
      <w:numFmt w:val="upperLetter"/>
      <w:start w:val="1"/>
    </w:lvl>
  </w:abstractNum>
  <w:abstractNum w:abstractNumId="78">
    <w:nsid w:val="53B2564F"/>
    <w:multiLevelType w:val="hybridMultilevel"/>
    <w:lvl w:ilvl="0">
      <w:lvlJc w:val="left"/>
      <w:lvlText w:val="%1."/>
      <w:numFmt w:val="upperLetter"/>
      <w:start w:val="17"/>
    </w:lvl>
  </w:abstractNum>
  <w:abstractNum w:abstractNumId="79">
    <w:nsid w:val="75509D76"/>
    <w:multiLevelType w:val="hybridMultilevel"/>
    <w:lvl w:ilvl="0">
      <w:lvlJc w:val="left"/>
      <w:lvlText w:val="%1:"/>
      <w:numFmt w:val="upperLetter"/>
      <w:start w:val="1"/>
    </w:lvl>
  </w:abstractNum>
  <w:abstractNum w:abstractNumId="80">
    <w:nsid w:val="1AF7F0EA"/>
    <w:multiLevelType w:val="hybridMultilevel"/>
    <w:lvl w:ilvl="0">
      <w:lvlJc w:val="left"/>
      <w:lvlText w:val="%1:"/>
      <w:numFmt w:val="upperLetter"/>
      <w:start w:val="17"/>
    </w:lvl>
  </w:abstractNum>
  <w:abstractNum w:abstractNumId="81">
    <w:nsid w:val="4DA32C7E"/>
    <w:multiLevelType w:val="hybridMultilevel"/>
    <w:lvl w:ilvl="0">
      <w:lvlJc w:val="left"/>
      <w:lvlText w:val="%1:"/>
      <w:numFmt w:val="upperLetter"/>
      <w:start w:val="1"/>
    </w:lvl>
  </w:abstractNum>
  <w:abstractNum w:abstractNumId="82">
    <w:nsid w:val="6EC68664"/>
    <w:multiLevelType w:val="hybridMultilevel"/>
    <w:lvl w:ilvl="0">
      <w:lvlJc w:val="left"/>
      <w:lvlText w:val="%1:"/>
      <w:numFmt w:val="upperLetter"/>
      <w:start w:val="17"/>
    </w:lvl>
  </w:abstractNum>
  <w:abstractNum w:abstractNumId="83">
    <w:nsid w:val="E0D31FF"/>
    <w:multiLevelType w:val="hybridMultilevel"/>
    <w:lvl w:ilvl="0">
      <w:lvlJc w:val="left"/>
      <w:lvlText w:val="%1:"/>
      <w:numFmt w:val="upperLetter"/>
      <w:start w:val="1"/>
    </w:lvl>
    <w:lvl w:ilvl="1">
      <w:lvlJc w:val="left"/>
      <w:lvlText w:val="•"/>
      <w:numFmt w:val="bullet"/>
      <w:start w:val="1"/>
    </w:lvl>
  </w:abstractNum>
  <w:abstractNum w:abstractNumId="84">
    <w:nsid w:val="2FD0AD81"/>
    <w:multiLevelType w:val="hybridMultilevel"/>
    <w:lvl w:ilvl="0">
      <w:lvlJc w:val="left"/>
      <w:lvlText w:val="%1:"/>
      <w:numFmt w:val="upperLetter"/>
      <w:start w:val="17"/>
    </w:lvl>
  </w:abstractNum>
  <w:abstractNum w:abstractNumId="85">
    <w:nsid w:val="1978EBEB"/>
    <w:multiLevelType w:val="hybridMultilevel"/>
    <w:lvl w:ilvl="0">
      <w:lvlJc w:val="left"/>
      <w:lvlText w:val="%1:"/>
      <w:numFmt w:val="upperLetter"/>
      <w:start w:val="1"/>
    </w:lvl>
  </w:abstractNum>
  <w:abstractNum w:abstractNumId="86">
    <w:nsid w:val="52C12C61"/>
    <w:multiLevelType w:val="hybridMultilevel"/>
    <w:lvl w:ilvl="0">
      <w:lvlJc w:val="left"/>
      <w:lvlText w:val="%1:"/>
      <w:numFmt w:val="upperLetter"/>
      <w:start w:val="17"/>
    </w:lvl>
  </w:abstractNum>
  <w:abstractNum w:abstractNumId="87">
    <w:nsid w:val="4BDD53FD"/>
    <w:multiLevelType w:val="hybridMultilevel"/>
    <w:lvl w:ilvl="0">
      <w:lvlJc w:val="left"/>
      <w:lvlText w:val="%1:"/>
      <w:numFmt w:val="upperLetter"/>
      <w:start w:val="1"/>
    </w:lvl>
  </w:abstractNum>
  <w:abstractNum w:abstractNumId="88">
    <w:nsid w:val="569951FE"/>
    <w:multiLevelType w:val="hybridMultilevel"/>
    <w:lvl w:ilvl="0">
      <w:lvlJc w:val="left"/>
      <w:lvlText w:val="%1:"/>
      <w:numFmt w:val="upperLetter"/>
      <w:start w:val="17"/>
    </w:lvl>
  </w:abstractNum>
  <w:abstractNum w:abstractNumId="89">
    <w:nsid w:val="4C54E2C3"/>
    <w:multiLevelType w:val="hybridMultilevel"/>
    <w:lvl w:ilvl="0">
      <w:lvlJc w:val="left"/>
      <w:lvlText w:val="%1:"/>
      <w:numFmt w:val="upperLetter"/>
      <w:start w:val="1"/>
    </w:lvl>
  </w:abstractNum>
  <w:abstractNum w:abstractNumId="90">
    <w:nsid w:val="788BD9B"/>
    <w:multiLevelType w:val="hybridMultilevel"/>
    <w:lvl w:ilvl="0">
      <w:lvlJc w:val="left"/>
      <w:lvlText w:val="%1:"/>
      <w:numFmt w:val="upperLetter"/>
      <w:start w:val="17"/>
    </w:lvl>
  </w:abstractNum>
  <w:abstractNum w:abstractNumId="91">
    <w:nsid w:val="47CAA567"/>
    <w:multiLevelType w:val="hybridMultilevel"/>
    <w:lvl w:ilvl="0">
      <w:lvlJc w:val="left"/>
      <w:lvlText w:val="%1:"/>
      <w:numFmt w:val="upperLetter"/>
      <w:start w:val="1"/>
    </w:lvl>
  </w:abstractNum>
  <w:abstractNum w:abstractNumId="92">
    <w:nsid w:val="48249DBF"/>
    <w:multiLevelType w:val="hybridMultilevel"/>
    <w:lvl w:ilvl="0">
      <w:lvlJc w:val="left"/>
      <w:lvlText w:val="•"/>
      <w:numFmt w:val="bullet"/>
      <w:start w:val="1"/>
    </w:lvl>
  </w:abstractNum>
  <w:abstractNum w:abstractNumId="93">
    <w:nsid w:val="1F0E5D0D"/>
    <w:multiLevelType w:val="hybridMultilevel"/>
    <w:lvl w:ilvl="0">
      <w:lvlJc w:val="left"/>
      <w:lvlText w:val="•"/>
      <w:numFmt w:val="bullet"/>
      <w:start w:val="1"/>
    </w:lvl>
  </w:abstractNum>
  <w:abstractNum w:abstractNumId="94">
    <w:nsid w:val="26BAAE9"/>
    <w:multiLevelType w:val="hybridMultilevel"/>
    <w:lvl w:ilvl="0">
      <w:lvlJc w:val="left"/>
      <w:lvlText w:val="•"/>
      <w:numFmt w:val="bullet"/>
      <w:start w:val="1"/>
    </w:lvl>
  </w:abstractNum>
  <w:abstractNum w:abstractNumId="95">
    <w:nsid w:val="2C02FE8C"/>
    <w:multiLevelType w:val="hybridMultilevel"/>
    <w:lvl w:ilvl="0">
      <w:lvlJc w:val="left"/>
      <w:lvlText w:val="%1"/>
      <w:numFmt w:val="upperLetter"/>
      <w:start w:val="61"/>
    </w:lvl>
  </w:abstractNum>
  <w:abstractNum w:abstractNumId="96">
    <w:nsid w:val="129517E"/>
    <w:multiLevelType w:val="hybridMultilevel"/>
    <w:lvl w:ilvl="0">
      <w:lvlJc w:val="left"/>
      <w:lvlText w:val="(%1)"/>
      <w:numFmt w:val="lowerLetter"/>
      <w:start w:val="1"/>
    </w:lvl>
  </w:abstractNum>
  <w:abstractNum w:abstractNumId="97">
    <w:nsid w:val="763B8C4E"/>
    <w:multiLevelType w:val="hybridMultilevel"/>
    <w:lvl w:ilvl="0">
      <w:lvlJc w:val="left"/>
      <w:lvlText w:val="(%1)"/>
      <w:numFmt w:val="lowerLetter"/>
      <w:start w:val="4"/>
    </w:lvl>
  </w:abstractNum>
  <w:abstractNum w:abstractNumId="98">
    <w:nsid w:val="4CFB8D32"/>
    <w:multiLevelType w:val="hybridMultilevel"/>
    <w:lvl w:ilvl="0">
      <w:lvlJc w:val="left"/>
      <w:lvlText w:val="•"/>
      <w:numFmt w:val="bullet"/>
      <w:start w:val="1"/>
    </w:lvl>
  </w:abstractNum>
  <w:abstractNum w:abstractNumId="99">
    <w:nsid w:val="62A5D5BD"/>
    <w:multiLevelType w:val="hybridMultilevel"/>
    <w:lvl w:ilvl="0">
      <w:lvlJc w:val="left"/>
      <w:lvlText w:val="•"/>
      <w:numFmt w:val="bullet"/>
      <w:start w:val="1"/>
    </w:lvl>
  </w:abstractNum>
  <w:abstractNum w:abstractNumId="100">
    <w:nsid w:val="718FABF9"/>
    <w:multiLevelType w:val="hybridMultilevel"/>
    <w:lvl w:ilvl="0">
      <w:lvlJc w:val="left"/>
      <w:lvlText w:val="•"/>
      <w:numFmt w:val="bullet"/>
      <w:start w:val="1"/>
    </w:lvl>
  </w:abstractNum>
  <w:abstractNum w:abstractNumId="101">
    <w:nsid w:val="7775797C"/>
    <w:multiLevelType w:val="hybridMultilevel"/>
    <w:lvl w:ilvl="0">
      <w:lvlJc w:val="left"/>
      <w:lvlText w:val="•"/>
      <w:numFmt w:val="bullet"/>
      <w:start w:val="1"/>
    </w:lvl>
  </w:abstractNum>
  <w:abstractNum w:abstractNumId="102">
    <w:nsid w:val="1626FB8C"/>
    <w:multiLevelType w:val="hybridMultilevel"/>
    <w:lvl w:ilvl="0">
      <w:lvlJc w:val="left"/>
      <w:lvlText w:val="(%1)"/>
      <w:numFmt w:val="lowerRoman"/>
      <w:start w:val="1"/>
    </w:lvl>
  </w:abstractNum>
  <w:abstractNum w:abstractNumId="103">
    <w:nsid w:val="3957756A"/>
    <w:multiLevelType w:val="hybridMultilevel"/>
    <w:lvl w:ilvl="0">
      <w:lvlJc w:val="left"/>
      <w:lvlText w:val="(%1)"/>
      <w:numFmt w:val="lowerLetter"/>
      <w:start w:val="1"/>
    </w:lvl>
  </w:abstractNum>
  <w:abstractNum w:abstractNumId="104">
    <w:nsid w:val="3E6DA1C7"/>
    <w:multiLevelType w:val="hybridMultilevel"/>
    <w:lvl w:ilvl="0">
      <w:lvlJc w:val="left"/>
      <w:lvlText w:val="•"/>
      <w:numFmt w:val="bullet"/>
      <w:start w:val="1"/>
    </w:lvl>
  </w:abstractNum>
  <w:abstractNum w:abstractNumId="105">
    <w:nsid w:val="65CA235B"/>
    <w:multiLevelType w:val="hybridMultilevel"/>
    <w:lvl w:ilvl="0">
      <w:lvlJc w:val="left"/>
      <w:lvlText w:val="(%1)"/>
      <w:numFmt w:val="decimal"/>
      <w:start w:val="2"/>
    </w:lvl>
  </w:abstractNum>
  <w:abstractNum w:abstractNumId="106">
    <w:nsid w:val="51CB0DA4"/>
    <w:multiLevelType w:val="hybridMultilevel"/>
    <w:lvl w:ilvl="0">
      <w:lvlJc w:val="left"/>
      <w:lvlText w:val="(%1)"/>
      <w:numFmt w:val="decimal"/>
      <w:start w:val="1"/>
    </w:lvl>
  </w:abstractNum>
  <w:abstractNum w:abstractNumId="107">
    <w:nsid w:val="7B9B743C"/>
    <w:multiLevelType w:val="hybridMultilevel"/>
    <w:lvl w:ilvl="0">
      <w:lvlJc w:val="left"/>
      <w:lvlText w:val="•"/>
      <w:numFmt w:val="bullet"/>
      <w:start w:val="1"/>
    </w:lvl>
  </w:abstractNum>
  <w:abstractNum w:abstractNumId="108">
    <w:nsid w:val="13E21002"/>
    <w:multiLevelType w:val="hybridMultilevel"/>
    <w:lvl w:ilvl="0">
      <w:lvlJc w:val="left"/>
      <w:lvlText w:val="•"/>
      <w:numFmt w:val="bullet"/>
      <w:start w:val="1"/>
    </w:lvl>
  </w:abstractNum>
  <w:abstractNum w:abstractNumId="109">
    <w:nsid w:val="257D63F4"/>
    <w:multiLevelType w:val="hybridMultilevel"/>
    <w:lvl w:ilvl="0">
      <w:lvlJc w:val="left"/>
      <w:lvlText w:val="•"/>
      <w:numFmt w:val="bullet"/>
      <w:start w:val="1"/>
    </w:lvl>
  </w:abstractNum>
  <w:abstractNum w:abstractNumId="110">
    <w:nsid w:val="70EC11B2"/>
    <w:multiLevelType w:val="hybridMultilevel"/>
    <w:lvl w:ilvl="0">
      <w:lvlJc w:val="left"/>
      <w:lvlText w:val="•"/>
      <w:numFmt w:val="bullet"/>
      <w:start w:val="1"/>
    </w:lvl>
  </w:abstractNum>
  <w:abstractNum w:abstractNumId="111">
    <w:nsid w:val="2EDA00ED"/>
    <w:multiLevelType w:val="hybridMultilevel"/>
    <w:lvl w:ilvl="0">
      <w:lvlJc w:val="left"/>
      <w:lvlText w:val="•"/>
      <w:numFmt w:val="bullet"/>
      <w:start w:val="1"/>
    </w:lvl>
  </w:abstractNum>
  <w:abstractNum w:abstractNumId="112">
    <w:nsid w:val="73209072"/>
    <w:multiLevelType w:val="hybridMultilevel"/>
    <w:lvl w:ilvl="0">
      <w:lvlJc w:val="left"/>
      <w:lvlText w:val="•"/>
      <w:numFmt w:val="bullet"/>
      <w:start w:val="1"/>
    </w:lvl>
  </w:abstractNum>
  <w:abstractNum w:abstractNumId="113">
    <w:nsid w:val="5FB29816"/>
    <w:multiLevelType w:val="hybridMultilevel"/>
    <w:lvl w:ilvl="0">
      <w:lvlJc w:val="left"/>
      <w:lvlText w:val="•"/>
      <w:numFmt w:val="bullet"/>
      <w:start w:val="1"/>
    </w:lvl>
  </w:abstractNum>
  <w:abstractNum w:abstractNumId="114">
    <w:nsid w:val="3CE732EC"/>
    <w:multiLevelType w:val="hybridMultilevel"/>
    <w:lvl w:ilvl="0">
      <w:lvlJc w:val="left"/>
      <w:lvlText w:val="•"/>
      <w:numFmt w:val="bullet"/>
      <w:start w:val="1"/>
    </w:lvl>
  </w:abstractNum>
  <w:abstractNum w:abstractNumId="115">
    <w:nsid w:val="22F13DF3"/>
    <w:multiLevelType w:val="hybridMultilevel"/>
    <w:lvl w:ilvl="0">
      <w:lvlJc w:val="left"/>
      <w:lvlText w:val="•"/>
      <w:numFmt w:val="bullet"/>
      <w:start w:val="1"/>
    </w:lvl>
  </w:abstractNum>
  <w:abstractNum w:abstractNumId="116">
    <w:nsid w:val="792B8401"/>
    <w:multiLevelType w:val="hybridMultilevel"/>
    <w:lvl w:ilvl="0">
      <w:lvlJc w:val="left"/>
      <w:lvlText w:val="•"/>
      <w:numFmt w:val="bullet"/>
      <w:start w:val="1"/>
    </w:lvl>
  </w:abstractNum>
  <w:abstractNum w:abstractNumId="117">
    <w:nsid w:val="FA85F4D"/>
    <w:multiLevelType w:val="hybridMultilevel"/>
    <w:lvl w:ilvl="0">
      <w:lvlJc w:val="left"/>
      <w:lvlText w:val="•"/>
      <w:numFmt w:val="bullet"/>
      <w:start w:val="1"/>
    </w:lvl>
  </w:abstractNum>
  <w:abstractNum w:abstractNumId="118">
    <w:nsid w:val="6ECE91F0"/>
    <w:multiLevelType w:val="hybridMultilevel"/>
    <w:lvl w:ilvl="0">
      <w:lvlJc w:val="left"/>
      <w:lvlText w:val="•"/>
      <w:numFmt w:val="bullet"/>
      <w:start w:val="1"/>
    </w:lvl>
  </w:abstractNum>
  <w:abstractNum w:abstractNumId="119">
    <w:nsid w:val="4FC4D600"/>
    <w:multiLevelType w:val="hybridMultilevel"/>
    <w:lvl w:ilvl="0">
      <w:lvlJc w:val="left"/>
      <w:lvlText w:val="•"/>
      <w:numFmt w:val="bullet"/>
      <w:start w:val="1"/>
    </w:lvl>
  </w:abstractNum>
  <w:abstractNum w:abstractNumId="120">
    <w:nsid w:val="5BFD4210"/>
    <w:multiLevelType w:val="hybridMultilevel"/>
    <w:lvl w:ilvl="0">
      <w:lvlJc w:val="left"/>
      <w:lvlText w:val="•"/>
      <w:numFmt w:val="bullet"/>
      <w:start w:val="1"/>
    </w:lvl>
  </w:abstractNum>
  <w:abstractNum w:abstractNumId="121">
    <w:nsid w:val="76574F8B"/>
    <w:multiLevelType w:val="hybridMultilevel"/>
    <w:lvl w:ilvl="0">
      <w:lvlJc w:val="left"/>
      <w:lvlText w:val="•"/>
      <w:numFmt w:val="bullet"/>
      <w:start w:val="1"/>
    </w:lvl>
  </w:abstractNum>
  <w:abstractNum w:abstractNumId="122">
    <w:nsid w:val="178F7B67"/>
    <w:multiLevelType w:val="hybridMultilevel"/>
    <w:lvl w:ilvl="0">
      <w:lvlJc w:val="left"/>
      <w:lvlText w:val="•"/>
      <w:numFmt w:val="bullet"/>
      <w:start w:val="1"/>
    </w:lvl>
  </w:abstractNum>
  <w:abstractNum w:abstractNumId="123">
    <w:nsid w:val="2421DFCF"/>
    <w:multiLevelType w:val="hybridMultilevel"/>
    <w:lvl w:ilvl="0">
      <w:lvlJc w:val="left"/>
      <w:lvlText w:val="•"/>
      <w:numFmt w:val="bullet"/>
      <w:start w:val="1"/>
    </w:lvl>
  </w:abstractNum>
  <w:abstractNum w:abstractNumId="124">
    <w:nsid w:val="1565AC99"/>
    <w:multiLevelType w:val="hybridMultilevel"/>
    <w:lvl w:ilvl="0">
      <w:lvlJc w:val="left"/>
      <w:lvlText w:val="•"/>
      <w:numFmt w:val="bullet"/>
      <w:start w:val="1"/>
    </w:lvl>
  </w:abstractNum>
  <w:abstractNum w:abstractNumId="125">
    <w:nsid w:val="19FB2650"/>
    <w:multiLevelType w:val="hybridMultilevel"/>
    <w:lvl w:ilvl="0">
      <w:lvlJc w:val="left"/>
      <w:lvlText w:val="•"/>
      <w:numFmt w:val="bullet"/>
      <w:start w:val="1"/>
    </w:lvl>
  </w:abstractNum>
  <w:abstractNum w:abstractNumId="126">
    <w:nsid w:val="5024DE5B"/>
    <w:multiLevelType w:val="hybridMultilevel"/>
    <w:lvl w:ilvl="0">
      <w:lvlJc w:val="left"/>
      <w:lvlText w:val="•"/>
      <w:numFmt w:val="bullet"/>
      <w:start w:val="1"/>
    </w:lvl>
  </w:abstractNum>
  <w:abstractNum w:abstractNumId="127">
    <w:nsid w:val="168EFE17"/>
    <w:multiLevelType w:val="hybridMultilevel"/>
    <w:lvl w:ilvl="0">
      <w:lvlJc w:val="left"/>
      <w:lvlText w:val="•"/>
      <w:numFmt w:val="bullet"/>
      <w:start w:val="1"/>
    </w:lvl>
  </w:abstractNum>
  <w:abstractNum w:abstractNumId="128">
    <w:nsid w:val="1036B29F"/>
    <w:multiLevelType w:val="hybridMultilevel"/>
    <w:lvl w:ilvl="0">
      <w:lvlJc w:val="left"/>
      <w:lvlText w:val="•"/>
      <w:numFmt w:val="bullet"/>
      <w:start w:val="1"/>
    </w:lvl>
  </w:abstractNum>
  <w:abstractNum w:abstractNumId="129">
    <w:nsid w:val="1D206B8E"/>
    <w:multiLevelType w:val="hybridMultilevel"/>
    <w:lvl w:ilvl="0">
      <w:lvlJc w:val="left"/>
      <w:lvlText w:val="•"/>
      <w:numFmt w:val="bullet"/>
      <w:start w:val="1"/>
    </w:lvl>
  </w:abstractNum>
  <w:abstractNum w:abstractNumId="130">
    <w:nsid w:val="7934D3D4"/>
    <w:multiLevelType w:val="hybridMultilevel"/>
    <w:lvl w:ilvl="0">
      <w:lvlJc w:val="left"/>
      <w:lvlText w:val="•"/>
      <w:numFmt w:val="bullet"/>
      <w:start w:val="1"/>
    </w:lvl>
  </w:abstractNum>
  <w:abstractNum w:abstractNumId="131">
    <w:nsid w:val="1C65E98"/>
    <w:multiLevelType w:val="hybridMultilevel"/>
    <w:lvl w:ilvl="0">
      <w:lvlJc w:val="left"/>
      <w:lvlText w:val="(%1)"/>
      <w:numFmt w:val="lowerRoman"/>
      <w:start w:val="2"/>
    </w:lvl>
  </w:abstractNum>
  <w:abstractNum w:abstractNumId="132">
    <w:nsid w:val="1495E50A"/>
    <w:multiLevelType w:val="hybridMultilevel"/>
    <w:lvl w:ilvl="0">
      <w:lvlJc w:val="left"/>
      <w:lvlText w:val="•"/>
      <w:numFmt w:val="bullet"/>
      <w:start w:val="1"/>
    </w:lvl>
  </w:abstractNum>
  <w:abstractNum w:abstractNumId="133">
    <w:nsid w:val="F5BCF61"/>
    <w:multiLevelType w:val="hybridMultilevel"/>
    <w:lvl w:ilvl="0">
      <w:lvlJc w:val="left"/>
      <w:lvlText w:val="•"/>
      <w:numFmt w:val="bullet"/>
      <w:start w:val="1"/>
    </w:lvl>
  </w:abstractNum>
  <w:abstractNum w:abstractNumId="134">
    <w:nsid w:val="3B1DD403"/>
    <w:multiLevelType w:val="hybridMultilevel"/>
    <w:lvl w:ilvl="0">
      <w:lvlJc w:val="left"/>
      <w:lvlText w:val="•"/>
      <w:numFmt w:val="bullet"/>
      <w:start w:val="1"/>
    </w:lvl>
  </w:abstractNum>
  <w:abstractNum w:abstractNumId="135">
    <w:nsid w:val="530386D1"/>
    <w:multiLevelType w:val="hybridMultilevel"/>
    <w:lvl w:ilvl="0">
      <w:lvlJc w:val="left"/>
      <w:lvlText w:val="•"/>
      <w:numFmt w:val="bullet"/>
      <w:start w:val="1"/>
    </w:lvl>
  </w:abstractNum>
  <w:abstractNum w:abstractNumId="136">
    <w:nsid w:val="7525F2BC"/>
    <w:multiLevelType w:val="hybridMultilevel"/>
    <w:lvl w:ilvl="0">
      <w:lvlJc w:val="left"/>
      <w:lvlText w:val="•"/>
      <w:numFmt w:val="bullet"/>
      <w:start w:val="1"/>
    </w:lvl>
  </w:abstractNum>
  <w:abstractNum w:abstractNumId="137">
    <w:nsid w:val="CE8E1A7"/>
    <w:multiLevelType w:val="hybridMultilevel"/>
    <w:lvl w:ilvl="0">
      <w:lvlJc w:val="left"/>
      <w:lvlText w:val="•"/>
      <w:numFmt w:val="bullet"/>
      <w:start w:val="1"/>
    </w:lvl>
  </w:abstractNum>
  <w:abstractNum w:abstractNumId="138">
    <w:nsid w:val="4E9EFB0D"/>
    <w:multiLevelType w:val="hybridMultilevel"/>
    <w:lvl w:ilvl="0">
      <w:lvlJc w:val="left"/>
      <w:lvlText w:val="•"/>
      <w:numFmt w:val="bullet"/>
      <w:start w:val="1"/>
    </w:lvl>
  </w:abstractNum>
  <w:abstractNum w:abstractNumId="139">
    <w:nsid w:val="90802BE"/>
    <w:multiLevelType w:val="hybridMultilevel"/>
    <w:lvl w:ilvl="0">
      <w:lvlJc w:val="left"/>
      <w:lvlText w:val="•"/>
      <w:numFmt w:val="bullet"/>
      <w:start w:val="1"/>
    </w:lvl>
  </w:abstractNum>
  <w:abstractNum w:abstractNumId="140">
    <w:nsid w:val="3266459B"/>
    <w:multiLevelType w:val="hybridMultilevel"/>
    <w:lvl w:ilvl="0">
      <w:lvlJc w:val="left"/>
      <w:lvlText w:val="•"/>
      <w:numFmt w:val="bullet"/>
      <w:start w:val="1"/>
    </w:lvl>
  </w:abstractNum>
  <w:abstractNum w:abstractNumId="141">
    <w:nsid w:val="3F8B0CBF"/>
    <w:multiLevelType w:val="hybridMultilevel"/>
    <w:lvl w:ilvl="0">
      <w:lvlJc w:val="left"/>
      <w:lvlText w:val="•"/>
      <w:numFmt w:val="bullet"/>
      <w:start w:val="1"/>
    </w:lvl>
  </w:abstractNum>
  <w:abstractNum w:abstractNumId="142">
    <w:nsid w:val="37E203AB"/>
    <w:multiLevelType w:val="hybridMultilevel"/>
    <w:lvl w:ilvl="0">
      <w:lvlJc w:val="left"/>
      <w:lvlText w:val="•"/>
      <w:numFmt w:val="bullet"/>
      <w:start w:val="1"/>
    </w:lvl>
  </w:abstractNum>
  <w:abstractNum w:abstractNumId="143">
    <w:nsid w:val="2586D60E"/>
    <w:multiLevelType w:val="hybridMultilevel"/>
    <w:lvl w:ilvl="0">
      <w:lvlJc w:val="left"/>
      <w:lvlText w:val="•"/>
      <w:numFmt w:val="bullet"/>
      <w:start w:val="1"/>
    </w:lvl>
  </w:abstractNum>
  <w:abstractNum w:abstractNumId="144">
    <w:nsid w:val="1F3DA4D5"/>
    <w:multiLevelType w:val="hybridMultilevel"/>
    <w:lvl w:ilvl="0">
      <w:lvlJc w:val="left"/>
      <w:lvlText w:val="•"/>
      <w:numFmt w:val="bullet"/>
      <w:start w:val="1"/>
    </w:lvl>
  </w:abstractNum>
  <w:abstractNum w:abstractNumId="145">
    <w:nsid w:val="74C93698"/>
    <w:multiLevelType w:val="hybridMultilevel"/>
    <w:lvl w:ilvl="0">
      <w:lvlJc w:val="left"/>
      <w:lvlText w:val="•"/>
      <w:numFmt w:val="bullet"/>
      <w:start w:val="1"/>
    </w:lvl>
  </w:abstractNum>
  <w:abstractNum w:abstractNumId="146">
    <w:nsid w:val="48781401"/>
    <w:multiLevelType w:val="hybridMultilevel"/>
    <w:lvl w:ilvl="0">
      <w:lvlJc w:val="left"/>
      <w:lvlText w:val="•"/>
      <w:numFmt w:val="bullet"/>
      <w:start w:val="1"/>
    </w:lvl>
  </w:abstractNum>
  <w:abstractNum w:abstractNumId="147">
    <w:nsid w:val="186928D6"/>
    <w:multiLevelType w:val="hybridMultilevel"/>
    <w:lvl w:ilvl="0">
      <w:lvlJc w:val="left"/>
      <w:lvlText w:val="•"/>
      <w:numFmt w:val="bullet"/>
      <w:start w:val="1"/>
    </w:lvl>
  </w:abstractNum>
  <w:abstractNum w:abstractNumId="148">
    <w:nsid w:val="47195E5"/>
    <w:multiLevelType w:val="hybridMultilevel"/>
    <w:lvl w:ilvl="0">
      <w:lvlJc w:val="left"/>
      <w:lvlText w:val="(%1)"/>
      <w:numFmt w:val="lowerLetter"/>
      <w:start w:val="1"/>
    </w:lvl>
  </w:abstractNum>
  <w:abstractNum w:abstractNumId="149">
    <w:nsid w:val="3746A5F2"/>
    <w:multiLevelType w:val="hybridMultilevel"/>
    <w:lvl w:ilvl="0">
      <w:lvlJc w:val="left"/>
      <w:lvlText w:val="(%1)"/>
      <w:numFmt w:val="upperLetter"/>
      <w:start w:val="1"/>
    </w:lvl>
  </w:abstractNum>
  <w:abstractNum w:abstractNumId="150">
    <w:nsid w:val="682DFED6"/>
    <w:multiLevelType w:val="hybridMultilevel"/>
    <w:lvl w:ilvl="0">
      <w:lvlJc w:val="left"/>
      <w:lvlText w:val="•"/>
      <w:numFmt w:val="bullet"/>
      <w:start w:val="1"/>
    </w:lvl>
  </w:abstractNum>
  <w:abstractNum w:abstractNumId="151">
    <w:nsid w:val="606ED7F6"/>
    <w:multiLevelType w:val="hybridMultilevel"/>
    <w:lvl w:ilvl="0">
      <w:lvlJc w:val="left"/>
      <w:lvlText w:val="•"/>
      <w:numFmt w:val="bullet"/>
      <w:start w:val="1"/>
    </w:lvl>
  </w:abstractNum>
  <w:abstractNum w:abstractNumId="152">
    <w:nsid w:val="2D9DF57D"/>
    <w:multiLevelType w:val="hybridMultilevel"/>
    <w:lvl w:ilvl="0">
      <w:lvlJc w:val="left"/>
      <w:lvlText w:val="%1)"/>
      <w:numFmt w:val="lowerLetter"/>
      <w:start w:val="1"/>
    </w:lvl>
  </w:abstractNum>
  <w:abstractNum w:abstractNumId="153">
    <w:nsid w:val="7FBD7A3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4">
    <w:nsid w:val="490B7C5"/>
    <w:multiLevelType w:val="hybridMultilevel"/>
    <w:lvl w:ilvl="0">
      <w:lvlJc w:val="left"/>
      <w:lvlText w:val="%1)"/>
      <w:numFmt w:val="lowerLetter"/>
      <w:start w:val="6"/>
    </w:lvl>
  </w:abstractNum>
  <w:abstractNum w:abstractNumId="155">
    <w:nsid w:val="4303A216"/>
    <w:multiLevelType w:val="hybridMultilevel"/>
    <w:lvl w:ilvl="0">
      <w:lvlJc w:val="left"/>
      <w:lvlText w:val="%1)"/>
      <w:numFmt w:val="lowerLetter"/>
      <w:start w:val="7"/>
    </w:lvl>
  </w:abstractNum>
  <w:abstractNum w:abstractNumId="156">
    <w:nsid w:val="19B8A08E"/>
    <w:multiLevelType w:val="hybridMultilevel"/>
    <w:lvl w:ilvl="0">
      <w:lvlJc w:val="left"/>
      <w:lvlText w:val="(%1)"/>
      <w:numFmt w:val="decimal"/>
      <w:start w:val="1"/>
    </w:lvl>
  </w:abstractNum>
  <w:abstractNum w:abstractNumId="157">
    <w:nsid w:val="54B59621"/>
    <w:multiLevelType w:val="hybridMultilevel"/>
    <w:lvl w:ilvl="0">
      <w:lvlJc w:val="left"/>
      <w:lvlText w:val="(%1)"/>
      <w:numFmt w:val="decimal"/>
      <w:start w:val="2"/>
    </w:lvl>
  </w:abstractNum>
  <w:abstractNum w:abstractNumId="158">
    <w:nsid w:val="5992A02E"/>
    <w:multiLevelType w:val="hybridMultilevel"/>
    <w:lvl w:ilvl="0">
      <w:lvlJc w:val="left"/>
      <w:lvlText w:val="(%1)"/>
      <w:numFmt w:val="lowerRoman"/>
      <w:start w:val="2"/>
    </w:lvl>
  </w:abstractNum>
  <w:abstractNum w:abstractNumId="159">
    <w:nsid w:val="29EF532D"/>
    <w:multiLevelType w:val="hybridMultilevel"/>
    <w:lvl w:ilvl="0">
      <w:lvlJc w:val="left"/>
      <w:lvlText w:val="•"/>
      <w:numFmt w:val="bullet"/>
      <w:start w:val="1"/>
    </w:lvl>
  </w:abstractNum>
  <w:abstractNum w:abstractNumId="160">
    <w:nsid w:val="71D601AF"/>
    <w:multiLevelType w:val="hybridMultilevel"/>
    <w:lvl w:ilvl="0">
      <w:lvlJc w:val="left"/>
      <w:lvlText w:val="•"/>
      <w:numFmt w:val="bullet"/>
      <w:start w:val="1"/>
    </w:lvl>
  </w:abstractNum>
  <w:abstractNum w:abstractNumId="161">
    <w:nsid w:val="52C77402"/>
    <w:multiLevelType w:val="hybridMultilevel"/>
    <w:lvl w:ilvl="0">
      <w:lvlJc w:val="left"/>
      <w:lvlText w:val="•"/>
      <w:numFmt w:val="bullet"/>
      <w:start w:val="1"/>
    </w:lvl>
  </w:abstractNum>
  <w:abstractNum w:abstractNumId="162">
    <w:nsid w:val="2BB5B1C6"/>
    <w:multiLevelType w:val="hybridMultilevel"/>
    <w:lvl w:ilvl="0">
      <w:lvlJc w:val="left"/>
      <w:lvlText w:val="•"/>
      <w:numFmt w:val="bullet"/>
      <w:start w:val="1"/>
    </w:lvl>
  </w:abstractNum>
  <w:abstractNum w:abstractNumId="163">
    <w:nsid w:val="66BE6B9"/>
    <w:multiLevelType w:val="hybridMultilevel"/>
    <w:lvl w:ilvl="0">
      <w:lvlJc w:val="left"/>
      <w:lvlText w:val="•"/>
      <w:numFmt w:val="bullet"/>
      <w:start w:val="1"/>
    </w:lvl>
  </w:abstractNum>
  <w:abstractNum w:abstractNumId="164">
    <w:nsid w:val="62234363"/>
    <w:multiLevelType w:val="hybridMultilevel"/>
    <w:lvl w:ilvl="0">
      <w:lvlJc w:val="left"/>
      <w:lvlText w:val="•"/>
      <w:numFmt w:val="bullet"/>
      <w:start w:val="1"/>
    </w:lvl>
  </w:abstractNum>
  <w:abstractNum w:abstractNumId="165">
    <w:nsid w:val="66D385C9"/>
    <w:multiLevelType w:val="hybridMultilevel"/>
    <w:lvl w:ilvl="0">
      <w:lvlJc w:val="left"/>
      <w:lvlText w:val="•"/>
      <w:numFmt w:val="bullet"/>
      <w:start w:val="1"/>
    </w:lvl>
  </w:abstractNum>
  <w:abstractNum w:abstractNumId="166">
    <w:nsid w:val="596F6D8A"/>
    <w:multiLevelType w:val="hybridMultilevel"/>
    <w:lvl w:ilvl="0">
      <w:lvlJc w:val="left"/>
      <w:lvlText w:val="•"/>
      <w:numFmt w:val="bullet"/>
      <w:start w:val="1"/>
    </w:lvl>
  </w:abstractNum>
  <w:abstractNum w:abstractNumId="167">
    <w:nsid w:val="5749361F"/>
    <w:multiLevelType w:val="hybridMultilevel"/>
    <w:lvl w:ilvl="0">
      <w:lvlJc w:val="left"/>
      <w:lvlText w:val="•"/>
      <w:numFmt w:val="bullet"/>
      <w:start w:val="1"/>
    </w:lvl>
  </w:abstractNum>
  <w:abstractNum w:abstractNumId="168">
    <w:nsid w:val="73BC6770"/>
    <w:multiLevelType w:val="hybridMultilevel"/>
    <w:lvl w:ilvl="0">
      <w:lvlJc w:val="left"/>
      <w:lvlText w:val="•"/>
      <w:numFmt w:val="bullet"/>
      <w:start w:val="1"/>
    </w:lvl>
  </w:abstractNum>
  <w:abstractNum w:abstractNumId="169">
    <w:nsid w:val="280E6897"/>
    <w:multiLevelType w:val="hybridMultilevel"/>
    <w:lvl w:ilvl="0">
      <w:lvlJc w:val="left"/>
      <w:lvlText w:val="•"/>
      <w:numFmt w:val="bullet"/>
      <w:start w:val="1"/>
    </w:lvl>
  </w:abstractNum>
  <w:abstractNum w:abstractNumId="170">
    <w:nsid w:val="605138DE"/>
    <w:multiLevelType w:val="hybridMultilevel"/>
    <w:lvl w:ilvl="0">
      <w:lvlJc w:val="left"/>
      <w:lvlText w:val="•"/>
      <w:numFmt w:val="bullet"/>
      <w:start w:val="1"/>
    </w:lvl>
  </w:abstractNum>
  <w:abstractNum w:abstractNumId="171">
    <w:nsid w:val="2622AD0C"/>
    <w:multiLevelType w:val="hybridMultilevel"/>
    <w:lvl w:ilvl="0">
      <w:lvlJc w:val="left"/>
      <w:lvlText w:val="(%1)"/>
      <w:numFmt w:val="lowerRoman"/>
      <w:start w:val="3"/>
    </w:lvl>
  </w:abstractNum>
  <w:abstractNum w:abstractNumId="172">
    <w:nsid w:val="67997556"/>
    <w:multiLevelType w:val="hybridMultilevel"/>
    <w:lvl w:ilvl="0">
      <w:lvlJc w:val="left"/>
      <w:lvlText w:val="•"/>
      <w:numFmt w:val="bullet"/>
      <w:start w:val="1"/>
    </w:lvl>
  </w:abstractNum>
  <w:abstractNum w:abstractNumId="173">
    <w:nsid w:val="18333C89"/>
    <w:multiLevelType w:val="hybridMultilevel"/>
    <w:lvl w:ilvl="0">
      <w:lvlJc w:val="left"/>
      <w:lvlText w:val="•"/>
      <w:numFmt w:val="bullet"/>
      <w:start w:val="1"/>
    </w:lvl>
  </w:abstractNum>
  <w:abstractNum w:abstractNumId="174">
    <w:nsid w:val="4BA9831A"/>
    <w:multiLevelType w:val="hybridMultilevel"/>
    <w:lvl w:ilvl="0">
      <w:lvlJc w:val="left"/>
      <w:lvlText w:val="•"/>
      <w:numFmt w:val="bullet"/>
      <w:start w:val="1"/>
    </w:lvl>
  </w:abstractNum>
  <w:abstractNum w:abstractNumId="175">
    <w:nsid w:val="6D71A2B"/>
    <w:multiLevelType w:val="hybridMultilevel"/>
    <w:lvl w:ilvl="0">
      <w:lvlJc w:val="left"/>
      <w:lvlText w:val="•"/>
      <w:numFmt w:val="bullet"/>
      <w:start w:val="1"/>
    </w:lvl>
  </w:abstractNum>
  <w:abstractNum w:abstractNumId="176">
    <w:nsid w:val="CFC7321"/>
    <w:multiLevelType w:val="hybridMultilevel"/>
    <w:lvl w:ilvl="0">
      <w:lvlJc w:val="left"/>
      <w:lvlText w:val="•"/>
      <w:numFmt w:val="bullet"/>
      <w:start w:val="1"/>
    </w:lvl>
  </w:abstractNum>
  <w:abstractNum w:abstractNumId="177">
    <w:nsid w:val="1421971B"/>
    <w:multiLevelType w:val="hybridMultilevel"/>
    <w:lvl w:ilvl="0">
      <w:lvlJc w:val="left"/>
      <w:lvlText w:val="•"/>
      <w:numFmt w:val="bullet"/>
      <w:start w:val="1"/>
    </w:lvl>
  </w:abstractNum>
  <w:abstractNum w:abstractNumId="178">
    <w:nsid w:val="1F404301"/>
    <w:multiLevelType w:val="hybridMultilevel"/>
    <w:lvl w:ilvl="0">
      <w:lvlJc w:val="left"/>
      <w:lvlText w:val="•"/>
      <w:numFmt w:val="bullet"/>
      <w:start w:val="1"/>
    </w:lvl>
  </w:abstractNum>
  <w:abstractNum w:abstractNumId="179">
    <w:nsid w:val="116E0907"/>
    <w:multiLevelType w:val="hybridMultilevel"/>
    <w:lvl w:ilvl="0">
      <w:lvlJc w:val="left"/>
      <w:lvlText w:val="(%1)"/>
      <w:numFmt w:val="lowerLetter"/>
      <w:start w:val="1"/>
    </w:lvl>
  </w:abstractNum>
  <w:abstractNum w:abstractNumId="180">
    <w:nsid w:val="4B683D0D"/>
    <w:multiLevelType w:val="hybridMultilevel"/>
    <w:lvl w:ilvl="0">
      <w:lvlJc w:val="left"/>
      <w:lvlText w:val="•"/>
      <w:numFmt w:val="bullet"/>
      <w:start w:val="1"/>
    </w:lvl>
  </w:abstractNum>
  <w:abstractNum w:abstractNumId="181">
    <w:nsid w:val="76E41D8"/>
    <w:multiLevelType w:val="hybridMultilevel"/>
    <w:lvl w:ilvl="0">
      <w:lvlJc w:val="left"/>
      <w:lvlText w:val="•"/>
      <w:numFmt w:val="bullet"/>
      <w:start w:val="1"/>
    </w:lvl>
  </w:abstractNum>
  <w:abstractNum w:abstractNumId="182">
    <w:nsid w:val="71DCE0FD"/>
    <w:multiLevelType w:val="hybridMultilevel"/>
    <w:lvl w:ilvl="0">
      <w:lvlJc w:val="left"/>
      <w:lvlText w:val="•"/>
      <w:numFmt w:val="bullet"/>
      <w:start w:val="1"/>
    </w:lvl>
  </w:abstractNum>
  <w:abstractNum w:abstractNumId="183">
    <w:nsid w:val="7906328B"/>
    <w:multiLevelType w:val="hybridMultilevel"/>
    <w:lvl w:ilvl="0">
      <w:lvlJc w:val="left"/>
      <w:lvlText w:val="•"/>
      <w:numFmt w:val="bullet"/>
      <w:start w:val="1"/>
    </w:lvl>
  </w:abstractNum>
  <w:abstractNum w:abstractNumId="184">
    <w:nsid w:val="72BBC16"/>
    <w:multiLevelType w:val="hybridMultilevel"/>
    <w:lvl w:ilvl="0">
      <w:lvlJc w:val="left"/>
      <w:lvlText w:val="•"/>
      <w:numFmt w:val="bullet"/>
      <w:start w:val="1"/>
    </w:lvl>
  </w:abstractNum>
  <w:abstractNum w:abstractNumId="185">
    <w:nsid w:val="766D98C2"/>
    <w:multiLevelType w:val="hybridMultilevel"/>
    <w:lvl w:ilvl="0">
      <w:lvlJc w:val="left"/>
      <w:lvlText w:val="•"/>
      <w:numFmt w:val="bullet"/>
      <w:start w:val="1"/>
    </w:lvl>
  </w:abstractNum>
  <w:abstractNum w:abstractNumId="186">
    <w:nsid w:val="3C09D4A1"/>
    <w:multiLevelType w:val="hybridMultilevel"/>
    <w:lvl w:ilvl="0">
      <w:lvlJc w:val="left"/>
      <w:lvlText w:val="(%1)"/>
      <w:numFmt w:val="lowerRoman"/>
      <w:start w:val="2"/>
    </w:lvl>
  </w:abstractNum>
  <w:abstractNum w:abstractNumId="187">
    <w:nsid w:val="20E45CA4"/>
    <w:multiLevelType w:val="hybridMultilevel"/>
    <w:lvl w:ilvl="0">
      <w:lvlJc w:val="left"/>
      <w:lvlText w:val="•"/>
      <w:numFmt w:val="bullet"/>
      <w:start w:val="1"/>
    </w:lvl>
  </w:abstractNum>
  <w:abstractNum w:abstractNumId="188">
    <w:nsid w:val="4B232EE3"/>
    <w:multiLevelType w:val="hybridMultilevel"/>
    <w:lvl w:ilvl="0">
      <w:lvlJc w:val="left"/>
      <w:lvlText w:val="•"/>
      <w:numFmt w:val="bullet"/>
      <w:start w:val="1"/>
    </w:lvl>
  </w:abstractNum>
  <w:abstractNum w:abstractNumId="189">
    <w:nsid w:val="159C74CF"/>
    <w:multiLevelType w:val="hybridMultilevel"/>
    <w:lvl w:ilvl="0">
      <w:lvlJc w:val="left"/>
      <w:lvlText w:val="•"/>
      <w:numFmt w:val="bullet"/>
      <w:start w:val="1"/>
    </w:lvl>
  </w:abstractNum>
  <w:abstractNum w:abstractNumId="190">
    <w:nsid w:val="4AD3AFD2"/>
    <w:multiLevelType w:val="hybridMultilevel"/>
    <w:lvl w:ilvl="0">
      <w:lvlJc w:val="left"/>
      <w:lvlText w:val="(%1)"/>
      <w:numFmt w:val="decimal"/>
      <w:start w:val="1"/>
    </w:lvl>
  </w:abstractNum>
  <w:abstractNum w:abstractNumId="191">
    <w:nsid w:val="3CF93092"/>
    <w:multiLevelType w:val="hybridMultilevel"/>
    <w:lvl w:ilvl="0">
      <w:lvlJc w:val="left"/>
      <w:lvlText w:val="(%1)"/>
      <w:numFmt w:val="lowerRoman"/>
      <w:start w:val="2"/>
    </w:lvl>
  </w:abstractNum>
  <w:abstractNum w:abstractNumId="192">
    <w:nsid w:val="6863E8D2"/>
    <w:multiLevelType w:val="hybridMultilevel"/>
    <w:lvl w:ilvl="0">
      <w:lvlJc w:val="left"/>
      <w:lvlText w:val="(%1)"/>
      <w:numFmt w:val="decimal"/>
      <w:start w:val="1"/>
    </w:lvl>
  </w:abstractNum>
  <w:abstractNum w:abstractNumId="193">
    <w:nsid w:val="76896198"/>
    <w:multiLevelType w:val="hybridMultilevel"/>
    <w:lvl w:ilvl="0">
      <w:lvlJc w:val="left"/>
      <w:lvlText w:val="(%1)"/>
      <w:numFmt w:val="decimal"/>
      <w:start w:val="1"/>
    </w:lvl>
  </w:abstractNum>
  <w:abstractNum w:abstractNumId="194">
    <w:nsid w:val="4365174B"/>
    <w:multiLevelType w:val="hybridMultilevel"/>
    <w:lvl w:ilvl="0">
      <w:lvlJc w:val="left"/>
      <w:lvlText w:val="(%1)"/>
      <w:numFmt w:val="decimal"/>
      <w:start w:val="1"/>
    </w:lvl>
  </w:abstractNum>
  <w:abstractNum w:abstractNumId="195">
    <w:nsid w:val="4A872C35"/>
    <w:multiLevelType w:val="hybridMultilevel"/>
    <w:lvl w:ilvl="0">
      <w:lvlJc w:val="left"/>
      <w:lvlText w:val="•"/>
      <w:numFmt w:val="bullet"/>
      <w:start w:val="1"/>
    </w:lvl>
  </w:abstractNum>
  <w:abstractNum w:abstractNumId="196">
    <w:nsid w:val="5D5CE761"/>
    <w:multiLevelType w:val="hybridMultilevel"/>
    <w:lvl w:ilvl="0">
      <w:lvlJc w:val="left"/>
      <w:lvlText w:val="•"/>
      <w:numFmt w:val="bullet"/>
      <w:start w:val="1"/>
    </w:lvl>
  </w:abstractNum>
  <w:abstractNum w:abstractNumId="197">
    <w:nsid w:val="1CD484D5"/>
    <w:multiLevelType w:val="hybridMultilevel"/>
    <w:lvl w:ilvl="0">
      <w:lvlJc w:val="left"/>
      <w:lvlText w:val="•"/>
      <w:numFmt w:val="bullet"/>
      <w:start w:val="1"/>
    </w:lvl>
  </w:abstractNum>
  <w:abstractNum w:abstractNumId="198">
    <w:nsid w:val="21D06255"/>
    <w:multiLevelType w:val="hybridMultilevel"/>
    <w:lvl w:ilvl="0">
      <w:lvlJc w:val="left"/>
      <w:lvlText w:val="•"/>
      <w:numFmt w:val="bullet"/>
      <w:start w:val="1"/>
    </w:lvl>
  </w:abstractNum>
  <w:abstractNum w:abstractNumId="199">
    <w:nsid w:val="51194ED1"/>
    <w:multiLevelType w:val="hybridMultilevel"/>
    <w:lvl w:ilvl="0">
      <w:lvlJc w:val="left"/>
      <w:lvlText w:val="•"/>
      <w:numFmt w:val="bullet"/>
      <w:start w:val="1"/>
    </w:lvl>
  </w:abstractNum>
  <w:abstractNum w:abstractNumId="200">
    <w:nsid w:val="44E2ED6C"/>
    <w:multiLevelType w:val="hybridMultilevel"/>
    <w:lvl w:ilvl="0">
      <w:lvlJc w:val="left"/>
      <w:lvlText w:val="•"/>
      <w:numFmt w:val="bullet"/>
      <w:start w:val="1"/>
    </w:lvl>
  </w:abstractNum>
  <w:abstractNum w:abstractNumId="201">
    <w:nsid w:val="2219B33"/>
    <w:multiLevelType w:val="hybridMultilevel"/>
    <w:lvl w:ilvl="0">
      <w:lvlJc w:val="left"/>
      <w:lvlText w:val="•"/>
      <w:numFmt w:val="bullet"/>
      <w:start w:val="1"/>
    </w:lvl>
  </w:abstractNum>
  <w:abstractNum w:abstractNumId="202">
    <w:nsid w:val="773BFBDD"/>
    <w:multiLevelType w:val="hybridMultilevel"/>
    <w:lvl w:ilvl="0">
      <w:lvlJc w:val="left"/>
      <w:lvlText w:val="•"/>
      <w:numFmt w:val="bullet"/>
      <w:start w:val="1"/>
    </w:lvl>
  </w:abstractNum>
  <w:abstractNum w:abstractNumId="203">
    <w:nsid w:val="2C7C62C2"/>
    <w:multiLevelType w:val="hybridMultilevel"/>
    <w:lvl w:ilvl="0">
      <w:lvlJc w:val="left"/>
      <w:lvlText w:val="•"/>
      <w:numFmt w:val="bullet"/>
      <w:start w:val="1"/>
    </w:lvl>
  </w:abstractNum>
  <w:abstractNum w:abstractNumId="204">
    <w:nsid w:val="1A54D7BC"/>
    <w:multiLevelType w:val="hybridMultilevel"/>
    <w:lvl w:ilvl="0">
      <w:lvlJc w:val="left"/>
      <w:lvlText w:val="•"/>
      <w:numFmt w:val="bullet"/>
      <w:start w:val="1"/>
    </w:lvl>
  </w:abstractNum>
  <w:abstractNum w:abstractNumId="205">
    <w:nsid w:val="42E57EF7"/>
    <w:multiLevelType w:val="hybridMultilevel"/>
    <w:lvl w:ilvl="0">
      <w:lvlJc w:val="left"/>
      <w:lvlText w:val="•"/>
      <w:numFmt w:val="bullet"/>
      <w:start w:val="1"/>
    </w:lvl>
  </w:abstractNum>
  <w:abstractNum w:abstractNumId="206">
    <w:nsid w:val="33537CED"/>
    <w:multiLevelType w:val="hybridMultilevel"/>
    <w:lvl w:ilvl="0">
      <w:lvlJc w:val="left"/>
      <w:lvlText w:val="•"/>
      <w:numFmt w:val="bullet"/>
      <w:start w:val="1"/>
    </w:lvl>
  </w:abstractNum>
  <w:abstractNum w:abstractNumId="207">
    <w:nsid w:val="27514ADE"/>
    <w:multiLevelType w:val="hybridMultilevel"/>
    <w:lvl w:ilvl="0">
      <w:lvlJc w:val="left"/>
      <w:lvlText w:val="(%1)"/>
      <w:numFmt w:val="lowerRoman"/>
      <w:start w:val="1"/>
    </w:lvl>
  </w:abstractNum>
  <w:abstractNum w:abstractNumId="208">
    <w:nsid w:val="57071613"/>
    <w:multiLevelType w:val="hybridMultilevel"/>
    <w:lvl w:ilvl="0">
      <w:lvlJc w:val="left"/>
      <w:lvlText w:val="•"/>
      <w:numFmt w:val="bullet"/>
      <w:start w:val="1"/>
    </w:lvl>
  </w:abstractNum>
  <w:abstractNum w:abstractNumId="209">
    <w:nsid w:val="5293BFEF"/>
    <w:multiLevelType w:val="hybridMultilevel"/>
    <w:lvl w:ilvl="0">
      <w:lvlJc w:val="left"/>
      <w:lvlText w:val="•"/>
      <w:numFmt w:val="bullet"/>
      <w:start w:val="1"/>
    </w:lvl>
  </w:abstractNum>
  <w:abstractNum w:abstractNumId="210">
    <w:nsid w:val="38BF53E5"/>
    <w:multiLevelType w:val="hybridMultilevel"/>
    <w:lvl w:ilvl="0">
      <w:lvlJc w:val="left"/>
      <w:lvlText w:val="•"/>
      <w:numFmt w:val="bullet"/>
      <w:start w:val="1"/>
    </w:lvl>
  </w:abstractNum>
  <w:abstractNum w:abstractNumId="211">
    <w:nsid w:val="226F5320"/>
    <w:multiLevelType w:val="hybridMultilevel"/>
    <w:lvl w:ilvl="0">
      <w:lvlJc w:val="left"/>
      <w:lvlText w:val="(%1)"/>
      <w:numFmt w:val="decimal"/>
      <w:start w:val="1"/>
    </w:lvl>
  </w:abstractNum>
  <w:abstractNum w:abstractNumId="212">
    <w:nsid w:val="5A0201C7"/>
    <w:multiLevelType w:val="hybridMultilevel"/>
    <w:lvl w:ilvl="0">
      <w:lvlJc w:val="left"/>
      <w:lvlText w:val="(%1)"/>
      <w:numFmt w:val="lowerRoman"/>
      <w:start w:val="1"/>
    </w:lvl>
  </w:abstractNum>
  <w:abstractNum w:abstractNumId="213">
    <w:nsid w:val="2A9C34E2"/>
    <w:multiLevelType w:val="hybridMultilevel"/>
    <w:lvl w:ilvl="0">
      <w:lvlJc w:val="left"/>
      <w:lvlText w:val="(%1)"/>
      <w:numFmt w:val="lowerRoman"/>
      <w:start w:val="2"/>
    </w:lvl>
  </w:abstractNum>
  <w:abstractNum w:abstractNumId="214">
    <w:nsid w:val="1B7585AB"/>
    <w:multiLevelType w:val="hybridMultilevel"/>
    <w:lvl w:ilvl="0">
      <w:lvlJc w:val="left"/>
      <w:lvlText w:val="•"/>
      <w:numFmt w:val="bullet"/>
      <w:start w:val="1"/>
    </w:lvl>
  </w:abstractNum>
  <w:abstractNum w:abstractNumId="215">
    <w:nsid w:val="612DBDDD"/>
    <w:multiLevelType w:val="hybridMultilevel"/>
    <w:lvl w:ilvl="0">
      <w:lvlJc w:val="left"/>
      <w:lvlText w:val="•"/>
      <w:numFmt w:val="bullet"/>
      <w:start w:val="1"/>
    </w:lvl>
  </w:abstractNum>
  <w:abstractNum w:abstractNumId="216">
    <w:nsid w:val="2109CDA4"/>
    <w:multiLevelType w:val="hybridMultilevel"/>
    <w:lvl w:ilvl="0">
      <w:lvlJc w:val="left"/>
      <w:lvlText w:val="•"/>
      <w:numFmt w:val="bullet"/>
      <w:start w:val="1"/>
    </w:lvl>
  </w:abstractNum>
  <w:abstractNum w:abstractNumId="217">
    <w:nsid w:val="577F5A4D"/>
    <w:multiLevelType w:val="hybridMultilevel"/>
    <w:lvl w:ilvl="0">
      <w:lvlJc w:val="left"/>
      <w:lvlText w:val="•"/>
      <w:numFmt w:val="bullet"/>
      <w:start w:val="1"/>
    </w:lvl>
  </w:abstractNum>
  <w:abstractNum w:abstractNumId="218">
    <w:nsid w:val="2121A81"/>
    <w:multiLevelType w:val="hybridMultilevel"/>
    <w:lvl w:ilvl="0">
      <w:lvlJc w:val="left"/>
      <w:lvlText w:val="(%1)"/>
      <w:numFmt w:val="lowerLetter"/>
      <w:start w:val="1"/>
    </w:lvl>
  </w:abstractNum>
  <w:abstractNum w:abstractNumId="219">
    <w:nsid w:val="6C2CFC88"/>
    <w:multiLevelType w:val="hybridMultilevel"/>
    <w:lvl w:ilvl="0">
      <w:lvlJc w:val="left"/>
      <w:lvlText w:val="(%1)"/>
      <w:numFmt w:val="lowerRoman"/>
      <w:start w:val="1"/>
    </w:lvl>
  </w:abstractNum>
  <w:abstractNum w:abstractNumId="220">
    <w:nsid w:val="6D1BCF1C"/>
    <w:multiLevelType w:val="hybridMultilevel"/>
    <w:lvl w:ilvl="0">
      <w:lvlJc w:val="left"/>
      <w:lvlText w:val="(%1)"/>
      <w:numFmt w:val="lowerRoman"/>
      <w:start w:val="2"/>
    </w:lvl>
  </w:abstractNum>
  <w:abstractNum w:abstractNumId="221">
    <w:nsid w:val="4CE5CA53"/>
    <w:multiLevelType w:val="hybridMultilevel"/>
    <w:lvl w:ilvl="0">
      <w:lvlJc w:val="left"/>
      <w:lvlText w:val="(%1)"/>
      <w:numFmt w:val="lowerRoman"/>
      <w:start w:val="2"/>
    </w:lvl>
  </w:abstractNum>
  <w:abstractNum w:abstractNumId="222">
    <w:nsid w:val="29262D1A"/>
    <w:multiLevelType w:val="hybridMultilevel"/>
    <w:lvl w:ilvl="0">
      <w:lvlJc w:val="left"/>
      <w:lvlText w:val="•"/>
      <w:numFmt w:val="bullet"/>
      <w:start w:val="1"/>
    </w:lvl>
  </w:abstractNum>
  <w:abstractNum w:abstractNumId="223">
    <w:nsid w:val="557FB7EE"/>
    <w:multiLevelType w:val="hybridMultilevel"/>
    <w:lvl w:ilvl="0">
      <w:lvlJc w:val="left"/>
      <w:lvlText w:val="*"/>
      <w:numFmt w:val="bullet"/>
      <w:start w:val="1"/>
    </w:lvl>
  </w:abstractNum>
  <w:abstractNum w:abstractNumId="224">
    <w:nsid w:val="436F2BEB"/>
    <w:multiLevelType w:val="hybridMultilevel"/>
    <w:lvl w:ilvl="0">
      <w:lvlJc w:val="left"/>
      <w:lvlText w:val="(%1)"/>
      <w:numFmt w:val="decimal"/>
      <w:start w:val="1"/>
    </w:lvl>
  </w:abstractNum>
  <w:abstractNum w:abstractNumId="225">
    <w:nsid w:val="6C8B4466"/>
    <w:multiLevelType w:val="hybridMultilevel"/>
    <w:lvl w:ilvl="0">
      <w:lvlJc w:val="left"/>
      <w:lvlText w:val="(%1)"/>
      <w:numFmt w:val="decimal"/>
      <w:start w:val="5"/>
    </w:lvl>
  </w:abstractNum>
  <w:abstractNum w:abstractNumId="226">
    <w:nsid w:val="2006E424"/>
    <w:multiLevelType w:val="hybridMultilevel"/>
    <w:lvl w:ilvl="0">
      <w:lvlJc w:val="left"/>
      <w:lvlText w:val="•"/>
      <w:numFmt w:val="bullet"/>
      <w:start w:val="1"/>
    </w:lvl>
  </w:abstractNum>
  <w:abstractNum w:abstractNumId="227">
    <w:nsid w:val="20CC134C"/>
    <w:multiLevelType w:val="hybridMultilevel"/>
    <w:lvl w:ilvl="0">
      <w:lvlJc w:val="left"/>
      <w:lvlText w:val="(%1)"/>
      <w:numFmt w:val="decimal"/>
      <w:start w:val="1"/>
    </w:lvl>
  </w:abstractNum>
  <w:abstractNum w:abstractNumId="228">
    <w:nsid w:val="95FC93B"/>
    <w:multiLevelType w:val="hybridMultilevel"/>
    <w:lvl w:ilvl="0">
      <w:lvlJc w:val="left"/>
      <w:lvlText w:val="(%1)"/>
      <w:numFmt w:val="decimal"/>
      <w:start w:val="1"/>
    </w:lvl>
  </w:abstractNum>
  <w:abstractNum w:abstractNumId="229">
    <w:nsid w:val="41D74679"/>
    <w:multiLevelType w:val="hybridMultilevel"/>
    <w:lvl w:ilvl="0">
      <w:lvlJc w:val="left"/>
      <w:lvlText w:val="•"/>
      <w:numFmt w:val="bullet"/>
      <w:start w:val="1"/>
    </w:lvl>
  </w:abstractNum>
  <w:abstractNum w:abstractNumId="230">
    <w:nsid w:val="71E5621E"/>
    <w:multiLevelType w:val="hybridMultilevel"/>
    <w:lvl w:ilvl="0">
      <w:lvlJc w:val="left"/>
      <w:lvlText w:val="(%1)"/>
      <w:numFmt w:val="lowerLetter"/>
      <w:start w:val="1"/>
    </w:lvl>
  </w:abstractNum>
  <w:abstractNum w:abstractNumId="231">
    <w:nsid w:val="4E42B6A8"/>
    <w:multiLevelType w:val="hybridMultilevel"/>
    <w:lvl w:ilvl="0">
      <w:lvlJc w:val="left"/>
      <w:lvlText w:val="$"/>
      <w:numFmt w:val="bullet"/>
      <w:start w:val="1"/>
    </w:lvl>
  </w:abstractNum>
  <w:abstractNum w:abstractNumId="232">
    <w:nsid w:val="43F8E1AC"/>
    <w:multiLevelType w:val="hybridMultilevel"/>
    <w:lvl w:ilvl="0">
      <w:lvlJc w:val="left"/>
      <w:lvlText w:val="(%1)"/>
      <w:numFmt w:val="lowerRoman"/>
      <w:start w:val="2"/>
    </w:lvl>
  </w:abstractNum>
  <w:abstractNum w:abstractNumId="233">
    <w:nsid w:val="69215DFB"/>
    <w:multiLevelType w:val="hybridMultilevel"/>
    <w:lvl w:ilvl="0">
      <w:lvlJc w:val="left"/>
      <w:lvlText w:val="•"/>
      <w:numFmt w:val="bullet"/>
      <w:start w:val="1"/>
    </w:lvl>
  </w:abstractNum>
  <w:abstractNum w:abstractNumId="234">
    <w:nsid w:val="7ABF196A"/>
    <w:multiLevelType w:val="hybridMultilevel"/>
    <w:lvl w:ilvl="0">
      <w:lvlJc w:val="left"/>
      <w:lvlText w:val="•"/>
      <w:numFmt w:val="bullet"/>
      <w:start w:val="1"/>
    </w:lvl>
  </w:abstractNum>
  <w:abstractNum w:abstractNumId="235">
    <w:nsid w:val="5E4DB968"/>
    <w:multiLevelType w:val="hybridMultilevel"/>
    <w:lvl w:ilvl="0">
      <w:lvlJc w:val="left"/>
      <w:lvlText w:val="(%1)"/>
      <w:numFmt w:val="lowerRoman"/>
      <w:start w:val="5"/>
    </w:lvl>
  </w:abstractNum>
  <w:abstractNum w:abstractNumId="236">
    <w:nsid w:val="2C06DCF3"/>
    <w:multiLevelType w:val="hybridMultilevel"/>
    <w:lvl w:ilvl="0">
      <w:lvlJc w:val="left"/>
      <w:lvlText w:val="(%1)"/>
      <w:numFmt w:val="lowerRoman"/>
      <w:start w:val="3"/>
    </w:lvl>
  </w:abstractNum>
  <w:abstractNum w:abstractNumId="237">
    <w:nsid w:val="2E129658"/>
    <w:multiLevelType w:val="hybridMultilevel"/>
    <w:lvl w:ilvl="0">
      <w:lvlJc w:val="left"/>
      <w:lvlText w:val="(%1)"/>
      <w:numFmt w:val="decimal"/>
      <w:start w:val="1"/>
    </w:lvl>
  </w:abstractNum>
  <w:abstractNum w:abstractNumId="238">
    <w:nsid w:val="59F0446"/>
    <w:multiLevelType w:val="hybridMultilevel"/>
    <w:lvl w:ilvl="0">
      <w:lvlJc w:val="left"/>
      <w:lvlText w:val="(%1)"/>
      <w:numFmt w:val="decimal"/>
      <w:start w:val="1"/>
    </w:lvl>
  </w:abstractNum>
  <w:abstractNum w:abstractNumId="239">
    <w:nsid w:val="30DF306"/>
    <w:multiLevelType w:val="hybridMultilevel"/>
    <w:lvl w:ilvl="0">
      <w:lvlJc w:val="left"/>
      <w:lvlText w:val="(%1)"/>
      <w:numFmt w:val="decimal"/>
      <w:start w:val="1"/>
    </w:lvl>
  </w:abstractNum>
  <w:abstractNum w:abstractNumId="240">
    <w:nsid w:val="A65647"/>
    <w:multiLevelType w:val="hybridMultilevel"/>
    <w:lvl w:ilvl="0">
      <w:lvlJc w:val="left"/>
      <w:lvlText w:val="$"/>
      <w:numFmt w:val="bullet"/>
      <w:start w:val="1"/>
    </w:lvl>
  </w:abstractNum>
  <w:abstractNum w:abstractNumId="241">
    <w:nsid w:val="3E5E582B"/>
    <w:multiLevelType w:val="hybridMultilevel"/>
    <w:lvl w:ilvl="0">
      <w:lvlJc w:val="left"/>
      <w:lvlText w:val="(%1)"/>
      <w:numFmt w:val="lowerRoman"/>
      <w:start w:val="2"/>
    </w:lvl>
  </w:abstractNum>
  <w:abstractNum w:abstractNumId="242">
    <w:nsid w:val="257D4626"/>
    <w:multiLevelType w:val="hybridMultilevel"/>
    <w:lvl w:ilvl="0">
      <w:lvlJc w:val="left"/>
      <w:lvlText w:val="(%1)"/>
      <w:numFmt w:val="lowerRoman"/>
      <w:start w:val="2"/>
    </w:lvl>
  </w:abstractNum>
  <w:abstractNum w:abstractNumId="243">
    <w:nsid w:val="5AA8580E"/>
    <w:multiLevelType w:val="hybridMultilevel"/>
    <w:lvl w:ilvl="0">
      <w:lvlJc w:val="left"/>
      <w:lvlText w:val="(%1)"/>
      <w:numFmt w:val="lowerRoman"/>
      <w:start w:val="2"/>
    </w:lvl>
  </w:abstractNum>
  <w:abstractNum w:abstractNumId="244">
    <w:nsid w:val="68FA8D0D"/>
    <w:multiLevelType w:val="hybridMultilevel"/>
    <w:lvl w:ilvl="0">
      <w:lvlJc w:val="left"/>
      <w:lvlText w:val="(%1)"/>
      <w:numFmt w:val="lowerRoman"/>
      <w:start w:val="2"/>
    </w:lvl>
  </w:abstractNum>
  <w:abstractNum w:abstractNumId="245">
    <w:nsid w:val="40F2CBD2"/>
    <w:multiLevelType w:val="hybridMultilevel"/>
    <w:lvl w:ilvl="0">
      <w:lvlJc w:val="left"/>
      <w:lvlText w:val="(%1)"/>
      <w:numFmt w:val="lowerRoman"/>
      <w:start w:val="2"/>
    </w:lvl>
  </w:abstractNum>
  <w:abstractNum w:abstractNumId="246">
    <w:nsid w:val="3BD615EB"/>
    <w:multiLevelType w:val="hybridMultilevel"/>
    <w:lvl w:ilvl="0">
      <w:lvlJc w:val="left"/>
      <w:lvlText w:val="(%1)"/>
      <w:numFmt w:val="lowerLetter"/>
      <w:start w:val="2"/>
    </w:lvl>
  </w:abstractNum>
  <w:abstractNum w:abstractNumId="247">
    <w:nsid w:val="A045AB2"/>
    <w:multiLevelType w:val="hybridMultilevel"/>
    <w:lvl w:ilvl="0">
      <w:lvlJc w:val="left"/>
      <w:lvlText w:val="(%1)"/>
      <w:numFmt w:val="lowerLetter"/>
      <w:start w:val="6"/>
    </w:lvl>
  </w:abstractNum>
  <w:abstractNum w:abstractNumId="248">
    <w:nsid w:val="1872261F"/>
    <w:multiLevelType w:val="hybridMultilevel"/>
    <w:lvl w:ilvl="0">
      <w:lvlJc w:val="left"/>
      <w:lvlText w:val="(%1)"/>
      <w:numFmt w:val="lowerLetter"/>
      <w:start w:val="1"/>
    </w:lvl>
  </w:abstractNum>
  <w:abstractNum w:abstractNumId="249">
    <w:nsid w:val="3DE8306C"/>
    <w:multiLevelType w:val="hybridMultilevel"/>
    <w:lvl w:ilvl="0">
      <w:lvlJc w:val="left"/>
      <w:lvlText w:val="(%1)"/>
      <w:numFmt w:val="lowerLetter"/>
      <w:start w:val="1"/>
    </w:lvl>
  </w:abstractNum>
  <w:abstractNum w:abstractNumId="250">
    <w:nsid w:val="7631573A"/>
    <w:multiLevelType w:val="hybridMultilevel"/>
    <w:lvl w:ilvl="0">
      <w:lvlJc w:val="left"/>
      <w:lvlText w:val="%1"/>
      <w:numFmt w:val="upperLetter"/>
      <w:start w:val="1"/>
    </w:lvl>
    <w:lvl w:ilvl="1">
      <w:lvlJc w:val="left"/>
      <w:lvlText w:val="(%2)"/>
      <w:numFmt w:val="lowerLetter"/>
      <w:start w:val="1"/>
    </w:lvl>
  </w:abstractNum>
  <w:abstractNum w:abstractNumId="251">
    <w:nsid w:val="58DF53B"/>
    <w:multiLevelType w:val="hybridMultilevel"/>
    <w:lvl w:ilvl="0">
      <w:lvlJc w:val="left"/>
      <w:lvlText w:val="(%1)"/>
      <w:numFmt w:val="upperLetter"/>
      <w:start w:val="2"/>
    </w:lvl>
    <w:lvl w:ilvl="1">
      <w:lvlJc w:val="left"/>
      <w:lvlText w:val="(%2)"/>
      <w:numFmt w:val="lowerLetter"/>
      <w:start w:val="3"/>
    </w:lvl>
  </w:abstractNum>
  <w:abstractNum w:abstractNumId="252">
    <w:nsid w:val="ACDFAC0"/>
    <w:multiLevelType w:val="hybridMultilevel"/>
    <w:lvl w:ilvl="0">
      <w:lvlJc w:val="left"/>
      <w:lvlText w:val="(%1)"/>
      <w:numFmt w:val="lowerLetter"/>
      <w:start w:val="6"/>
    </w:lvl>
  </w:abstractNum>
  <w:abstractNum w:abstractNumId="253">
    <w:nsid w:val="1F578454"/>
    <w:multiLevelType w:val="hybridMultilevel"/>
    <w:lvl w:ilvl="0">
      <w:lvlJc w:val="left"/>
      <w:lvlText w:val="(%1)"/>
      <w:numFmt w:val="lowerLetter"/>
      <w:start w:val="1"/>
    </w:lvl>
  </w:abstractNum>
  <w:abstractNum w:abstractNumId="254">
    <w:nsid w:val="5B0DAD2A"/>
    <w:multiLevelType w:val="hybridMultilevel"/>
    <w:lvl w:ilvl="0">
      <w:lvlJc w:val="left"/>
      <w:lvlText w:val="(%1)"/>
      <w:numFmt w:val="lowerLetter"/>
      <w:start w:val="1"/>
    </w:lvl>
  </w:abstractNum>
  <w:abstractNum w:abstractNumId="255">
    <w:nsid w:val="4E3D26AB"/>
    <w:multiLevelType w:val="hybridMultilevel"/>
    <w:lvl w:ilvl="0">
      <w:lvlJc w:val="left"/>
      <w:lvlText w:val="%1"/>
      <w:numFmt w:val="lowerRoman"/>
      <w:start w:val="1"/>
    </w:lvl>
    <w:lvl w:ilvl="1">
      <w:lvlJc w:val="left"/>
      <w:lvlText w:val="(%2)"/>
      <w:numFmt w:val="lowerLetter"/>
      <w:start w:val="1"/>
    </w:lvl>
  </w:abstractNum>
  <w:abstractNum w:abstractNumId="256">
    <w:nsid w:val="BE2C8BA"/>
    <w:multiLevelType w:val="hybridMultilevel"/>
    <w:lvl w:ilvl="0">
      <w:lvlJc w:val="left"/>
      <w:lvlText w:val="(%1)"/>
      <w:numFmt w:val="lowerRoman"/>
      <w:start w:val="2"/>
    </w:lvl>
    <w:lvl w:ilvl="1">
      <w:lvlJc w:val="left"/>
      <w:lvlText w:val="%2"/>
      <w:numFmt w:val="lowerLetter"/>
      <w:start w:val="1"/>
    </w:lvl>
  </w:abstractNum>
  <w:abstractNum w:abstractNumId="257">
    <w:nsid w:val="7B14914E"/>
    <w:multiLevelType w:val="hybridMultilevel"/>
    <w:lvl w:ilvl="0">
      <w:lvlJc w:val="left"/>
      <w:lvlText w:val="(%1)"/>
      <w:numFmt w:val="lowerLetter"/>
      <w:start w:val="1"/>
    </w:lvl>
  </w:abstractNum>
  <w:abstractNum w:abstractNumId="258">
    <w:nsid w:val="6F0939F8"/>
    <w:multiLevelType w:val="hybridMultilevel"/>
    <w:lvl w:ilvl="0">
      <w:lvlJc w:val="left"/>
      <w:lvlText w:val="(%1)"/>
      <w:numFmt w:val="lowerLetter"/>
      <w:start w:val="1"/>
    </w:lvl>
    <w:lvl w:ilvl="1">
      <w:lvlJc w:val="left"/>
      <w:lvlText w:val="(%2)"/>
      <w:numFmt w:val="lowerRoman"/>
      <w:start w:val="1"/>
    </w:lvl>
  </w:abstractNum>
  <w:abstractNum w:abstractNumId="259">
    <w:nsid w:val="154291F6"/>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7"/>
    </w:lvl>
  </w:abstractNum>
  <w:abstractNum w:abstractNumId="260">
    <w:nsid w:val="3CEBD7C7"/>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3"/>
    </w:lvl>
    <w:lvl w:ilvl="3">
      <w:lvlJc w:val="left"/>
      <w:lvlText w:val="%4"/>
      <w:numFmt w:val="lowerRoman"/>
      <w:start w:val="1"/>
    </w:lvl>
  </w:abstractNum>
  <w:abstractNum w:abstractNumId="261">
    <w:nsid w:val="60EE9C16"/>
    <w:multiLevelType w:val="hybridMultilevel"/>
    <w:lvl w:ilvl="0">
      <w:lvlJc w:val="left"/>
      <w:lvlText w:val="%1"/>
      <w:numFmt w:val="lowerLetter"/>
      <w:start w:val="1"/>
    </w:lvl>
    <w:lvl w:ilvl="1">
      <w:lvlJc w:val="left"/>
      <w:lvlText w:val="(%2)"/>
      <w:numFmt w:val="lowerLetter"/>
      <w:start w:val="1"/>
    </w:lvl>
  </w:abstractNum>
  <w:abstractNum w:abstractNumId="262">
    <w:nsid w:val="6385489E"/>
    <w:multiLevelType w:val="hybridMultilevel"/>
    <w:lvl w:ilvl="0">
      <w:lvlJc w:val="left"/>
      <w:lvlText w:val="(%1)"/>
      <w:numFmt w:val="lowerLetter"/>
      <w:start w:val="35"/>
    </w:lvl>
    <w:lvl w:ilvl="1">
      <w:lvlJc w:val="left"/>
      <w:lvlText w:val="(%2)"/>
      <w:numFmt w:val="lowerLetter"/>
      <w:start w:val="2"/>
    </w:lvl>
  </w:abstractNum>
  <w:abstractNum w:abstractNumId="263">
    <w:nsid w:val="E4B973"/>
    <w:multiLevelType w:val="hybridMultilevel"/>
    <w:lvl w:ilvl="0">
      <w:lvlJc w:val="left"/>
      <w:lvlText w:val="(%1)"/>
      <w:numFmt w:val="lowerLetter"/>
      <w:start w:val="1"/>
    </w:lvl>
  </w:abstractNum>
  <w:abstractNum w:abstractNumId="264">
    <w:nsid w:val="4A0FFA11"/>
    <w:multiLevelType w:val="hybridMultilevel"/>
    <w:lvl w:ilvl="0">
      <w:lvlJc w:val="left"/>
      <w:lvlText w:val="(%1)"/>
      <w:numFmt w:val="lowerLetter"/>
      <w:start w:val="3"/>
    </w:lvl>
  </w:abstractNum>
  <w:abstractNum w:abstractNumId="265">
    <w:nsid w:val="5E446208"/>
    <w:multiLevelType w:val="hybridMultilevel"/>
    <w:lvl w:ilvl="0">
      <w:lvlJc w:val="left"/>
      <w:lvlText w:val="(%1)"/>
      <w:numFmt w:val="lowerLetter"/>
      <w:start w:val="8"/>
    </w:lvl>
  </w:abstractNum>
  <w:abstractNum w:abstractNumId="266">
    <w:nsid w:val="5F3272DB"/>
    <w:multiLevelType w:val="hybridMultilevel"/>
    <w:lvl w:ilvl="0">
      <w:lvlJc w:val="left"/>
      <w:lvlText w:val="(%1)"/>
      <w:numFmt w:val="lowerLetter"/>
      <w:start w:val="1"/>
    </w:lvl>
  </w:abstractNum>
  <w:abstractNum w:abstractNumId="267">
    <w:nsid w:val="7616D704"/>
    <w:multiLevelType w:val="hybridMultilevel"/>
    <w:lvl w:ilvl="0">
      <w:lvlJc w:val="left"/>
      <w:lvlText w:val="%1"/>
      <w:numFmt w:val="lowerLetter"/>
      <w:start w:val="1"/>
    </w:lvl>
    <w:lvl w:ilvl="1">
      <w:lvlJc w:val="left"/>
      <w:lvlText w:val="(%2)"/>
      <w:numFmt w:val="lowerLetter"/>
      <w:start w:val="3"/>
    </w:lvl>
  </w:abstractNum>
  <w:abstractNum w:abstractNumId="268">
    <w:nsid w:val="C56F860"/>
    <w:multiLevelType w:val="hybridMultilevel"/>
    <w:lvl w:ilvl="0">
      <w:lvlJc w:val="left"/>
      <w:lvlText w:val="(%1)"/>
      <w:numFmt w:val="lowerLetter"/>
      <w:start w:val="9"/>
    </w:lvl>
    <w:lvl w:ilvl="1">
      <w:lvlJc w:val="left"/>
      <w:lvlText w:val="(%2)"/>
      <w:numFmt w:val="lowerLetter"/>
      <w:start w:val="4"/>
    </w:lvl>
  </w:abstractNum>
  <w:abstractNum w:abstractNumId="269">
    <w:nsid w:val="64D17722"/>
    <w:multiLevelType w:val="hybridMultilevel"/>
    <w:lvl w:ilvl="0">
      <w:lvlJc w:val="left"/>
      <w:lvlText w:val="(%1)"/>
      <w:numFmt w:val="lowerLetter"/>
      <w:start w:val="9"/>
    </w:lvl>
    <w:lvl w:ilvl="1">
      <w:lvlJc w:val="left"/>
      <w:lvlText w:val="%2"/>
      <w:numFmt w:val="lowerLetter"/>
      <w:start w:val="1"/>
    </w:lvl>
  </w:abstractNum>
  <w:abstractNum w:abstractNumId="270">
    <w:nsid w:val="7924CA0A"/>
    <w:multiLevelType w:val="hybridMultilevel"/>
    <w:lvl w:ilvl="0">
      <w:lvlJc w:val="left"/>
      <w:lvlText w:val="(%1)"/>
      <w:numFmt w:val="lowerLetter"/>
      <w:start w:val="1"/>
    </w:lvl>
  </w:abstractNum>
  <w:abstractNum w:abstractNumId="271">
    <w:nsid w:val="CFD4EA7"/>
    <w:multiLevelType w:val="hybridMultilevel"/>
    <w:lvl w:ilvl="0">
      <w:lvlJc w:val="left"/>
      <w:lvlText w:val="(%1)"/>
      <w:numFmt w:val="lowerLetter"/>
      <w:start w:val="1"/>
    </w:lvl>
  </w:abstractNum>
  <w:abstractNum w:abstractNumId="272">
    <w:nsid w:val="232FCF4D"/>
    <w:multiLevelType w:val="hybridMultilevel"/>
    <w:lvl w:ilvl="0">
      <w:lvlJc w:val="left"/>
      <w:lvlText w:val="(%1)"/>
      <w:numFmt w:val="lowerLetter"/>
      <w:start w:val="2"/>
    </w:lvl>
  </w:abstractNum>
  <w:abstractNum w:abstractNumId="273">
    <w:nsid w:val="1EA21031"/>
    <w:multiLevelType w:val="hybridMultilevel"/>
    <w:lvl w:ilvl="0">
      <w:lvlJc w:val="left"/>
      <w:lvlText w:val="%1"/>
      <w:numFmt w:val="lowerLetter"/>
      <w:start w:val="1"/>
    </w:lvl>
    <w:lvl w:ilvl="1">
      <w:lvlJc w:val="left"/>
      <w:lvlText w:val="(%2)"/>
      <w:numFmt w:val="lowerLetter"/>
      <w:start w:val="1"/>
    </w:lvl>
  </w:abstractNum>
  <w:abstractNum w:abstractNumId="274">
    <w:nsid w:val="67A5A6B5"/>
    <w:multiLevelType w:val="hybridMultilevel"/>
    <w:lvl w:ilvl="0">
      <w:lvlJc w:val="left"/>
      <w:lvlText w:val="(%1)"/>
      <w:numFmt w:val="lowerLetter"/>
      <w:start w:val="35"/>
    </w:lvl>
    <w:lvl w:ilvl="1">
      <w:lvlJc w:val="left"/>
      <w:lvlText w:val="%2"/>
      <w:numFmt w:val="lowerLetter"/>
      <w:start w:val="1"/>
    </w:lvl>
  </w:abstractNum>
  <w:abstractNum w:abstractNumId="275">
    <w:nsid w:val="C2A5C5B"/>
    <w:multiLevelType w:val="hybridMultilevel"/>
    <w:lvl w:ilvl="0">
      <w:lvlJc w:val="left"/>
      <w:lvlText w:val="%1"/>
      <w:numFmt w:val="lowerLetter"/>
      <w:start w:val="1"/>
    </w:lvl>
    <w:lvl w:ilvl="1">
      <w:lvlJc w:val="left"/>
      <w:lvlText w:val="(%2)"/>
      <w:numFmt w:val="lowerLetter"/>
      <w:start w:val="3"/>
    </w:lvl>
  </w:abstractNum>
  <w:abstractNum w:abstractNumId="276">
    <w:nsid w:val="5F94DC03"/>
    <w:multiLevelType w:val="hybridMultilevel"/>
    <w:lvl w:ilvl="0">
      <w:lvlJc w:val="left"/>
      <w:lvlText w:val="(%1)"/>
      <w:numFmt w:val="lowerLetter"/>
      <w:start w:val="61"/>
    </w:lvl>
    <w:lvl w:ilvl="1">
      <w:lvlJc w:val="left"/>
      <w:lvlText w:val="(%2)"/>
      <w:numFmt w:val="lowerLetter"/>
      <w:start w:val="8"/>
    </w:lvl>
  </w:abstractNum>
  <w:abstractNum w:abstractNumId="277">
    <w:nsid w:val="237BBCA0"/>
    <w:multiLevelType w:val="hybridMultilevel"/>
    <w:lvl w:ilvl="0">
      <w:lvlJc w:val="left"/>
      <w:lvlText w:val="(%1)"/>
      <w:numFmt w:val="lowerLetter"/>
      <w:start w:val="1"/>
    </w:lvl>
  </w:abstractNum>
  <w:abstractNum w:abstractNumId="278">
    <w:nsid w:val="162EB70D"/>
    <w:multiLevelType w:val="hybridMultilevel"/>
    <w:lvl w:ilvl="0">
      <w:lvlJc w:val="left"/>
      <w:lvlText w:val="%1"/>
      <w:numFmt w:val="lowerLetter"/>
      <w:start w:val="1"/>
    </w:lvl>
    <w:lvl w:ilvl="1">
      <w:lvlJc w:val="left"/>
      <w:lvlText w:val="(%2)"/>
      <w:numFmt w:val="lowerLetter"/>
      <w:start w:val="1"/>
    </w:lvl>
  </w:abstractNum>
  <w:abstractNum w:abstractNumId="279">
    <w:nsid w:val="78070222"/>
    <w:multiLevelType w:val="hybridMultilevel"/>
    <w:lvl w:ilvl="0">
      <w:lvlJc w:val="left"/>
      <w:lvlText w:val="(%1)"/>
      <w:numFmt w:val="lowerLetter"/>
      <w:start w:val="61"/>
    </w:lvl>
    <w:lvl w:ilvl="1">
      <w:lvlJc w:val="left"/>
      <w:lvlText w:val="(%2)"/>
      <w:numFmt w:val="lowerLetter"/>
      <w:start w:val="2"/>
    </w:lvl>
  </w:abstractNum>
  <w:abstractNum w:abstractNumId="280">
    <w:nsid w:val="6163ED0D"/>
    <w:multiLevelType w:val="hybridMultilevel"/>
    <w:lvl w:ilvl="0">
      <w:lvlJc w:val="left"/>
      <w:lvlText w:val="(%1)"/>
      <w:numFmt w:val="lowerLetter"/>
      <w:start w:val="3"/>
    </w:lvl>
  </w:abstractNum>
  <w:abstractNum w:abstractNumId="281">
    <w:nsid w:val="C600E47"/>
    <w:multiLevelType w:val="hybridMultilevel"/>
    <w:lvl w:ilvl="0">
      <w:lvlJc w:val="left"/>
      <w:lvlText w:val="(%1)"/>
      <w:numFmt w:val="lowerLetter"/>
      <w:start w:val="1"/>
    </w:lvl>
  </w:abstractNum>
  <w:abstractNum w:abstractNumId="282">
    <w:nsid w:val="7D94F75D"/>
    <w:multiLevelType w:val="hybridMultilevel"/>
    <w:lvl w:ilvl="0">
      <w:lvlJc w:val="left"/>
      <w:lvlText w:val="(%1)"/>
      <w:numFmt w:val="lowerLetter"/>
      <w:start w:val="1"/>
    </w:lvl>
  </w:abstractNum>
  <w:abstractNum w:abstractNumId="283">
    <w:nsid w:val="6C31E7CD"/>
    <w:multiLevelType w:val="hybridMultilevel"/>
    <w:lvl w:ilvl="0">
      <w:lvlJc w:val="left"/>
      <w:lvlText w:val="(%1)"/>
      <w:numFmt w:val="lowerRoman"/>
      <w:start w:val="1"/>
    </w:lvl>
  </w:abstractNum>
  <w:abstractNum w:abstractNumId="284">
    <w:nsid w:val="2BB7929B"/>
    <w:multiLevelType w:val="hybridMultilevel"/>
    <w:lvl w:ilvl="0">
      <w:lvlJc w:val="left"/>
      <w:lvlText w:val="%1"/>
      <w:numFmt w:val="lowerRoman"/>
      <w:start w:val="1"/>
    </w:lvl>
    <w:lvl w:ilvl="1">
      <w:lvlJc w:val="left"/>
      <w:lvlText w:val="(%2)"/>
      <w:numFmt w:val="lowerLetter"/>
      <w:start w:val="1"/>
    </w:lvl>
  </w:abstractNum>
  <w:abstractNum w:abstractNumId="285">
    <w:nsid w:val="58A2A487"/>
    <w:multiLevelType w:val="hybridMultilevel"/>
    <w:lvl w:ilvl="0">
      <w:lvlJc w:val="left"/>
      <w:lvlText w:val="(%1)"/>
      <w:numFmt w:val="lowerRoman"/>
      <w:start w:val="2"/>
    </w:lvl>
    <w:lvl w:ilvl="1">
      <w:lvlJc w:val="left"/>
      <w:lvlText w:val="%2"/>
      <w:numFmt w:val="lowerLetter"/>
      <w:start w:val="1"/>
    </w:lvl>
  </w:abstractNum>
  <w:abstractNum w:abstractNumId="286">
    <w:nsid w:val="3A6F0E78"/>
    <w:multiLevelType w:val="hybridMultilevel"/>
    <w:lvl w:ilvl="0">
      <w:lvlJc w:val="left"/>
      <w:lvlText w:val="(%1)"/>
      <w:numFmt w:val="lowerRoman"/>
      <w:start w:val="8"/>
    </w:lvl>
    <w:lvl w:ilvl="1">
      <w:lvlJc w:val="left"/>
      <w:lvlText w:val="(%2)"/>
      <w:numFmt w:val="lowerLetter"/>
      <w:start w:val="2"/>
    </w:lvl>
  </w:abstractNum>
  <w:abstractNum w:abstractNumId="287">
    <w:nsid w:val="379A5B56"/>
    <w:multiLevelType w:val="hybridMultilevel"/>
    <w:lvl w:ilvl="0">
      <w:lvlJc w:val="left"/>
      <w:lvlText w:val="%1"/>
      <w:numFmt w:val="lowerLetter"/>
      <w:start w:val="1"/>
    </w:lvl>
    <w:lvl w:ilvl="1">
      <w:lvlJc w:val="left"/>
      <w:lvlText w:val="(%2)"/>
      <w:numFmt w:val="lowerLetter"/>
      <w:start w:val="3"/>
    </w:lvl>
  </w:abstractNum>
  <w:abstractNum w:abstractNumId="288">
    <w:nsid w:val="53B735D5"/>
    <w:multiLevelType w:val="hybridMultilevel"/>
    <w:lvl w:ilvl="0">
      <w:lvlJc w:val="left"/>
      <w:lvlText w:val="(%1)"/>
      <w:numFmt w:val="lowerLetter"/>
      <w:start w:val="35"/>
    </w:lvl>
    <w:lvl w:ilvl="1">
      <w:lvlJc w:val="left"/>
      <w:lvlText w:val="(%2)"/>
      <w:numFmt w:val="lowerLetter"/>
      <w:start w:val="4"/>
    </w:lvl>
  </w:abstractNum>
  <w:abstractNum w:abstractNumId="289">
    <w:nsid w:val="29784870"/>
    <w:multiLevelType w:val="hybridMultilevel"/>
    <w:lvl w:ilvl="0">
      <w:lvlJc w:val="left"/>
      <w:lvlText w:val="(%1)"/>
      <w:numFmt w:val="lowerLetter"/>
      <w:start w:val="1"/>
    </w:lvl>
    <w:lvl w:ilvl="1">
      <w:lvlJc w:val="left"/>
      <w:lvlText w:val="(%2)"/>
      <w:numFmt w:val="lowerRoman"/>
      <w:start w:val="1"/>
    </w:lvl>
  </w:abstractNum>
  <w:abstractNum w:abstractNumId="290">
    <w:nsid w:val="4CDCED4C"/>
    <w:multiLevelType w:val="hybridMultilevel"/>
    <w:lvl w:ilvl="0">
      <w:lvlJc w:val="left"/>
      <w:lvlText w:val="%1"/>
      <w:numFmt w:val="decimal"/>
      <w:start w:val="1"/>
    </w:lvl>
    <w:lvl w:ilvl="1">
      <w:lvlJc w:val="left"/>
      <w:lvlText w:val="(%2)"/>
      <w:numFmt w:val="lowerRoman"/>
      <w:start w:val="5"/>
    </w:lvl>
  </w:abstractNum>
  <w:abstractNum w:abstractNumId="291">
    <w:nsid w:val="10A30D9C"/>
    <w:multiLevelType w:val="hybridMultilevel"/>
    <w:lvl w:ilvl="0">
      <w:lvlJc w:val="left"/>
      <w:lvlText w:val="(%1)"/>
      <w:numFmt w:val="decimal"/>
      <w:start w:val="2"/>
    </w:lvl>
    <w:lvl w:ilvl="1">
      <w:lvlJc w:val="left"/>
      <w:lvlText w:val="(%2)"/>
      <w:numFmt w:val="lowerRoman"/>
      <w:start w:val="8"/>
    </w:lvl>
  </w:abstractNum>
  <w:abstractNum w:abstractNumId="292">
    <w:nsid w:val="A66E486"/>
    <w:multiLevelType w:val="hybridMultilevel"/>
    <w:lvl w:ilvl="0">
      <w:lvlJc w:val="left"/>
      <w:lvlText w:val="(%1)"/>
      <w:numFmt w:val="lowerRoman"/>
      <w:start w:val="19"/>
    </w:lvl>
  </w:abstractNum>
  <w:abstractNum w:abstractNumId="293">
    <w:nsid w:val="306235EA"/>
    <w:multiLevelType w:val="hybridMultilevel"/>
    <w:lvl w:ilvl="0">
      <w:lvlJc w:val="left"/>
      <w:lvlText w:val="(%1)"/>
      <w:numFmt w:val="lowerLetter"/>
      <w:start w:val="1"/>
    </w:lvl>
  </w:abstractNum>
  <w:abstractNum w:abstractNumId="294">
    <w:nsid w:val="1187C70F"/>
    <w:multiLevelType w:val="hybridMultilevel"/>
    <w:lvl w:ilvl="0">
      <w:lvlJc w:val="left"/>
      <w:lvlText w:val="(%1)"/>
      <w:numFmt w:val="lowerLetter"/>
      <w:start w:val="1"/>
    </w:lvl>
  </w:abstractNum>
  <w:abstractNum w:abstractNumId="295">
    <w:nsid w:val="5476DE98"/>
    <w:multiLevelType w:val="hybridMultilevel"/>
    <w:lvl w:ilvl="0">
      <w:lvlJc w:val="left"/>
      <w:lvlText w:val="%1"/>
      <w:numFmt w:val="lowerLetter"/>
      <w:start w:val="1"/>
    </w:lvl>
    <w:lvl w:ilvl="1">
      <w:lvlJc w:val="left"/>
      <w:lvlText w:val="(%2)"/>
      <w:numFmt w:val="lowerLetter"/>
      <w:start w:val="1"/>
    </w:lvl>
  </w:abstractNum>
  <w:abstractNum w:abstractNumId="296">
    <w:nsid w:val="EA697F2"/>
    <w:multiLevelType w:val="hybridMultilevel"/>
    <w:lvl w:ilvl="0">
      <w:lvlJc w:val="left"/>
      <w:lvlText w:val="(%1)"/>
      <w:numFmt w:val="lowerLetter"/>
      <w:start w:val="35"/>
    </w:lvl>
    <w:lvl w:ilvl="1">
      <w:lvlJc w:val="left"/>
      <w:lvlText w:val="%2"/>
      <w:numFmt w:val="lowerLetter"/>
      <w:start w:val="1"/>
    </w:lvl>
  </w:abstractNum>
  <w:abstractNum w:abstractNumId="297">
    <w:nsid w:val="70BA39EB"/>
    <w:multiLevelType w:val="hybridMultilevel"/>
    <w:lvl w:ilvl="0">
      <w:lvlJc w:val="left"/>
      <w:lvlText w:val="%1"/>
      <w:numFmt w:val="lowerLetter"/>
      <w:start w:val="1"/>
    </w:lvl>
    <w:lvl w:ilvl="1">
      <w:lvlJc w:val="left"/>
      <w:lvlText w:val="(%2)"/>
      <w:numFmt w:val="lowerLetter"/>
      <w:start w:val="3"/>
    </w:lvl>
  </w:abstractNum>
  <w:abstractNum w:abstractNumId="298">
    <w:nsid w:val="4A8DB59C"/>
    <w:multiLevelType w:val="hybridMultilevel"/>
    <w:lvl w:ilvl="0">
      <w:lvlJc w:val="left"/>
      <w:lvlText w:val="(%1)"/>
      <w:numFmt w:val="lowerLetter"/>
      <w:start w:val="9"/>
    </w:lvl>
    <w:lvl w:ilvl="1">
      <w:lvlJc w:val="left"/>
      <w:lvlText w:val="(%2)"/>
      <w:numFmt w:val="lowerLetter"/>
      <w:start w:val="6"/>
    </w:lvl>
  </w:abstractNum>
  <w:abstractNum w:abstractNumId="299">
    <w:nsid w:val="1AFD9053"/>
    <w:multiLevelType w:val="hybridMultilevel"/>
    <w:lvl w:ilvl="0">
      <w:lvlJc w:val="left"/>
      <w:lvlText w:val="(%1)"/>
      <w:numFmt w:val="lowerLetter"/>
      <w:start w:val="7"/>
    </w:lvl>
  </w:abstractNum>
  <w:abstractNum w:abstractNumId="300">
    <w:nsid w:val="558BB10D"/>
    <w:multiLevelType w:val="hybridMultilevel"/>
    <w:lvl w:ilvl="0">
      <w:lvlJc w:val="left"/>
      <w:lvlText w:val="(%1)"/>
      <w:numFmt w:val="lowerLetter"/>
      <w:start w:val="2"/>
    </w:lvl>
  </w:abstractNum>
  <w:abstractNum w:abstractNumId="301">
    <w:nsid w:val="43B27FA7"/>
    <w:multiLevelType w:val="hybridMultilevel"/>
    <w:lvl w:ilvl="0">
      <w:lvlJc w:val="left"/>
      <w:lvlText w:val="(%1)"/>
      <w:numFmt w:val="lowerLetter"/>
      <w:start w:val="1"/>
    </w:lvl>
  </w:abstractNum>
  <w:abstractNum w:abstractNumId="302">
    <w:nsid w:val="27FADEFA"/>
    <w:multiLevelType w:val="hybridMultilevel"/>
    <w:lvl w:ilvl="0">
      <w:lvlJc w:val="left"/>
      <w:lvlText w:val="(%1)"/>
      <w:numFmt w:val="lowerLetter"/>
      <w:start w:val="1"/>
    </w:lvl>
  </w:abstractNum>
  <w:abstractNum w:abstractNumId="303">
    <w:nsid w:val="78BB805A"/>
    <w:multiLevelType w:val="hybridMultilevel"/>
    <w:lvl w:ilvl="0">
      <w:lvlJc w:val="left"/>
      <w:lvlText w:val="(%1)"/>
      <w:numFmt w:val="lowerLetter"/>
      <w:start w:val="2"/>
    </w:lvl>
  </w:abstractNum>
  <w:abstractNum w:abstractNumId="304">
    <w:nsid w:val="62548FD8"/>
    <w:multiLevelType w:val="hybridMultilevel"/>
    <w:lvl w:ilvl="0">
      <w:lvlJc w:val="left"/>
      <w:lvlText w:val="(%1)"/>
      <w:numFmt w:val="lowerLetter"/>
      <w:start w:val="1"/>
    </w:lvl>
  </w:abstractNum>
  <w:abstractNum w:abstractNumId="305">
    <w:nsid w:val="FA085B0"/>
    <w:multiLevelType w:val="hybridMultilevel"/>
    <w:lvl w:ilvl="0">
      <w:lvlJc w:val="left"/>
      <w:lvlText w:val="(%1)"/>
      <w:numFmt w:val="lowerLetter"/>
      <w:start w:val="1"/>
    </w:lvl>
  </w:abstractNum>
  <w:abstractNum w:abstractNumId="306">
    <w:nsid w:val="4E5DCB5"/>
    <w:multiLevelType w:val="hybridMultilevel"/>
    <w:lvl w:ilvl="0">
      <w:lvlJc w:val="left"/>
      <w:lvlText w:val="(%1)"/>
      <w:numFmt w:val="upperLetter"/>
      <w:start w:val="1"/>
    </w:lvl>
  </w:abstractNum>
  <w:abstractNum w:abstractNumId="307">
    <w:nsid w:val="41E96BDB"/>
    <w:multiLevelType w:val="hybridMultilevel"/>
    <w:lvl w:ilvl="0">
      <w:lvlJc w:val="left"/>
      <w:lvlText w:val="(%1)"/>
      <w:numFmt w:val="lowerLetter"/>
      <w:start w:val="1"/>
    </w:lvl>
  </w:abstractNum>
  <w:abstractNum w:abstractNumId="308">
    <w:nsid w:val="331C4250"/>
    <w:multiLevelType w:val="hybridMultilevel"/>
    <w:lvl w:ilvl="0">
      <w:lvlJc w:val="left"/>
      <w:lvlText w:val="(%1)"/>
      <w:numFmt w:val="lowerLetter"/>
      <w:start w:val="1"/>
    </w:lvl>
  </w:abstractNum>
  <w:abstractNum w:abstractNumId="309">
    <w:nsid w:val="1B1493C2"/>
    <w:multiLevelType w:val="hybridMultilevel"/>
    <w:lvl w:ilvl="0">
      <w:lvlJc w:val="left"/>
      <w:lvlText w:val="(%1)"/>
      <w:numFmt w:val="lowerLetter"/>
      <w:start w:val="1"/>
    </w:lvl>
  </w:abstractNum>
  <w:abstractNum w:abstractNumId="310">
    <w:nsid w:val="39F06DFD"/>
    <w:multiLevelType w:val="hybridMultilevel"/>
    <w:lvl w:ilvl="0">
      <w:lvlJc w:val="left"/>
      <w:lvlText w:val="(%1)"/>
      <w:numFmt w:val="lowerLetter"/>
      <w:start w:val="1"/>
    </w:lvl>
  </w:abstractNum>
  <w:abstractNum w:abstractNumId="311">
    <w:nsid w:val="14802F5D"/>
    <w:multiLevelType w:val="hybridMultilevel"/>
    <w:lvl w:ilvl="0">
      <w:lvlJc w:val="left"/>
      <w:lvlText w:val="(%1)"/>
      <w:numFmt w:val="lowerLetter"/>
      <w:start w:val="13"/>
    </w:lvl>
  </w:abstractNum>
  <w:abstractNum w:abstractNumId="312">
    <w:nsid w:val="2774A209"/>
    <w:multiLevelType w:val="hybridMultilevel"/>
    <w:lvl w:ilvl="0">
      <w:lvlJc w:val="left"/>
      <w:lvlText w:val="(%1)"/>
      <w:numFmt w:val="lowerLetter"/>
      <w:start w:val="1"/>
    </w:lvl>
  </w:abstractNum>
  <w:abstractNum w:abstractNumId="313">
    <w:nsid w:val="3785655A"/>
    <w:multiLevelType w:val="hybridMultilevel"/>
    <w:lvl w:ilvl="0">
      <w:lvlJc w:val="left"/>
      <w:lvlText w:val="(%1)"/>
      <w:numFmt w:val="lowerRoman"/>
      <w:start w:val="2"/>
    </w:lvl>
  </w:abstractNum>
  <w:abstractNum w:abstractNumId="314">
    <w:nsid w:val="B2172A"/>
    <w:multiLevelType w:val="hybridMultilevel"/>
    <w:lvl w:ilvl="0">
      <w:lvlJc w:val="left"/>
      <w:lvlText w:val="%1"/>
      <w:numFmt w:val="lowerLetter"/>
      <w:start w:val="1"/>
    </w:lvl>
    <w:lvl w:ilvl="1">
      <w:lvlJc w:val="left"/>
      <w:lvlText w:val="(%2)"/>
      <w:numFmt w:val="lowerLetter"/>
      <w:start w:val="1"/>
    </w:lvl>
  </w:abstractNum>
  <w:abstractNum w:abstractNumId="315">
    <w:nsid w:val="532C34A5"/>
    <w:multiLevelType w:val="hybridMultilevel"/>
    <w:lvl w:ilvl="0">
      <w:lvlJc w:val="left"/>
      <w:lvlText w:val="(%1)"/>
      <w:numFmt w:val="lowerLetter"/>
      <w:start w:val="25"/>
    </w:lvl>
    <w:lvl w:ilvl="1">
      <w:lvlJc w:val="left"/>
      <w:lvlText w:val="(%2)"/>
      <w:numFmt w:val="lowerLetter"/>
      <w:start w:val="3"/>
    </w:lvl>
  </w:abstractNum>
  <w:abstractNum w:abstractNumId="316">
    <w:nsid w:val="102809E2"/>
    <w:multiLevelType w:val="hybridMultilevel"/>
    <w:lvl w:ilvl="0">
      <w:lvlJc w:val="left"/>
      <w:lvlText w:val="(%1)"/>
      <w:numFmt w:val="lowerLetter"/>
      <w:start w:val="9"/>
    </w:lvl>
    <w:lvl w:ilvl="1">
      <w:lvlJc w:val="left"/>
      <w:lvlText w:val="%2"/>
      <w:numFmt w:val="lowerLetter"/>
      <w:start w:val="1"/>
    </w:lvl>
  </w:abstractNum>
  <w:abstractNum w:abstractNumId="317">
    <w:nsid w:val="3B2125A3"/>
    <w:multiLevelType w:val="hybridMultilevel"/>
    <w:lvl w:ilvl="0">
      <w:lvlJc w:val="left"/>
      <w:lvlText w:val="(%1)"/>
      <w:numFmt w:val="lowerLetter"/>
      <w:start w:val="4"/>
    </w:lvl>
  </w:abstractNum>
  <w:abstractNum w:abstractNumId="318">
    <w:nsid w:val="AC68FFB"/>
    <w:multiLevelType w:val="hybridMultilevel"/>
    <w:lvl w:ilvl="0">
      <w:lvlJc w:val="left"/>
      <w:lvlText w:val="(%1)"/>
      <w:numFmt w:val="lowerLetter"/>
      <w:start w:val="1"/>
    </w:lvl>
  </w:abstractNum>
  <w:abstractNum w:abstractNumId="319">
    <w:nsid w:val="63DF3FB7"/>
    <w:multiLevelType w:val="hybridMultilevel"/>
    <w:lvl w:ilvl="0">
      <w:lvlJc w:val="left"/>
      <w:lvlText w:val="(%1)"/>
      <w:numFmt w:val="lowerLetter"/>
      <w:start w:val="3"/>
    </w:lvl>
  </w:abstractNum>
  <w:abstractNum w:abstractNumId="320">
    <w:nsid w:val="64996E13"/>
    <w:multiLevelType w:val="hybridMultilevel"/>
    <w:lvl w:ilvl="0">
      <w:lvlJc w:val="left"/>
      <w:lvlText w:val="(%1)"/>
      <w:numFmt w:val="lowerLetter"/>
      <w:start w:val="1"/>
    </w:lvl>
  </w:abstractNum>
  <w:abstractNum w:abstractNumId="321">
    <w:nsid w:val="57A37D47"/>
    <w:multiLevelType w:val="hybridMultilevel"/>
    <w:lvl w:ilvl="0">
      <w:lvlJc w:val="left"/>
      <w:lvlText w:val="(%1)"/>
      <w:numFmt w:val="lowerLetter"/>
      <w:start w:val="10"/>
    </w:lvl>
  </w:abstractNum>
  <w:abstractNum w:abstractNumId="322">
    <w:nsid w:val="74824D54"/>
    <w:multiLevelType w:val="hybridMultilevel"/>
    <w:lvl w:ilvl="0">
      <w:lvlJc w:val="left"/>
      <w:lvlText w:val="(%1)"/>
      <w:numFmt w:val="lowerLetter"/>
      <w:start w:val="1"/>
    </w:lvl>
  </w:abstractNum>
  <w:abstractNum w:abstractNumId="323">
    <w:nsid w:val="6F00529A"/>
    <w:multiLevelType w:val="hybridMultilevel"/>
    <w:lvl w:ilvl="0">
      <w:lvlJc w:val="left"/>
      <w:lvlText w:val="(%1)"/>
      <w:numFmt w:val="lowerLetter"/>
      <w:start w:val="1"/>
    </w:lvl>
  </w:abstractNum>
  <w:abstractNum w:abstractNumId="324">
    <w:nsid w:val="805B331"/>
    <w:multiLevelType w:val="hybridMultilevel"/>
    <w:lvl w:ilvl="0">
      <w:lvlJc w:val="left"/>
      <w:lvlText w:val="(%1)"/>
      <w:numFmt w:val="lowerLetter"/>
      <w:start w:val="1"/>
    </w:lvl>
  </w:abstractNum>
  <w:abstractNum w:abstractNumId="325">
    <w:nsid w:val="60A1463"/>
    <w:multiLevelType w:val="hybridMultilevel"/>
    <w:lvl w:ilvl="0">
      <w:lvlJc w:val="left"/>
      <w:lvlText w:val="(%1)"/>
      <w:numFmt w:val="lowerLetter"/>
      <w:start w:val="2"/>
    </w:lvl>
  </w:abstractNum>
  <w:abstractNum w:abstractNumId="326">
    <w:nsid w:val="43773132"/>
    <w:multiLevelType w:val="hybridMultilevel"/>
    <w:lvl w:ilvl="0">
      <w:lvlJc w:val="left"/>
      <w:lvlText w:val="(%1)"/>
      <w:numFmt w:val="lowerLetter"/>
      <w:start w:val="2"/>
    </w:lvl>
  </w:abstractNum>
  <w:abstractNum w:abstractNumId="327">
    <w:nsid w:val="16AC4B23"/>
    <w:multiLevelType w:val="hybridMultilevel"/>
    <w:lvl w:ilvl="0">
      <w:lvlJc w:val="left"/>
      <w:lvlText w:val="(%1)"/>
      <w:numFmt w:val="lowerLetter"/>
      <w:start w:val="1"/>
    </w:lvl>
  </w:abstractNum>
  <w:abstractNum w:abstractNumId="328">
    <w:nsid w:val="76C44E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9">
    <w:nsid w:val="E04E6CE"/>
    <w:multiLevelType w:val="hybridMultilevel"/>
    <w:lvl w:ilvl="0">
      <w:lvlJc w:val="left"/>
      <w:lvlText w:val="%1"/>
      <w:numFmt w:val="lowerLetter"/>
      <w:start w:val="1"/>
    </w:lvl>
    <w:lvl w:ilvl="1">
      <w:lvlJc w:val="left"/>
      <w:lvlText w:val="(%2)"/>
      <w:numFmt w:val="lowerRoman"/>
      <w:start w:val="2"/>
    </w:lvl>
  </w:abstractNum>
  <w:abstractNum w:abstractNumId="330">
    <w:nsid w:val="31A9DB76"/>
    <w:multiLevelType w:val="hybridMultilevel"/>
    <w:lvl w:ilvl="0">
      <w:lvlJc w:val="left"/>
      <w:lvlText w:val="(%1)"/>
      <w:numFmt w:val="lowerLetter"/>
      <w:start w:val="2"/>
    </w:lvl>
    <w:lvl w:ilvl="1">
      <w:lvlJc w:val="left"/>
      <w:lvlText w:val="%2"/>
      <w:numFmt w:val="lowerRoman"/>
      <w:start w:val="1"/>
    </w:lvl>
  </w:abstractNum>
  <w:abstractNum w:abstractNumId="331">
    <w:nsid w:val="4C4FFF5B"/>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32">
    <w:nsid w:val="51B76675"/>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33">
    <w:nsid w:val="59A4BA7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34">
    <w:nsid w:val="450B7FB6"/>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335">
    <w:nsid w:val="340BF64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36">
    <w:nsid w:val="69454021"/>
    <w:multiLevelType w:val="hybridMultilevel"/>
    <w:lvl w:ilvl="0">
      <w:lvlJc w:val="left"/>
      <w:lvlText w:val="%1."/>
      <w:numFmt w:val="decimal"/>
      <w:start w:val="5"/>
    </w:lvl>
  </w:abstractNum>
  <w:abstractNum w:abstractNumId="337">
    <w:nsid w:val="49F15C6B"/>
    <w:multiLevelType w:val="hybridMultilevel"/>
    <w:lvl w:ilvl="0">
      <w:lvlJc w:val="left"/>
      <w:lvlText w:val="%1."/>
      <w:numFmt w:val="decimal"/>
      <w:start w:val="8"/>
    </w:lvl>
  </w:abstractNum>
  <w:abstractNum w:abstractNumId="338">
    <w:nsid w:val="75F56228"/>
    <w:multiLevelType w:val="hybridMultilevel"/>
    <w:lvl w:ilvl="0">
      <w:lvlJc w:val="left"/>
      <w:lvlText w:val="%1."/>
      <w:numFmt w:val="decimal"/>
      <w:start w:val="1"/>
    </w:lvl>
  </w:abstractNum>
  <w:abstractNum w:abstractNumId="339">
    <w:nsid w:val="1C6182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0">
    <w:nsid w:val="6505F0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1">
    <w:nsid w:val="2FE5D02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2">
    <w:nsid w:val="30E1B1C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3">
    <w:nsid w:val="C7A9237"/>
    <w:multiLevelType w:val="hybridMultilevel"/>
    <w:lvl w:ilvl="0">
      <w:lvlJc w:val="left"/>
      <w:lvlText w:val="(%1)"/>
      <w:numFmt w:val="lowerLetter"/>
      <w:start w:val="3"/>
    </w:lvl>
  </w:abstractNum>
  <w:abstractNum w:abstractNumId="344">
    <w:nsid w:val="676B358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45">
    <w:nsid w:val="3193C8F9"/>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2"/>
    </w:lvl>
  </w:abstractNum>
  <w:abstractNum w:abstractNumId="346">
    <w:nsid w:val="5FA6C6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47">
    <w:nsid w:val="77933F62"/>
    <w:multiLevelType w:val="hybridMultilevel"/>
    <w:lvl w:ilvl="0">
      <w:lvlJc w:val="left"/>
      <w:lvlText w:val="(%1)"/>
      <w:numFmt w:val="lowerLetter"/>
      <w:start w:val="2"/>
    </w:lvl>
  </w:abstractNum>
  <w:abstractNum w:abstractNumId="348">
    <w:nsid w:val="6CB4EE9C"/>
    <w:multiLevelType w:val="hybridMultilevel"/>
    <w:lvl w:ilvl="0">
      <w:lvlJc w:val="left"/>
      <w:lvlText w:val="(%1)"/>
      <w:numFmt w:val="lowerLetter"/>
      <w:start w:val="9"/>
    </w:lvl>
  </w:abstractNum>
  <w:abstractNum w:abstractNumId="349">
    <w:nsid w:val="6A6D56D7"/>
    <w:multiLevelType w:val="hybridMultilevel"/>
    <w:lvl w:ilvl="0">
      <w:lvlJc w:val="left"/>
      <w:lvlText w:val="%1"/>
      <w:numFmt w:val="decimal"/>
      <w:start w:val="1"/>
    </w:lvl>
    <w:lvl w:ilvl="1">
      <w:lvlJc w:val="left"/>
      <w:lvlText w:val="(%2)"/>
      <w:numFmt w:val="lowerLetter"/>
      <w:start w:val="18"/>
    </w:lvl>
  </w:abstractNum>
  <w:abstractNum w:abstractNumId="350">
    <w:nsid w:val="5B727F19"/>
    <w:multiLevelType w:val="hybridMultilevel"/>
    <w:lvl w:ilvl="0">
      <w:lvlJc w:val="left"/>
      <w:lvlText w:val="%1."/>
      <w:numFmt w:val="decimal"/>
      <w:start w:val="7"/>
    </w:lvl>
    <w:lvl w:ilvl="1">
      <w:lvlJc w:val="left"/>
      <w:lvlText w:val="(%2)"/>
      <w:numFmt w:val="lowerLetter"/>
      <w:start w:val="1"/>
    </w:lvl>
  </w:abstractNum>
  <w:abstractNum w:abstractNumId="351">
    <w:nsid w:val="514E5CB0"/>
    <w:multiLevelType w:val="hybridMultilevel"/>
    <w:lvl w:ilvl="0">
      <w:lvlJc w:val="left"/>
      <w:lvlText w:val="(%1)"/>
      <w:numFmt w:val="lowerLetter"/>
      <w:start w:val="3"/>
    </w:lvl>
  </w:abstractNum>
  <w:abstractNum w:abstractNumId="352">
    <w:nsid w:val="4210D41E"/>
    <w:multiLevelType w:val="hybridMultilevel"/>
    <w:lvl w:ilvl="0">
      <w:lvlJc w:val="left"/>
      <w:lvlText w:val="%1"/>
      <w:numFmt w:val="decimal"/>
      <w:start w:val="1"/>
    </w:lvl>
    <w:lvl w:ilvl="1">
      <w:lvlJc w:val="left"/>
      <w:lvlText w:val="(%2)"/>
      <w:numFmt w:val="lowerLetter"/>
      <w:start w:val="6"/>
    </w:lvl>
  </w:abstractNum>
  <w:abstractNum w:abstractNumId="353">
    <w:nsid w:val="4FF4CC6D"/>
    <w:multiLevelType w:val="hybridMultilevel"/>
    <w:lvl w:ilvl="0">
      <w:lvlJc w:val="left"/>
      <w:lvlText w:val="%1."/>
      <w:numFmt w:val="decimal"/>
      <w:start w:val="8"/>
    </w:lvl>
    <w:lvl w:ilvl="1">
      <w:lvlJc w:val="left"/>
      <w:lvlText w:val="%2"/>
      <w:numFmt w:val="lowerLetter"/>
      <w:start w:val="1"/>
    </w:lvl>
  </w:abstractNum>
  <w:abstractNum w:abstractNumId="354">
    <w:nsid w:val="404EAF4A"/>
    <w:multiLevelType w:val="hybridMultilevel"/>
    <w:lvl w:ilvl="0">
      <w:lvlJc w:val="left"/>
      <w:lvlText w:val="%1."/>
      <w:numFmt w:val="decimal"/>
      <w:start w:val="10"/>
    </w:lvl>
    <w:lvl w:ilvl="1">
      <w:lvlJc w:val="left"/>
      <w:lvlText w:val="(%2)"/>
      <w:numFmt w:val="lowerLetter"/>
      <w:start w:val="1"/>
    </w:lvl>
  </w:abstractNum>
  <w:abstractNum w:abstractNumId="355">
    <w:nsid w:val="4A16874F"/>
    <w:multiLevelType w:val="hybridMultilevel"/>
    <w:lvl w:ilvl="0">
      <w:lvlJc w:val="left"/>
      <w:lvlText w:val="(%1)"/>
      <w:numFmt w:val="lowerLetter"/>
      <w:start w:val="8"/>
    </w:lvl>
  </w:abstractNum>
  <w:abstractNum w:abstractNumId="356">
    <w:nsid w:val="55FEE0D1"/>
    <w:multiLevelType w:val="hybridMultilevel"/>
    <w:lvl w:ilvl="0">
      <w:lvlJc w:val="left"/>
      <w:lvlText w:val="(%1)"/>
      <w:numFmt w:val="lowerLetter"/>
      <w:start w:val="13"/>
    </w:lvl>
  </w:abstractNum>
  <w:abstractNum w:abstractNumId="357">
    <w:nsid w:val="3C5E07C"/>
    <w:multiLevelType w:val="hybridMultilevel"/>
    <w:lvl w:ilvl="0">
      <w:lvlJc w:val="left"/>
      <w:lvlText w:val="%1."/>
      <w:numFmt w:val="decimal"/>
      <w:start w:val="11"/>
    </w:lvl>
  </w:abstractNum>
  <w:abstractNum w:abstractNumId="358">
    <w:nsid w:val="60C2D273"/>
    <w:multiLevelType w:val="hybridMultilevel"/>
    <w:lvl w:ilvl="0">
      <w:lvlJc w:val="left"/>
      <w:lvlText w:val="%1."/>
      <w:numFmt w:val="upperLetter"/>
      <w:start w:val="1"/>
    </w:lvl>
    <w:lvl w:ilvl="1">
      <w:lvlJc w:val="left"/>
      <w:lvlText w:val="☐"/>
      <w:numFmt w:val="bullet"/>
      <w:start w:val="1"/>
    </w:lvl>
  </w:abstractNum>
  <w:abstractNum w:abstractNumId="359">
    <w:nsid w:val="4CC32F1F"/>
    <w:multiLevelType w:val="hybridMultilevel"/>
    <w:lvl w:ilvl="0">
      <w:lvlJc w:val="left"/>
      <w:lvlText w:val="%1."/>
      <w:numFmt w:val="decimal"/>
      <w:start w:val="1"/>
    </w:lvl>
  </w:abstractNum>
  <w:abstractNum w:abstractNumId="360">
    <w:nsid w:val="11CAC74A"/>
    <w:multiLevelType w:val="hybridMultilevel"/>
    <w:lvl w:ilvl="0">
      <w:lvlJc w:val="left"/>
      <w:lvlText w:val="%1."/>
      <w:numFmt w:val="upperLetter"/>
      <w:start w:val="2"/>
    </w:lvl>
    <w:lvl w:ilvl="1">
      <w:lvlJc w:val="left"/>
      <w:lvlText w:val="☐"/>
      <w:numFmt w:val="bullet"/>
      <w:start w:val="1"/>
    </w:lvl>
  </w:abstractNum>
  <w:abstractNum w:abstractNumId="361">
    <w:nsid w:val="126CADE9"/>
    <w:multiLevelType w:val="hybridMultilevel"/>
    <w:lvl w:ilvl="0">
      <w:lvlJc w:val="left"/>
      <w:lvlText w:val="%1."/>
      <w:numFmt w:val="decimal"/>
      <w:start w:val="1"/>
    </w:lvl>
  </w:abstractNum>
  <w:abstractNum w:abstractNumId="362">
    <w:nsid w:val="19132E7B"/>
    <w:multiLevelType w:val="hybridMultilevel"/>
    <w:lvl w:ilvl="0">
      <w:lvlJc w:val="left"/>
      <w:lvlText w:val="☐"/>
      <w:numFmt w:val="bullet"/>
      <w:start w:val="1"/>
    </w:lvl>
  </w:abstractNum>
  <w:abstractNum w:abstractNumId="363">
    <w:nsid w:val="63822DC0"/>
    <w:multiLevelType w:val="hybridMultilevel"/>
    <w:lvl w:ilvl="0">
      <w:lvlJc w:val="left"/>
      <w:lvlText w:val="%1"/>
      <w:numFmt w:val="lowerLetter"/>
      <w:start w:val="1"/>
    </w:lvl>
    <w:lvl w:ilvl="1">
      <w:lvlJc w:val="left"/>
      <w:lvlText w:val="%2."/>
      <w:numFmt w:val="decimal"/>
      <w:start w:val="1"/>
    </w:lvl>
  </w:abstractNum>
  <w:abstractNum w:abstractNumId="364">
    <w:nsid w:val="6C11685A"/>
    <w:multiLevelType w:val="hybridMultilevel"/>
    <w:lvl w:ilvl="0">
      <w:lvlJc w:val="left"/>
      <w:lvlText w:val="(%1)"/>
      <w:numFmt w:val="lowerLetter"/>
      <w:start w:val="2"/>
    </w:lvl>
    <w:lvl w:ilvl="1">
      <w:lvlJc w:val="left"/>
      <w:lvlText w:val="%2."/>
      <w:numFmt w:val="decimal"/>
      <w:start w:val="3"/>
    </w:lvl>
  </w:abstractNum>
  <w:abstractNum w:abstractNumId="365">
    <w:nsid w:val="5E1EAE31"/>
    <w:multiLevelType w:val="hybridMultilevel"/>
    <w:lvl w:ilvl="0">
      <w:lvlJc w:val="left"/>
      <w:lvlText w:val="%1."/>
      <w:numFmt w:val="decimal"/>
      <w:start w:val="4"/>
    </w:lvl>
    <w:lvl w:ilvl="1">
      <w:lvlJc w:val="left"/>
      <w:lvlText w:val="(%2)"/>
      <w:numFmt w:val="lowerLetter"/>
      <w:start w:val="1"/>
    </w:lvl>
  </w:abstractNum>
  <w:abstractNum w:abstractNumId="366">
    <w:nsid w:val="178E240D"/>
    <w:multiLevelType w:val="hybridMultilevel"/>
    <w:lvl w:ilvl="0">
      <w:lvlJc w:val="left"/>
      <w:lvlText w:val="(%1)"/>
      <w:numFmt w:val="lowerLetter"/>
      <w:start w:val="3"/>
    </w:lvl>
  </w:abstractNum>
  <w:abstractNum w:abstractNumId="367">
    <w:nsid w:val="5556A87B"/>
    <w:multiLevelType w:val="hybridMultilevel"/>
    <w:lvl w:ilvl="0">
      <w:lvlJc w:val="left"/>
      <w:lvlText w:val="(%1)"/>
      <w:numFmt w:val="lowerLetter"/>
      <w:start w:val="8"/>
    </w:lvl>
  </w:abstractNum>
  <w:abstractNum w:abstractNumId="368">
    <w:nsid w:val="28100A9C"/>
    <w:multiLevelType w:val="hybridMultilevel"/>
    <w:lvl w:ilvl="0">
      <w:lvlJc w:val="left"/>
      <w:lvlText w:val="%1."/>
      <w:numFmt w:val="decimal"/>
      <w:start w:val="1"/>
    </w:lvl>
  </w:abstractNum>
  <w:abstractNum w:abstractNumId="369">
    <w:nsid w:val="D838636"/>
    <w:multiLevelType w:val="hybridMultilevel"/>
    <w:lvl w:ilvl="0">
      <w:lvlJc w:val="left"/>
      <w:lvlText w:val="%1."/>
      <w:numFmt w:val="decimal"/>
      <w:start w:val="3"/>
    </w:lvl>
  </w:abstractNum>
  <w:abstractNum w:abstractNumId="370">
    <w:nsid w:val="71B82AED"/>
    <w:multiLevelType w:val="hybridMultilevel"/>
    <w:lvl w:ilvl="0">
      <w:lvlJc w:val="left"/>
      <w:lvlText w:val="%1."/>
      <w:numFmt w:val="decimal"/>
      <w:start w:val="10"/>
    </w:lvl>
  </w:abstractNum>
  <w:abstractNum w:abstractNumId="371">
    <w:nsid w:val="D15FA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2">
    <w:nsid w:val="3D69565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3">
    <w:nsid w:val="2299DCB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74">
    <w:nsid w:val="19908D02"/>
    <w:multiLevelType w:val="hybridMultilevel"/>
    <w:lvl w:ilvl="0">
      <w:lvlJc w:val="left"/>
      <w:lvlText w:val="%1"/>
      <w:numFmt w:val="decimal"/>
      <w:start w:val="1"/>
    </w:lvl>
    <w:lvl w:ilvl="1">
      <w:lvlJc w:val="left"/>
      <w:lvlText w:val="(%2)"/>
      <w:numFmt w:val="lowerLetter"/>
      <w:start w:val="2"/>
    </w:lvl>
  </w:abstractNum>
  <w:abstractNum w:abstractNumId="375">
    <w:nsid w:val="24D48BDB"/>
    <w:multiLevelType w:val="hybridMultilevel"/>
    <w:lvl w:ilvl="0">
      <w:lvlJc w:val="left"/>
      <w:lvlText w:val="%1."/>
      <w:numFmt w:val="decimal"/>
      <w:start w:val="6"/>
    </w:lvl>
    <w:lvl w:ilvl="1">
      <w:lvlJc w:val="left"/>
      <w:lvlText w:val="(%2)"/>
      <w:numFmt w:val="lowerLetter"/>
      <w:start w:val="1"/>
    </w:lvl>
  </w:abstractNum>
  <w:abstractNum w:abstractNumId="376">
    <w:nsid w:val="542DA5B5"/>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77">
    <w:nsid w:val="793753D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78">
    <w:nsid w:val="1C67CB3D"/>
    <w:multiLevelType w:val="hybridMultilevel"/>
    <w:lvl w:ilvl="0">
      <w:lvlJc w:val="left"/>
      <w:lvlText w:val="%1."/>
      <w:numFmt w:val="decimal"/>
      <w:start w:val="10"/>
    </w:lvl>
    <w:lvl w:ilvl="1">
      <w:lvlJc w:val="left"/>
      <w:lvlText w:val="(%2)"/>
      <w:numFmt w:val="lowerLetter"/>
      <w:start w:val="1"/>
    </w:lvl>
  </w:abstractNum>
  <w:abstractNum w:abstractNumId="379">
    <w:nsid w:val="40E29452"/>
    <w:multiLevelType w:val="hybridMultilevel"/>
    <w:lvl w:ilvl="0">
      <w:lvlJc w:val="left"/>
      <w:lvlText w:val="(%1)"/>
      <w:numFmt w:val="lowerRoman"/>
      <w:start w:val="4"/>
    </w:lvl>
  </w:abstractNum>
  <w:abstractNum w:abstractNumId="380">
    <w:nsid w:val="63A4AAB6"/>
    <w:multiLevelType w:val="hybridMultilevel"/>
    <w:lvl w:ilvl="0">
      <w:lvlJc w:val="left"/>
      <w:lvlText w:val="(%1)"/>
      <w:numFmt w:val="lowerRoman"/>
      <w:start w:val="1"/>
    </w:lvl>
  </w:abstractNum>
  <w:abstractNum w:abstractNumId="381">
    <w:nsid w:val="77DA4A57"/>
    <w:multiLevelType w:val="hybridMultilevel"/>
    <w:lvl w:ilvl="0">
      <w:lvlJc w:val="left"/>
      <w:lvlText w:val="1"/>
      <w:numFmt w:val="bullet"/>
      <w:start w:val="1"/>
    </w:lvl>
  </w:abstractNum>
  <w:abstractNum w:abstractNumId="382">
    <w:nsid w:val="1230F102"/>
    <w:multiLevelType w:val="hybridMultilevel"/>
    <w:lvl w:ilvl="0">
      <w:lvlJc w:val="left"/>
      <w:lvlText w:val="(%1)"/>
      <w:numFmt w:val="lowerLetter"/>
      <w:start w:val="1"/>
    </w:lvl>
    <w:lvl w:ilvl="1">
      <w:lvlJc w:val="left"/>
      <w:lvlText w:val="(%2)"/>
      <w:numFmt w:val="lowerLetter"/>
      <w:start w:val="9"/>
    </w:lvl>
  </w:abstractNum>
  <w:abstractNum w:abstractNumId="383">
    <w:nsid w:val="25B57ED4"/>
    <w:multiLevelType w:val="hybridMultilevel"/>
    <w:lvl w:ilvl="0">
      <w:lvlJc w:val="left"/>
      <w:lvlText w:val="2"/>
      <w:numFmt w:val="bullet"/>
      <w:start w:val="1"/>
    </w:lvl>
  </w:abstractNum>
  <w:abstractNum w:abstractNumId="384">
    <w:nsid w:val="47CF16C4"/>
    <w:multiLevelType w:val="hybridMultilevel"/>
    <w:lvl w:ilvl="0">
      <w:lvlJc w:val="left"/>
      <w:lvlText w:val="%1"/>
      <w:numFmt w:val="lowerLetter"/>
      <w:start w:val="1"/>
    </w:lvl>
    <w:lvl w:ilvl="1">
      <w:lvlJc w:val="left"/>
      <w:lvlText w:val="(%2)"/>
      <w:numFmt w:val="lowerLetter"/>
      <w:start w:val="35"/>
    </w:lvl>
  </w:abstractNum>
  <w:abstractNum w:abstractNumId="385">
    <w:nsid w:val="527FA04C"/>
    <w:multiLevelType w:val="hybridMultilevel"/>
    <w:lvl w:ilvl="0">
      <w:lvlJc w:val="left"/>
      <w:lvlText w:val="(%1)"/>
      <w:numFmt w:val="lowerLetter"/>
      <w:start w:val="2"/>
    </w:lvl>
    <w:lvl w:ilvl="1">
      <w:lvlJc w:val="left"/>
      <w:lvlText w:val="%2"/>
      <w:numFmt w:val="lowerLetter"/>
      <w:start w:val="1"/>
    </w:lvl>
  </w:abstractNum>
  <w:abstractNum w:abstractNumId="386">
    <w:nsid w:val="6FCC0624"/>
    <w:multiLevelType w:val="hybridMultilevel"/>
    <w:lvl w:ilvl="0">
      <w:lvlJc w:val="left"/>
      <w:lvlText w:val="(%1)"/>
      <w:numFmt w:val="lowerLetter"/>
      <w:start w:val="35"/>
    </w:lvl>
  </w:abstractNum>
  <w:abstractNum w:abstractNumId="387">
    <w:nsid w:val="1DCDF795"/>
    <w:multiLevelType w:val="hybridMultilevel"/>
    <w:lvl w:ilvl="0">
      <w:lvlJc w:val="left"/>
      <w:lvlText w:val="(%1)"/>
      <w:numFmt w:val="lowerLetter"/>
      <w:start w:val="25"/>
    </w:lvl>
  </w:abstractNum>
  <w:abstractNum w:abstractNumId="388">
    <w:nsid w:val="564580C8"/>
    <w:multiLevelType w:val="hybridMultilevel"/>
    <w:lvl w:ilvl="0">
      <w:lvlJc w:val="left"/>
      <w:lvlText w:val="(%1)"/>
      <w:numFmt w:val="lowerLetter"/>
      <w:start w:val="1"/>
    </w:lvl>
  </w:abstractNum>
  <w:abstractNum w:abstractNumId="389">
    <w:nsid w:val="508ED897"/>
    <w:multiLevelType w:val="hybridMultilevel"/>
    <w:lvl w:ilvl="0">
      <w:lvlJc w:val="left"/>
      <w:lvlText w:val="(%1)"/>
      <w:numFmt w:val="decimal"/>
      <w:start w:val="90"/>
    </w:lvl>
  </w:abstractNum>
  <w:abstractNum w:abstractNumId="390">
    <w:nsid w:val="6A9126B5"/>
    <w:multiLevelType w:val="hybridMultilevel"/>
    <w:lvl w:ilvl="0">
      <w:lvlJc w:val="left"/>
      <w:lvlText w:val="(%1)"/>
      <w:numFmt w:val="upperLetter"/>
      <w:start w:val="2"/>
    </w:lvl>
  </w:abstractNum>
  <w:abstractNum w:abstractNumId="391">
    <w:nsid w:val="68104812"/>
    <w:multiLevelType w:val="hybridMultilevel"/>
    <w:lvl w:ilvl="0">
      <w:lvlJc w:val="left"/>
      <w:lvlText w:val="(%1)"/>
      <w:numFmt w:val="upperLetter"/>
      <w:start w:val="2"/>
    </w:lvl>
  </w:abstractNum>
  <w:abstractNum w:abstractNumId="392">
    <w:nsid w:val="62FB8680"/>
    <w:multiLevelType w:val="hybridMultilevel"/>
    <w:lvl w:ilvl="0">
      <w:lvlJc w:val="left"/>
      <w:lvlText w:val="%1."/>
      <w:numFmt w:val="decimal"/>
      <w:start w:val="1"/>
    </w:lvl>
  </w:abstractNum>
  <w:abstractNum w:abstractNumId="393">
    <w:nsid w:val="3A45530"/>
    <w:multiLevelType w:val="hybridMultilevel"/>
    <w:lvl w:ilvl="0">
      <w:lvlJc w:val="left"/>
      <w:lvlText w:val="(%1)"/>
      <w:numFmt w:val="lowerLetter"/>
      <w:start w:val="1"/>
    </w:lvl>
  </w:abstractNum>
  <w:abstractNum w:abstractNumId="394">
    <w:nsid w:val="4B9275D2"/>
    <w:multiLevelType w:val="hybridMultilevel"/>
    <w:lvl w:ilvl="0">
      <w:lvlJc w:val="left"/>
      <w:lvlText w:val="%1"/>
      <w:numFmt w:val="upperLetter"/>
      <w:start w:val="1"/>
    </w:lvl>
    <w:lvl w:ilvl="1">
      <w:lvlJc w:val="left"/>
      <w:lvlText w:val="(%2)"/>
      <w:numFmt w:val="lowerLetter"/>
      <w:start w:val="2"/>
    </w:lvl>
  </w:abstractNum>
  <w:abstractNum w:abstractNumId="395">
    <w:nsid w:val="4F0CEEDB"/>
    <w:multiLevelType w:val="hybridMultilevel"/>
    <w:lvl w:ilvl="0">
      <w:lvlJc w:val="left"/>
      <w:lvlText w:val="%1."/>
      <w:numFmt w:val="upperLetter"/>
      <w:start w:val="2"/>
    </w:lvl>
    <w:lvl w:ilvl="1">
      <w:lvlJc w:val="left"/>
      <w:lvlText w:val="%2"/>
      <w:numFmt w:val="lowerLetter"/>
      <w:start w:val="1"/>
    </w:lvl>
  </w:abstractNum>
  <w:abstractNum w:abstractNumId="396">
    <w:nsid w:val="61C30361"/>
    <w:multiLevelType w:val="hybridMultilevel"/>
    <w:lvl w:ilvl="0">
      <w:lvlJc w:val="left"/>
      <w:lvlText w:val="%1."/>
      <w:numFmt w:val="decimal"/>
      <w:start w:val="1"/>
    </w:lvl>
  </w:abstractNum>
  <w:abstractNum w:abstractNumId="397">
    <w:nsid w:val="632099E0"/>
    <w:multiLevelType w:val="hybridMultilevel"/>
    <w:lvl w:ilvl="0">
      <w:lvlJc w:val="left"/>
      <w:lvlText w:val="%1."/>
      <w:numFmt w:val="decimal"/>
      <w:start w:val="1"/>
    </w:lvl>
  </w:abstractNum>
  <w:abstractNum w:abstractNumId="398">
    <w:nsid w:val="24639756"/>
    <w:multiLevelType w:val="hybridMultilevel"/>
    <w:lvl w:ilvl="0">
      <w:lvlJc w:val="left"/>
      <w:lvlText w:val="%1"/>
      <w:numFmt w:val="lowerRoman"/>
      <w:start w:val="1"/>
    </w:lvl>
    <w:lvl w:ilvl="1">
      <w:lvlJc w:val="left"/>
      <w:lvlText w:val="%2."/>
      <w:numFmt w:val="decimal"/>
      <w:start w:val="4"/>
    </w:lvl>
  </w:abstractNum>
  <w:abstractNum w:abstractNumId="399">
    <w:nsid w:val="9D30DFD"/>
    <w:multiLevelType w:val="hybridMultilevel"/>
    <w:lvl w:ilvl="0">
      <w:lvlJc w:val="left"/>
      <w:lvlText w:val="(%1)"/>
      <w:numFmt w:val="lowerRoman"/>
      <w:start w:val="2"/>
    </w:lvl>
    <w:lvl w:ilvl="1">
      <w:lvlJc w:val="left"/>
      <w:lvlText w:val="%2"/>
      <w:numFmt w:val="decimal"/>
      <w:start w:val="1"/>
    </w:lvl>
  </w:abstractNum>
  <w:abstractNum w:abstractNumId="400">
    <w:nsid w:val="70A42016"/>
    <w:multiLevelType w:val="hybridMultilevel"/>
    <w:lvl w:ilvl="0">
      <w:lvlJc w:val="left"/>
      <w:lvlText w:val="%1"/>
      <w:numFmt w:val="lowerLetter"/>
      <w:start w:val="1"/>
    </w:lvl>
    <w:lvl w:ilvl="1">
      <w:lvlJc w:val="left"/>
      <w:lvlText w:val="%2."/>
      <w:numFmt w:val="decimal"/>
      <w:start w:val="1"/>
    </w:lvl>
  </w:abstractNum>
  <w:abstractNum w:abstractNumId="401">
    <w:nsid w:val="161BC243"/>
    <w:multiLevelType w:val="hybridMultilevel"/>
    <w:lvl w:ilvl="0">
      <w:lvlJc w:val="left"/>
      <w:lvlText w:val="(%1)"/>
      <w:numFmt w:val="lowerLetter"/>
      <w:start w:val="2"/>
    </w:lvl>
    <w:lvl w:ilvl="1">
      <w:lvlJc w:val="left"/>
      <w:lvlText w:val="%2."/>
      <w:numFmt w:val="decimal"/>
      <w:start w:val="2"/>
    </w:lvl>
  </w:abstractNum>
  <w:abstractNum w:abstractNumId="402">
    <w:nsid w:val="16E908C8"/>
    <w:multiLevelType w:val="hybridMultilevel"/>
    <w:lvl w:ilvl="0">
      <w:lvlJc w:val="left"/>
      <w:lvlText w:val="%1."/>
      <w:numFmt w:val="decimal"/>
      <w:start w:val="1"/>
    </w:lvl>
  </w:abstractNum>
  <w:abstractNum w:abstractNumId="403">
    <w:nsid w:val="2E0D7671"/>
    <w:multiLevelType w:val="hybridMultilevel"/>
    <w:lvl w:ilvl="0">
      <w:lvlJc w:val="left"/>
      <w:lvlText w:val="%1."/>
      <w:numFmt w:val="decimal"/>
      <w:start w:val="1"/>
    </w:lvl>
  </w:abstractNum>
  <w:abstractNum w:abstractNumId="404">
    <w:nsid w:val="38B59EFF"/>
    <w:multiLevelType w:val="hybridMultilevel"/>
    <w:lvl w:ilvl="0">
      <w:lvlJc w:val="left"/>
      <w:lvlText w:val="(%1)"/>
      <w:numFmt w:val="lowerLetter"/>
      <w:start w:val="1"/>
    </w:lvl>
  </w:abstractNum>
  <w:abstractNum w:abstractNumId="405">
    <w:nsid w:val="307995CA"/>
    <w:multiLevelType w:val="hybridMultilevel"/>
    <w:lvl w:ilvl="0">
      <w:lvlJc w:val="left"/>
      <w:lvlText w:val="(%1)"/>
      <w:numFmt w:val="decimal"/>
      <w:start w:val="1"/>
    </w:lvl>
  </w:abstractNum>
  <w:abstractNum w:abstractNumId="406">
    <w:nsid w:val="52E2024D"/>
    <w:multiLevelType w:val="hybridMultilevel"/>
    <w:lvl w:ilvl="0">
      <w:lvlJc w:val="left"/>
      <w:lvlText w:val="(%1)"/>
      <w:numFmt w:val="upperLetter"/>
      <w:start w:val="1"/>
    </w:lvl>
  </w:abstractNum>
  <w:abstractNum w:abstractNumId="407">
    <w:nsid w:val="CE344B5"/>
    <w:multiLevelType w:val="hybridMultilevel"/>
    <w:lvl w:ilvl="0">
      <w:lvlJc w:val="left"/>
      <w:lvlText w:val="(%1)"/>
      <w:numFmt w:val="upperLetter"/>
      <w:start w:val="4"/>
    </w:lvl>
  </w:abstractNum>
  <w:abstractNum w:abstractNumId="408">
    <w:nsid w:val="29B0E9A8"/>
    <w:multiLevelType w:val="hybridMultilevel"/>
    <w:lvl w:ilvl="0">
      <w:lvlJc w:val="left"/>
      <w:lvlText w:val="(%1)"/>
      <w:numFmt w:val="decimal"/>
      <w:start w:val="3"/>
    </w:lvl>
  </w:abstractNum>
  <w:abstractNum w:abstractNumId="409">
    <w:nsid w:val="6F49CD8A"/>
    <w:multiLevelType w:val="hybridMultilevel"/>
    <w:lvl w:ilvl="0">
      <w:lvlJc w:val="left"/>
      <w:lvlText w:val="(%1)"/>
      <w:numFmt w:val="lowerLetter"/>
      <w:start w:val="2"/>
    </w:lvl>
  </w:abstractNum>
  <w:abstractNum w:abstractNumId="410">
    <w:nsid w:val="4DC5D907"/>
    <w:multiLevelType w:val="hybridMultilevel"/>
    <w:lvl w:ilvl="0">
      <w:lvlJc w:val="left"/>
      <w:lvlText w:val="(%1)"/>
      <w:numFmt w:val="decimal"/>
      <w:start w:val="1"/>
    </w:lvl>
  </w:abstractNum>
  <w:abstractNum w:abstractNumId="411">
    <w:nsid w:val="D55945E"/>
    <w:multiLevelType w:val="hybridMultilevel"/>
    <w:lvl w:ilvl="0">
      <w:lvlJc w:val="left"/>
      <w:lvlText w:val="(%1)"/>
      <w:numFmt w:val="lowerLetter"/>
      <w:start w:val="9"/>
    </w:lvl>
    <w:lvl w:ilvl="1">
      <w:lvlJc w:val="left"/>
      <w:lvlText w:val="(%2)"/>
      <w:numFmt w:val="lowerLetter"/>
      <w:start w:val="3"/>
    </w:lvl>
  </w:abstractNum>
  <w:abstractNum w:abstractNumId="412">
    <w:nsid w:val="672417E1"/>
    <w:multiLevelType w:val="hybridMultilevel"/>
    <w:lvl w:ilvl="0">
      <w:lvlJc w:val="left"/>
      <w:lvlText w:val="(%1)"/>
      <w:numFmt w:val="lowerLetter"/>
      <w:start w:val="1"/>
    </w:lvl>
  </w:abstractNum>
  <w:abstractNum w:abstractNumId="413">
    <w:nsid w:val="5FF6CA09"/>
    <w:multiLevelType w:val="hybridMultilevel"/>
    <w:lvl w:ilvl="0">
      <w:lvlJc w:val="left"/>
      <w:lvlText w:val="(%1)"/>
      <w:numFmt w:val="lowerLetter"/>
      <w:start w:val="1"/>
    </w:lvl>
  </w:abstractNum>
  <w:abstractNum w:abstractNumId="414">
    <w:nsid w:val="330B1333"/>
    <w:multiLevelType w:val="hybridMultilevel"/>
    <w:lvl w:ilvl="0">
      <w:lvlJc w:val="left"/>
      <w:lvlText w:val="(%1)"/>
      <w:numFmt w:val="lowerLetter"/>
      <w:start w:val="1"/>
    </w:lvl>
  </w:abstractNum>
  <w:abstractNum w:abstractNumId="415">
    <w:nsid w:val="2EF32EA6"/>
    <w:multiLevelType w:val="hybridMultilevel"/>
    <w:lvl w:ilvl="0">
      <w:lvlJc w:val="left"/>
      <w:lvlText w:val="(%1)"/>
      <w:numFmt w:val="decimal"/>
      <w:start w:val="1"/>
    </w:lvl>
  </w:abstractNum>
  <w:abstractNum w:abstractNumId="416">
    <w:nsid w:val="32766A55"/>
    <w:multiLevelType w:val="hybridMultilevel"/>
    <w:lvl w:ilvl="0">
      <w:lvlJc w:val="left"/>
      <w:lvlText w:val="(%1)"/>
      <w:numFmt w:val="lowerLetter"/>
      <w:start w:val="1"/>
    </w:lvl>
  </w:abstractNum>
  <w:abstractNum w:abstractNumId="417">
    <w:nsid w:val="22D71957"/>
    <w:multiLevelType w:val="hybridMultilevel"/>
    <w:lvl w:ilvl="0">
      <w:lvlJc w:val="left"/>
      <w:lvlText w:val="(%1)"/>
      <w:numFmt w:val="lowerLetter"/>
      <w:start w:val="9"/>
    </w:lvl>
    <w:lvl w:ilvl="1">
      <w:lvlJc w:val="left"/>
      <w:lvlText w:val="(%2)"/>
      <w:numFmt w:val="lowerLetter"/>
      <w:start w:val="2"/>
    </w:lvl>
  </w:abstractNum>
  <w:abstractNum w:abstractNumId="418">
    <w:nsid w:val="4CC1263B"/>
    <w:multiLevelType w:val="hybridMultilevel"/>
    <w:lvl w:ilvl="0">
      <w:lvlJc w:val="left"/>
      <w:lvlText w:val="(%1)"/>
      <w:numFmt w:val="lowerLetter"/>
      <w:start w:val="1"/>
    </w:lvl>
  </w:abstractNum>
  <w:abstractNum w:abstractNumId="419">
    <w:nsid w:val="8BBEB1D"/>
    <w:multiLevelType w:val="hybridMultilevel"/>
    <w:lvl w:ilvl="0">
      <w:lvlJc w:val="left"/>
      <w:lvlText w:val="(%1)"/>
      <w:numFmt w:val="lowerLetter"/>
      <w:start w:val="1"/>
    </w:lvl>
  </w:abstractNum>
  <w:abstractNum w:abstractNumId="420">
    <w:nsid w:val="7365F1EE"/>
    <w:multiLevelType w:val="hybridMultilevel"/>
    <w:lvl w:ilvl="0">
      <w:lvlJc w:val="left"/>
      <w:lvlText w:val="(%1)"/>
      <w:numFmt w:val="lowerLetter"/>
      <w:start w:val="2"/>
    </w:lvl>
  </w:abstractNum>
  <w:abstractNum w:abstractNumId="421">
    <w:nsid w:val="37524CF0"/>
    <w:multiLevelType w:val="hybridMultilevel"/>
    <w:lvl w:ilvl="0">
      <w:lvlJc w:val="left"/>
      <w:lvlText w:val="(%1)"/>
      <w:numFmt w:val="lowerLetter"/>
      <w:start w:val="1"/>
    </w:lvl>
  </w:abstractNum>
  <w:abstractNum w:abstractNumId="422">
    <w:nsid w:val="70CC332F"/>
    <w:multiLevelType w:val="hybridMultilevel"/>
    <w:lvl w:ilvl="0">
      <w:lvlJc w:val="left"/>
      <w:lvlText w:val="(%1)"/>
      <w:numFmt w:val="lowerLetter"/>
      <w:start w:val="1"/>
    </w:lvl>
    <w:lvl w:ilvl="1">
      <w:lvlJc w:val="left"/>
      <w:lvlText w:val="(%2)"/>
      <w:numFmt w:val="lowerRoman"/>
      <w:start w:val="1"/>
    </w:lvl>
  </w:abstractNum>
  <w:abstractNum w:abstractNumId="423">
    <w:nsid w:val="5661786E"/>
    <w:multiLevelType w:val="hybridMultilevel"/>
    <w:lvl w:ilvl="0">
      <w:lvlJc w:val="left"/>
      <w:lvlText w:val="(%1)"/>
      <w:numFmt w:val="lowerLetter"/>
      <w:start w:val="3"/>
    </w:lvl>
  </w:abstractNum>
  <w:abstractNum w:abstractNumId="424">
    <w:nsid w:val="3AF6A220"/>
    <w:multiLevelType w:val="hybridMultilevel"/>
    <w:lvl w:ilvl="0">
      <w:lvlJc w:val="left"/>
      <w:lvlText w:val="(%1)"/>
      <w:numFmt w:val="lowerLetter"/>
      <w:start w:val="1"/>
    </w:lvl>
  </w:abstractNum>
  <w:abstractNum w:abstractNumId="425">
    <w:nsid w:val="3C5EA902"/>
    <w:multiLevelType w:val="hybridMultilevel"/>
    <w:lvl w:ilvl="0">
      <w:lvlJc w:val="left"/>
      <w:lvlText w:val="(%1)"/>
      <w:numFmt w:val="lowerLetter"/>
      <w:start w:val="3"/>
    </w:lvl>
  </w:abstractNum>
  <w:abstractNum w:abstractNumId="426">
    <w:nsid w:val="256E6749"/>
    <w:multiLevelType w:val="hybridMultilevel"/>
    <w:lvl w:ilvl="0">
      <w:lvlJc w:val="left"/>
      <w:lvlText w:val="(%1)"/>
      <w:numFmt w:val="lowerLetter"/>
      <w:start w:val="1"/>
    </w:lvl>
  </w:abstractNum>
  <w:abstractNum w:abstractNumId="427">
    <w:nsid w:val="1CB9A581"/>
    <w:multiLevelType w:val="hybridMultilevel"/>
    <w:lvl w:ilvl="0">
      <w:lvlJc w:val="left"/>
      <w:lvlText w:val="(%1)"/>
      <w:numFmt w:val="lowerLetter"/>
      <w:start w:val="2"/>
    </w:lvl>
  </w:abstractNum>
  <w:abstractNum w:abstractNumId="428">
    <w:nsid w:val="1F7F42E2"/>
    <w:multiLevelType w:val="hybridMultilevel"/>
    <w:lvl w:ilvl="0">
      <w:lvlJc w:val="left"/>
      <w:lvlText w:val="(%1)"/>
      <w:numFmt w:val="lowerLetter"/>
      <w:start w:val="3"/>
    </w:lvl>
    <w:lvl w:ilvl="1">
      <w:lvlJc w:val="left"/>
      <w:lvlText w:val="(%2)"/>
      <w:numFmt w:val="lowerRoman"/>
      <w:start w:val="1"/>
    </w:lvl>
  </w:abstractNum>
  <w:abstractNum w:abstractNumId="429">
    <w:nsid w:val="49D1FEA0"/>
    <w:multiLevelType w:val="hybridMultilevel"/>
    <w:lvl w:ilvl="0">
      <w:lvlJc w:val="left"/>
      <w:lvlText w:val="(%1)"/>
      <w:numFmt w:val="lowerLetter"/>
      <w:start w:val="6"/>
    </w:lvl>
  </w:abstractNum>
  <w:abstractNum w:abstractNumId="430">
    <w:nsid w:val="268CB37F"/>
    <w:multiLevelType w:val="hybridMultilevel"/>
    <w:lvl w:ilvl="0">
      <w:lvlJc w:val="left"/>
      <w:lvlText w:val="(%1)"/>
      <w:numFmt w:val="lowerLetter"/>
      <w:start w:val="1"/>
    </w:lvl>
  </w:abstractNum>
  <w:abstractNum w:abstractNumId="431">
    <w:nsid w:val="102362F8"/>
    <w:multiLevelType w:val="hybridMultilevel"/>
    <w:lvl w:ilvl="0">
      <w:lvlJc w:val="left"/>
      <w:lvlText w:val="%1"/>
      <w:numFmt w:val="lowerLetter"/>
      <w:start w:val="1"/>
    </w:lvl>
    <w:lvl w:ilvl="1">
      <w:lvlJc w:val="left"/>
      <w:lvlText w:val="(%2)"/>
      <w:numFmt w:val="lowerLetter"/>
      <w:start w:val="1"/>
    </w:lvl>
  </w:abstractNum>
  <w:abstractNum w:abstractNumId="432">
    <w:nsid w:val="5FEDC0E3"/>
    <w:multiLevelType w:val="hybridMultilevel"/>
    <w:lvl w:ilvl="0">
      <w:lvlJc w:val="left"/>
      <w:lvlText w:val="(%1)"/>
      <w:numFmt w:val="lowerLetter"/>
      <w:start w:val="9"/>
    </w:lvl>
    <w:lvl w:ilvl="1">
      <w:lvlJc w:val="left"/>
      <w:lvlText w:val="(%2)"/>
      <w:numFmt w:val="lowerLetter"/>
      <w:start w:val="3"/>
    </w:lvl>
  </w:abstractNum>
  <w:abstractNum w:abstractNumId="433">
    <w:nsid w:val="3D75BC47"/>
    <w:multiLevelType w:val="hybridMultilevel"/>
    <w:lvl w:ilvl="0">
      <w:lvlJc w:val="left"/>
      <w:lvlText w:val="(%1)"/>
      <w:numFmt w:val="lowerLetter"/>
      <w:start w:val="1"/>
    </w:lvl>
  </w:abstractNum>
  <w:abstractNum w:abstractNumId="434">
    <w:nsid w:val="3E30D969"/>
    <w:multiLevelType w:val="hybridMultilevel"/>
    <w:lvl w:ilvl="0">
      <w:lvlJc w:val="left"/>
      <w:lvlText w:val="(%1)"/>
      <w:numFmt w:val="lowerLetter"/>
      <w:start w:val="1"/>
    </w:lvl>
  </w:abstractNum>
  <w:abstractNum w:abstractNumId="435">
    <w:nsid w:val="18A35FE3"/>
    <w:multiLevelType w:val="hybridMultilevel"/>
    <w:lvl w:ilvl="0">
      <w:lvlJc w:val="left"/>
      <w:lvlText w:val="(%1)"/>
      <w:numFmt w:val="lowerLetter"/>
      <w:start w:val="2"/>
    </w:lvl>
  </w:abstractNum>
  <w:abstractNum w:abstractNumId="436">
    <w:nsid w:val="6DEF5211"/>
    <w:multiLevelType w:val="hybridMultilevel"/>
    <w:lvl w:ilvl="0">
      <w:lvlJc w:val="left"/>
      <w:lvlText w:val="(%1)"/>
      <w:numFmt w:val="lowerLetter"/>
      <w:start w:val="1"/>
    </w:lvl>
  </w:abstractNum>
  <w:abstractNum w:abstractNumId="437">
    <w:nsid w:val="1112DBB6"/>
    <w:multiLevelType w:val="hybridMultilevel"/>
    <w:lvl w:ilvl="0">
      <w:lvlJc w:val="left"/>
      <w:lvlText w:val="(%1)"/>
      <w:numFmt w:val="lowerLetter"/>
      <w:start w:val="1"/>
    </w:lvl>
  </w:abstractNum>
  <w:abstractNum w:abstractNumId="438">
    <w:nsid w:val="2586A498"/>
    <w:multiLevelType w:val="hybridMultilevel"/>
    <w:lvl w:ilvl="0">
      <w:lvlJc w:val="left"/>
      <w:lvlText w:val="(%1)"/>
      <w:numFmt w:val="lowerLetter"/>
      <w:start w:val="2"/>
    </w:lvl>
  </w:abstractNum>
  <w:abstractNum w:abstractNumId="439">
    <w:nsid w:val="17A03BB9"/>
    <w:multiLevelType w:val="hybridMultilevel"/>
    <w:lvl w:ilvl="0">
      <w:lvlJc w:val="left"/>
      <w:lvlText w:val="(%1)"/>
      <w:numFmt w:val="lowerLetter"/>
      <w:start w:val="1"/>
    </w:lvl>
    <w:lvl w:ilvl="1">
      <w:lvlJc w:val="left"/>
      <w:lvlText w:val="(%2)"/>
      <w:numFmt w:val="lowerRoman"/>
      <w:start w:val="1"/>
    </w:lvl>
  </w:abstractNum>
  <w:abstractNum w:abstractNumId="440">
    <w:nsid w:val="5CA941"/>
    <w:multiLevelType w:val="hybridMultilevel"/>
    <w:lvl w:ilvl="0">
      <w:lvlJc w:val="left"/>
      <w:lvlText w:val="(%1)"/>
      <w:numFmt w:val="lowerLetter"/>
      <w:start w:val="1"/>
    </w:lvl>
  </w:abstractNum>
  <w:abstractNum w:abstractNumId="441">
    <w:nsid w:val="734C7D9F"/>
    <w:multiLevelType w:val="hybridMultilevel"/>
    <w:lvl w:ilvl="0">
      <w:lvlJc w:val="left"/>
      <w:lvlText w:val="%1."/>
      <w:numFmt w:val="decimal"/>
      <w:start w:val="1"/>
    </w:lvl>
  </w:abstractNum>
  <w:abstractNum w:abstractNumId="442">
    <w:nsid w:val="24F5D018"/>
    <w:multiLevelType w:val="hybridMultilevel"/>
    <w:lvl w:ilvl="0">
      <w:lvlJc w:val="left"/>
      <w:lvlText w:val="(%1)"/>
      <w:numFmt w:val="lowerLetter"/>
      <w:start w:val="1"/>
    </w:lvl>
  </w:abstractNum>
  <w:abstractNum w:abstractNumId="443">
    <w:nsid w:val="6780C122"/>
    <w:multiLevelType w:val="hybridMultilevel"/>
    <w:lvl w:ilvl="0">
      <w:lvlJc w:val="left"/>
      <w:lvlText w:val="(%1)"/>
      <w:numFmt w:val="lowerLetter"/>
      <w:start w:val="1"/>
    </w:lvl>
  </w:abstractNum>
  <w:abstractNum w:abstractNumId="444">
    <w:nsid w:val="534347A8"/>
    <w:multiLevelType w:val="hybridMultilevel"/>
    <w:lvl w:ilvl="0">
      <w:lvlJc w:val="left"/>
      <w:lvlText w:val="(%1)"/>
      <w:numFmt w:val="lowerLetter"/>
      <w:start w:val="1"/>
    </w:lvl>
  </w:abstractNum>
  <w:abstractNum w:abstractNumId="445">
    <w:nsid w:val="5800E34B"/>
    <w:multiLevelType w:val="hybridMultilevel"/>
    <w:lvl w:ilvl="0">
      <w:lvlJc w:val="left"/>
      <w:lvlText w:val="%1"/>
      <w:numFmt w:val="decimal"/>
      <w:start w:val="10"/>
    </w:lvl>
  </w:abstractNum>
  <w:abstractNum w:abstractNumId="446">
    <w:nsid w:val="1673EFC8"/>
    <w:multiLevelType w:val="hybridMultilevel"/>
    <w:lvl w:ilvl="0">
      <w:lvlJc w:val="left"/>
      <w:lvlText w:val="(%1)"/>
      <w:numFmt w:val="lowerLetter"/>
      <w:start w:val="1"/>
    </w:lvl>
  </w:abstractNum>
  <w:abstractNum w:abstractNumId="447">
    <w:nsid w:val="5B9B1FD"/>
    <w:multiLevelType w:val="hybridMultilevel"/>
    <w:lvl w:ilvl="0">
      <w:lvlJc w:val="left"/>
      <w:lvlText w:val="(%1)"/>
      <w:numFmt w:val="lowerLetter"/>
      <w:start w:val="3"/>
    </w:lvl>
  </w:abstractNum>
  <w:abstractNum w:abstractNumId="448">
    <w:nsid w:val="7AD7FCA2"/>
    <w:multiLevelType w:val="hybridMultilevel"/>
    <w:lvl w:ilvl="0">
      <w:lvlJc w:val="left"/>
      <w:lvlText w:val="%1"/>
      <w:numFmt w:val="decimal"/>
      <w:start w:val="1"/>
    </w:lvl>
    <w:lvl w:ilvl="1">
      <w:lvlJc w:val="left"/>
      <w:lvlText w:val="%2."/>
      <w:numFmt w:val="decimal"/>
      <w:start w:val="1"/>
    </w:lvl>
  </w:abstractNum>
  <w:abstractNum w:abstractNumId="449">
    <w:nsid w:val="63351604"/>
    <w:multiLevelType w:val="hybridMultilevel"/>
    <w:lvl w:ilvl="0">
      <w:lvlJc w:val="left"/>
      <w:lvlText w:val="%1."/>
      <w:numFmt w:val="decimal"/>
      <w:start w:val="2"/>
    </w:lvl>
    <w:lvl w:ilvl="1">
      <w:lvlJc w:val="left"/>
      <w:lvlText w:val="%2"/>
      <w:numFmt w:val="decimal"/>
      <w:start w:val="1"/>
    </w:lvl>
  </w:abstractNum>
  <w:abstractNum w:abstractNumId="450">
    <w:nsid w:val="E759D1A"/>
    <w:multiLevelType w:val="hybridMultilevel"/>
    <w:lvl w:ilvl="0">
      <w:lvlJc w:val="left"/>
      <w:lvlText w:val="%1."/>
      <w:numFmt w:val="decimal"/>
      <w:start w:val="1"/>
    </w:lvl>
  </w:abstractNum>
  <w:abstractNum w:abstractNumId="451">
    <w:nsid w:val="6E3DEE90"/>
    <w:multiLevelType w:val="hybridMultilevel"/>
    <w:lvl w:ilvl="0">
      <w:lvlJc w:val="left"/>
      <w:lvlText w:val="%1."/>
      <w:numFmt w:val="decimal"/>
      <w:start w:val="4"/>
    </w:lvl>
  </w:abstractNum>
  <w:abstractNum w:abstractNumId="452">
    <w:nsid w:val="1A8762F4"/>
    <w:multiLevelType w:val="hybridMultilevel"/>
    <w:lvl w:ilvl="0">
      <w:lvlJc w:val="left"/>
      <w:lvlText w:val="%1"/>
      <w:numFmt w:val="lowerLetter"/>
      <w:start w:val="1"/>
    </w:lvl>
    <w:lvl w:ilvl="1">
      <w:lvlJc w:val="left"/>
      <w:lvlText w:val="%2."/>
      <w:numFmt w:val="decimal"/>
      <w:start w:val="1"/>
    </w:lvl>
  </w:abstractNum>
  <w:abstractNum w:abstractNumId="453">
    <w:nsid w:val="7F41D049"/>
    <w:multiLevelType w:val="hybridMultilevel"/>
    <w:lvl w:ilvl="0">
      <w:lvlJc w:val="left"/>
      <w:lvlText w:val="(%1)"/>
      <w:numFmt w:val="lowerLetter"/>
      <w:start w:val="2"/>
    </w:lvl>
    <w:lvl w:ilvl="1">
      <w:lvlJc w:val="left"/>
      <w:lvlText w:val="%2"/>
      <w:numFmt w:val="decimal"/>
      <w:start w:val="1"/>
    </w:lvl>
  </w:abstractNum>
  <w:abstractNum w:abstractNumId="454">
    <w:nsid w:val="449F66FE"/>
    <w:multiLevelType w:val="hybridMultilevel"/>
    <w:lvl w:ilvl="0">
      <w:lvlJc w:val="left"/>
      <w:lvlText w:val="%1."/>
      <w:numFmt w:val="decimal"/>
      <w:start w:val="2"/>
    </w:lvl>
  </w:abstractNum>
  <w:abstractNum w:abstractNumId="455">
    <w:nsid w:val="557E0515"/>
    <w:multiLevelType w:val="hybridMultilevel"/>
    <w:lvl w:ilvl="0">
      <w:lvlJc w:val="left"/>
      <w:lvlText w:val="%1."/>
      <w:numFmt w:val="decimal"/>
      <w:start w:val="1"/>
    </w:lvl>
  </w:abstractNum>
  <w:abstractNum w:abstractNumId="456">
    <w:nsid w:val="3BA0794B"/>
    <w:multiLevelType w:val="hybridMultilevel"/>
    <w:lvl w:ilvl="0">
      <w:lvlJc w:val="left"/>
      <w:lvlText w:val="%1."/>
      <w:numFmt w:val="decimal"/>
      <w:start w:val="1"/>
    </w:lvl>
  </w:abstractNum>
  <w:abstractNum w:abstractNumId="457">
    <w:nsid w:val="6A0DCE48"/>
    <w:multiLevelType w:val="hybridMultilevel"/>
    <w:lvl w:ilvl="0">
      <w:lvlJc w:val="left"/>
      <w:lvlText w:val="(%1)"/>
      <w:numFmt w:val="lowerLetter"/>
      <w:start w:val="1"/>
    </w:lvl>
  </w:abstractNum>
  <w:abstractNum w:abstractNumId="458">
    <w:nsid w:val="7237AA96"/>
    <w:multiLevelType w:val="hybridMultilevel"/>
    <w:lvl w:ilvl="0">
      <w:lvlJc w:val="left"/>
      <w:lvlText w:val="%1"/>
      <w:numFmt w:val="lowerRoman"/>
      <w:start w:val="1"/>
    </w:lvl>
    <w:lvl w:ilvl="1">
      <w:lvlJc w:val="left"/>
      <w:lvlText w:val="(%2)"/>
      <w:numFmt w:val="decimal"/>
      <w:start w:val="1"/>
    </w:lvl>
  </w:abstractNum>
  <w:abstractNum w:abstractNumId="459">
    <w:nsid w:val="5B1FBC2D"/>
    <w:multiLevelType w:val="hybridMultilevel"/>
    <w:lvl w:ilvl="0">
      <w:lvlJc w:val="left"/>
      <w:lvlText w:val="(%1)"/>
      <w:numFmt w:val="lowerRoman"/>
      <w:start w:val="3"/>
    </w:lvl>
    <w:lvl w:ilvl="1">
      <w:lvlJc w:val="left"/>
      <w:lvlText w:val="%2"/>
      <w:numFmt w:val="decimal"/>
      <w:start w:val="1"/>
    </w:lvl>
  </w:abstractNum>
  <w:abstractNum w:abstractNumId="460">
    <w:nsid w:val="33DFCCE8"/>
    <w:multiLevelType w:val="hybridMultilevel"/>
    <w:lvl w:ilvl="0">
      <w:lvlJc w:val="left"/>
      <w:lvlText w:val="(%1)"/>
      <w:numFmt w:val="upperLetter"/>
      <w:start w:val="1"/>
    </w:lvl>
  </w:abstractNum>
  <w:abstractNum w:abstractNumId="461">
    <w:nsid w:val="18C45E15"/>
    <w:multiLevelType w:val="hybridMultilevel"/>
    <w:lvl w:ilvl="0">
      <w:lvlJc w:val="left"/>
      <w:lvlText w:val="(%1)"/>
      <w:numFmt w:val="lowerRoman"/>
      <w:start w:val="3"/>
    </w:lvl>
    <w:lvl w:ilvl="1">
      <w:lvlJc w:val="left"/>
      <w:lvlText w:val="(%2)"/>
      <w:numFmt w:val="upperLetter"/>
      <w:start w:val="4"/>
    </w:lvl>
  </w:abstractNum>
  <w:abstractNum w:abstractNumId="462">
    <w:nsid w:val="6B431F25"/>
    <w:multiLevelType w:val="hybridMultilevel"/>
    <w:lvl w:ilvl="0">
      <w:lvlJc w:val="left"/>
      <w:lvlText w:val="(%1)"/>
      <w:numFmt w:val="decimal"/>
      <w:start w:val="3"/>
    </w:lvl>
  </w:abstractNum>
  <w:abstractNum w:abstractNumId="463">
    <w:nsid w:val="13CD8DCB"/>
    <w:multiLevelType w:val="hybridMultilevel"/>
    <w:lvl w:ilvl="0">
      <w:lvlJc w:val="left"/>
      <w:lvlText w:val="(%1)"/>
      <w:numFmt w:val="lowerLetter"/>
      <w:start w:val="2"/>
    </w:lvl>
  </w:abstractNum>
  <w:abstractNum w:abstractNumId="464">
    <w:nsid w:val="563A1A5C"/>
    <w:multiLevelType w:val="hybridMultilevel"/>
    <w:lvl w:ilvl="0">
      <w:lvlJc w:val="left"/>
      <w:lvlText w:val="(%1)"/>
      <w:numFmt w:val="decimal"/>
      <w:start w:val="1"/>
    </w:lvl>
  </w:abstractNum>
  <w:abstractNum w:abstractNumId="465">
    <w:nsid w:val="2973F88F"/>
    <w:multiLevelType w:val="hybridMultilevel"/>
    <w:lvl w:ilvl="0">
      <w:lvlJc w:val="left"/>
      <w:lvlText w:val="(%1)"/>
      <w:numFmt w:val="lowerRoman"/>
      <w:start w:val="1"/>
    </w:lvl>
  </w:abstractNum>
  <w:abstractNum w:abstractNumId="466">
    <w:nsid w:val="2C70EDAE"/>
    <w:multiLevelType w:val="hybridMultilevel"/>
    <w:lvl w:ilvl="0">
      <w:lvlJc w:val="left"/>
      <w:lvlText w:val="(%1)"/>
      <w:numFmt w:val="lowerLetter"/>
      <w:start w:val="3"/>
    </w:lvl>
  </w:abstractNum>
  <w:abstractNum w:abstractNumId="467">
    <w:nsid w:val="44296C6D"/>
    <w:multiLevelType w:val="hybridMultilevel"/>
    <w:lvl w:ilvl="0">
      <w:lvlJc w:val="left"/>
      <w:lvlText w:val="(%1)"/>
      <w:numFmt w:val="lowerLetter"/>
      <w:start w:val="1"/>
    </w:lvl>
  </w:abstractNum>
  <w:abstractNum w:abstractNumId="468">
    <w:nsid w:val="3A86D445"/>
    <w:multiLevelType w:val="hybridMultilevel"/>
    <w:lvl w:ilvl="0">
      <w:lvlJc w:val="left"/>
      <w:lvlText w:val="(%1)"/>
      <w:numFmt w:val="lowerLetter"/>
      <w:start w:val="5"/>
    </w:lvl>
  </w:abstractNum>
  <w:abstractNum w:abstractNumId="469">
    <w:nsid w:val="51F79246"/>
    <w:multiLevelType w:val="hybridMultilevel"/>
    <w:lvl w:ilvl="0">
      <w:lvlJc w:val="left"/>
      <w:lvlText w:val="%1"/>
      <w:numFmt w:val="lowerRoman"/>
      <w:start w:val="1"/>
    </w:lvl>
    <w:lvl w:ilvl="1">
      <w:lvlJc w:val="left"/>
      <w:lvlText w:val="(%2)"/>
      <w:numFmt w:val="lowerLetter"/>
      <w:start w:val="1"/>
    </w:lvl>
  </w:abstractNum>
  <w:abstractNum w:abstractNumId="470">
    <w:nsid w:val="5BC9A827"/>
    <w:multiLevelType w:val="hybridMultilevel"/>
    <w:lvl w:ilvl="0">
      <w:lvlJc w:val="left"/>
      <w:lvlText w:val="(%1)"/>
      <w:numFmt w:val="lowerRoman"/>
      <w:start w:val="4"/>
    </w:lvl>
    <w:lvl w:ilvl="1">
      <w:lvlJc w:val="left"/>
      <w:lvlText w:val="(%2)"/>
      <w:numFmt w:val="lowerLetter"/>
      <w:start w:val="2"/>
    </w:lvl>
  </w:abstractNum>
  <w:abstractNum w:abstractNumId="471">
    <w:nsid w:val="3AE37D86"/>
    <w:multiLevelType w:val="hybridMultilevel"/>
    <w:lvl w:ilvl="0">
      <w:lvlJc w:val="left"/>
      <w:lvlText w:val="(%1)"/>
      <w:numFmt w:val="lowerRoman"/>
      <w:start w:val="1"/>
    </w:lvl>
  </w:abstractNum>
  <w:abstractNum w:abstractNumId="472">
    <w:nsid w:val="45440FE5"/>
    <w:multiLevelType w:val="hybridMultilevel"/>
    <w:lvl w:ilvl="0">
      <w:lvlJc w:val="left"/>
      <w:lvlText w:val="(%1)"/>
      <w:numFmt w:val="lowerLetter"/>
      <w:start w:val="1"/>
    </w:lvl>
    <w:lvl w:ilvl="1">
      <w:lvlJc w:val="left"/>
      <w:lvlText w:val="(%2)"/>
      <w:numFmt w:val="decimal"/>
      <w:start w:val="1"/>
    </w:lvl>
  </w:abstractNum>
  <w:abstractNum w:abstractNumId="473">
    <w:nsid w:val="BF783F"/>
    <w:multiLevelType w:val="hybridMultilevel"/>
    <w:lvl w:ilvl="0">
      <w:lvlJc w:val="left"/>
      <w:lvlText w:val="(%1)"/>
      <w:numFmt w:val="lowerLetter"/>
      <w:start w:val="1"/>
    </w:lvl>
  </w:abstractNum>
  <w:abstractNum w:abstractNumId="474">
    <w:nsid w:val="22643EA9"/>
    <w:multiLevelType w:val="hybridMultilevel"/>
    <w:lvl w:ilvl="0">
      <w:lvlJc w:val="left"/>
      <w:lvlText w:val="(%1)"/>
      <w:numFmt w:val="lowerLetter"/>
      <w:start w:val="9"/>
    </w:lvl>
    <w:lvl w:ilvl="1">
      <w:lvlJc w:val="left"/>
      <w:lvlText w:val="(%2)"/>
      <w:numFmt w:val="lowerLetter"/>
      <w:start w:val="2"/>
    </w:lvl>
  </w:abstractNum>
  <w:abstractNum w:abstractNumId="475">
    <w:nsid w:val="1887578D"/>
    <w:multiLevelType w:val="hybridMultilevel"/>
    <w:lvl w:ilvl="0">
      <w:lvlJc w:val="left"/>
      <w:lvlText w:val="(%1)"/>
      <w:numFmt w:val="lowerLetter"/>
      <w:start w:val="1"/>
    </w:lvl>
  </w:abstractNum>
  <w:abstractNum w:abstractNumId="476">
    <w:nsid w:val="58C05B8A"/>
    <w:multiLevelType w:val="hybridMultilevel"/>
    <w:lvl w:ilvl="0">
      <w:lvlJc w:val="left"/>
      <w:lvlText w:val="(%1)"/>
      <w:numFmt w:val="lowerLetter"/>
      <w:start w:val="1"/>
    </w:lvl>
  </w:abstractNum>
  <w:abstractNum w:abstractNumId="477">
    <w:nsid w:val="38D82E71"/>
    <w:multiLevelType w:val="hybridMultilevel"/>
    <w:lvl w:ilvl="0">
      <w:lvlJc w:val="left"/>
      <w:lvlText w:val="(%1)"/>
      <w:numFmt w:val="lowerLetter"/>
      <w:start w:val="1"/>
    </w:lvl>
  </w:abstractNum>
  <w:abstractNum w:abstractNumId="478">
    <w:nsid w:val="1E41098A"/>
    <w:multiLevelType w:val="hybridMultilevel"/>
    <w:lvl w:ilvl="0">
      <w:lvlJc w:val="left"/>
      <w:lvlText w:val="(%1)"/>
      <w:numFmt w:val="lowerLetter"/>
      <w:start w:val="1"/>
    </w:lvl>
    <w:lvl w:ilvl="1">
      <w:lvlJc w:val="left"/>
      <w:lvlText w:val="(%2)"/>
      <w:numFmt w:val="lowerRoman"/>
      <w:start w:val="1"/>
    </w:lvl>
  </w:abstractNum>
  <w:abstractNum w:abstractNumId="479">
    <w:nsid w:val="5398582C"/>
    <w:multiLevelType w:val="hybridMultilevel"/>
    <w:lvl w:ilvl="0">
      <w:lvlJc w:val="left"/>
      <w:lvlText w:val="(%1)"/>
      <w:numFmt w:val="lowerLetter"/>
      <w:start w:val="3"/>
    </w:lvl>
  </w:abstractNum>
  <w:abstractNum w:abstractNumId="480">
    <w:nsid w:val="1C0D4475"/>
    <w:multiLevelType w:val="hybridMultilevel"/>
    <w:lvl w:ilvl="0">
      <w:lvlJc w:val="left"/>
      <w:lvlText w:val="%1"/>
      <w:numFmt w:val="lowerRoman"/>
      <w:start w:val="1"/>
    </w:lvl>
    <w:lvl w:ilvl="1">
      <w:lvlJc w:val="left"/>
      <w:lvlText w:val="(%2)"/>
      <w:numFmt w:val="lowerLetter"/>
      <w:start w:val="1"/>
    </w:lvl>
  </w:abstractNum>
  <w:abstractNum w:abstractNumId="481">
    <w:nsid w:val="2CB6A6A4"/>
    <w:multiLevelType w:val="hybridMultilevel"/>
    <w:lvl w:ilvl="0">
      <w:lvlJc w:val="left"/>
      <w:lvlText w:val="(%1)"/>
      <w:numFmt w:val="lowerRoman"/>
      <w:start w:val="2"/>
    </w:lvl>
    <w:lvl w:ilvl="1">
      <w:lvlJc w:val="left"/>
      <w:lvlText w:val="%2"/>
      <w:numFmt w:val="lowerLetter"/>
      <w:start w:val="1"/>
    </w:lvl>
  </w:abstractNum>
  <w:abstractNum w:abstractNumId="482">
    <w:nsid w:val="41D646BC"/>
    <w:multiLevelType w:val="hybridMultilevel"/>
    <w:lvl w:ilvl="0">
      <w:lvlJc w:val="left"/>
      <w:lvlText w:val="(%1)"/>
      <w:numFmt w:val="lowerLetter"/>
      <w:start w:val="3"/>
    </w:lvl>
  </w:abstractNum>
  <w:abstractNum w:abstractNumId="483">
    <w:nsid w:val="3694A76A"/>
    <w:multiLevelType w:val="hybridMultilevel"/>
    <w:lvl w:ilvl="0">
      <w:lvlJc w:val="left"/>
      <w:lvlText w:val="(%1)"/>
      <w:numFmt w:val="lowerLetter"/>
      <w:start w:val="1"/>
    </w:lvl>
  </w:abstractNum>
  <w:abstractNum w:abstractNumId="484">
    <w:nsid w:val="2BF876EE"/>
    <w:multiLevelType w:val="hybridMultilevel"/>
    <w:lvl w:ilvl="0">
      <w:lvlJc w:val="left"/>
      <w:lvlText w:val="(%1)"/>
      <w:numFmt w:val="lowerLetter"/>
      <w:start w:val="2"/>
    </w:lvl>
  </w:abstractNum>
  <w:abstractNum w:abstractNumId="485">
    <w:nsid w:val="675ADBA"/>
    <w:multiLevelType w:val="hybridMultilevel"/>
    <w:lvl w:ilvl="0">
      <w:lvlJc w:val="left"/>
      <w:lvlText w:val="(%1)"/>
      <w:numFmt w:val="lowerLetter"/>
      <w:start w:val="3"/>
    </w:lvl>
    <w:lvl w:ilvl="1">
      <w:lvlJc w:val="left"/>
      <w:lvlText w:val="(%2)"/>
      <w:numFmt w:val="lowerRoman"/>
      <w:start w:val="1"/>
    </w:lvl>
  </w:abstractNum>
  <w:abstractNum w:abstractNumId="486">
    <w:nsid w:val="C12AC7F"/>
    <w:multiLevelType w:val="hybridMultilevel"/>
    <w:lvl w:ilvl="0">
      <w:lvlJc w:val="left"/>
      <w:lvlText w:val="(%1)"/>
      <w:numFmt w:val="lowerLetter"/>
      <w:start w:val="6"/>
    </w:lvl>
  </w:abstractNum>
  <w:abstractNum w:abstractNumId="487">
    <w:nsid w:val="6798F039"/>
    <w:multiLevelType w:val="hybridMultilevel"/>
    <w:lvl w:ilvl="0">
      <w:lvlJc w:val="left"/>
      <w:lvlText w:val="(%1)"/>
      <w:numFmt w:val="lowerLetter"/>
      <w:start w:val="1"/>
    </w:lvl>
  </w:abstractNum>
  <w:abstractNum w:abstractNumId="488">
    <w:nsid w:val="70837C02"/>
    <w:multiLevelType w:val="hybridMultilevel"/>
    <w:lvl w:ilvl="0">
      <w:lvlJc w:val="left"/>
      <w:lvlText w:val="%1"/>
      <w:numFmt w:val="lowerLetter"/>
      <w:start w:val="1"/>
    </w:lvl>
    <w:lvl w:ilvl="1">
      <w:lvlJc w:val="left"/>
      <w:lvlText w:val="(%2)"/>
      <w:numFmt w:val="lowerLetter"/>
      <w:start w:val="1"/>
    </w:lvl>
  </w:abstractNum>
  <w:abstractNum w:abstractNumId="489">
    <w:nsid w:val="7E4A5715"/>
    <w:multiLevelType w:val="hybridMultilevel"/>
    <w:lvl w:ilvl="0">
      <w:lvlJc w:val="left"/>
      <w:lvlText w:val="(%1)"/>
      <w:numFmt w:val="lowerLetter"/>
      <w:start w:val="9"/>
    </w:lvl>
    <w:lvl w:ilvl="1">
      <w:lvlJc w:val="left"/>
      <w:lvlText w:val="(%2)"/>
      <w:numFmt w:val="lowerLetter"/>
      <w:start w:val="3"/>
    </w:lvl>
  </w:abstractNum>
  <w:abstractNum w:abstractNumId="490">
    <w:nsid w:val="42B8AC67"/>
    <w:multiLevelType w:val="hybridMultilevel"/>
    <w:lvl w:ilvl="0">
      <w:lvlJc w:val="left"/>
      <w:lvlText w:val="(%1)"/>
      <w:numFmt w:val="lowerLetter"/>
      <w:start w:val="1"/>
    </w:lvl>
  </w:abstractNum>
  <w:abstractNum w:abstractNumId="491">
    <w:nsid w:val="246348EA"/>
    <w:multiLevelType w:val="hybridMultilevel"/>
    <w:lvl w:ilvl="0">
      <w:lvlJc w:val="left"/>
      <w:lvlText w:val="(%1)"/>
      <w:numFmt w:val="lowerLetter"/>
      <w:start w:val="1"/>
    </w:lvl>
  </w:abstractNum>
  <w:abstractNum w:abstractNumId="492">
    <w:nsid w:val="170EB52B"/>
    <w:multiLevelType w:val="hybridMultilevel"/>
    <w:lvl w:ilvl="0">
      <w:lvlJc w:val="left"/>
      <w:lvlText w:val="(%1)"/>
      <w:numFmt w:val="lowerLetter"/>
      <w:start w:val="2"/>
    </w:lvl>
  </w:abstractNum>
  <w:abstractNum w:abstractNumId="493">
    <w:nsid w:val="2DFBCB8C"/>
    <w:multiLevelType w:val="hybridMultilevel"/>
    <w:lvl w:ilvl="0">
      <w:lvlJc w:val="left"/>
      <w:lvlText w:val="(%1)"/>
      <w:numFmt w:val="lowerLetter"/>
      <w:start w:val="1"/>
    </w:lvl>
  </w:abstractNum>
  <w:abstractNum w:abstractNumId="494">
    <w:nsid w:val="3830D6B6"/>
    <w:multiLevelType w:val="hybridMultilevel"/>
    <w:lvl w:ilvl="0">
      <w:lvlJc w:val="left"/>
      <w:lvlText w:val="(%1)"/>
      <w:numFmt w:val="lowerLetter"/>
      <w:start w:val="1"/>
    </w:lvl>
  </w:abstractNum>
  <w:abstractNum w:abstractNumId="495">
    <w:nsid w:val="6D48CF87"/>
    <w:multiLevelType w:val="hybridMultilevel"/>
    <w:lvl w:ilvl="0">
      <w:lvlJc w:val="left"/>
      <w:lvlText w:val="(%1)"/>
      <w:numFmt w:val="lowerLetter"/>
      <w:start w:val="2"/>
    </w:lvl>
  </w:abstractNum>
  <w:abstractNum w:abstractNumId="496">
    <w:nsid w:val="576FC41B"/>
    <w:multiLevelType w:val="hybridMultilevel"/>
    <w:lvl w:ilvl="0">
      <w:lvlJc w:val="left"/>
      <w:lvlText w:val="(%1)"/>
      <w:numFmt w:val="lowerLetter"/>
      <w:start w:val="1"/>
    </w:lvl>
    <w:lvl w:ilvl="1">
      <w:lvlJc w:val="left"/>
      <w:lvlText w:val="(%2)"/>
      <w:numFmt w:val="lowerRoman"/>
      <w:start w:val="1"/>
    </w:lvl>
  </w:abstractNum>
  <w:abstractNum w:abstractNumId="497">
    <w:nsid w:val="64A1C464"/>
    <w:multiLevelType w:val="hybridMultilevel"/>
    <w:lvl w:ilvl="0">
      <w:lvlJc w:val="left"/>
      <w:lvlText w:val="(%1)"/>
      <w:numFmt w:val="lowerLetter"/>
      <w:start w:val="1"/>
    </w:lvl>
  </w:abstractNum>
  <w:abstractNum w:abstractNumId="498">
    <w:nsid w:val="31723BF5"/>
    <w:multiLevelType w:val="hybridMultilevel"/>
    <w:lvl w:ilvl="0">
      <w:lvlJc w:val="left"/>
      <w:lvlText w:val="%1."/>
      <w:numFmt w:val="decimal"/>
      <w:start w:val="1"/>
    </w:lvl>
  </w:abstractNum>
  <w:abstractNum w:abstractNumId="499">
    <w:nsid w:val="11F698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0">
    <w:nsid w:val="369956AB"/>
    <w:multiLevelType w:val="hybridMultilevel"/>
    <w:lvl w:ilvl="0">
      <w:lvlJc w:val="left"/>
      <w:lvlText w:val="%1."/>
      <w:numFmt w:val="lowerLetter"/>
      <w:start w:val="2"/>
    </w:lvl>
  </w:abstractNum>
  <w:abstractNum w:abstractNumId="501">
    <w:nsid w:val="D3BE41C"/>
    <w:multiLevelType w:val="hybridMultilevel"/>
    <w:lvl w:ilvl="0">
      <w:lvlJc w:val="left"/>
      <w:lvlText w:val="%1"/>
      <w:numFmt w:val="decimal"/>
      <w:start w:val="1"/>
    </w:lvl>
    <w:lvl w:ilvl="1">
      <w:lvlJc w:val="left"/>
      <w:lvlText w:val="%2."/>
      <w:numFmt w:val="lowerLetter"/>
      <w:start w:val="8"/>
    </w:lvl>
  </w:abstractNum>
  <w:abstractNum w:abstractNumId="502">
    <w:nsid w:val="4CDA15E7"/>
    <w:multiLevelType w:val="hybridMultilevel"/>
    <w:lvl w:ilvl="0">
      <w:lvlJc w:val="left"/>
      <w:lvlText w:val="%1."/>
      <w:numFmt w:val="decimal"/>
      <w:start w:val="6"/>
    </w:lvl>
    <w:lvl w:ilvl="1">
      <w:lvlJc w:val="left"/>
      <w:lvlText w:val="%2."/>
      <w:numFmt w:val="lowerLetter"/>
      <w:start w:val="1"/>
    </w:lvl>
  </w:abstractNum>
  <w:abstractNum w:abstractNumId="503">
    <w:nsid w:val="7BDD6690"/>
    <w:multiLevelType w:val="hybridMultilevel"/>
    <w:lvl w:ilvl="0">
      <w:lvlJc w:val="left"/>
      <w:lvlText w:val="(%1)"/>
      <w:numFmt w:val="lowerRoman"/>
      <w:start w:val="4"/>
    </w:lvl>
    <w:lvl w:ilvl="1">
      <w:lvlJc w:val="left"/>
      <w:lvlText w:val="%2."/>
      <w:numFmt w:val="lowerLetter"/>
      <w:start w:val="2"/>
    </w:lvl>
  </w:abstractNum>
  <w:abstractNum w:abstractNumId="504">
    <w:nsid w:val="DFB5C5B"/>
    <w:multiLevelType w:val="hybridMultilevel"/>
    <w:lvl w:ilvl="0">
      <w:lvlJc w:val="left"/>
      <w:lvlText w:val="%1."/>
      <w:numFmt w:val="lowerLetter"/>
      <w:start w:val="8"/>
    </w:lvl>
  </w:abstractNum>
  <w:abstractNum w:abstractNumId="505">
    <w:nsid w:val="6F3E5490"/>
    <w:multiLevelType w:val="hybridMultilevel"/>
    <w:lvl w:ilvl="0">
      <w:lvlJc w:val="left"/>
      <w:lvlText w:val="%1"/>
      <w:numFmt w:val="decimal"/>
      <w:start w:val="1"/>
    </w:lvl>
    <w:lvl w:ilvl="1">
      <w:lvlJc w:val="left"/>
      <w:lvlText w:val="%2."/>
      <w:numFmt w:val="lowerLetter"/>
      <w:start w:val="17"/>
    </w:lvl>
  </w:abstractNum>
  <w:abstractNum w:abstractNumId="506">
    <w:nsid w:val="1464BE1E"/>
    <w:multiLevelType w:val="hybridMultilevel"/>
    <w:lvl w:ilvl="0">
      <w:lvlJc w:val="left"/>
      <w:lvlText w:val="%1."/>
      <w:numFmt w:val="decimal"/>
      <w:start w:val="7"/>
    </w:lvl>
    <w:lvl w:ilvl="1">
      <w:lvlJc w:val="left"/>
      <w:lvlText w:val="%2."/>
      <w:numFmt w:val="lowerLetter"/>
      <w:start w:val="1"/>
    </w:lvl>
  </w:abstractNum>
  <w:abstractNum w:abstractNumId="507">
    <w:nsid w:val="66BBB7E5"/>
    <w:multiLevelType w:val="hybridMultilevel"/>
    <w:lvl w:ilvl="0">
      <w:lvlJc w:val="left"/>
      <w:lvlText w:val="%1."/>
      <w:numFmt w:val="lowerLetter"/>
      <w:start w:val="2"/>
    </w:lvl>
  </w:abstractNum>
  <w:abstractNum w:abstractNumId="508">
    <w:nsid w:val="28168302"/>
    <w:multiLevelType w:val="hybridMultilevel"/>
    <w:lvl w:ilvl="0">
      <w:lvlJc w:val="left"/>
      <w:lvlText w:val="%1."/>
      <w:numFmt w:val="lowerLetter"/>
      <w:start w:val="5"/>
    </w:lvl>
  </w:abstractNum>
  <w:abstractNum w:abstractNumId="509">
    <w:nsid w:val="32A5C7A8"/>
    <w:multiLevelType w:val="hybridMultilevel"/>
    <w:lvl w:ilvl="0">
      <w:lvlJc w:val="left"/>
      <w:lvlText w:val="%1."/>
      <w:numFmt w:val="decimal"/>
      <w:start w:val="8"/>
    </w:lvl>
  </w:abstractNum>
  <w:abstractNum w:abstractNumId="510">
    <w:nsid w:val="3A541011"/>
    <w:multiLevelType w:val="hybridMultilevel"/>
    <w:lvl w:ilvl="0">
      <w:lvlJc w:val="left"/>
      <w:lvlText w:val="%1"/>
      <w:numFmt w:val="decimal"/>
      <w:start w:val="1"/>
    </w:lvl>
    <w:lvl w:ilvl="1">
      <w:lvlJc w:val="left"/>
      <w:lvlText w:val="%2."/>
      <w:numFmt w:val="decimal"/>
      <w:start w:val="9"/>
    </w:lvl>
  </w:abstractNum>
  <w:abstractNum w:abstractNumId="511">
    <w:nsid w:val="4423C777"/>
    <w:multiLevelType w:val="hybridMultilevel"/>
    <w:lvl w:ilvl="0">
      <w:lvlJc w:val="left"/>
      <w:lvlText w:val="%1."/>
      <w:numFmt w:val="decimal"/>
      <w:start w:val="10"/>
    </w:lvl>
    <w:lvl w:ilvl="1">
      <w:lvlJc w:val="left"/>
      <w:lvlText w:val="%2"/>
      <w:numFmt w:val="decimal"/>
      <w:start w:val="1"/>
    </w:lvl>
  </w:abstractNum>
  <w:abstractNum w:abstractNumId="512">
    <w:nsid w:val="5F5C6E4D"/>
    <w:multiLevelType w:val="hybridMultilevel"/>
    <w:lvl w:ilvl="0">
      <w:lvlJc w:val="left"/>
      <w:lvlText w:val="%1."/>
      <w:numFmt w:val="lowerLetter"/>
      <w:start w:val="1"/>
    </w:lvl>
  </w:abstractNum>
  <w:abstractNum w:abstractNumId="513">
    <w:nsid w:val="7C2A56CD"/>
    <w:multiLevelType w:val="hybridMultilevel"/>
    <w:lvl w:ilvl="0">
      <w:lvlJc w:val="left"/>
      <w:lvlText w:val="%1."/>
      <w:numFmt w:val="lowerLetter"/>
      <w:start w:val="7"/>
    </w:lvl>
  </w:abstractNum>
  <w:abstractNum w:abstractNumId="514">
    <w:nsid w:val="7AB86EE1"/>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3"/>
    </w:lvl>
  </w:abstractNum>
  <w:abstractNum w:abstractNumId="515">
    <w:nsid w:val="B54E53B"/>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516">
    <w:nsid w:val="2A00487"/>
    <w:multiLevelType w:val="hybridMultilevel"/>
    <w:lvl w:ilvl="0">
      <w:lvlJc w:val="left"/>
      <w:lvlText w:val="%1."/>
      <w:numFmt w:val="upperLetter"/>
      <w:start w:val="1"/>
    </w:lvl>
    <w:lvl w:ilvl="1">
      <w:lvlJc w:val="left"/>
      <w:lvlText w:val="£"/>
      <w:numFmt w:val="bullet"/>
      <w:start w:val="1"/>
    </w:lvl>
  </w:abstractNum>
  <w:abstractNum w:abstractNumId="517">
    <w:nsid w:val="6CB1B60"/>
    <w:multiLevelType w:val="hybridMultilevel"/>
    <w:lvl w:ilvl="0">
      <w:lvlJc w:val="left"/>
      <w:lvlText w:val="%1."/>
      <w:numFmt w:val="decimal"/>
      <w:start w:val="1"/>
    </w:lvl>
  </w:abstractNum>
  <w:abstractNum w:abstractNumId="518">
    <w:nsid w:val="72EDD574"/>
    <w:multiLevelType w:val="hybridMultilevel"/>
    <w:lvl w:ilvl="0">
      <w:lvlJc w:val="left"/>
      <w:lvlText w:val="%1."/>
      <w:numFmt w:val="upperLetter"/>
      <w:start w:val="2"/>
    </w:lvl>
    <w:lvl w:ilvl="1">
      <w:lvlJc w:val="left"/>
      <w:lvlText w:val="£"/>
      <w:numFmt w:val="bullet"/>
      <w:start w:val="1"/>
    </w:lvl>
  </w:abstractNum>
  <w:abstractNum w:abstractNumId="519">
    <w:nsid w:val="7323808A"/>
    <w:multiLevelType w:val="hybridMultilevel"/>
    <w:lvl w:ilvl="0">
      <w:lvlJc w:val="left"/>
      <w:lvlText w:val="%1."/>
      <w:numFmt w:val="decimal"/>
      <w:start w:val="1"/>
    </w:lvl>
  </w:abstractNum>
  <w:abstractNum w:abstractNumId="520">
    <w:nsid w:val="5157276"/>
    <w:multiLevelType w:val="hybridMultilevel"/>
    <w:lvl w:ilvl="0">
      <w:lvlJc w:val="left"/>
      <w:lvlText w:val="£"/>
      <w:numFmt w:val="bullet"/>
      <w:start w:val="1"/>
    </w:lvl>
  </w:abstractNum>
  <w:abstractNum w:abstractNumId="521">
    <w:nsid w:val="35A681DB"/>
    <w:multiLevelType w:val="hybridMultilevel"/>
    <w:lvl w:ilvl="0">
      <w:lvlJc w:val="left"/>
      <w:lvlText w:val="(%1)"/>
      <w:numFmt w:val="lowerLetter"/>
      <w:start w:val="1"/>
    </w:lvl>
    <w:lvl w:ilvl="1">
      <w:lvlJc w:val="left"/>
      <w:lvlText w:val="(%2)"/>
      <w:numFmt w:val="lowerLetter"/>
      <w:start w:val="1"/>
    </w:lvl>
  </w:abstractNum>
  <w:abstractNum w:abstractNumId="522">
    <w:nsid w:val="1786C974"/>
    <w:multiLevelType w:val="hybridMultilevel"/>
    <w:lvl w:ilvl="0">
      <w:lvlJc w:val="left"/>
      <w:lvlText w:val="(%1)"/>
      <w:numFmt w:val="lowerLetter"/>
      <w:start w:val="5"/>
    </w:lvl>
  </w:abstractNum>
  <w:abstractNum w:abstractNumId="523">
    <w:nsid w:val="1C2427A1"/>
    <w:multiLevelType w:val="hybridMultilevel"/>
    <w:lvl w:ilvl="0">
      <w:lvlJc w:val="left"/>
      <w:lvlText w:val="*"/>
      <w:numFmt w:val="bullet"/>
      <w:start w:val="1"/>
    </w:lvl>
  </w:abstractNum>
  <w:abstractNum w:abstractNumId="524">
    <w:nsid w:val="63A24D68"/>
    <w:multiLevelType w:val="hybridMultilevel"/>
    <w:lvl w:ilvl="0">
      <w:lvlJc w:val="left"/>
      <w:lvlText w:val="**"/>
      <w:numFmt w:val="bullet"/>
      <w:start w:val="1"/>
    </w:lvl>
  </w:abstractNum>
  <w:abstractNum w:abstractNumId="525">
    <w:nsid w:val="4FB7A02A"/>
    <w:multiLevelType w:val="hybridMultilevel"/>
    <w:lvl w:ilvl="0">
      <w:lvlJc w:val="left"/>
      <w:lvlText w:val="***"/>
      <w:numFmt w:val="bullet"/>
      <w:start w:val="1"/>
    </w:lvl>
  </w:abstractNum>
  <w:abstractNum w:abstractNumId="526">
    <w:nsid w:val="96CF728"/>
    <w:multiLevelType w:val="hybridMultilevel"/>
    <w:lvl w:ilvl="0">
      <w:lvlJc w:val="left"/>
      <w:lvlText w:val="†"/>
      <w:numFmt w:val="bullet"/>
      <w:start w:val="1"/>
    </w:lvl>
  </w:abstractNum>
  <w:abstractNum w:abstractNumId="527">
    <w:nsid w:val="3B12118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28">
    <w:nsid w:val="3459648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529">
    <w:nsid w:val="3ADF331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530">
    <w:nsid w:val="4D08A9E4"/>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4"/>
      <w:numFmt w:val="lowerRoman"/>
      <w:start w:val="1"/>
    </w:lvl>
  </w:abstractNum>
  <w:abstractNum w:abstractNumId="531">
    <w:nsid w:val="6AF2BB3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8" Type="http://schemas.openxmlformats.org/officeDocument/2006/relationships/image" Target="media/image635.png"/><Relationship Id="rId649" Type="http://schemas.openxmlformats.org/officeDocument/2006/relationships/image" Target="media/image636.png"/><Relationship Id="rId650" Type="http://schemas.openxmlformats.org/officeDocument/2006/relationships/image" Target="media/image637.png"/><Relationship Id="rId651" Type="http://schemas.openxmlformats.org/officeDocument/2006/relationships/image" Target="media/image638.png"/><Relationship Id="rId652" Type="http://schemas.openxmlformats.org/officeDocument/2006/relationships/image" Target="media/image639.png"/><Relationship Id="rId653" Type="http://schemas.openxmlformats.org/officeDocument/2006/relationships/image" Target="media/image640.png"/><Relationship Id="rId654" Type="http://schemas.openxmlformats.org/officeDocument/2006/relationships/image" Target="media/image641.png"/><Relationship Id="rId655" Type="http://schemas.openxmlformats.org/officeDocument/2006/relationships/image" Target="media/image642.png"/><Relationship Id="rId656" Type="http://schemas.openxmlformats.org/officeDocument/2006/relationships/image" Target="media/image643.png"/><Relationship Id="rId657" Type="http://schemas.openxmlformats.org/officeDocument/2006/relationships/image" Target="media/image644.png"/><Relationship Id="rId658" Type="http://schemas.openxmlformats.org/officeDocument/2006/relationships/image" Target="media/image645.png"/><Relationship Id="rId642" Type="http://schemas.openxmlformats.org/officeDocument/2006/relationships/hyperlink" Target="http://www.sec.gov/Archives/edgar/data/1816736/000121390020022350/ea125578ex3-1_fsdevelop.htm" TargetMode="External"/><Relationship Id="rId643" Type="http://schemas.openxmlformats.org/officeDocument/2006/relationships/hyperlink" Target="http://www.sec.gov/Archives/edgar/data/1816736/000121390020020902/fs12020a1ex3-4_fsdevelopmnt.htm" TargetMode="External"/><Relationship Id="rId644" Type="http://schemas.openxmlformats.org/officeDocument/2006/relationships/hyperlink" Target="http://www.sec.gov/Archives/edgar/data/1816736/000121390020032122/ea128463ex10-3_fsdevelopment.htm" TargetMode="External"/><Relationship Id="rId645" Type="http://schemas.openxmlformats.org/officeDocument/2006/relationships/hyperlink" Target="http://www.sec.gov/Archives/edgar/data/1816736/000121390020034347/fs42020ex10-5_geminifsdev.htm" TargetMode="External"/><Relationship Id="rId646" Type="http://schemas.openxmlformats.org/officeDocument/2006/relationships/hyperlink" Target="http://www.sec.gov/Archives/edgar/data/1816736/000121390020041408/fs42020a1ex10-7_gemini.htm" TargetMode="External"/><Relationship Id="rId647" Type="http://schemas.openxmlformats.org/officeDocument/2006/relationships/hyperlink" Target="http://www.sec.gov/Archives/edgar/data/1816736/000121390020034347/fs42020_geminifsdevcorp.htm#T1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2021-01-19T05:14:35Z</dcterms:created>
  <dcterms:modified xsi:type="dcterms:W3CDTF">2021-01-19T05:14:35Z</dcterms:modified>
</cp:coreProperties>
</file>