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28,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gridSpan w:val="3"/>
          </w:tcPr>
          <w:p>
            <w:pPr>
              <w:jc w:val="right"/>
              <w:ind w:right="1520"/>
              <w:spacing w:after="0"/>
              <w:rPr>
                <w:sz w:val="20"/>
                <w:szCs w:val="20"/>
                <w:color w:val="auto"/>
              </w:rPr>
            </w:pPr>
            <w:r>
              <w:rPr>
                <w:rFonts w:ascii="Arial" w:cs="Arial" w:eastAsia="Arial" w:hAnsi="Arial"/>
                <w:sz w:val="18"/>
                <w:szCs w:val="18"/>
                <w:b w:val="1"/>
                <w:bCs w:val="1"/>
                <w:color w:val="auto"/>
              </w:rPr>
              <w:t>001-39438</w:t>
            </w:r>
          </w:p>
        </w:tc>
        <w:tc>
          <w:tcPr>
            <w:tcW w:w="1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85-1612845</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3"/>
          </w:tcPr>
          <w:p>
            <w:pPr>
              <w:jc w:val="center"/>
              <w:ind w:right="680"/>
              <w:spacing w:after="0" w:line="201"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0"/>
              </w:rPr>
              <w:t>600 Montgomery Street, Suite 4500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5"/>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0"/>
              </w:rPr>
              <w:t>San Francisco, California</w:t>
            </w: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50"/>
              <w:spacing w:after="0"/>
              <w:rPr>
                <w:sz w:val="20"/>
                <w:szCs w:val="20"/>
                <w:color w:val="auto"/>
              </w:rPr>
            </w:pPr>
            <w:r>
              <w:rPr>
                <w:rFonts w:ascii="Arial" w:cs="Arial" w:eastAsia="Arial" w:hAnsi="Arial"/>
                <w:sz w:val="18"/>
                <w:szCs w:val="18"/>
                <w:b w:val="1"/>
                <w:bCs w:val="1"/>
                <w:color w:val="auto"/>
              </w:rPr>
              <w:t>94111</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877-4887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3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1"/>
        </w:trPr>
        <w:tc>
          <w:tcPr>
            <w:tcW w:w="362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7"/>
              </w:rPr>
              <w:t>FSDC</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3"/>
              </w:rPr>
              <w:t>The Nasdaq Capital Market</w:t>
            </w:r>
          </w:p>
        </w:tc>
      </w:tr>
      <w:tr>
        <w:trPr>
          <w:trHeight w:val="234"/>
        </w:trPr>
        <w:tc>
          <w:tcPr>
            <w:tcW w:w="3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left="380" w:right="20" w:hanging="372"/>
        <w:spacing w:after="0" w:line="277" w:lineRule="auto"/>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80" w:hanging="372"/>
        <w:spacing w:after="0" w:line="277" w:lineRule="auto"/>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19, 2021, FS Development Corp., a Delaware corporation (the “Company”), issued a press release announcing that its registration statement on Form S-4 (File No. 333-249785) (as amended, the “Registration Statement”), relating to the previously announced business combination (the “Business Combination”) with Gemini Therapeutics, Inc. (“Gemini”), had been declared effective by the U.S. Securities and Exchange Commission (“SEC”). In the Registration Statement, the conversion ratio (the “Conversion Ratio”) for determining the number of shares of the Company’s Class A Common Stock to be issued as consideration (the “Merger Consideration”) to the holders of Gemini’s outstanding equity in connection with the closing of the Business Combination was calculated as of January 15, 2021, the record date (the “Record Date”) for the Special Meeting of the Company’s stockholders to be held on February 3, 2021 (the “Special Meeting”), to approve the Business Combination and other matters related thereto.</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Conversion Ratio calculated as of January 28, 2021 (four business days prior to the Special Meeting), which is expected to be the Conversion Ratio used for calculating the final Merger Consideration, is .2180, meaning that of the 21.5 million shares of the Company’s Class A Common Stock being issued as the Merger Consideration, 17,942,274 shares will be issued for all issued and outstanding Gemini common stock and preferred stock, 2,318,566 shares will be issued for Gemini’s underlying vested, unvested, and unexercised options and warrants, and 1,239,160 shares will be reserved for issuance under the 2021 Stock Option and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About the Business Combination and Where to Find It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full description of the terms of the Business Combination are provided in the Registration Statement, which includes a prospectus with respect to the securities of the combined entity to be issued in connection with the Business Combination and a proxy statement with respect to the Special Meeting. The Company urges its investors, stockholders and other interested persons to read the definite proxy statement/ prospectus included in the Registration Statement, as well as other documents filed with the SEC, because these documents contain important information about the Company, Gemini and the Business Combination. The Registration Statement was declared effective by the SEC on January 19, 2021 and the definitive proxy statement/prospectus and other relevant documents will be mailed to the Company’s stockholders as of the Record Date. Stockholders may also obtain a copy of the definitive proxy statement/prospectus, and other documents filed with the SEC, without charge, by directing a request to: FS Development Corp., Attn: Secretary, 600 Montgomery Street, Suite 4500, San Francisco, California 94111. The definitive proxy statement/prospectus can also be obtained, without charge, at the SEC’s website at www.sec.gov.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Gemini and their respective directors and executive officers may be considered participants in the solicitation of proxies with respect to the Business Combination under the rules of the SEC. A list of the names of those directors and executive officers and a description of their interests in the Company is contained in the definitive proxy statement/prospectus included in the Registration Statement and is available free of charge at the SEC’s website at www.sec.gov or by directing a request to: FS Development Corp., Attn: Secretary, 600 Montgomery Street, Suite 4500, San Francisco, California 94111.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Offer or Solicitation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Current Report on Form 8-K is not a proxy statement or solicitation of a proxy, consent or authorization with respect to any securities or in respect of the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28, 2021</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2021-01-28T15:32:19Z</dcterms:created>
  <dcterms:modified xsi:type="dcterms:W3CDTF">2021-01-28T15:32:19Z</dcterms:modified>
</cp:coreProperties>
</file>