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0001759241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Opportunity Fund 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2869</w:t>
            </w:r>
          </w:p>
        </w:tc>
        <w:tc>
          <w:tcPr>
            <w:tcW w:w="1396" w:type="dxa"/>
            <w:tcBorders/>
            <w:vAlign w:val="center"/>
          </w:tcPr>
          <w:p>
            <w:pPr>
              <w:pStyle w:val="TableContents"/>
              <w:bidi w:val="0"/>
              <w:spacing w:before="0" w:after="283"/>
              <w:jc w:val="left"/>
              <w:rPr/>
            </w:pPr>
            <w:r>
              <w:rPr/>
              <w:t>226450.17</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10/20/2026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2869</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10/20/2026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2949</Characters>
  <CharactersWithSpaces>3480</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