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As filed with the Securities and Exchange Commission on March 10, 2022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333- 253175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POST-EFFECTIVE AMENDMENT NO. 2</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TO FORM S-1 ON</w:t>
      </w:r>
    </w:p>
    <w:p>
      <w:pPr>
        <w:jc w:val="center"/>
        <w:ind w:right="-119"/>
        <w:spacing w:after="0" w:line="237" w:lineRule="auto"/>
        <w:rPr>
          <w:sz w:val="20"/>
          <w:szCs w:val="20"/>
          <w:color w:val="auto"/>
        </w:rPr>
      </w:pPr>
      <w:r>
        <w:rPr>
          <w:rFonts w:ascii="Arial" w:cs="Arial" w:eastAsia="Arial" w:hAnsi="Arial"/>
          <w:sz w:val="32"/>
          <w:szCs w:val="32"/>
          <w:b w:val="1"/>
          <w:bCs w:val="1"/>
          <w:color w:val="auto"/>
        </w:rPr>
        <w:t>FORM S-3</w:t>
      </w:r>
    </w:p>
    <w:p>
      <w:pPr>
        <w:jc w:val="center"/>
        <w:ind w:right="-119"/>
        <w:spacing w:after="0"/>
        <w:rPr>
          <w:sz w:val="20"/>
          <w:szCs w:val="20"/>
          <w:color w:val="auto"/>
        </w:rPr>
      </w:pPr>
      <w:r>
        <w:rPr>
          <w:rFonts w:ascii="Arial" w:cs="Arial" w:eastAsia="Arial" w:hAnsi="Arial"/>
          <w:sz w:val="32"/>
          <w:szCs w:val="32"/>
          <w:b w:val="1"/>
          <w:bCs w:val="1"/>
          <w:color w:val="auto"/>
        </w:rPr>
        <w:t>REGISTRATION STATEMENT</w:t>
      </w:r>
    </w:p>
    <w:p>
      <w:pPr>
        <w:jc w:val="center"/>
        <w:ind w:right="-1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GEMINI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253365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2860" w:type="dxa"/>
            <w:vAlign w:val="bottom"/>
          </w:tcPr>
          <w:p>
            <w:pPr>
              <w:jc w:val="center"/>
              <w:ind w:right="862"/>
              <w:spacing w:after="0"/>
              <w:rPr>
                <w:sz w:val="20"/>
                <w:szCs w:val="20"/>
                <w:color w:val="auto"/>
              </w:rPr>
            </w:pPr>
            <w:r>
              <w:rPr>
                <w:rFonts w:ascii="Arial" w:cs="Arial" w:eastAsia="Arial" w:hAnsi="Arial"/>
                <w:sz w:val="18"/>
                <w:szCs w:val="18"/>
                <w:b w:val="1"/>
                <w:bCs w:val="1"/>
                <w:color w:val="auto"/>
                <w:w w:val="91"/>
              </w:rPr>
              <w:t>Delaware</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9"/>
              </w:rPr>
              <w:t>6770</w:t>
            </w:r>
          </w:p>
        </w:tc>
        <w:tc>
          <w:tcPr>
            <w:tcW w:w="2420" w:type="dxa"/>
            <w:vAlign w:val="bottom"/>
          </w:tcPr>
          <w:p>
            <w:pPr>
              <w:jc w:val="center"/>
              <w:ind w:left="922"/>
              <w:spacing w:after="0"/>
              <w:rPr>
                <w:sz w:val="20"/>
                <w:szCs w:val="20"/>
                <w:color w:val="auto"/>
              </w:rPr>
            </w:pPr>
            <w:r>
              <w:rPr>
                <w:rFonts w:ascii="Arial" w:cs="Arial" w:eastAsia="Arial" w:hAnsi="Arial"/>
                <w:sz w:val="18"/>
                <w:szCs w:val="18"/>
                <w:b w:val="1"/>
                <w:bCs w:val="1"/>
                <w:color w:val="auto"/>
                <w:w w:val="89"/>
              </w:rPr>
              <w:t>85-1612845</w:t>
            </w:r>
          </w:p>
        </w:tc>
      </w:tr>
      <w:tr>
        <w:trPr>
          <w:trHeight w:val="149"/>
        </w:trPr>
        <w:tc>
          <w:tcPr>
            <w:tcW w:w="2860" w:type="dxa"/>
            <w:vAlign w:val="bottom"/>
          </w:tcPr>
          <w:p>
            <w:pPr>
              <w:jc w:val="center"/>
              <w:ind w:right="8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420" w:type="dxa"/>
            <w:vAlign w:val="bottom"/>
          </w:tcPr>
          <w:p>
            <w:pPr>
              <w:jc w:val="center"/>
              <w:ind w:left="92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60" w:type="dxa"/>
            <w:vAlign w:val="bottom"/>
          </w:tcPr>
          <w:p>
            <w:pPr>
              <w:jc w:val="center"/>
              <w:ind w:right="842"/>
              <w:spacing w:after="0"/>
              <w:rPr>
                <w:sz w:val="20"/>
                <w:szCs w:val="20"/>
                <w:color w:val="auto"/>
              </w:rPr>
            </w:pPr>
            <w:r>
              <w:rPr>
                <w:rFonts w:ascii="Arial" w:cs="Arial" w:eastAsia="Arial" w:hAnsi="Arial"/>
                <w:sz w:val="14"/>
                <w:szCs w:val="14"/>
                <w:b w:val="1"/>
                <w:bCs w:val="1"/>
                <w:color w:val="auto"/>
                <w:w w:val="95"/>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4"/>
              </w:rPr>
              <w:t>Classification Code Number)</w:t>
            </w:r>
          </w:p>
        </w:tc>
        <w:tc>
          <w:tcPr>
            <w:tcW w:w="2420" w:type="dxa"/>
            <w:vAlign w:val="bottom"/>
          </w:tcPr>
          <w:p>
            <w:pPr>
              <w:jc w:val="center"/>
              <w:ind w:left="92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Georges Gemayel, Ph.D.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Executive Chair, Interim President and Chief Executive Officer</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297 Boston Post Road #248, Wayland, MA 01778</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(617) 401-4400</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Continental Stock Transfer &amp; Trust Company</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 State Street, 30</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New York, New York 10004</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(212) 509-4000</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Mitchell S. Bloom, Esq.</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Benjamin K. Marsh, Esq.</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Goodwin Procter LLP</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100 Northern Avenue</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Boston, MA 02110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left="12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on or after the effective date of this registration statement.</w:t>
      </w:r>
    </w:p>
    <w:p>
      <w:pPr>
        <w:spacing w:after="0" w:line="252" w:lineRule="exact"/>
        <w:rPr>
          <w:sz w:val="24"/>
          <w:szCs w:val="24"/>
          <w:color w:val="auto"/>
        </w:rPr>
      </w:pPr>
    </w:p>
    <w:p>
      <w:pPr>
        <w:ind w:left="120" w:right="40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left="120" w:right="12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left="120" w:right="10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left="120" w:right="3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left="120" w:right="6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left="120" w:right="24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left="120"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ectPr>
          <w:pgSz w:w="11900" w:h="16909" w:orient="portrait"/>
          <w:cols w:equalWidth="0" w:num="1">
            <w:col w:w="11140"/>
          </w:cols>
          <w:pgMar w:left="320" w:top="230" w:right="4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167640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336"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On February 17, 2021, Gemini Therapeutics, Inc. (“Gemini”) filed a registration statement with the Securities and Exchange Commission (the “SEC”) on Form S-1 (File No. 333-253175), which was amended on March 29, 2021 on Form S-1 (as amended, the “Registration Statement”). The Registration Statement was declared effective by the SEC on April 28, 2021. Gemini filed a Post-Effective Amendment No. 1 to Form S-1 on Form S-3 (“Post-Effective Amendment No. 1”) on March 10, 2022 to (i) convert the Registration Statement on Form S-1 into a registration statement on Form S-3 and (ii) to update certain information regarding the securities being offered pursuant to the prospectus contained herein.</w:t>
      </w:r>
    </w:p>
    <w:p>
      <w:pPr>
        <w:spacing w:after="0" w:line="176"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Gemini, a remote-first company, which does not maintain a physical headquarters, is filing this Post-Effective Amendment No. 2 to Form S-1 on Form S-3 (“Post-Effective Amendment No. 2”) to add its mailing address (297 Boston Post Road #248, Wayland, MA 01778) to the cover page of the Registration Statement, as amended by Post-Effective Amendment No. 1. This Post-Effective Amendment No. 2 does not register any additional securities and relates solely to securities registered previously. All filing fees payable in connection with the registration of the securities were previously paid in connection with the filing of the Registration Statement.</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100"/>
        <w:spacing w:after="0" w:line="266" w:lineRule="auto"/>
        <w:rPr>
          <w:sz w:val="20"/>
          <w:szCs w:val="20"/>
          <w:color w:val="auto"/>
        </w:rPr>
      </w:pPr>
      <w:r>
        <w:rPr>
          <w:rFonts w:ascii="Arial" w:cs="Arial" w:eastAsia="Arial" w:hAnsi="Arial"/>
          <w:sz w:val="18"/>
          <w:szCs w:val="18"/>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FF4338"/>
        </w:rPr>
        <w:t>SUBJECT TO COMPLETION DATED MARCH 10, 2022</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171450</wp:posOffset>
            </wp:positionV>
            <wp:extent cx="1071245" cy="737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7124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22,832,920 Shares of Common Stock</w:t>
      </w:r>
    </w:p>
    <w:p>
      <w:pPr>
        <w:spacing w:after="0" w:line="22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This prospectus relates to the resale, from time to time, by the selling securityholders named in this prospectus (the “Selling Securityholders”), or any of their pledgees, donees, assignees and successors-in-interest (“permitted transferees”), of up to an aggregate of 22,832,920 shares of our Common Stock, par value $0.0001 per share (“Common Stock”) that were issued to certain investors (collectively, the “PIPE Investors”) in a private placement in connection with the closing of the Business Combination (as defined below) and to certain of our stockholders as consideration in connection with the Business Combination (as defined below). This prospectus also covers any additional securities that may become issuable by reason of share splits, share dividends or other similar transactions.</w:t>
      </w:r>
    </w:p>
    <w:p>
      <w:pPr>
        <w:spacing w:after="0" w:line="192"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We are registering the offer and sale of the securities described above to satisfy certain registration rights we have granted. Our registration of the securities covered by this prospectus does not mean that the Selling Securityholders will offer or sell any of the securities. The Selling Securityholders and any of their permitted transferees may offer and sell the securities covered by this prospectus in a number of different ways and at varying prices. We will not receive any proceeds from the sale of these securities. Additional information on the Selling Securityholders, and the times and manner in which they may offer and sell the securities under this prospectus, is provided under “</w:t>
      </w:r>
      <w:r>
        <w:rPr>
          <w:rFonts w:ascii="Arial" w:cs="Arial" w:eastAsia="Arial" w:hAnsi="Arial"/>
          <w:sz w:val="18"/>
          <w:szCs w:val="18"/>
          <w:i w:val="1"/>
          <w:iCs w:val="1"/>
          <w:color w:val="auto"/>
        </w:rPr>
        <w:t>Selling Securityholders</w:t>
      </w:r>
      <w:r>
        <w:rPr>
          <w:rFonts w:ascii="Arial" w:cs="Arial" w:eastAsia="Arial" w:hAnsi="Arial"/>
          <w:sz w:val="18"/>
          <w:szCs w:val="18"/>
          <w:color w:val="auto"/>
        </w:rPr>
        <w:t>” and “</w:t>
      </w:r>
      <w:r>
        <w:rPr>
          <w:rFonts w:ascii="Arial" w:cs="Arial" w:eastAsia="Arial" w:hAnsi="Arial"/>
          <w:sz w:val="18"/>
          <w:szCs w:val="18"/>
          <w:i w:val="1"/>
          <w:iCs w:val="1"/>
          <w:color w:val="auto"/>
        </w:rPr>
        <w:t>Plan of Distribution</w:t>
      </w:r>
      <w:r>
        <w:rPr>
          <w:rFonts w:ascii="Arial" w:cs="Arial" w:eastAsia="Arial" w:hAnsi="Arial"/>
          <w:sz w:val="18"/>
          <w:szCs w:val="18"/>
          <w:color w:val="auto"/>
        </w:rPr>
        <w:t>” in this prospectus.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should read this prospectus and any prospectus supplement or amendment carefully before you invest in our securities.</w:t>
      </w:r>
    </w:p>
    <w:p>
      <w:pPr>
        <w:spacing w:after="0" w:line="22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“GMTX”. On March 8, 2022, the closing price of our Common Stock was $1.46 per share.</w:t>
      </w:r>
    </w:p>
    <w:p>
      <w:pPr>
        <w:spacing w:after="0" w:line="170"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We are an “emerging growth company” and a “smaller reporting company” as defined under the federal securities laws and, as such, are subject to certain reduced public company reporting requirements.</w:t>
      </w:r>
    </w:p>
    <w:p>
      <w:pPr>
        <w:spacing w:after="0" w:line="166" w:lineRule="exact"/>
        <w:rPr>
          <w:sz w:val="20"/>
          <w:szCs w:val="20"/>
          <w:color w:val="auto"/>
        </w:rPr>
      </w:pPr>
    </w:p>
    <w:p>
      <w:pPr>
        <w:ind w:left="12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securities involves risks that are described in the “</w:t>
      </w:r>
      <w:hyperlink w:anchor="page13">
        <w:r>
          <w:rPr>
            <w:rFonts w:ascii="Arial" w:cs="Arial" w:eastAsia="Arial" w:hAnsi="Arial"/>
            <w:sz w:val="17"/>
            <w:szCs w:val="17"/>
            <w:b w:val="1"/>
            <w:bCs w:val="1"/>
            <w:i w:val="1"/>
            <w:iCs w:val="1"/>
            <w:u w:val="single" w:color="auto"/>
            <w:color w:val="0000EE"/>
          </w:rPr>
          <w:t>Risk Factors</w:t>
        </w:r>
      </w:hyperlink>
      <w:r>
        <w:rPr>
          <w:rFonts w:ascii="Arial" w:cs="Arial" w:eastAsia="Arial" w:hAnsi="Arial"/>
          <w:sz w:val="17"/>
          <w:szCs w:val="17"/>
          <w:b w:val="1"/>
          <w:bCs w:val="1"/>
          <w:color w:val="auto"/>
        </w:rPr>
        <w:t>” section beginning on page 12 of this prospectus.</w:t>
      </w:r>
    </w:p>
    <w:p>
      <w:pPr>
        <w:spacing w:after="0" w:line="237" w:lineRule="exact"/>
        <w:rPr>
          <w:sz w:val="20"/>
          <w:szCs w:val="20"/>
          <w:color w:val="auto"/>
        </w:rPr>
      </w:pPr>
    </w:p>
    <w:p>
      <w:pPr>
        <w:ind w:left="120" w:right="580"/>
        <w:spacing w:after="0" w:line="312" w:lineRule="auto"/>
        <w:rPr>
          <w:sz w:val="20"/>
          <w:szCs w:val="20"/>
          <w:color w:val="auto"/>
        </w:rPr>
      </w:pPr>
      <w:r>
        <w:rPr>
          <w:rFonts w:ascii="Arial" w:cs="Arial" w:eastAsia="Arial" w:hAnsi="Arial"/>
          <w:sz w:val="17"/>
          <w:szCs w:val="17"/>
          <w:b w:val="1"/>
          <w:bCs w:val="1"/>
          <w:color w:val="auto"/>
        </w:rPr>
        <w:t>Neither the SEC nor any state securities commission has approved or disapproved of the securities to be issued under this prospectus or determined if this prospectus is truthful or complete. Any representation to the contrary is a criminal offense.</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date of this prospectus is March 10, 2022.</w:t>
      </w:r>
    </w:p>
    <w:p>
      <w:pPr>
        <w:spacing w:after="0" w:line="1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320" w:top="459" w:right="4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020" w:type="dxa"/>
            <w:vAlign w:val="bottom"/>
            <w:gridSpan w:val="15"/>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706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60" w:type="dxa"/>
            <w:vAlign w:val="bottom"/>
          </w:tcPr>
          <w:p>
            <w:pPr>
              <w:jc w:val="right"/>
              <w:ind w:right="4410"/>
              <w:spacing w:after="0"/>
              <w:rPr>
                <w:sz w:val="20"/>
                <w:szCs w:val="20"/>
                <w:color w:val="auto"/>
              </w:rPr>
            </w:pPr>
            <w:r>
              <w:rPr>
                <w:rFonts w:ascii="Arial" w:cs="Arial" w:eastAsia="Arial" w:hAnsi="Arial"/>
                <w:sz w:val="18"/>
                <w:szCs w:val="18"/>
                <w:b w:val="1"/>
                <w:bCs w:val="1"/>
                <w:color w:val="auto"/>
              </w:rPr>
              <w:t>TABLE OF CONTENTS</w:t>
            </w:r>
          </w:p>
        </w:tc>
      </w:tr>
      <w:tr>
        <w:trPr>
          <w:trHeight w:val="418"/>
        </w:trPr>
        <w:tc>
          <w:tcPr>
            <w:tcW w:w="120" w:type="dxa"/>
            <w:vAlign w:val="bottom"/>
          </w:tcPr>
          <w:p>
            <w:pPr>
              <w:spacing w:after="0"/>
              <w:rPr>
                <w:sz w:val="24"/>
                <w:szCs w:val="24"/>
                <w:color w:val="auto"/>
              </w:rPr>
            </w:pPr>
          </w:p>
        </w:tc>
        <w:tc>
          <w:tcPr>
            <w:tcW w:w="390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ABOUT THIS PROSPECTUS</w:t>
              </w:r>
            </w:hyperlink>
          </w:p>
        </w:tc>
        <w:tc>
          <w:tcPr>
            <w:tcW w:w="70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32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FREQUENTLY USED TERMS</w:t>
              </w:r>
            </w:hyperlink>
          </w:p>
        </w:tc>
        <w:tc>
          <w:tcPr>
            <w:tcW w:w="1580" w:type="dxa"/>
            <w:vAlign w:val="bottom"/>
            <w:gridSpan w:val="5"/>
          </w:tcPr>
          <w:p>
            <w:pPr>
              <w:spacing w:after="0"/>
              <w:rPr>
                <w:sz w:val="17"/>
                <w:szCs w:val="17"/>
                <w:color w:val="auto"/>
              </w:rPr>
            </w:pPr>
          </w:p>
        </w:tc>
        <w:tc>
          <w:tcPr>
            <w:tcW w:w="70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20" w:type="dxa"/>
            <w:vAlign w:val="bottom"/>
          </w:tcPr>
          <w:p>
            <w:pPr>
              <w:spacing w:after="0"/>
              <w:rPr>
                <w:sz w:val="17"/>
                <w:szCs w:val="17"/>
                <w:color w:val="auto"/>
              </w:rPr>
            </w:pPr>
          </w:p>
        </w:tc>
        <w:tc>
          <w:tcPr>
            <w:tcW w:w="3900" w:type="dxa"/>
            <w:vAlign w:val="bottom"/>
            <w:gridSpan w:val="1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FORWARD-LOOKING STATEMENTS</w:t>
              </w:r>
            </w:hyperlink>
          </w:p>
        </w:tc>
        <w:tc>
          <w:tcPr>
            <w:tcW w:w="70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20" w:type="dxa"/>
            <w:vAlign w:val="bottom"/>
          </w:tcPr>
          <w:p>
            <w:pPr>
              <w:spacing w:after="0"/>
              <w:rPr>
                <w:sz w:val="17"/>
                <w:szCs w:val="17"/>
                <w:color w:val="auto"/>
              </w:rPr>
            </w:pPr>
          </w:p>
        </w:tc>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7"/>
              </w:rPr>
            </w:pPr>
            <w:hyperlink w:anchor="page10">
              <w:r>
                <w:rPr>
                  <w:rFonts w:ascii="Arial" w:cs="Arial" w:eastAsia="Arial" w:hAnsi="Arial"/>
                  <w:sz w:val="18"/>
                  <w:szCs w:val="18"/>
                  <w:color w:val="0000EE"/>
                  <w:w w:val="97"/>
                </w:rPr>
                <w:t>SUMMARY</w:t>
              </w:r>
            </w:hyperlink>
          </w:p>
        </w:tc>
        <w:tc>
          <w:tcPr>
            <w:tcW w:w="2000" w:type="dxa"/>
            <w:vAlign w:val="bottom"/>
            <w:tcBorders>
              <w:top w:val="single" w:sz="8" w:color="0000EE"/>
            </w:tcBorders>
            <w:gridSpan w:val="10"/>
          </w:tcPr>
          <w:p>
            <w:pPr>
              <w:spacing w:after="0"/>
              <w:rPr>
                <w:sz w:val="17"/>
                <w:szCs w:val="17"/>
                <w:color w:val="auto"/>
              </w:rPr>
            </w:pPr>
          </w:p>
        </w:tc>
        <w:tc>
          <w:tcPr>
            <w:tcW w:w="980" w:type="dxa"/>
            <w:vAlign w:val="bottom"/>
            <w:gridSpan w:val="2"/>
          </w:tcPr>
          <w:p>
            <w:pPr>
              <w:spacing w:after="0"/>
              <w:rPr>
                <w:sz w:val="17"/>
                <w:szCs w:val="17"/>
                <w:color w:val="auto"/>
              </w:rPr>
            </w:pPr>
          </w:p>
        </w:tc>
        <w:tc>
          <w:tcPr>
            <w:tcW w:w="70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20" w:type="dxa"/>
            <w:vAlign w:val="bottom"/>
          </w:tcPr>
          <w:p>
            <w:pPr>
              <w:spacing w:after="0"/>
              <w:rPr>
                <w:sz w:val="17"/>
                <w:szCs w:val="17"/>
                <w:color w:val="auto"/>
              </w:rPr>
            </w:pPr>
          </w:p>
        </w:tc>
        <w:tc>
          <w:tcPr>
            <w:tcW w:w="128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THE OFFERING</w:t>
              </w:r>
            </w:hyperlink>
          </w:p>
        </w:tc>
        <w:tc>
          <w:tcPr>
            <w:tcW w:w="2620" w:type="dxa"/>
            <w:vAlign w:val="bottom"/>
            <w:gridSpan w:val="10"/>
          </w:tcPr>
          <w:p>
            <w:pPr>
              <w:spacing w:after="0"/>
              <w:rPr>
                <w:sz w:val="17"/>
                <w:szCs w:val="17"/>
                <w:color w:val="auto"/>
              </w:rPr>
            </w:pPr>
          </w:p>
        </w:tc>
        <w:tc>
          <w:tcPr>
            <w:tcW w:w="70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20" w:type="dxa"/>
            <w:vAlign w:val="bottom"/>
          </w:tcPr>
          <w:p>
            <w:pPr>
              <w:spacing w:after="0"/>
              <w:rPr>
                <w:sz w:val="17"/>
                <w:szCs w:val="17"/>
                <w:color w:val="auto"/>
              </w:rPr>
            </w:pPr>
          </w:p>
        </w:tc>
        <w:tc>
          <w:tcPr>
            <w:tcW w:w="3900" w:type="dxa"/>
            <w:vAlign w:val="bottom"/>
            <w:gridSpan w:val="14"/>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70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USE OF PROCEEDS</w:t>
              </w:r>
            </w:hyperlink>
          </w:p>
        </w:tc>
        <w:tc>
          <w:tcPr>
            <w:tcW w:w="2320" w:type="dxa"/>
            <w:vAlign w:val="bottom"/>
            <w:gridSpan w:val="8"/>
          </w:tcPr>
          <w:p>
            <w:pPr>
              <w:spacing w:after="0"/>
              <w:rPr>
                <w:sz w:val="17"/>
                <w:szCs w:val="17"/>
                <w:color w:val="auto"/>
              </w:rPr>
            </w:pPr>
          </w:p>
        </w:tc>
        <w:tc>
          <w:tcPr>
            <w:tcW w:w="70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20" w:type="dxa"/>
            <w:vAlign w:val="bottom"/>
          </w:tcPr>
          <w:p>
            <w:pPr>
              <w:spacing w:after="0"/>
              <w:rPr>
                <w:sz w:val="17"/>
                <w:szCs w:val="17"/>
                <w:color w:val="auto"/>
              </w:rPr>
            </w:pPr>
          </w:p>
        </w:tc>
        <w:tc>
          <w:tcPr>
            <w:tcW w:w="3900" w:type="dxa"/>
            <w:vAlign w:val="bottom"/>
            <w:gridSpan w:val="1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DESCRIPTION OF CAPITAL STOCK</w:t>
              </w:r>
            </w:hyperlink>
          </w:p>
        </w:tc>
        <w:tc>
          <w:tcPr>
            <w:tcW w:w="70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2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5"/>
              </w:rPr>
            </w:pPr>
            <w:hyperlink w:anchor="page21">
              <w:r>
                <w:rPr>
                  <w:rFonts w:ascii="Arial" w:cs="Arial" w:eastAsia="Arial" w:hAnsi="Arial"/>
                  <w:sz w:val="18"/>
                  <w:szCs w:val="18"/>
                  <w:color w:val="0000EE"/>
                  <w:w w:val="95"/>
                </w:rPr>
                <w:t>SELLING SECURITYHOLDERS</w:t>
              </w:r>
            </w:hyperlink>
          </w:p>
        </w:tc>
        <w:tc>
          <w:tcPr>
            <w:tcW w:w="360" w:type="dxa"/>
            <w:vAlign w:val="bottom"/>
            <w:tcBorders>
              <w:top w:val="single" w:sz="8" w:color="0000EE"/>
            </w:tcBorders>
          </w:tcPr>
          <w:p>
            <w:pPr>
              <w:spacing w:after="0"/>
              <w:rPr>
                <w:sz w:val="17"/>
                <w:szCs w:val="17"/>
                <w:color w:val="auto"/>
              </w:rPr>
            </w:pPr>
          </w:p>
        </w:tc>
        <w:tc>
          <w:tcPr>
            <w:tcW w:w="1040" w:type="dxa"/>
            <w:vAlign w:val="bottom"/>
            <w:gridSpan w:val="3"/>
          </w:tcPr>
          <w:p>
            <w:pPr>
              <w:spacing w:after="0"/>
              <w:rPr>
                <w:sz w:val="17"/>
                <w:szCs w:val="17"/>
                <w:color w:val="auto"/>
              </w:rPr>
            </w:pPr>
          </w:p>
        </w:tc>
        <w:tc>
          <w:tcPr>
            <w:tcW w:w="70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20" w:type="dxa"/>
            <w:vAlign w:val="bottom"/>
          </w:tcPr>
          <w:p>
            <w:pPr>
              <w:spacing w:after="0"/>
              <w:rPr>
                <w:sz w:val="17"/>
                <w:szCs w:val="17"/>
                <w:color w:val="auto"/>
              </w:rPr>
            </w:pPr>
          </w:p>
        </w:tc>
        <w:tc>
          <w:tcPr>
            <w:tcW w:w="3900" w:type="dxa"/>
            <w:vAlign w:val="bottom"/>
            <w:gridSpan w:val="14"/>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PLAN OF DISTRIBUTION</w:t>
              </w:r>
            </w:hyperlink>
          </w:p>
        </w:tc>
        <w:tc>
          <w:tcPr>
            <w:tcW w:w="70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6"/>
              </w:rPr>
            </w:pPr>
            <w:hyperlink w:anchor="page27">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2"/>
          </w:tcPr>
          <w:p>
            <w:pPr>
              <w:spacing w:after="0"/>
              <w:rPr>
                <w:sz w:val="17"/>
                <w:szCs w:val="17"/>
                <w:color w:val="auto"/>
              </w:rPr>
            </w:pPr>
          </w:p>
        </w:tc>
        <w:tc>
          <w:tcPr>
            <w:tcW w:w="1860" w:type="dxa"/>
            <w:vAlign w:val="bottom"/>
            <w:gridSpan w:val="7"/>
          </w:tcPr>
          <w:p>
            <w:pPr>
              <w:spacing w:after="0"/>
              <w:rPr>
                <w:sz w:val="17"/>
                <w:szCs w:val="17"/>
                <w:color w:val="auto"/>
              </w:rPr>
            </w:pPr>
          </w:p>
        </w:tc>
        <w:tc>
          <w:tcPr>
            <w:tcW w:w="70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20" w:type="dxa"/>
            <w:vAlign w:val="bottom"/>
          </w:tcPr>
          <w:p>
            <w:pPr>
              <w:spacing w:after="0"/>
              <w:rPr>
                <w:sz w:val="17"/>
                <w:szCs w:val="17"/>
                <w:color w:val="auto"/>
              </w:rPr>
            </w:pPr>
          </w:p>
        </w:tc>
        <w:tc>
          <w:tcPr>
            <w:tcW w:w="3900" w:type="dxa"/>
            <w:vAlign w:val="bottom"/>
            <w:gridSpan w:val="14"/>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EXPERTS</w:t>
              </w:r>
            </w:hyperlink>
          </w:p>
        </w:tc>
        <w:tc>
          <w:tcPr>
            <w:tcW w:w="70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1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900" w:type="dxa"/>
            <w:vAlign w:val="bottom"/>
            <w:gridSpan w:val="14"/>
          </w:tcPr>
          <w:p>
            <w:pPr>
              <w:spacing w:after="0" w:line="196" w:lineRule="exact"/>
              <w:rPr>
                <w:rFonts w:ascii="Arial" w:cs="Arial" w:eastAsia="Arial" w:hAnsi="Arial"/>
                <w:sz w:val="18"/>
                <w:szCs w:val="18"/>
                <w:color w:val="0000EE"/>
                <w:w w:val="99"/>
              </w:rPr>
            </w:pPr>
            <w:hyperlink w:anchor="page27">
              <w:r>
                <w:rPr>
                  <w:rFonts w:ascii="Arial" w:cs="Arial" w:eastAsia="Arial" w:hAnsi="Arial"/>
                  <w:sz w:val="18"/>
                  <w:szCs w:val="18"/>
                  <w:color w:val="0000EE"/>
                  <w:w w:val="99"/>
                </w:rPr>
                <w:t>WHERE YOU CAN FIND MORE INFORMATION</w:t>
              </w:r>
            </w:hyperlink>
          </w:p>
        </w:tc>
        <w:tc>
          <w:tcPr>
            <w:tcW w:w="70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120" w:type="dxa"/>
            <w:vAlign w:val="bottom"/>
          </w:tcPr>
          <w:p>
            <w:pPr>
              <w:spacing w:after="0" w:line="20" w:lineRule="exact"/>
              <w:rPr>
                <w:sz w:val="1"/>
                <w:szCs w:val="1"/>
                <w:color w:val="auto"/>
              </w:rPr>
            </w:pPr>
          </w:p>
        </w:tc>
        <w:tc>
          <w:tcPr>
            <w:tcW w:w="3800" w:type="dxa"/>
            <w:vAlign w:val="bottom"/>
            <w:gridSpan w:val="1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90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DOCUMENTS INCORPORATED BY REFERENCE</w:t>
              </w:r>
            </w:hyperlink>
          </w:p>
        </w:tc>
        <w:tc>
          <w:tcPr>
            <w:tcW w:w="70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spacing w:after="0" w:line="273" w:lineRule="auto"/>
        <w:rPr>
          <w:sz w:val="20"/>
          <w:szCs w:val="20"/>
          <w:color w:val="auto"/>
        </w:rPr>
      </w:pPr>
      <w:r>
        <w:rPr>
          <w:rFonts w:ascii="Arial" w:cs="Arial" w:eastAsia="Arial" w:hAnsi="Arial"/>
          <w:sz w:val="17"/>
          <w:szCs w:val="17"/>
          <w:color w:val="auto"/>
        </w:rPr>
        <w:t>You should rely only on the information provided in this prospectus, as well as the information incorporated by reference into this prospectus and any applicable prospectus supplement or free writing prospectus. We have not authorized anyone to provide you with different information. No offers of these securities will be made in any jurisdiction where the offer is not permitted. You should not assume that the information in this prospectus, any applicable prospectus supplement or free writing prospectus or any documents incorporated by reference is accurate as of any date other than the date of the applicable document. Since the respective dates of this prospectus and the documents incorporated by reference into this prospectus, our business, financial condition, results of operations and prospects may have changed.</w:t>
      </w:r>
    </w:p>
    <w:p>
      <w:pPr>
        <w:spacing w:after="0" w:line="35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320" w:top="446"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This prospectus is part of a registration statement on Form S-3 that we filed with the SEC using a “shelf” registration process. Under this shelf registration process, the Selling Securityholders and their permitted transferees may, from time to time, offer and sell the securities described in this prospectus in one or more offerings. The Selling Securityholders may use the shelf registration statement to sell up to an aggregate of 22,832,920 shares of our Common Stock that were issued to the PIPE Investors in a private placement in connection with the closing of the Business Combination (as defined below) and to certain of our stockholders as consideration in connection with the Business Combination. The Selling Securityholders and their permitted transferees may use the shelf registration statement to sell such securities from time to time through any means described in the section entitled “P</w:t>
      </w:r>
      <w:r>
        <w:rPr>
          <w:rFonts w:ascii="Arial" w:cs="Arial" w:eastAsia="Arial" w:hAnsi="Arial"/>
          <w:sz w:val="18"/>
          <w:szCs w:val="18"/>
          <w:i w:val="1"/>
          <w:iCs w:val="1"/>
          <w:color w:val="auto"/>
        </w:rPr>
        <w:t>lan of Distribution</w:t>
      </w:r>
      <w:r>
        <w:rPr>
          <w:rFonts w:ascii="Arial" w:cs="Arial" w:eastAsia="Arial" w:hAnsi="Arial"/>
          <w:sz w:val="18"/>
          <w:szCs w:val="18"/>
          <w:color w:val="auto"/>
        </w:rPr>
        <w:t>.” More specific terms of any securities that the Selling Securityholders and their permitted transferees offer and sell may be provided in a prospectus supplement that describes, among other things, the specific amounts and prices of the Common Stock being offered and the terms of the offering.</w:t>
      </w:r>
    </w:p>
    <w:p>
      <w:pPr>
        <w:spacing w:after="0" w:line="19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 prospectus supplement or post-effective amendment may also add, update or change information included in this prospectus. Any statement contained in this prospectus will be deemed to be modified or superseded for purposes of this prospectus to the extent that a statement contained in such prospectus supplement or post-effective amendment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post-effective amendment or any related free writing prospectus. See “</w:t>
      </w:r>
      <w:r>
        <w:rPr>
          <w:rFonts w:ascii="Arial" w:cs="Arial" w:eastAsia="Arial" w:hAnsi="Arial"/>
          <w:sz w:val="18"/>
          <w:szCs w:val="18"/>
          <w:i w:val="1"/>
          <w:iCs w:val="1"/>
          <w:color w:val="auto"/>
        </w:rPr>
        <w:t>Where You Can Find More Informatio</w:t>
      </w:r>
      <w:r>
        <w:rPr>
          <w:rFonts w:ascii="Arial" w:cs="Arial" w:eastAsia="Arial" w:hAnsi="Arial"/>
          <w:sz w:val="18"/>
          <w:szCs w:val="18"/>
          <w:color w:val="auto"/>
        </w:rPr>
        <w:t>n.”</w:t>
      </w:r>
    </w:p>
    <w:p>
      <w:pPr>
        <w:spacing w:after="0" w:line="192"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66"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For investors outside the United States: neither we nor the Selling Securityholders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w:t>
      </w:r>
    </w:p>
    <w:p>
      <w:pPr>
        <w:spacing w:after="0" w:line="187"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17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Unless the context indicates otherwise references to “Gemini,” “we,” “us,” “our” and other similar terms refer to Gemini Therapeutics, Inc. and its consolidated subsidiaries after giving effect to the Business Combination (as defined herein) with FS Development Corporation (as defined herein) and to Old Gemini. as it existed prior to the Business Combination.</w:t>
      </w:r>
    </w:p>
    <w:p>
      <w:pPr>
        <w:spacing w:after="0" w:line="180" w:lineRule="exact"/>
        <w:rPr>
          <w:sz w:val="20"/>
          <w:szCs w:val="20"/>
          <w:color w:val="auto"/>
        </w:rPr>
      </w:pPr>
    </w:p>
    <w:p>
      <w:pPr>
        <w:ind w:left="120" w:right="240"/>
        <w:spacing w:after="0" w:line="277" w:lineRule="auto"/>
        <w:rPr>
          <w:sz w:val="20"/>
          <w:szCs w:val="20"/>
          <w:color w:val="auto"/>
        </w:rPr>
      </w:pPr>
      <w:r>
        <w:rPr>
          <w:rFonts w:ascii="Arial" w:cs="Arial" w:eastAsia="Arial" w:hAnsi="Arial"/>
          <w:sz w:val="17"/>
          <w:szCs w:val="17"/>
          <w:b w:val="1"/>
          <w:bCs w:val="1"/>
          <w:color w:val="auto"/>
        </w:rPr>
        <w:t xml:space="preserve">This prospectus contains references to trademarks, trade names and service marks belonging to other entities. Solely for convenience, trademarks, trade names and service marks referred to in this prospectus may appear without the </w:t>
      </w:r>
      <w:r>
        <w:rPr>
          <w:rFonts w:ascii="Arial" w:cs="Arial" w:eastAsia="Arial" w:hAnsi="Arial"/>
          <w:sz w:val="14"/>
          <w:szCs w:val="14"/>
          <w:b w:val="1"/>
          <w:bCs w:val="1"/>
          <w:color w:val="auto"/>
        </w:rPr>
        <w:t>®</w:t>
      </w:r>
      <w:r>
        <w:rPr>
          <w:rFonts w:ascii="Arial" w:cs="Arial" w:eastAsia="Arial" w:hAnsi="Arial"/>
          <w:sz w:val="17"/>
          <w:szCs w:val="17"/>
          <w:b w:val="1"/>
          <w:bCs w:val="1"/>
          <w:color w:val="auto"/>
        </w:rPr>
        <w:t xml:space="preserve">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FREQUENTLY USED TERMS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Unless the context indicates otherwise, the following terms have the following meanings when used in this prospectus: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Gemini.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Combination</w:t>
      </w:r>
      <w:r>
        <w:rPr>
          <w:rFonts w:ascii="Arial" w:cs="Arial" w:eastAsia="Arial" w:hAnsi="Arial"/>
          <w:sz w:val="18"/>
          <w:szCs w:val="18"/>
          <w:color w:val="auto"/>
        </w:rPr>
        <w:t>” means the business combination pursuant to the Merger Agreement.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Bylaws</w:t>
      </w:r>
      <w:r>
        <w:rPr>
          <w:rFonts w:ascii="Arial" w:cs="Arial" w:eastAsia="Arial" w:hAnsi="Arial"/>
          <w:sz w:val="18"/>
          <w:szCs w:val="18"/>
          <w:color w:val="auto"/>
        </w:rPr>
        <w:t>” means the amended and restated bylaws of Gemini.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Charter</w:t>
      </w:r>
      <w:r>
        <w:rPr>
          <w:rFonts w:ascii="Arial" w:cs="Arial" w:eastAsia="Arial" w:hAnsi="Arial"/>
          <w:sz w:val="16"/>
          <w:szCs w:val="16"/>
          <w:color w:val="auto"/>
        </w:rPr>
        <w:t>” or “</w:t>
      </w:r>
      <w:r>
        <w:rPr>
          <w:rFonts w:ascii="Arial" w:cs="Arial" w:eastAsia="Arial" w:hAnsi="Arial"/>
          <w:sz w:val="16"/>
          <w:szCs w:val="16"/>
          <w:b w:val="1"/>
          <w:bCs w:val="1"/>
          <w:color w:val="auto"/>
        </w:rPr>
        <w:t>Certificate of Incorporation</w:t>
      </w:r>
      <w:r>
        <w:rPr>
          <w:rFonts w:ascii="Arial" w:cs="Arial" w:eastAsia="Arial" w:hAnsi="Arial"/>
          <w:sz w:val="16"/>
          <w:szCs w:val="16"/>
          <w:color w:val="auto"/>
        </w:rPr>
        <w:t>” means the second amended and restated certificate of incorporation of Gemini dated February 5, 2021.</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means the closing of the Business Combination.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DGCL</w:t>
      </w:r>
      <w:r>
        <w:rPr>
          <w:rFonts w:ascii="Arial" w:cs="Arial" w:eastAsia="Arial" w:hAnsi="Arial"/>
          <w:sz w:val="18"/>
          <w:szCs w:val="18"/>
          <w:color w:val="auto"/>
        </w:rPr>
        <w:t>” means the Delaware General Corporation Law.</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from time to time.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FSDC</w:t>
      </w:r>
      <w:r>
        <w:rPr>
          <w:rFonts w:ascii="Arial" w:cs="Arial" w:eastAsia="Arial" w:hAnsi="Arial"/>
          <w:sz w:val="18"/>
          <w:szCs w:val="18"/>
          <w:color w:val="auto"/>
        </w:rPr>
        <w:t>” means FS Development Corp., our predecessor.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FSDC Investors</w:t>
      </w:r>
      <w:r>
        <w:rPr>
          <w:rFonts w:ascii="Arial" w:cs="Arial" w:eastAsia="Arial" w:hAnsi="Arial"/>
          <w:sz w:val="18"/>
          <w:szCs w:val="18"/>
          <w:color w:val="auto"/>
        </w:rPr>
        <w:t>” means the Sponsor, Robert Carey, Daniel Dubin and Deepka Pakianathan.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Gemini</w:t>
      </w:r>
      <w:r>
        <w:rPr>
          <w:rFonts w:ascii="Arial" w:cs="Arial" w:eastAsia="Arial" w:hAnsi="Arial"/>
          <w:sz w:val="18"/>
          <w:szCs w:val="18"/>
          <w:color w:val="auto"/>
        </w:rPr>
        <w:t>” means Gemini Therapeutics, Inc. (f/k/a FS Development Corp.) following the Closing.</w:t>
      </w:r>
    </w:p>
    <w:p>
      <w:pPr>
        <w:spacing w:after="0" w:line="225"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Gemini Investors</w:t>
      </w:r>
      <w:r>
        <w:rPr>
          <w:rFonts w:ascii="Arial" w:cs="Arial" w:eastAsia="Arial" w:hAnsi="Arial"/>
          <w:sz w:val="18"/>
          <w:szCs w:val="18"/>
          <w:color w:val="auto"/>
        </w:rPr>
        <w:t>” means Atlas Venture Fund X, L.P., Atlas Venture Opportunity Fund I, L.P., Lightstone Singapore L.P., Lightstone Ventures (A), L.P., Lightstone Ventures, L.P., OrbiMed Private Investments VI, LP and Wu Capital Investment LLC.</w:t>
      </w:r>
    </w:p>
    <w:p>
      <w:pPr>
        <w:spacing w:after="0" w:line="162" w:lineRule="exact"/>
        <w:rPr>
          <w:sz w:val="20"/>
          <w:szCs w:val="20"/>
          <w:color w:val="auto"/>
        </w:rPr>
      </w:pPr>
    </w:p>
    <w:p>
      <w:pPr>
        <w:ind w:left="120" w:right="8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Agreement</w:t>
      </w:r>
      <w:r>
        <w:rPr>
          <w:rFonts w:ascii="Arial" w:cs="Arial" w:eastAsia="Arial" w:hAnsi="Arial"/>
          <w:sz w:val="18"/>
          <w:szCs w:val="18"/>
          <w:color w:val="auto"/>
        </w:rPr>
        <w:t>” means the Merger Agreement, dated as of October 15, 2020, by and among FSDC, Merger Sub, Old Gemini and the Shareholders Representative.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Sub</w:t>
      </w:r>
      <w:r>
        <w:rPr>
          <w:rFonts w:ascii="Arial" w:cs="Arial" w:eastAsia="Arial" w:hAnsi="Arial"/>
          <w:sz w:val="18"/>
          <w:szCs w:val="18"/>
          <w:color w:val="auto"/>
        </w:rPr>
        <w:t>” means FSG Merger Sub, Inc., a Delaware corporation and a wholly-owned subsidiary of FSDC.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Old Gemini</w:t>
      </w:r>
      <w:r>
        <w:rPr>
          <w:rFonts w:ascii="Arial" w:cs="Arial" w:eastAsia="Arial" w:hAnsi="Arial"/>
          <w:sz w:val="18"/>
          <w:szCs w:val="18"/>
          <w:color w:val="auto"/>
        </w:rPr>
        <w:t>” means Gemini Therapeutics Inc. prior to the Closing.</w:t>
      </w:r>
    </w:p>
    <w:p>
      <w:pPr>
        <w:spacing w:after="0" w:line="225" w:lineRule="exact"/>
        <w:rPr>
          <w:sz w:val="20"/>
          <w:szCs w:val="20"/>
          <w:color w:val="auto"/>
        </w:rPr>
      </w:pPr>
    </w:p>
    <w:p>
      <w:pPr>
        <w:ind w:left="120" w:right="7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PIPE Financing</w:t>
      </w:r>
      <w:r>
        <w:rPr>
          <w:rFonts w:ascii="Arial" w:cs="Arial" w:eastAsia="Arial" w:hAnsi="Arial"/>
          <w:sz w:val="18"/>
          <w:szCs w:val="18"/>
          <w:color w:val="auto"/>
        </w:rPr>
        <w:t>” refers to the sale of 9,506,000 newly issued shares of Common Stock in a private placement concurrent with the Business Combination.</w:t>
      </w:r>
    </w:p>
    <w:p>
      <w:pPr>
        <w:spacing w:after="0" w:line="162"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means the Registration Rights Agreement, dated February 5, 2021 by and among Gemini, Old Gemini, the FSDC Investors and the Major Gemini Investors.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Exchange Commission or any successor organization.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from time to time.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 Representative</w:t>
      </w:r>
      <w:r>
        <w:rPr>
          <w:rFonts w:ascii="Arial" w:cs="Arial" w:eastAsia="Arial" w:hAnsi="Arial"/>
          <w:sz w:val="18"/>
          <w:szCs w:val="18"/>
          <w:color w:val="auto"/>
        </w:rPr>
        <w:t>” means Shareholder Representative Services LLC.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w:t>
      </w:r>
      <w:r>
        <w:rPr>
          <w:rFonts w:ascii="Arial" w:cs="Arial" w:eastAsia="Arial" w:hAnsi="Arial"/>
          <w:sz w:val="18"/>
          <w:szCs w:val="18"/>
          <w:color w:val="auto"/>
        </w:rPr>
        <w:t>” means FS Development Holdings, LLC.</w:t>
      </w:r>
    </w:p>
    <w:p>
      <w:pPr>
        <w:spacing w:after="0" w:line="225" w:lineRule="exact"/>
        <w:rPr>
          <w:sz w:val="20"/>
          <w:szCs w:val="20"/>
          <w:color w:val="auto"/>
        </w:rPr>
      </w:pPr>
    </w:p>
    <w:p>
      <w:pPr>
        <w:ind w:left="120"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Subscription Agreement</w:t>
      </w:r>
      <w:r>
        <w:rPr>
          <w:rFonts w:ascii="Arial" w:cs="Arial" w:eastAsia="Arial" w:hAnsi="Arial"/>
          <w:sz w:val="18"/>
          <w:szCs w:val="18"/>
          <w:color w:val="auto"/>
        </w:rPr>
        <w:t>” means the Subscription Agreement, dated October 15, 2020 by and among the investors named therein providing for the issuance by FSDC through the PIPE Financing.</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320" w:top="459" w:right="5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This prospectus and the documents incorporated by reference herein contain forward-looking statements. Our forward-looking statements include, but are not limited to, statements regarding our or our management team’s expectations, hopes, beliefs, intentions or strategies regarding the future financial performance, business strategies or expectations for our business. These forward-looking statements are based on information available as of the date of this report and our management’s current expectations, forecasts and assumptions, and involve a number of judgments, risks and uncertainties. Accordingly, forward-looking statements should not be relied upon as representing our views as of any subsequent date. We do not undertake any obligation to update forward-looking statements to reflect events or circumstances after the date they were made, whether as a result of new information, future events or otherwise, except as may be required under applicable securities laws. Specifically, forward-looking statements may include, but are not limited to, statements relating to or about:</w:t>
      </w:r>
    </w:p>
    <w:p>
      <w:pPr>
        <w:spacing w:after="0" w:line="84" w:lineRule="exact"/>
        <w:rPr>
          <w:sz w:val="20"/>
          <w:szCs w:val="20"/>
          <w:color w:val="auto"/>
        </w:rPr>
      </w:pPr>
    </w:p>
    <w:p>
      <w:pPr>
        <w:ind w:left="1080" w:right="54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plans and expectations regarding our strategic alternative review process and the timing and success of such process regarding a potential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timing of and costs associated with our restructuring, and the savings benefits we except to receive from the restructuring;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success in retaining, or changes required in, our officers, key employees or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of our clinical trials and any available data therefrom to demonstrate acceptable safety and efficacy of our product candidates, including GEM103, our lead product candidate.</w:t>
      </w:r>
    </w:p>
    <w:p>
      <w:pPr>
        <w:spacing w:after="0" w:line="75" w:lineRule="exact"/>
        <w:rPr>
          <w:rFonts w:ascii="Arial" w:cs="Arial" w:eastAsia="Arial" w:hAnsi="Arial"/>
          <w:sz w:val="18"/>
          <w:szCs w:val="18"/>
          <w:color w:val="auto"/>
        </w:rPr>
      </w:pPr>
    </w:p>
    <w:p>
      <w:pPr>
        <w:ind w:left="1080" w:right="560" w:hanging="424"/>
        <w:spacing w:after="0" w:line="308" w:lineRule="auto"/>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timing, progress and results of any clinical trials for GEM103 and our other product candidates, to the extent relevant, including statements regarding the timing of initiation and completion of studies or trials and related preparatory work,</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period during which the results of the trials, if any, will become available, and our research and development programs;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marketing approvals of our product candidates and to meet existing or future regulatory standards or comply with post-approval requirements, to the extent relevant;</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our product candidates, if approved for commercial use;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intellectual property position and expectations regarding our ability to obtain and maintain intellectual property protection;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laws and government regulations;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competitive position and expectations regarding developments and projections relating to our competitors and any competing therapies that are or become available;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developments and expectations regarding developments and projections relating to our competitors and industry;</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loss of our executive, financial and strategic alternatives teams;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lack of profitability and, to the extent we continue to operate our business, the need for additional capital;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outcome of any known and unknown litigation.</w:t>
      </w:r>
    </w:p>
    <w:p>
      <w:pPr>
        <w:spacing w:after="0" w:line="22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Other statements preceded by, followed by or that include the words “may,” “can,” “should,” “will,” “estimate,” “plan,” “project,” “forecast,” “intend,” “expect,” “anticipate,” “believe,” “seek,” “target” or similar expressions, or the negative of these terms, are intended to identify forward-looking statements, although not all forward-looking statements contain these identifying words.</w:t>
      </w:r>
    </w:p>
    <w:p>
      <w:pPr>
        <w:spacing w:after="0" w:line="18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Any or all forward-looking statements may turn out to be incorrect. As a result of a number of known and unknown risks and uncertainties, our actual results or performance may be materially different from those expressed or implied by these forward-looking statements. Some factors that could cause actual results to differ include:</w:t>
      </w:r>
    </w:p>
    <w:p>
      <w:pPr>
        <w:spacing w:after="0" w:line="89"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any strategic alternative process disrupts current plans and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recognize the anticipated benefits of any strategic alternative process or a potential strategic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related to the strategic alternative process or a potential strategic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the loss of key employees disrupts our operations and our ability achieve our plans and strategy;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geopolitical, business, and/or competitive factors; and</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indicated in this prospectus, including those under “</w:t>
      </w:r>
      <w:r>
        <w:rPr>
          <w:rFonts w:ascii="Arial" w:cs="Arial" w:eastAsia="Arial" w:hAnsi="Arial"/>
          <w:sz w:val="18"/>
          <w:szCs w:val="18"/>
          <w:i w:val="1"/>
          <w:iCs w:val="1"/>
          <w:color w:val="auto"/>
        </w:rPr>
        <w:t>Risk Factors</w:t>
      </w:r>
      <w:r>
        <w:rPr>
          <w:rFonts w:ascii="Arial" w:cs="Arial" w:eastAsia="Arial" w:hAnsi="Arial"/>
          <w:sz w:val="18"/>
          <w:szCs w:val="18"/>
          <w:color w:val="auto"/>
        </w:rPr>
        <w:t>” herein, and other filings that have been made or will be made with the SEC.</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addition, statements that Gemini “believes” and similar statements reflect such parties’ beliefs and opinions on the relevant subject. These statements are based upon information available to such party as of the date of this prospectus, and while such party believes such information forms a reasonable basis for such statements, such information may be limited or incomplete, and these statements should not be read to indicate that Gemini has conducted an exhaustive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These risks and uncertainties include, but are not limited to, those factors described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in this prospectus and the documents incorporated herein by reference.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i w:val="1"/>
          <w:iCs w:val="1"/>
          <w:color w:val="auto"/>
        </w:rPr>
        <w:t>This summary highlights selected information from this prospectus and does not contain all of the information that is important to you in making an investment decision. This summary is qualified in its entirety by the more detailed information included elsewhere or incorporated by reference in this prospectus. Before making your investment decision with respect to our securities, you should carefully read this entire prospectus, any applicable prospectus supplement or free writing prospectus and the documents referred to in the sections of this prospectus entitled “Where You Can Find More Information” and “Documents Incorporated by Reference”.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We are a clinical-stage precision medicine company that has to date been developing novel therapeutic compounds to treat genetically defined, age-related macular degeneration (“AMD”). Our lead product candidate, GEM103, is a recombinant form of the human complement factor H protein (“CFH”) and is designed to address complement hyperactivity and overall dysregulation caused by loss of function mutations thus restoring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17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 January 2022, we announced that we discontinued both of our Phase 2a clinical trials of GEM103, the ReGAtta study and the GEM103 as an Add-On to Anti-VEGF Therapy for the Treatment of Wet-AMD study.</w:t>
      </w:r>
    </w:p>
    <w:p>
      <w:pPr>
        <w:spacing w:after="0" w:line="170"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In February 2022, we announced a corporate restructuring and that we have initiated a process to evaluate strategic alternatives. We expect to devote substantial time and resources to exploring strategic alternatives that our Board believes will maximize shareholder value. Despite devoting significant efforts to identify and evaluate potential strategic alternatives, there can be no assurance that this strategic review process will result in us pursuing any transaction or that any transaction, if pursued, will be completed on attractive terms or at all. We have not set a timetable for completion of this strategic review process, and our Board has not approved a definitive course of action. Additionally, there can be no assurances that any particular course of action, business arrangement or transaction, or series of transactions, will be pursued, successfully consummated or lead to increased stockholder value or that we will make any additional cash distributions to our stockholders.</w:t>
      </w:r>
    </w:p>
    <w:p>
      <w:pPr>
        <w:spacing w:after="0" w:line="17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Since inception in 2015, we have devoted substantially all our efforts and financial resources to organizing and staffing our company, business planning, raising capital, discovering product candidates and securing related intellectual property rights and conducting research and development activities for our product candidates. We do not have any products approved for sale, and we have not generated any revenue from product sales. We may never be able to develop or commercialize a marketable product.</w:t>
      </w:r>
    </w:p>
    <w:p>
      <w:pPr>
        <w:spacing w:after="0" w:line="18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GEM103 has been evaluated in a single ascending dose Phase 1 clinical trial of CFH-variant related dry AMD patients. The findings in the Phase 1 clinical trial enabled the initiation of a Phase 2a trial evaluating multiple ascending doses in a genetically enriched patient population carrying mutation(s) in the gene for CFH and suffering from dry AMD. Based on initial data available from the ReGatta Phase 2a study and the Add-On to Anti-VEGF Therapy for the Treatment of Wet-AMD study, GEM103 continues to be generally well-tolerated in 510 intravitreal administrations and such preliminary data indicated rapid and sustained increased levels of CFH, supporting GEM103’s biological activity to regulate complement in GA patients as indicated by a reduction in complement biomarkers elevated in patients with AMD. In January 2022, we announced that we discontinued the ReGAtta study and the GEM103 as an Add-On to Anti-VEGF Therapy for the Treatment of Wet-AMD study.</w:t>
      </w:r>
    </w:p>
    <w:p>
      <w:pPr>
        <w:spacing w:after="0" w:line="17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We are also working to advance a potentiating antibody for CFH, GEM307, that could be effective for treatment of systemic diseases, towards an investigational new drug filing.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To the extent we continue to pursue clinical development of GEM103 or any other product candidate, our ability to generate revenue from product sales sufficient to achieve profitability will depend heavily on the successful development and eventual commercialization of one or more of our product candidates. We have not yet successfully completed any pivotal clinical trials, nor have we obtained any regulatory approvals, manufactured a commercial-scale drug, or conducted sales and marketing activities.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We are an “emerging growth company” as defined in Section 2(a)(19) of the Securities Act, as modified by the Jumpstart Our Business Startups Act of 2012 (the “JOBS Act”). As such, we are eligible for and intend to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404(b) of the Sarbanes-Oxley Act, (ii) the exemptions from say-on-pay, say-on-frequency and say-on-golden parachute voting requirements and (iii) reduced disclosure obligations regarding executive compensation in our periodic reports and proxy statements.</w:t>
      </w:r>
    </w:p>
    <w:p>
      <w:pPr>
        <w:spacing w:after="0" w:line="17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will remain an emerging growth company until the earlier of: (i) the last day of the fiscal year (a) following the fifth anniversary of the closing of the FSDC initial public offering, (b) in which we have total annual gross revenue of at least $1.07 billion, or (c) in which we are deemed to be a “large accelerated filer” under the Exchange Act, which would occur if the market value of our common equity held by non-affiliates exceeds $700.0 million as of the last business day of our most recently completed second fiscal quarter; or (ii) the date on which we have issued more than $1.0 billion in non-convertible debt securities during the prior three-year period.</w:t>
      </w:r>
    </w:p>
    <w:p>
      <w:pPr>
        <w:spacing w:after="0" w:line="188"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extended transition period and, as a result, we may adopt new or revised accounting standards on the relevant dates on which adoption of such standards is required for non-public companies instead of the dates required for other public companies.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Implications of Being a Smaller Reporting Company</w:t>
      </w:r>
    </w:p>
    <w:p>
      <w:pPr>
        <w:spacing w:after="0" w:line="121"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We are also a “smaller reporting company” as defined in Rule 12b-2 of the Exchange Act. Smaller reporting companies may take advantage of certain reduced disclosure obligations, including, among other things, providing only two years of audited financial statements. We will remain a smaller reporting company until the last day of any fiscal year for so long as either (1) the market value of our shares of common stock held by non-affiliates does not equal or exceed $250.0 million as of the prior June 30th, or (2) our annual revenues did not equal or exceed $100.0 million during such completed fiscal year and the market value of our shares of common stock held by non-affiliates did not equal or exceed $700.0 million as of the prior June 30th. To the extent we take advantage of any reduced disclosure obligations, it may make comparison of our financial statements with other public companies difficult or impossible.</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In January 2022, the Company became a remote-first company. Accordingly, the Company does not currently maintain a physical headquarters but maintains a mailing address at 297 Boston Post Road #248, Wayland, MA 01778. Our website address is https://geminitherapeutics.com/. The information contained in or accessible from our website is not incorporated into this prospectus, and you should not consider it part of this prospectus. We have included our website address in this prospectus solely as an inactive textual reference.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Shares of Common Stock offered by the Selling Securityholders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Nasdaq Ticker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-659130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22,832,920 shares</w:t>
      </w:r>
    </w:p>
    <w:p>
      <w:pPr>
        <w:spacing w:after="0" w:line="33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All of the shares of Common Stock offered by the Selling Securityholders pursuant to this prospectus will be sold by the Selling Securityholders for their respective accounts. We will not receive any of the proceeds from these sales.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Common Stock: “GMTX”</w:t>
      </w:r>
    </w:p>
    <w:p>
      <w:pPr>
        <w:spacing w:after="0" w:line="158"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11</w:t>
      </w:r>
    </w:p>
    <w:p>
      <w:pPr>
        <w:sectPr>
          <w:pgSz w:w="11900" w:h="16838" w:orient="portrait"/>
          <w:cols w:equalWidth="0" w:num="2">
            <w:col w:w="3560" w:space="420"/>
            <w:col w:w="6880"/>
          </w:cols>
          <w:pgMar w:left="320" w:top="459" w:right="7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i w:val="1"/>
          <w:iCs w:val="1"/>
          <w:color w:val="auto"/>
        </w:rPr>
        <w:t>An investment in our securities involves risks and uncertainties. Before making an investment decision, you should carefully consider these risks as well as other information we include or incorporate by reference in this prospectus. In particular, you should carefully consider the information under the heading “Risk Factors,” as well as the factors listed under the heading “Forward-Looking Statements,” in each case contained in our Annual Report on Form 10-K for our most recent fiscal year, in any Quarterly Reports on Form 10-Q that have been filed since our most recent Annual Report on Form 10-K and in any other documents that we file (not furnish) with the SEC under the Exchange Act, each of which is incorporated by reference in this prospectus. Any of the risks described could significantly and negatively affect our business, financial condition, results of operations, cash flows and prospects and the trading price of our securities. The risks and uncertainties identified are not the only risks and uncertainties we face. If any of the material risks or uncertainties that we face were to occur, you could lose part or all of your investment.</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60"/>
          </w:cols>
          <w:pgMar w:left="320" w:top="459" w:right="5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All of the shares of Common Stock offered by the Selling Securityholders pursuant to this prospectus will be sold by the Selling Securityholders for their respective accounts. We will not receive any of the proceeds from these sales.</w:t>
      </w:r>
    </w:p>
    <w:p>
      <w:pPr>
        <w:spacing w:after="0" w:line="10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80"/>
          </w:cols>
          <w:pgMar w:left="320" w:top="459" w:right="7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The following summary of certain provisions of our securities does not purport to be complete and is subject to the Charter, the Bylaws and the provisions of applicable law. Copies of the Charter and the Bylaws are incorporated by reference to this prospectus as Exhibits 3.1 and 3.2, respectively.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and Outstanding Stock</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Charter authorizes the issuance of 260,000,000 shares, consisting of 250,000,000 shares of Common Stock, $0.0001 par value per share, and 10,000,000 shares of preferred stock, $0.0001 par value. As of February 28, 2022, 43,208,159 shares of Common Stock and no shares of preferred stock are outstanding.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Charter provides the following with respect to the rights, powers, preferences and privileges of the Common Stock.</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Power</w:t>
      </w:r>
    </w:p>
    <w:p>
      <w:pPr>
        <w:spacing w:after="0" w:line="117"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Except as otherwise required by law or as otherwise provided in any certificate of designation for any series of preferred stock, the holders of Common Stock possess all voting power for the election of Gemini’s directors and all other matters requiring stockholder action. Holders of Common Stock are entitled to one vote per share on matters to be voted on by stockholders.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Holders of Common Stock will be entitled to receive such dividends, if any, as may be declared from time to time by the Board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 the event of Gemini’s voluntary or involuntary liquidation, dissolution, distribution of assets or winding-up, the holders of the Common Stock will be entitled to receive an equal amount per share of all of Gemini’s assets of whatever kind available for distribution to stockholders, after the rights of the holders of the preferred stock have been satisfied.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Preemptive or Other Rights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sinking fund provisions applicable to the Common Stock.</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DGCL. The issuance of preferred stock could have the effect of decreasing the trading price of Common Stock, restricting dividends on the capital stock of Gemini, diluting the voting power of the Common Stock, impairing the liquidation rights of the capital stock of Gemini, or delaying or preventing a change in control of Gemini.</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Election of Directors and Vacancies</w:t>
      </w:r>
    </w:p>
    <w:p>
      <w:pPr>
        <w:spacing w:after="0" w:line="117" w:lineRule="exact"/>
        <w:rPr>
          <w:sz w:val="20"/>
          <w:szCs w:val="20"/>
          <w:color w:val="auto"/>
        </w:rPr>
      </w:pPr>
    </w:p>
    <w:p>
      <w:pPr>
        <w:ind w:left="120" w:right="280"/>
        <w:spacing w:after="0" w:line="286" w:lineRule="auto"/>
        <w:rPr>
          <w:sz w:val="20"/>
          <w:szCs w:val="20"/>
          <w:color w:val="auto"/>
        </w:rPr>
      </w:pPr>
      <w:r>
        <w:rPr>
          <w:rFonts w:ascii="Arial" w:cs="Arial" w:eastAsia="Arial" w:hAnsi="Arial"/>
          <w:sz w:val="17"/>
          <w:szCs w:val="17"/>
          <w:color w:val="auto"/>
        </w:rPr>
        <w:t>Subject to the rights of the holders of any series of preferred stock to elect additional directors under specified circumstances and the terms and conditions of the Voting Agreement, dated February 5, 2021, by and among us and the other parties thereto (the “Voting Agreement”), the number of directors of the Board shall be fixed solely and exclusively by resolution duly adopted from time to time by the Board.</w:t>
      </w:r>
    </w:p>
    <w:p>
      <w:pPr>
        <w:spacing w:after="0" w:line="165"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Under the Bylaws, at all meetings of stockholders called for the election of directors, a plurality of the votes properly cast is sufficient to elect such directors to the Board.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Except as the DGCL or the Voting Agreement may otherwise require and subject to the rights, if any, of the holders of any series of preferred stock, in the interim between annual meetings of stockholders or special meetings of stockholders called for the election of directors and/or the removal of one or more directors and the filling of any vacancy in that connection, newly created directorships and any vacancies on the Board, including unfilled vacancies resulting from the removal of directors, may be filled only by the affirmative vote of a majority of the remaining directors then in office, although less than a quorum, or by the sole remaining director. All directors will hold office until the expiration of their respective terms of office and until their successors will have been elected and qualified. A director elected or appointed to fill a vacancy resulting from the death, resignation or removal of a director or a newly created directorship will serve for the remainder of the full term of the class of directors in which the new directorship was created or the vacancy occurred and until his or her successor will have been elected and qualified. Subject to the rights, if any, of any series of preferred stock, any director may be removed from office only with cause and only by the affirmative vote of the holders of not less than two-thirds of the outstanding voting stock (as defined below) of Gemini then entitled to vote at an election of directors. Any such director proposed to be removed from office is entitled to advance written notice as described in the Certificate of Incorporation. Subject to the terms and conditions of the Voting Agreement, in case the Board or any one or more directors should be so removed, new directors may be elected at the same time for the unexpired portion of the full term of the director or directors so removed.</w:t>
      </w:r>
    </w:p>
    <w:p>
      <w:pPr>
        <w:spacing w:after="0" w:line="186"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In addition to the powers and authorities hereinbefore or by statute expressly conferred upon them, the directors are empowered to exercise all such powers and do all such acts and things as may be exercised or done by Gemini, subject, nevertheless, to the provisions of the DGCL, the Certificate of Incorporation and to any Bylaws adopted and in effect from time to time; provided, however, that no Bylaw so adopted will invalidate any prior act of the directors which would have been valid if such Bylaw had not been adopted.</w:t>
      </w:r>
    </w:p>
    <w:p>
      <w:pPr>
        <w:spacing w:after="0" w:line="18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Notwithstanding the foregoing provisions, any director elected pursuant to the right, if any, of the holders of preferred stock to elect additional directors under specified circumstances will serve for such term or terms and pursuant to such other provisions as specified in the relevant certificate of designations related to the preferred stock.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holders of a majority of the voting power of the capital stock issued and outstanding and entitled to vote thereat, present in person or represented by proxy, will constitute a quorum at all meetings of the stockholders for the transaction of business except as otherwise required by law or provided by the Certificate of Incorporation. If, however, such quorum will not be present or represented at any meeting of the stockholders, the holders of a majority of the voting power present in person or represented by proxy, will have power to adjourn the meeting from time to time, without notice other than announcement at the meeting, until a quorum will be present or represented. At such adjourned meeting at which a quorum will be present or represented, any business may be transacted which might have been transacted at the meeting as originally noticed. If the adjournment is for more than thirty (30) days, or if after the adjournment a new record date is fixed for the adjourned meeting, a notice of the adjourned meeting will be given to each stockholder entitled to vote at such adjourned meeting as of the record date fixed for notice of such adjourned meeting.</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Charter and Bylaws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Among other things, the Charter and Bylaws:</w:t>
      </w:r>
    </w:p>
    <w:p>
      <w:pPr>
        <w:spacing w:after="0" w:line="131" w:lineRule="exact"/>
        <w:rPr>
          <w:sz w:val="20"/>
          <w:szCs w:val="20"/>
          <w:color w:val="auto"/>
        </w:rPr>
      </w:pPr>
    </w:p>
    <w:p>
      <w:pPr>
        <w:ind w:left="1080" w:right="2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permit the Board to issue up to 10,000,000 shares of preferred stock, with any rights, preferences and privileges as they may designate, including the right to approve an acquisition or other change of control;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w:t>
      </w:r>
    </w:p>
    <w:p>
      <w:pPr>
        <w:spacing w:after="0" w:line="130" w:lineRule="exact"/>
        <w:rPr>
          <w:rFonts w:ascii="Arial" w:cs="Arial" w:eastAsia="Arial" w:hAnsi="Arial"/>
          <w:sz w:val="18"/>
          <w:szCs w:val="18"/>
          <w:color w:val="auto"/>
        </w:rPr>
      </w:pPr>
    </w:p>
    <w:p>
      <w:pPr>
        <w:ind w:left="1080" w:right="320" w:hanging="424"/>
        <w:spacing w:after="0" w:line="34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provide that, subject to the rights of any series of preferred stock to elect directors, directors may be removed only with cause by the holders of at least 66</w:t>
      </w:r>
      <w:r>
        <w:rPr>
          <w:rFonts w:ascii="Arial" w:cs="Arial" w:eastAsia="Arial" w:hAnsi="Arial"/>
          <w:sz w:val="13"/>
          <w:szCs w:val="13"/>
          <w:color w:val="auto"/>
        </w:rPr>
        <w:t>2/3</w:t>
      </w:r>
      <w:r>
        <w:rPr>
          <w:rFonts w:ascii="Arial" w:cs="Arial" w:eastAsia="Arial" w:hAnsi="Arial"/>
          <w:sz w:val="16"/>
          <w:szCs w:val="16"/>
          <w:color w:val="auto"/>
        </w:rPr>
        <w:t>% of all of our then-outstanding shares of the capital stock entitled to vote generally at an election of directors;</w:t>
      </w:r>
    </w:p>
    <w:p>
      <w:pPr>
        <w:spacing w:after="0" w:line="29" w:lineRule="exact"/>
        <w:rPr>
          <w:rFonts w:ascii="Arial" w:cs="Arial" w:eastAsia="Arial" w:hAnsi="Arial"/>
          <w:sz w:val="16"/>
          <w:szCs w:val="16"/>
          <w:color w:val="auto"/>
        </w:rPr>
      </w:pPr>
    </w:p>
    <w:p>
      <w:pPr>
        <w:ind w:left="1080" w:right="30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320" w:top="459"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that Special Meetings of Gemini’s stockholders may be called by the Board pursuant to a resolution adopted by a majority of the total number of authorized directors;</w:t>
      </w:r>
    </w:p>
    <w:p>
      <w:pPr>
        <w:spacing w:after="0" w:line="75" w:lineRule="exact"/>
        <w:rPr>
          <w:rFonts w:ascii="Arial" w:cs="Arial" w:eastAsia="Arial" w:hAnsi="Arial"/>
          <w:sz w:val="18"/>
          <w:szCs w:val="18"/>
          <w:color w:val="auto"/>
        </w:rPr>
      </w:pPr>
    </w:p>
    <w:p>
      <w:pPr>
        <w:ind w:left="1080" w:right="320" w:hanging="424"/>
        <w:spacing w:after="0" w:line="308" w:lineRule="auto"/>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provide that the Board is divided into three classes of directors, with the classes to be as nearly equal as possible, and with the directors serving three-year terms, therefore making it more difficult for stockholders to change the composition of our Board; and</w:t>
      </w:r>
    </w:p>
    <w:p>
      <w:pPr>
        <w:spacing w:after="0" w:line="51" w:lineRule="exact"/>
        <w:rPr>
          <w:rFonts w:ascii="Arial" w:cs="Arial" w:eastAsia="Arial" w:hAnsi="Arial"/>
          <w:sz w:val="17"/>
          <w:szCs w:val="17"/>
          <w:color w:val="auto"/>
        </w:rPr>
      </w:pPr>
    </w:p>
    <w:p>
      <w:pPr>
        <w:ind w:left="1080" w:right="1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not provide for cumulative voting rights, therefore allowing the holders of a majority of the shares of common stock entitled to vote in any election of directors to elect all of the directors standing for election, if they should so choose.</w:t>
      </w:r>
    </w:p>
    <w:p>
      <w:pPr>
        <w:spacing w:after="0" w:line="170"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combination of these provisions will make it more difficult for the existing stockholders to replace the Board as well as for another party to obtain control of Gemini by replacing the Board. Because the Board has the power to retain and discharge its officers, these provisions could also make it more difficult for existing stockholders or another party to effect a change in management. In addition, the authorization of undesignated preferred stock makes it possible for the Board to issue preferred stock with voting or other rights or preferences that could impede the success of any attempt to change our control.</w:t>
      </w:r>
    </w:p>
    <w:p>
      <w:pPr>
        <w:spacing w:after="0" w:line="188"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the Board and its policies and to discourage coercive takeover practices and inadequate takeover bids. These provisions are also designed to reduce Gemini’s vulnerability to hostile takeovers and to discourage certain tactics that may be used in proxy fights. However, such provisions could have the effect of discouraging others from making tender offers for Gemini’s shares and may have the effect of delaying changes in our control or management. As a consequence, these provisions may also inhibit fluctuations in the market price of our stock.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We have opted out of Section 203 of the DGCL. Section 203 of the DGCL prohibits a Delaware corporation from engaging in a “business combination” with an “interested stockholder” (i.e. a stockholder owning 15% or more of company’s voting stock) for three years following the time that the “interested stockholder” becomes such, subject to certain exceptions.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Limitations on Liability and Indemnification of Officers and Directors</w:t>
      </w:r>
    </w:p>
    <w:p>
      <w:pPr>
        <w:spacing w:after="0" w:line="117" w:lineRule="exact"/>
        <w:rPr>
          <w:sz w:val="20"/>
          <w:szCs w:val="20"/>
          <w:color w:val="auto"/>
        </w:rPr>
      </w:pPr>
    </w:p>
    <w:p>
      <w:pPr>
        <w:ind w:left="120" w:right="180"/>
        <w:spacing w:after="0" w:line="286" w:lineRule="auto"/>
        <w:rPr>
          <w:sz w:val="20"/>
          <w:szCs w:val="20"/>
          <w:color w:val="auto"/>
        </w:rPr>
      </w:pPr>
      <w:r>
        <w:rPr>
          <w:rFonts w:ascii="Arial" w:cs="Arial" w:eastAsia="Arial" w:hAnsi="Arial"/>
          <w:sz w:val="16"/>
          <w:szCs w:val="16"/>
          <w:color w:val="auto"/>
        </w:rPr>
        <w:t>The Certificate of Incorporation limits the liability of the directors of Gemini to the fullest extent permitted by the DGCL, and the Bylaws provide that we will indemnify them to the fullest extent permitted by such law. We have entered and expect to continue to enter into agreements to indemnify our directors, executive officers and other employees as determined by our Board.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a director or officer of Gemini or any of its subsidiaries or was serving at Gemini’s request in an official capacity for another entity. We must indemnify our officers and directors against all reasonable fees, expenses, charges and other costs of any type or nature whatsoever, including any and all expenses and obligations paid or incurred in connection with investigating, defending, being a witness in, participating in (including on appeal), or preparing to defend, be a witness or participate in any completed, actual, pending or threatened action, suit, claim or proceeding, whether civil, criminal, administrative or investigative, or establishing or enforcing a right to indemnification under the indemnification agreement. The indemnification agreements also require us, if so requested, to advance within 10 days of such request all reasonable fees, expenses, charges and other costs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Jurisdiction of Certain Actions</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Bylaws require, to the fullest extent permitted by law, unless Gemini consents in writing to the selection of an alternative forum, that derivative actions brought in the name of Gemini, actions against directors, officers and employees for breach of fiduciary duty, actions asserting a claim arising pursuant to any provision of the DGCL or the Certificate of Incorporation or the Bylaws, actions to interpret, apply, enforce or determine the validity of the Certificate of Incorporation or the Bylaws and actions asserting a claim against Gemini governed by the internal affairs doctrine may be brought only in the Court of Chancery in the State of Delaware and, if brought outside of Delaware, the stockholder bringing the suit will be deemed to have consented to service of process on such stockholder’s counsel. Although we believe this provision benefits Gemini by providing increased consistency in the application of Delaware law in the types of lawsuits to which it applies, the provision may have the effect of discouraging lawsuits against our directors and officers.</w:t>
      </w:r>
    </w:p>
    <w:p>
      <w:pPr>
        <w:spacing w:after="0" w:line="192" w:lineRule="exact"/>
        <w:rPr>
          <w:sz w:val="20"/>
          <w:szCs w:val="20"/>
          <w:color w:val="auto"/>
        </w:rPr>
      </w:pPr>
    </w:p>
    <w:p>
      <w:pPr>
        <w:jc w:val="both"/>
        <w:ind w:left="120" w:right="220"/>
        <w:spacing w:after="0" w:line="311" w:lineRule="auto"/>
        <w:rPr>
          <w:sz w:val="20"/>
          <w:szCs w:val="20"/>
          <w:color w:val="auto"/>
        </w:rPr>
      </w:pPr>
      <w:r>
        <w:rPr>
          <w:rFonts w:ascii="Arial" w:cs="Arial" w:eastAsia="Arial" w:hAnsi="Arial"/>
          <w:sz w:val="16"/>
          <w:szCs w:val="16"/>
          <w:color w:val="auto"/>
        </w:rPr>
        <w:t>In addition, the Bylaws require that, unless Gemini consents in writing to the selection of an alternative forum, the United States District Court for the District of Massachusetts shall be the sole and exclusive forum for resolving any action asserting a claim arising under the Securities Act. Gemini has chosen the United States District Court for the District of Massachusetts as the exclusive forum for such Securities Act causes of action.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 xml:space="preserve">Pursuant to Rule 144 of the Securities Act (“Rule 144”), a person who has beneficially owned restricted shares of our Common Stock for at least six months would be entitled to sell their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person is not deemed to have been one of our “affiliates” at the time of, or at any time during the three months preceding, a sale, (ii) we are subject to the Exchange Act periodic reporting requirements for at least 90 days before the sale and (iii) we have filed all required reports under Section 13 or 15(d) of the Exchange Act during the 12 months (or such shorter period as we were required to file reports) preceding the sale. After a one-year holding period, assuming we remain subject to the Exchange Act reporting requirements, such a person may sell their securities without regard to clause (iii) in the prior sentence.</w:t>
      </w:r>
    </w:p>
    <w:p>
      <w:pPr>
        <w:spacing w:after="0" w:line="178"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Persons who have beneficially owned restricted shares of our Common Stock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89"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one percent (1%) of the total number of shares of Common Stock then outstanding; or</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Common Stock during the four calendar weeks preceding the filing of a notice on Form 144 with respect to the sale.</w:t>
      </w:r>
    </w:p>
    <w:p>
      <w:pPr>
        <w:spacing w:after="0" w:line="170"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Restrictions on the Use of Rule 144 by Shell Companies or Former Shell Companies</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including us. However, Rule 144 also includes an important exception to this prohibition if the following conditions are met at the time of such resale:</w:t>
      </w:r>
    </w:p>
    <w:p>
      <w:pPr>
        <w:spacing w:after="0" w:line="89"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30" w:lineRule="exact"/>
        <w:rPr>
          <w:rFonts w:ascii="Arial" w:cs="Arial" w:eastAsia="Arial" w:hAnsi="Arial"/>
          <w:sz w:val="18"/>
          <w:szCs w:val="18"/>
          <w:color w:val="auto"/>
        </w:rPr>
      </w:pPr>
    </w:p>
    <w:p>
      <w:pPr>
        <w:ind w:left="1080" w:right="440" w:hanging="424"/>
        <w:spacing w:after="0" w:line="34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29" w:lineRule="exact"/>
        <w:rPr>
          <w:rFonts w:ascii="Arial" w:cs="Arial" w:eastAsia="Arial" w:hAnsi="Arial"/>
          <w:sz w:val="16"/>
          <w:szCs w:val="16"/>
          <w:color w:val="auto"/>
        </w:rPr>
      </w:pPr>
    </w:p>
    <w:p>
      <w:pPr>
        <w:ind w:left="1080" w:right="2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the date of this prospectus, we believe the foregoing conditions have been met.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Agent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transfer agent for our common stock is Continental Stock Transfer &amp; Trust Company.</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32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SECURITY OWNERSHIP OF</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CERTAIN BENEFICIAL OWNERS AND MANAGEMENT</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regarding the beneficial ownership of the Common Stock as of February 28, 2022:</w:t>
      </w:r>
    </w:p>
    <w:p>
      <w:pPr>
        <w:spacing w:after="0" w:line="131"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Gemini’s outstanding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of Gemini’s current executive officers and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executive officers and directors of Gemini as a group.</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(as applicable) that are currently exercisable or exercisable within 60 days of February 28, 2022. Unless otherwise indicated, Gemini believes that all persons named in the table have sole voting and investment power with respect to all Common Stock beneficially owned by them. The percentage of shares beneficially owned if based on 43,208,159 shares of Common Stock outstanding as of February 28, 2022.</w:t>
      </w:r>
    </w:p>
    <w:p>
      <w:pPr>
        <w:spacing w:after="0" w:line="19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Number of</w:t>
            </w:r>
          </w:p>
        </w:tc>
        <w:tc>
          <w:tcPr>
            <w:tcW w:w="38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940" w:type="dxa"/>
            <w:vAlign w:val="bottom"/>
            <w:gridSpan w:val="2"/>
            <w:vMerge w:val="continue"/>
          </w:tcPr>
          <w:p>
            <w:pPr>
              <w:spacing w:after="0"/>
              <w:rPr>
                <w:sz w:val="15"/>
                <w:szCs w:val="15"/>
                <w:color w:val="auto"/>
              </w:rPr>
            </w:pPr>
          </w:p>
        </w:tc>
        <w:tc>
          <w:tcPr>
            <w:tcW w:w="100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Shares</w:t>
            </w:r>
          </w:p>
        </w:tc>
        <w:tc>
          <w:tcPr>
            <w:tcW w:w="3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Directors and Officers:</w:t>
            </w:r>
          </w:p>
        </w:tc>
        <w:tc>
          <w:tcPr>
            <w:tcW w:w="45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Georges Gemayel(2)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11,367</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Piekos(1)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138,407</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Samuel Barone(2)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63,803</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 Gordon</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David Lubner(2)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52,676</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Tuyen Ong(2)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45,981</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Jason Rhodes</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Jim Tananbaum(3)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4,870,250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All Directors and Executive Officers as a group (8 individuals)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5,182,484</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12.0</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Five Percent Holders:</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FS Development Holdings, LLC(3)</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4,870,250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Orbimed Private Investments VI, LP(4)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5,826,224</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Entities affiliated with Atlas Ventures(5)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5,254,365</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Lightstone Ventures(6)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4,836,106</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Entities affiliated with Fidelity(7)</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2,789,500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Franklin Resources, Inc.(8)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2,512,773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Suvretta Capital Management, LLC(9)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2,372,267</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31" w:lineRule="exact"/>
        <w:rPr>
          <w:sz w:val="20"/>
          <w:szCs w:val="20"/>
          <w:color w:val="auto"/>
        </w:rPr>
      </w:pPr>
    </w:p>
    <w:p>
      <w:pPr>
        <w:ind w:left="540" w:hanging="424"/>
        <w:spacing w:after="0"/>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shares currently held and shares of Common Stock that are currently exercisable or exercisable within 60 days of February 28, 2022.</w:t>
      </w:r>
    </w:p>
    <w:p>
      <w:pPr>
        <w:spacing w:after="0" w:line="46" w:lineRule="exact"/>
        <w:rPr>
          <w:rFonts w:ascii="Arial" w:cs="Arial" w:eastAsia="Arial" w:hAnsi="Arial"/>
          <w:sz w:val="16"/>
          <w:szCs w:val="16"/>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shares of Common Stock that are currently exercisable or exercisable within 60 days of February 28, 2022.</w:t>
      </w:r>
    </w:p>
    <w:p>
      <w:pPr>
        <w:spacing w:after="0" w:line="9"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FS Development Holdings, LLC is the record holder of 4,870,250 shares reported herein. Foresite Capital Management V, LLC (“FCM V”), is the general partner of Foresite Capital Fund V LP (“FCM V LP”) and Foresite Capital Opportunity Management V, LLC (“FCOM V”) is the general partner of Foresite Capital Opportunity Fund V, L.P. (“FCOM LP”), with FCM LP and FCOM LP being the sole members of FS Development Holdings, LLC. FCM V and FCOM V, as general managers of the sole members, have voting and investment discretion with respect to the common stock held of record by FS Development Holdings, LLC. Dr. Tananbaum, in his capacity as managing member of FCM V and FCOM V, may be deemed to have voting and investment discretion over these shares. Each of FCM V LP, FCOM LP, FCM V, FCOM V and Dr. Tananbaum disclaim beneficial ownership of these shares except to the extent of any pecuniary interest therein.</w:t>
      </w:r>
    </w:p>
    <w:p>
      <w:pPr>
        <w:spacing w:after="0" w:line="1" w:lineRule="exact"/>
        <w:rPr>
          <w:rFonts w:ascii="Arial" w:cs="Arial" w:eastAsia="Arial" w:hAnsi="Arial"/>
          <w:sz w:val="17"/>
          <w:szCs w:val="17"/>
          <w:color w:val="auto"/>
        </w:rPr>
      </w:pPr>
    </w:p>
    <w:p>
      <w:pPr>
        <w:ind w:left="540" w:right="80" w:hanging="424"/>
        <w:spacing w:after="0" w:line="250"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5,189,187 shares held by OrbiMed Private Investments VI, LP. OrbiMed Capital GP VI LLC, or GP VI, is the general partner of OrbiMed Private Investments VI, LP, or OPI VI. OrbiMed Advisors LLC, or OrbiMed Advisors, is the managing member of GP VI. By virtue of such relationships, OrbiMed Advisors and GP VI may be deemed to have voting and investment power with respect to the shares held by OPI VI and as a result may be deemed to have beneficial ownership of these shares. OrbiMed Advisors exercises investment and voting power through a management committee comprised of Carl Gordon, Sven H. Borho, and Jonathan T. Silverstein, each of whom disclaims beneficial ownership of the shares held by OPI.</w:t>
      </w:r>
    </w:p>
    <w:p>
      <w:pPr>
        <w:spacing w:after="0" w:line="2" w:lineRule="exact"/>
        <w:rPr>
          <w:rFonts w:ascii="Arial" w:cs="Arial" w:eastAsia="Arial" w:hAnsi="Arial"/>
          <w:sz w:val="18"/>
          <w:szCs w:val="18"/>
          <w:color w:val="auto"/>
        </w:rPr>
      </w:pPr>
    </w:p>
    <w:p>
      <w:pPr>
        <w:ind w:left="540" w:right="20" w:hanging="424"/>
        <w:spacing w:after="0" w:line="255"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3,533,927 shares held by Atlas Venture Fund X, L.P. (“Atlas Fund X”), 641,926 shares held by Atlas Venture Opportunity Fund I, L.P. (“Atlas Fund I”), and 510,000 shares held by Atlas Venture Fund XII, L.P. (“Atlas Fund XII”). Atlas Venture Associates X, L.P. is the general partner of Atlas Fund X, and Atlas Venture Associates X, LLC is the general partner of</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66" w:lineRule="auto"/>
        <w:rPr>
          <w:sz w:val="20"/>
          <w:szCs w:val="20"/>
          <w:color w:val="auto"/>
        </w:rPr>
      </w:pPr>
      <w:r>
        <w:rPr>
          <w:rFonts w:ascii="Arial" w:cs="Arial" w:eastAsia="Arial" w:hAnsi="Arial"/>
          <w:sz w:val="17"/>
          <w:szCs w:val="17"/>
          <w:color w:val="auto"/>
        </w:rPr>
        <w:t>Atlas Venture Associates X, L.P. Each of Atlas Fund X, Atlas Venture Associates X, L.P., and Atlas Venture Associates X, LLC may be deemed to beneficially own the shares held by Atlas Fund X. Each of Atlas Venture Associates X, L.P. and Atlas Venture Associates X, LLC disclaim Section 16 beneficial ownership of the securities owned by Atlas Fund X, except to the extent of its pecuniary interest therein, if any. Atlas Venture Associates Opportunity I, L.P. is the general partner of Atlas Fund I, and Atlas Venture Associates Opportunity I, LLC, or AVAO, LLC, is the general partner of Atlas Venture Associates Opportunity I, L.P. Each of Atlas Fund I, Atlas Venture Associates Opportunity I, L.P. and AVAO, LLC may be deemed to beneficially own the shares held by Atlas Fund I. Each of Atlas Venture Associates Opportunity I, L.P. and AVAO LLC disclaim Section 16 beneficial ownership of the securities owned by Atlas Fund I, except to the extent of its pecuniary interest therein, if any. The general partner of Atlas Fund XII is Atlas Venture Associates XII, L.P. (“AVA XII LP”). Atlas Venture Associates XII, LLC (“AVA XII LLC”) is the general partner of AVA XII LP. Each of Atlas Fund XII, AVA XII LP, and AVA XII LLC may be deemed to beneficially own the shares held by Atlas Fund XII. Each of AVA XII LP and AVA XII LLC disclaim Section 16 beneficial ownership of the securities owned by Atlas Fund XII, except to the extent of its pecuniary interest therein, if any.</w:t>
      </w:r>
    </w:p>
    <w:p>
      <w:pPr>
        <w:spacing w:after="0" w:line="7" w:lineRule="exact"/>
        <w:rPr>
          <w:sz w:val="20"/>
          <w:szCs w:val="20"/>
          <w:color w:val="auto"/>
        </w:rPr>
      </w:pPr>
    </w:p>
    <w:p>
      <w:pPr>
        <w:ind w:left="540" w:hanging="424"/>
        <w:spacing w:after="0" w:line="265"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shares are owned as follows: (i) 2,422,995 by Lightstone Ventures, L.P. (“LV LP”), (ii) 336,099 by Lightstone Ventures (A), L.P. (“LV(A) LP”), and (iii) 1,501,438 by Lighstone Singapore, L.P. (“LV Singapore”). LSV Associates, LLC (“LSV Associates”) is the General Partner of LV Singapore, LV LP and LV(A) LP. As the individual general partners of LSV Associates, Michael A. Carusi, Jean M. George and Henry A. Plain Jr. share voting and dispositive power with respect to the shares held of record by LV Singapore, LV LP and LV(A) LP.</w:t>
      </w:r>
    </w:p>
    <w:p>
      <w:pPr>
        <w:ind w:left="540" w:right="20" w:hanging="424"/>
        <w:spacing w:after="0" w:line="265"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Fidelity Management &amp; Research Company, or Fidelity, 82 Devonshire Street, Boston, Massachusetts 02109, a wholly owned subsidiary of FMR LLC and an investment adviser registered under Section 203 of the Investment Advisers Act of 1940, is the beneficial owner of such shares of common stock as a result of acting as investment adviser to various investment companies registered under Section 8 of the Investment Company Act of 1940.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which power resides with the Fidelity Funds’ Boards of Trustees. Fidelity carries out the voting of the shares under written guidelines established by the Fidelity Funds’ Boards of Trustees.</w:t>
      </w:r>
    </w:p>
    <w:p>
      <w:pPr>
        <w:spacing w:after="0" w:line="2" w:lineRule="exact"/>
        <w:rPr>
          <w:rFonts w:ascii="Arial" w:cs="Arial" w:eastAsia="Arial" w:hAnsi="Arial"/>
          <w:sz w:val="17"/>
          <w:szCs w:val="17"/>
          <w:color w:val="auto"/>
        </w:rPr>
      </w:pPr>
    </w:p>
    <w:p>
      <w:pPr>
        <w:ind w:left="540" w:right="120" w:hanging="424"/>
        <w:spacing w:after="0" w:line="281"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the information included in the Schedule 13G filed by Franklin Resources, Inc (“Franklin”) on December 31, 2021, Charles B. Johnson (“Mr. Johnson”), Rupert H. Johnson, Jr. (“Mr. Johnson Jr.”), and Franklin Advisors, Inc. (“Franklin Advisors”). The address of Franklin,</w:t>
      </w:r>
    </w:p>
    <w:p>
      <w:pPr>
        <w:spacing w:after="0" w:line="1"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Mr. Johnson, Mr. Johnson Jr., and Franklin Advisors is One Franklin Parkway, San Mateo, California 94403.</w:t>
      </w:r>
    </w:p>
    <w:p>
      <w:pPr>
        <w:spacing w:after="0" w:line="9" w:lineRule="exact"/>
        <w:rPr>
          <w:rFonts w:ascii="Arial" w:cs="Arial" w:eastAsia="Arial" w:hAnsi="Arial"/>
          <w:sz w:val="16"/>
          <w:szCs w:val="16"/>
          <w:color w:val="auto"/>
        </w:rPr>
      </w:pPr>
    </w:p>
    <w:p>
      <w:pPr>
        <w:ind w:left="540" w:right="160" w:hanging="424"/>
        <w:spacing w:after="0" w:line="273"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the information included in the Schedule 13G filed by Suvretta Capital Management, LLC (“Suvretta”) on December 31, 2021, Averill Master Fund, Ltd. (“Averill”) and Aaron Cowen. The address of the principal business office of Suvretta and Mr. Cowen is c/o Suvretta Capital Management, LLC, 540 Madison Avenue, 7th Floor, New York, New York 10022. The address of the principal business office of Averill is c/o Maples Corporate Services Limited, P.O. Box 309, Ugland House, Grand Cayman KY1-1104, Cayman Islands.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This prospectus relates to the resale by the Selling Securityholders from time to time of up to an aggregate of 22,832,920 shares of Common Stock that were issued to the PIPE Investors in the PIPE Financing and to certain of our stockholders as consideration in connection with the Business Combination. The Selling Securityholders may from time to time offer and sell any or all of the securities set forth below pursuant to this prospectus and any accompanying prospectus supplement. When we refer to the “Selling Securityholders” in this prospectus, we mean the persons listed in the table below, their permitted transferees and others who later come to hold any of the Selling Securityholders’ interest in the Common Stock other than through a public sale.</w:t>
      </w:r>
    </w:p>
    <w:p>
      <w:pPr>
        <w:spacing w:after="0" w:line="19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following table sets forth, as of the date of this prospectus, the names of the Selling Securityholders, the aggregate number of shares of Common Stock beneficially owned, the aggregate number of shares of Common Stock that the Selling Securityholders may offer pursuant to this prospectus and the number of shares of Common Stock beneficially owned by the Selling Securityholders after the sale of the securities offered hereby. The percentage of beneficial ownership of after the offered securities are sold is calculated based on 43,208,159 shares of Common Stock outstanding as of February 28, 2022.</w:t>
      </w:r>
    </w:p>
    <w:p>
      <w:pPr>
        <w:spacing w:after="0" w:line="188"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all securities that they beneficially own, subject to community property laws where applicable.</w:t>
      </w:r>
    </w:p>
    <w:p>
      <w:pPr>
        <w:spacing w:after="0" w:line="165" w:lineRule="exact"/>
        <w:rPr>
          <w:sz w:val="20"/>
          <w:szCs w:val="20"/>
          <w:color w:val="auto"/>
        </w:rPr>
      </w:pPr>
    </w:p>
    <w:p>
      <w:pPr>
        <w:ind w:left="120" w:right="560"/>
        <w:spacing w:after="0" w:line="279" w:lineRule="auto"/>
        <w:rPr>
          <w:sz w:val="20"/>
          <w:szCs w:val="20"/>
          <w:color w:val="auto"/>
        </w:rPr>
      </w:pPr>
      <w:r>
        <w:rPr>
          <w:rFonts w:ascii="Arial" w:cs="Arial" w:eastAsia="Arial" w:hAnsi="Arial"/>
          <w:sz w:val="17"/>
          <w:szCs w:val="17"/>
          <w:color w:val="auto"/>
        </w:rPr>
        <w:t>We cannot advise you as to whether the Selling Securityholders will in fact sell any or all of such Common Stock. In addition, the Selling Securityholders may sell, transfer or otherwise dispose of, at any time and from time to time, the Common Stock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w:t>
      </w:r>
    </w:p>
    <w:p>
      <w:pPr>
        <w:spacing w:after="0" w:line="17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description of our relationships with certain of the Selling Securityholders and their affiliates set forth in the section of our Registration Statement entitled “</w:t>
      </w:r>
      <w:r>
        <w:rPr>
          <w:rFonts w:ascii="Arial" w:cs="Arial" w:eastAsia="Arial" w:hAnsi="Arial"/>
          <w:sz w:val="18"/>
          <w:szCs w:val="18"/>
          <w:i w:val="1"/>
          <w:iCs w:val="1"/>
          <w:color w:val="auto"/>
        </w:rPr>
        <w:t>Certain Relationships and Related Party Transactions</w:t>
      </w:r>
      <w:r>
        <w:rPr>
          <w:rFonts w:ascii="Arial" w:cs="Arial" w:eastAsia="Arial" w:hAnsi="Arial"/>
          <w:sz w:val="18"/>
          <w:szCs w:val="18"/>
          <w:color w:val="auto"/>
        </w:rPr>
        <w:t>” is incorporated by reference herein.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Securities</w:t>
            </w: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Securities</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Being</w:t>
            </w:r>
          </w:p>
        </w:tc>
        <w:tc>
          <w:tcPr>
            <w:tcW w:w="182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Securities Beneficially</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Owned prior</w:t>
            </w: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Offered</w:t>
            </w:r>
          </w:p>
        </w:tc>
        <w:tc>
          <w:tcPr>
            <w:tcW w:w="18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to the</w:t>
            </w: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in the</w:t>
            </w:r>
          </w:p>
        </w:tc>
        <w:tc>
          <w:tcPr>
            <w:tcW w:w="182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rPr>
              <w:t>Owned After the Offered</w:t>
            </w: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Offering</w:t>
            </w: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Offering</w:t>
            </w:r>
          </w:p>
        </w:tc>
        <w:tc>
          <w:tcPr>
            <w:tcW w:w="1820" w:type="dxa"/>
            <w:vAlign w:val="bottom"/>
            <w:gridSpan w:val="4"/>
          </w:tcPr>
          <w:p>
            <w:pPr>
              <w:ind w:left="320"/>
              <w:spacing w:after="0"/>
              <w:rPr>
                <w:sz w:val="20"/>
                <w:szCs w:val="20"/>
                <w:color w:val="auto"/>
              </w:rPr>
            </w:pPr>
            <w:r>
              <w:rPr>
                <w:rFonts w:ascii="Arial" w:cs="Arial" w:eastAsia="Arial" w:hAnsi="Arial"/>
                <w:sz w:val="14"/>
                <w:szCs w:val="14"/>
                <w:b w:val="1"/>
                <w:bCs w:val="1"/>
                <w:color w:val="auto"/>
              </w:rPr>
              <w:t>Securities are Sold</w:t>
            </w:r>
          </w:p>
        </w:tc>
        <w:tc>
          <w:tcPr>
            <w:tcW w:w="0" w:type="dxa"/>
            <w:vAlign w:val="bottom"/>
          </w:tcPr>
          <w:p>
            <w:pPr>
              <w:spacing w:after="0"/>
              <w:rPr>
                <w:sz w:val="1"/>
                <w:szCs w:val="1"/>
                <w:color w:val="auto"/>
              </w:rPr>
            </w:pPr>
          </w:p>
        </w:tc>
      </w:tr>
      <w:tr>
        <w:trPr>
          <w:trHeight w:val="119"/>
        </w:trPr>
        <w:tc>
          <w:tcPr>
            <w:tcW w:w="5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Borders>
              <w:top w:val="single" w:sz="8" w:color="auto"/>
            </w:tcBorders>
          </w:tcPr>
          <w:p>
            <w:pPr>
              <w:ind w:left="120"/>
              <w:spacing w:after="0" w:line="119" w:lineRule="exact"/>
              <w:rPr>
                <w:sz w:val="20"/>
                <w:szCs w:val="20"/>
                <w:color w:val="auto"/>
              </w:rPr>
            </w:pPr>
            <w:r>
              <w:rPr>
                <w:rFonts w:ascii="Arial" w:cs="Arial" w:eastAsia="Arial" w:hAnsi="Arial"/>
                <w:sz w:val="13"/>
                <w:szCs w:val="13"/>
                <w:b w:val="1"/>
                <w:bCs w:val="1"/>
                <w:color w:val="auto"/>
              </w:rPr>
              <w:t>Shares of</w:t>
            </w:r>
          </w:p>
        </w:tc>
        <w:tc>
          <w:tcPr>
            <w:tcW w:w="420" w:type="dxa"/>
            <w:vAlign w:val="bottom"/>
          </w:tcPr>
          <w:p>
            <w:pPr>
              <w:spacing w:after="0"/>
              <w:rPr>
                <w:sz w:val="10"/>
                <w:szCs w:val="10"/>
                <w:color w:val="auto"/>
              </w:rPr>
            </w:pP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Shares of</w:t>
            </w:r>
          </w:p>
        </w:tc>
        <w:tc>
          <w:tcPr>
            <w:tcW w:w="420" w:type="dxa"/>
            <w:vAlign w:val="bottom"/>
          </w:tcPr>
          <w:p>
            <w:pPr>
              <w:spacing w:after="0"/>
              <w:rPr>
                <w:sz w:val="10"/>
                <w:szCs w:val="10"/>
                <w:color w:val="auto"/>
              </w:rPr>
            </w:pPr>
          </w:p>
        </w:tc>
        <w:tc>
          <w:tcPr>
            <w:tcW w:w="128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rPr>
              <w:t>Shares of</w:t>
            </w:r>
          </w:p>
        </w:tc>
        <w:tc>
          <w:tcPr>
            <w:tcW w:w="5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Selling Securityholder</w:t>
            </w:r>
          </w:p>
        </w:tc>
        <w:tc>
          <w:tcPr>
            <w:tcW w:w="12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Common</w:t>
            </w: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Common</w:t>
            </w:r>
          </w:p>
        </w:tc>
        <w:tc>
          <w:tcPr>
            <w:tcW w:w="12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Common</w:t>
            </w:r>
          </w:p>
        </w:tc>
        <w:tc>
          <w:tcPr>
            <w:tcW w:w="5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80" w:type="dxa"/>
            <w:vAlign w:val="bottom"/>
            <w:gridSpan w:val="2"/>
            <w:vMerge w:val="continue"/>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Stock</w:t>
            </w: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Stock</w:t>
            </w: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Stock</w:t>
            </w:r>
          </w:p>
        </w:tc>
        <w:tc>
          <w:tcPr>
            <w:tcW w:w="5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Funds associated with Atlas Venture (1)</w:t>
            </w:r>
          </w:p>
        </w:tc>
        <w:tc>
          <w:tcPr>
            <w:tcW w:w="3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7"/>
              </w:rPr>
              <w:t>5,254,365</w:t>
            </w:r>
          </w:p>
        </w:tc>
        <w:tc>
          <w:tcPr>
            <w:tcW w:w="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5,254,365</w:t>
            </w:r>
          </w:p>
        </w:tc>
        <w:tc>
          <w:tcPr>
            <w:tcW w:w="4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FS Development Holdings, LLC (2)</w:t>
            </w: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4,870,250</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4,870,250</w:t>
            </w: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Funds associated with Lightstone Ventures (3)</w:t>
            </w:r>
          </w:p>
        </w:tc>
        <w:tc>
          <w:tcPr>
            <w:tcW w:w="1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4,836,106</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4,836,106</w:t>
            </w:r>
          </w:p>
        </w:tc>
        <w:tc>
          <w:tcPr>
            <w:tcW w:w="12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OrbiMed Private Investments VI, L.P. (4)</w:t>
            </w: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5,826,224</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5,826,224</w:t>
            </w: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Wu Capital Investment LLC (5)</w:t>
            </w:r>
          </w:p>
        </w:tc>
        <w:tc>
          <w:tcPr>
            <w:tcW w:w="1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2,045,975</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2,045,975</w:t>
            </w:r>
          </w:p>
        </w:tc>
        <w:tc>
          <w:tcPr>
            <w:tcW w:w="12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right="40" w:hanging="424"/>
        <w:spacing w:after="0" w:line="255"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(i) 4,015,045 shares held of record by Atlas Venture Fund X, L.P., (ii) 729,320 shares held of record by Atlas Venture Opportunity Fund I, L.P. and (iii) 510,000 shares of common stock purchased in the PIPE Financing held by Atlas Venture Fund XII, L.P. The address of funds associated with Atlas Venture is 300 Technology Sq., 8</w:t>
      </w:r>
      <w:r>
        <w:rPr>
          <w:rFonts w:ascii="Arial" w:cs="Arial" w:eastAsia="Arial" w:hAnsi="Arial"/>
          <w:sz w:val="15"/>
          <w:szCs w:val="15"/>
          <w:color w:val="auto"/>
        </w:rPr>
        <w:t>th</w:t>
      </w:r>
      <w:r>
        <w:rPr>
          <w:rFonts w:ascii="Arial" w:cs="Arial" w:eastAsia="Arial" w:hAnsi="Arial"/>
          <w:sz w:val="18"/>
          <w:szCs w:val="18"/>
          <w:color w:val="auto"/>
        </w:rPr>
        <w:t xml:space="preserve"> Floor, Cambridge, MA 02139.</w:t>
      </w:r>
    </w:p>
    <w:p>
      <w:pPr>
        <w:spacing w:after="0" w:line="2" w:lineRule="exact"/>
        <w:rPr>
          <w:rFonts w:ascii="Arial" w:cs="Arial" w:eastAsia="Arial" w:hAnsi="Arial"/>
          <w:sz w:val="18"/>
          <w:szCs w:val="18"/>
          <w:color w:val="auto"/>
        </w:rPr>
      </w:pPr>
    </w:p>
    <w:p>
      <w:pPr>
        <w:ind w:left="540" w:right="320" w:hanging="424"/>
        <w:spacing w:after="0" w:line="250"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(i) 3,370,250 shares held of record and (ii) 1,500,000 shares of common stock purchased in the PIPE Financing. The address of FS Development Holdings, LLC is 600 Montgomery Street, Suite 4500, San Francisco, CA 94111.</w:t>
      </w:r>
    </w:p>
    <w:p>
      <w:pPr>
        <w:ind w:left="540" w:right="140" w:hanging="424"/>
        <w:spacing w:after="0" w:line="265"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Consists of (i) 2,752,868 shares held of record by Lightstone Ventures, L.P., (ii) 375,040 shares held of record by Lightstone Ventures (A), L.P., (iii) 1,308,198 shares held of record by Lightstone Singapore, L.P., (iv) 44,000 shares of common stock purchased in the PIPE Financing held by Lightstone Ventures, L.P., (v) 6,000 shares of common stock purchased in the PIPE Financing held by Lightstone Ventures (A), L.P. and (vi) 350,000 shares of common stock purchased in the PIPE Financing held by Lightstone Singapore, L.P. The address of funds associated with Lightstone Ventures is 500 Boylston St., Suite 1380, Boston, MA 02116.</w:t>
      </w:r>
    </w:p>
    <w:p>
      <w:pPr>
        <w:ind w:left="540" w:hanging="424"/>
        <w:spacing w:after="0" w:line="250"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(i) 5,316,224 shares held of record and (ii) 510,000 shares of common stock purchased in the PIPE Financing. The address of OrbiMed Private Investments VI, L.P. is 601 Lexington Avenue, 54</w:t>
      </w:r>
      <w:r>
        <w:rPr>
          <w:rFonts w:ascii="Arial" w:cs="Arial" w:eastAsia="Arial" w:hAnsi="Arial"/>
          <w:sz w:val="15"/>
          <w:szCs w:val="15"/>
          <w:color w:val="auto"/>
        </w:rPr>
        <w:t>th</w:t>
      </w:r>
      <w:r>
        <w:rPr>
          <w:rFonts w:ascii="Arial" w:cs="Arial" w:eastAsia="Arial" w:hAnsi="Arial"/>
          <w:sz w:val="18"/>
          <w:szCs w:val="18"/>
          <w:color w:val="auto"/>
        </w:rPr>
        <w:t xml:space="preserve"> Floor, New York, NY 10022.</w:t>
      </w:r>
    </w:p>
    <w:p>
      <w:pPr>
        <w:ind w:left="540" w:right="400" w:hanging="424"/>
        <w:spacing w:after="0" w:line="260"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(i) 1,905,975 shares held of record and (ii) 140,000 shares of common stock purchased in the PIPE Financing. The address of Wu Capital Investment LLC is 1065 East Hillsdale Blvd., Suite 245, Foster City, CA 94404.</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We are registering the possible offer and sale from time to time by the Selling Securityholders, or their permitted transferees, of up to an aggregate of 22,832,920 shares of our Common Stock that were issued to PIPE Investors in a private placement in connection with the Closing and to certain of our stockholders as consideration in connection with the Business Combination. We are also registering any additional securities that may become issuable by reason of share splits, share dividends or other similar transactions.</w:t>
      </w:r>
    </w:p>
    <w:p>
      <w:pPr>
        <w:spacing w:after="0" w:line="187"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We will not receive any proceeds from the sale of shares of Common Stock by the Selling Securityholders pursuant to this prospectus. The Selling Securityholders will pay any underwriting discounts and commissions and expenses incurred by the Selling Securityholders incurred by the Selling Securityholders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w:t>
      </w:r>
    </w:p>
    <w:p>
      <w:pPr>
        <w:spacing w:after="0" w:line="188"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securities beneficially owned by the Selling Securityholders covered by this prospectus may be offered and sold from time to time by the Selling Securityholders. The term “Selling Securityholders” includes donees, pledgees, transferees or other successors-in-interest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w:t>
      </w:r>
    </w:p>
    <w:p>
      <w:pPr>
        <w:spacing w:after="0" w:line="18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Subject to the limitations set forth the Registration Rights Agreement, the Selling Securityholders may use any one or more of the following methods when selling the securities offered by this prospectus:</w:t>
      </w:r>
    </w:p>
    <w:p>
      <w:pPr>
        <w:spacing w:after="0" w:line="76"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the Nasdaq;</w:t>
      </w:r>
    </w:p>
    <w:p>
      <w:pPr>
        <w:spacing w:after="0" w:line="130"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through one or more underwritten offerings on a firm commitment or best efforts basis;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agreements with broker-dealers to sell a specified number of the securities at a stipulated price per share or warrant;</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directly to purchasers, including through a specific bidding, auction or other process or in privately negotiated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8"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The Selling Securityholders have the sole and absolute discretion not to accept any purchase offer or make any sale of securities if they deem the purchase price to be unsatisfactory at any particular time.</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With respect to a particular offering of the securities held by the Selling Securityholders, to the extent required, an accompanying prospectus supplement or, if appropriate, a post-effective amendment to the registration statement of which this prospectus is part, will be prepared and will set forth the following information:</w:t>
      </w:r>
    </w:p>
    <w:p>
      <w:pPr>
        <w:spacing w:after="0" w:line="89"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specific securities to be offered and sold;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names of the selling securityholders;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respective purchase prices and public offering prices, the proceeds to be received from the sale, if any, and other material terms of the offering;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names of any participating agents, broker-dealers or underwriters;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applicable commissions, discounts, concessions and other items constituting compensation from the selling securityholders.</w:t>
      </w:r>
    </w:p>
    <w:p>
      <w:pPr>
        <w:spacing w:after="0" w:line="23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96"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Selling Securityholders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84"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Nasdaq under the symbol “GMTX”.</w:t>
      </w:r>
    </w:p>
    <w:p>
      <w:pPr>
        <w:spacing w:after="0" w:line="225"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w:t>
      </w:r>
    </w:p>
    <w:p>
      <w:pPr>
        <w:spacing w:after="0" w:line="171"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66"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2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compliance with the guidelines of the Financial Industry Regulatory Authority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184"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If at the time of any offering made under this prospectus a member of FINRA participating in the offering has a “conflict of interest” as defined in FINRA Rule 5121 (“Rule 5121”), that offering will be conducted in accordance with the relevant provisions of Rule 5121.</w:t>
      </w:r>
    </w:p>
    <w:p>
      <w:pPr>
        <w:spacing w:after="0" w:line="146"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spacing w:after="0" w:line="161"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80"/>
          </w:cols>
          <w:pgMar w:left="32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In offering the securities covered by this prospectus,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4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underwriters, broker-dealers and agents may engage in transactions with us or the Selling Securityholders, or perform services for us or the Selling Securityholders, in the ordinary course of business.</w:t>
      </w:r>
    </w:p>
    <w:p>
      <w:pPr>
        <w:spacing w:after="0" w:line="170"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6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Selling Securityholders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Securityholders or any other person, which limitations may affect the marketability of the shares of the securities.</w:t>
      </w:r>
    </w:p>
    <w:p>
      <w:pPr>
        <w:spacing w:after="0" w:line="187"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We will make copies of this prospectus available to the Selling Securityholders for the purpose of satisfying the prospectus delivery requirements of the Securities Act. The Selling Securityholders may indemnify any agent, broker-dealer or underwriter that participates in transactions involving the sale of the securities against certain liabilities, including liabilities arising under the Securities Act.</w:t>
      </w:r>
    </w:p>
    <w:p>
      <w:pPr>
        <w:spacing w:after="0" w:line="18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We have agreed to indemnify the Selling Securityholders against certain liabilities, including certain liabilities under the Securities Act, the Exchange Act or other federal or state law. Agents, broker-dealers and underwriters may be entitled to indemnification by us and the Selling Securityholders against certain civil liabilities, including liabilities under the Securities Act, or to contribution with respect to payments which the agents, broker-dealers or underwriters may be required to make in respect thereof.</w:t>
      </w:r>
    </w:p>
    <w:p>
      <w:pPr>
        <w:spacing w:after="0" w:line="187"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We have agreed to use our commercially reasonable efforts to maintain the effectiveness of this registration statement (a) until the earlier of (i) the tenth anniversary of the date of the Registration Rights Agreement, (ii) the date as of which (A) all of the securities have been sold pursuant to the registration statement or (B) the holders of all securities subject to the Registration Rights Agreement are permitted to sell the securities under Rule 144 (or any similar provision) under the Securities Act without limitation on the amount of securities sold or the manner of sale; provided that with respect to any investor party to the Registration Rights Agreement, such investor will have no rights under the Registration Rights Agreement upon the earlier of</w:t>
      </w:r>
    </w:p>
    <w:p>
      <w:pPr>
        <w:spacing w:after="0" w:line="2" w:lineRule="exact"/>
        <w:rPr>
          <w:sz w:val="20"/>
          <w:szCs w:val="20"/>
          <w:color w:val="auto"/>
        </w:rPr>
      </w:pPr>
    </w:p>
    <w:p>
      <w:pPr>
        <w:ind w:left="120" w:right="100" w:hanging="4"/>
        <w:spacing w:after="0" w:line="252" w:lineRule="auto"/>
        <w:tabs>
          <w:tab w:leader="none" w:pos="3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such investor ceases to hold at least 1% of the securities pursuant to such Registration Rights Agreement or (y) if such investor is an individual and such investor is a director or an executive officer of Gemini as of immediately prior to the consummation of the Business Combination, the date when such investor is permitted to sell the securities under Rule 144 (or any similar provision) under the Securities Act without limitation on the amount of securities sold or the manner of sale and (b) with respect to the PIPE Investors, until the earliest of (i) the third anniversary of the closing of the Subscription Agreement, (ii) the date on which the investor ceases to hold any shares issued pursuant to the Subscription Agreement, or (iii) on the first date on which the investor can sell all of its shares issued pursuant to the Subscription Agreement under Rule 144 of the Securities Act without limitations.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020"/>
        <w:spacing w:after="0" w:line="277" w:lineRule="auto"/>
        <w:rPr>
          <w:sz w:val="20"/>
          <w:szCs w:val="20"/>
          <w:color w:val="auto"/>
        </w:rPr>
      </w:pPr>
      <w:r>
        <w:rPr>
          <w:rFonts w:ascii="Arial" w:cs="Arial" w:eastAsia="Arial" w:hAnsi="Arial"/>
          <w:sz w:val="18"/>
          <w:szCs w:val="18"/>
          <w:color w:val="auto"/>
        </w:rPr>
        <w:t>The validity of the Common Stock to be issued in connection with this prospectus has been passed upon by Goodwin Procter LLP, Boston, Massachusetts.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consolidated financial statements of Gemini Therapeutics, Inc. appearing in Gemini Therapeutics, Inc.’s Annual Report (Form 10-K) for the year ended December 31, 2021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on the internet at a website maintained by the SEC located at http://www.sec.gov.</w:t>
      </w:r>
    </w:p>
    <w:p>
      <w:pPr>
        <w:spacing w:after="0" w:line="170" w:lineRule="exact"/>
        <w:rPr>
          <w:sz w:val="20"/>
          <w:szCs w:val="20"/>
          <w:color w:val="auto"/>
        </w:rPr>
      </w:pPr>
    </w:p>
    <w:p>
      <w:pPr>
        <w:jc w:val="both"/>
        <w:ind w:left="120" w:right="180"/>
        <w:spacing w:after="0" w:line="286" w:lineRule="auto"/>
        <w:rPr>
          <w:sz w:val="20"/>
          <w:szCs w:val="20"/>
          <w:color w:val="auto"/>
        </w:rPr>
      </w:pPr>
      <w:r>
        <w:rPr>
          <w:rFonts w:ascii="Arial" w:cs="Arial" w:eastAsia="Arial" w:hAnsi="Arial"/>
          <w:sz w:val="17"/>
          <w:szCs w:val="17"/>
          <w:color w:val="auto"/>
        </w:rPr>
        <w:t>We also maintain a website at https://geminitherapeutics.com/. You may access, free of charge, our annual reports on Form 10-K, quarterly reports on Form 10-Q, current reports on Form 8-K and amendments to those reports filed or furnished pursuant to Section 13(a) or 15(d) of the Exchange Act as soon as reasonably practicable after such material is electronically filed with, or furnished to, the SEC.</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SEC allows us to “incorporate by reference” into this prospectus the documents that we file with the SEC, which means that we can disclose important information to you by referring you to those documents. The information incorporated by reference is considered to be part of this prospectus. We incorporate by reference into this prospectus the following documents, each for SEC File Number 333-253175, and in each case, excluding the portions of any document not deemed to be “filed” with the SEC:</w:t>
      </w:r>
    </w:p>
    <w:p>
      <w:pPr>
        <w:spacing w:after="0" w:line="92"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fiscal year ended December 31, 2021, filed with the SEC on </w:t>
      </w:r>
      <w:hyperlink r:id="rId43">
        <w:r>
          <w:rPr>
            <w:rFonts w:ascii="Arial" w:cs="Arial" w:eastAsia="Arial" w:hAnsi="Arial"/>
            <w:sz w:val="18"/>
            <w:szCs w:val="18"/>
            <w:u w:val="single" w:color="auto"/>
            <w:color w:val="0000EE"/>
          </w:rPr>
          <w:t>March 10, 2022</w:t>
        </w:r>
      </w:hyperlink>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44">
        <w:r>
          <w:rPr>
            <w:rFonts w:ascii="Arial" w:cs="Arial" w:eastAsia="Arial" w:hAnsi="Arial"/>
            <w:sz w:val="18"/>
            <w:szCs w:val="18"/>
            <w:u w:val="single" w:color="auto"/>
            <w:color w:val="0000EE"/>
          </w:rPr>
          <w:t>January 10, 2022</w:t>
        </w:r>
      </w:hyperlink>
      <w:r>
        <w:rPr>
          <w:rFonts w:ascii="Arial" w:cs="Arial" w:eastAsia="Arial" w:hAnsi="Arial"/>
          <w:sz w:val="18"/>
          <w:szCs w:val="18"/>
          <w:color w:val="auto"/>
        </w:rPr>
        <w:t xml:space="preserve">, </w:t>
      </w:r>
      <w:hyperlink r:id="rId45">
        <w:r>
          <w:rPr>
            <w:rFonts w:ascii="Arial" w:cs="Arial" w:eastAsia="Arial" w:hAnsi="Arial"/>
            <w:sz w:val="18"/>
            <w:szCs w:val="18"/>
            <w:u w:val="single" w:color="auto"/>
            <w:color w:val="0000EE"/>
          </w:rPr>
          <w:t>January 14, 2022</w:t>
        </w:r>
      </w:hyperlink>
      <w:r>
        <w:rPr>
          <w:rFonts w:ascii="Arial" w:cs="Arial" w:eastAsia="Arial" w:hAnsi="Arial"/>
          <w:sz w:val="18"/>
          <w:szCs w:val="18"/>
          <w:color w:val="auto"/>
        </w:rPr>
        <w:t xml:space="preserve">, and </w:t>
      </w:r>
      <w:hyperlink r:id="rId46">
        <w:r>
          <w:rPr>
            <w:rFonts w:ascii="Arial" w:cs="Arial" w:eastAsia="Arial" w:hAnsi="Arial"/>
            <w:sz w:val="18"/>
            <w:szCs w:val="18"/>
            <w:u w:val="single" w:color="auto"/>
            <w:color w:val="0000EE"/>
          </w:rPr>
          <w:t>February 28, 2022</w:t>
        </w:r>
      </w:hyperlink>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the description of our Common Stock contained in our Registration Statement on </w:t>
      </w:r>
      <w:hyperlink r:id="rId47">
        <w:r>
          <w:rPr>
            <w:rFonts w:ascii="Arial" w:cs="Arial" w:eastAsia="Arial" w:hAnsi="Arial"/>
            <w:sz w:val="16"/>
            <w:szCs w:val="16"/>
            <w:u w:val="single" w:color="auto"/>
            <w:color w:val="0000EE"/>
          </w:rPr>
          <w:t>Form 8-A/A</w:t>
        </w:r>
      </w:hyperlink>
      <w:r>
        <w:rPr>
          <w:rFonts w:ascii="Arial" w:cs="Arial" w:eastAsia="Arial" w:hAnsi="Arial"/>
          <w:sz w:val="16"/>
          <w:szCs w:val="16"/>
          <w:color w:val="auto"/>
        </w:rPr>
        <w:t>, as filed with the SEC on February 5, 2021.</w:t>
      </w:r>
    </w:p>
    <w:p>
      <w:pPr>
        <w:spacing w:after="0" w:line="248" w:lineRule="exact"/>
        <w:rPr>
          <w:rFonts w:ascii="Arial" w:cs="Arial" w:eastAsia="Arial" w:hAnsi="Arial"/>
          <w:sz w:val="18"/>
          <w:szCs w:val="18"/>
          <w:color w:val="auto"/>
        </w:rPr>
      </w:pPr>
    </w:p>
    <w:p>
      <w:pPr>
        <w:ind w:left="120"/>
        <w:spacing w:after="0" w:line="254" w:lineRule="auto"/>
        <w:rPr>
          <w:sz w:val="20"/>
          <w:szCs w:val="20"/>
          <w:color w:val="auto"/>
        </w:rPr>
      </w:pPr>
      <w:r>
        <w:rPr>
          <w:rFonts w:ascii="Arial" w:cs="Arial" w:eastAsia="Arial" w:hAnsi="Arial"/>
          <w:sz w:val="18"/>
          <w:szCs w:val="18"/>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 Any statement contained in this prospectus, or in a document incorporated or deemed to be incorporated by reference herein, shall be deemed to be modified or superseded to the extent that a statement contained herein, or in any subsequently filed document that also is incorporated or deemed to be incorporated by reference herein, modifies or supersedes such statement. Any statement so modified or superseded shall not be deemed to constitute a part of this prospectus, except as so modified or superseded.</w:t>
      </w:r>
    </w:p>
    <w:p>
      <w:pPr>
        <w:spacing w:after="0" w:line="192"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You may obtain copies of these documents, at no cost to you, from our website (https://geminitherapeutics.com/).</w:t>
      </w:r>
    </w:p>
    <w:p>
      <w:pPr>
        <w:spacing w:after="0" w:line="158" w:lineRule="exact"/>
        <w:rPr>
          <w:rFonts w:ascii="Arial" w:cs="Arial" w:eastAsia="Arial" w:hAnsi="Arial"/>
          <w:sz w:val="18"/>
          <w:szCs w:val="18"/>
          <w:color w:val="auto"/>
        </w:rPr>
      </w:pPr>
    </w:p>
    <w:p>
      <w:pPr>
        <w:ind w:left="55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80"/>
          </w:cols>
          <w:pgMar w:left="320" w:top="459"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205740</wp:posOffset>
            </wp:positionV>
            <wp:extent cx="1791335" cy="11144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179133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22,832,920 Shares of Common Stock</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PROSPECTUS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10, 2022</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You should rely only on the information contained in this prospectus. We have not authorized anyone to provide</w:t>
      </w:r>
    </w:p>
    <w:p>
      <w:pPr>
        <w:spacing w:after="0" w:line="23" w:lineRule="exact"/>
        <w:rPr>
          <w:sz w:val="20"/>
          <w:szCs w:val="20"/>
          <w:color w:val="auto"/>
        </w:rPr>
      </w:pPr>
    </w:p>
    <w:p>
      <w:pPr>
        <w:jc w:val="center"/>
        <w:ind w:left="440" w:right="1400"/>
        <w:spacing w:after="0" w:line="255" w:lineRule="auto"/>
        <w:rPr>
          <w:sz w:val="20"/>
          <w:szCs w:val="20"/>
          <w:color w:val="auto"/>
        </w:rPr>
      </w:pPr>
      <w:r>
        <w:rPr>
          <w:rFonts w:ascii="Arial" w:cs="Arial" w:eastAsia="Arial" w:hAnsi="Arial"/>
          <w:sz w:val="18"/>
          <w:szCs w:val="18"/>
          <w:b w:val="1"/>
          <w:bCs w:val="1"/>
          <w:i w:val="1"/>
          <w:iCs w:val="1"/>
          <w:color w:val="auto"/>
        </w:rPr>
        <w:t>you with different information. You should not assume that the information contained in this prospectus is accurate as of any date other than the date of this prospectus. We are not making an offer of these securities in any state where the offer is not permitted.</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Other Expenses of Issuance and Distribution.</w:t>
      </w:r>
    </w:p>
    <w:p>
      <w:pPr>
        <w:spacing w:after="0" w:line="229"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color w:val="auto"/>
        </w:rPr>
        <w:t>The expenses payable by Gemini in connection with the distribution of the securities being registered (other than underwriting discounts and commissions, if any) are set forth below. Each item listed is estimated, except for the SEC registration fee.</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Miscellaneous fees and expenses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74,000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Previously paid.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Indemnification of Directors and Officers.</w:t>
      </w:r>
    </w:p>
    <w:p>
      <w:pPr>
        <w:spacing w:after="0" w:line="121"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6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18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88"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Our Certificate of Incorporation, which became effective upon completion of the Business Combination, provides that no director of ours shall be personally liable to us or our stockholders for monetary damages for any breach of fiduciary duty as a director, except for liability (1) for any breach of the director’s duty of loyalty to us or our stockholders, (2) for acts or omissions not in good faith or which involve intentional misconduct or a knowing violation of law, (3) in respect of unlawful dividend payments or stock redemptions or repurchases, or (4) for any transaction from which the director derived an improper personal benefit. In addition, our Certificate of Incorporation provides that if the DGCL is amended to authorize the further elimination or limitation of the liability of directors, then the liability of a director of ours shall be eliminated or limited to the fullest extent permitted by the DGCL, as so amended.</w:t>
      </w:r>
    </w:p>
    <w:p>
      <w:pPr>
        <w:spacing w:after="0" w:line="19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Our Certificate of Incorporation further provides that any repeal or modification of such article by its stockholders or amendment to the DGCL will not adversely affect any right or protection existing at the time of such repeal or modification with respect to any acts or omissions occurring before such repeal or modification of a director serving at the time of such repeal or modification.</w:t>
      </w:r>
    </w:p>
    <w:p>
      <w:pPr>
        <w:spacing w:after="0" w:line="184"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Our Bylaws provide that we will indemnify each person who was or is a party or threatened to be made a party to any threatened, pending or completed action, suit or proceeding whether civil, criminal, administrative or investigative (other than an action by or in the right of the Company) by reason of the fact that he or she is or was, or has agreed to become, the Company’s director or officer, or is or was serving, or has agreed to serve, at our request as a director, officer, partner, employee or trustee of, or in a similar capacity with, another corporation, partnership, joint venture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Bylaws also provides that we will advance expenses to Indemnitees in connection with a legal proceeding, subject to limited exceptions.</w:t>
      </w:r>
    </w:p>
    <w:p>
      <w:pPr>
        <w:spacing w:after="0" w:line="166"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In connection with the Business Combination, we entered into indemnification agreements with each of our directors and executive officers. These agreements provide that we will indemnify each of our directors and such officers to the fullest extent permitted by law and our Certificate of Incorporation and our Bylaws.</w:t>
      </w:r>
    </w:p>
    <w:p>
      <w:pPr>
        <w:spacing w:after="0" w:line="18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We will also maintain a general liability insurance policy, which will cover certain liabilities of directors and officers of ours arising out of claims based on acts or omissions in their capacities as directors or officers.</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i w:val="1"/>
          <w:iCs w:val="1"/>
          <w:color w:val="auto"/>
        </w:rPr>
        <w:t>Exhibits</w:t>
      </w:r>
      <w:r>
        <w:rPr>
          <w:rFonts w:ascii="Arial" w:cs="Arial" w:eastAsia="Arial" w:hAnsi="Arial"/>
          <w:sz w:val="16"/>
          <w:szCs w:val="16"/>
          <w:b w:val="1"/>
          <w:bCs w:val="1"/>
          <w:color w:val="auto"/>
        </w:rPr>
        <w: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Index to Exhibits immediately following this registration statement is hereby incorporated by reference.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w:t>
      </w:r>
      <w:r>
        <w:rPr>
          <w:rFonts w:ascii="Arial" w:cs="Arial" w:eastAsia="Arial" w:hAnsi="Arial"/>
          <w:sz w:val="18"/>
          <w:szCs w:val="18"/>
          <w:b w:val="1"/>
          <w:bCs w:val="1"/>
          <w:i w:val="1"/>
          <w:iCs w:val="1"/>
          <w:color w:val="auto"/>
        </w:rPr>
        <w:t>Undertakings.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undersigned registrant hereby undertakes:</w:t>
      </w:r>
    </w:p>
    <w:p>
      <w:pPr>
        <w:spacing w:after="0" w:line="131" w:lineRule="exact"/>
        <w:rPr>
          <w:sz w:val="20"/>
          <w:szCs w:val="20"/>
          <w:color w:val="auto"/>
        </w:rPr>
      </w:pP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080" w:hanging="532"/>
        <w:spacing w:after="0" w:line="254" w:lineRule="auto"/>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221" w:lineRule="exact"/>
        <w:rPr>
          <w:rFonts w:ascii="Arial" w:cs="Arial" w:eastAsia="Arial" w:hAnsi="Arial"/>
          <w:sz w:val="18"/>
          <w:szCs w:val="18"/>
          <w:color w:val="auto"/>
        </w:rPr>
      </w:pPr>
    </w:p>
    <w:p>
      <w:pPr>
        <w:ind w:left="1080" w:right="300" w:hanging="532"/>
        <w:spacing w:after="0" w:line="277" w:lineRule="auto"/>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97" w:lineRule="exact"/>
        <w:rPr>
          <w:rFonts w:ascii="Arial" w:cs="Arial" w:eastAsia="Arial" w:hAnsi="Arial"/>
          <w:sz w:val="18"/>
          <w:szCs w:val="18"/>
          <w:color w:val="auto"/>
        </w:rPr>
      </w:pPr>
    </w:p>
    <w:p>
      <w:pPr>
        <w:ind w:left="540" w:right="40" w:hanging="424"/>
        <w:spacing w:after="0" w:line="263"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10" w:lineRule="exact"/>
        <w:rPr>
          <w:rFonts w:ascii="Arial" w:cs="Arial" w:eastAsia="Arial" w:hAnsi="Arial"/>
          <w:sz w:val="18"/>
          <w:szCs w:val="18"/>
          <w:color w:val="auto"/>
        </w:rPr>
      </w:pPr>
    </w:p>
    <w:p>
      <w:pPr>
        <w:ind w:left="540" w:right="20" w:hanging="424"/>
        <w:spacing w:after="0" w:line="27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97" w:lineRule="exact"/>
        <w:rPr>
          <w:rFonts w:ascii="Arial" w:cs="Arial" w:eastAsia="Arial" w:hAnsi="Arial"/>
          <w:sz w:val="18"/>
          <w:szCs w:val="18"/>
          <w:color w:val="auto"/>
        </w:rPr>
      </w:pP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1080" w:hanging="532"/>
        <w:spacing w:after="0" w:line="269" w:lineRule="auto"/>
        <w:tabs>
          <w:tab w:leader="none" w:pos="10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415(a)(l)(i),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7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15" w:lineRule="exact"/>
        <w:rPr>
          <w:sz w:val="20"/>
          <w:szCs w:val="20"/>
          <w:color w:val="auto"/>
        </w:rPr>
      </w:pPr>
    </w:p>
    <w:p>
      <w:pPr>
        <w:ind w:left="5540" w:right="220" w:hanging="4992"/>
        <w:spacing w:after="0" w:line="449" w:lineRule="auto"/>
        <w:tabs>
          <w:tab w:leader="none" w:pos="10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30</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60" w:hanging="532"/>
        <w:spacing w:after="0" w:line="277" w:lineRule="auto"/>
        <w:tabs>
          <w:tab w:leader="none" w:pos="10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52" w:lineRule="exact"/>
        <w:rPr>
          <w:rFonts w:ascii="Arial" w:cs="Arial" w:eastAsia="Arial" w:hAnsi="Arial"/>
          <w:sz w:val="18"/>
          <w:szCs w:val="18"/>
          <w:color w:val="auto"/>
        </w:rPr>
      </w:pPr>
    </w:p>
    <w:p>
      <w:pPr>
        <w:ind w:left="540" w:right="20" w:hanging="424"/>
        <w:spacing w:after="0" w:line="301"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4" w:lineRule="exact"/>
        <w:rPr>
          <w:rFonts w:ascii="Arial" w:cs="Arial" w:eastAsia="Arial" w:hAnsi="Arial"/>
          <w:sz w:val="16"/>
          <w:szCs w:val="16"/>
          <w:color w:val="auto"/>
        </w:rPr>
      </w:pPr>
    </w:p>
    <w:p>
      <w:pPr>
        <w:ind w:left="540" w:right="20" w:hanging="424"/>
        <w:spacing w:after="0" w:line="271" w:lineRule="auto"/>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and</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following exhibits are included or incorporated by reference in this registration statement on Form S-3 (certain documents have been previously filed with the SEC pursuant to the Exchange Act by Gemini (Commission File Number 333-253175)):</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2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40" w:type="dxa"/>
            <w:vAlign w:val="bottom"/>
            <w:gridSpan w:val="8"/>
            <w:vMerge w:val="restart"/>
          </w:tcPr>
          <w:p>
            <w:pPr>
              <w:ind w:left="106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85"/>
        </w:trPr>
        <w:tc>
          <w:tcPr>
            <w:tcW w:w="10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4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440" w:type="dxa"/>
            <w:vAlign w:val="bottom"/>
            <w:tcBorders>
              <w:bottom w:val="single" w:sz="8" w:color="auto"/>
            </w:tcBorders>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1.1*</w:t>
            </w:r>
          </w:p>
        </w:tc>
        <w:tc>
          <w:tcPr>
            <w:tcW w:w="9980" w:type="dxa"/>
            <w:vAlign w:val="bottom"/>
            <w:gridSpan w:val="11"/>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3.1</w:t>
            </w:r>
          </w:p>
        </w:tc>
        <w:tc>
          <w:tcPr>
            <w:tcW w:w="9960" w:type="dxa"/>
            <w:vAlign w:val="bottom"/>
            <w:tcBorders>
              <w:bottom w:val="single" w:sz="8" w:color="0000EE"/>
            </w:tcBorders>
            <w:gridSpan w:val="10"/>
          </w:tcPr>
          <w:p>
            <w:pPr>
              <w:spacing w:after="0"/>
              <w:rPr>
                <w:rFonts w:ascii="Arial" w:cs="Arial" w:eastAsia="Arial" w:hAnsi="Arial"/>
                <w:sz w:val="18"/>
                <w:szCs w:val="18"/>
                <w:color w:val="0000EE"/>
                <w:w w:val="91"/>
              </w:rPr>
            </w:pPr>
            <w:hyperlink r:id="rId54">
              <w:r>
                <w:rPr>
                  <w:rFonts w:ascii="Arial" w:cs="Arial" w:eastAsia="Arial" w:hAnsi="Arial"/>
                  <w:sz w:val="18"/>
                  <w:szCs w:val="18"/>
                  <w:color w:val="0000EE"/>
                  <w:w w:val="91"/>
                </w:rPr>
                <w:t>Second Amended and Restated Articles of Incorporation of Gemini Therapeutics, Inc. (incorporated by reference to Exhibit 3.1 to Current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5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54">
              <w:r>
                <w:rPr>
                  <w:rFonts w:ascii="Arial" w:cs="Arial" w:eastAsia="Arial" w:hAnsi="Arial"/>
                  <w:sz w:val="18"/>
                  <w:szCs w:val="18"/>
                  <w:color w:val="0000EE"/>
                  <w:w w:val="91"/>
                </w:rPr>
                <w:t>Report on Form 8-K filed on February 11, 2021).</w:t>
              </w:r>
            </w:hyperlink>
          </w:p>
        </w:tc>
        <w:tc>
          <w:tcPr>
            <w:tcW w:w="64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3.2</w:t>
            </w:r>
          </w:p>
        </w:tc>
        <w:tc>
          <w:tcPr>
            <w:tcW w:w="9940" w:type="dxa"/>
            <w:vAlign w:val="bottom"/>
            <w:tcBorders>
              <w:bottom w:val="single" w:sz="8" w:color="0000EE"/>
            </w:tcBorders>
            <w:gridSpan w:val="9"/>
          </w:tcPr>
          <w:p>
            <w:pPr>
              <w:spacing w:after="0"/>
              <w:rPr>
                <w:rFonts w:ascii="Arial" w:cs="Arial" w:eastAsia="Arial" w:hAnsi="Arial"/>
                <w:sz w:val="18"/>
                <w:szCs w:val="18"/>
                <w:color w:val="0000EE"/>
                <w:w w:val="90"/>
              </w:rPr>
            </w:pPr>
            <w:hyperlink r:id="rId55">
              <w:r>
                <w:rPr>
                  <w:rFonts w:ascii="Arial" w:cs="Arial" w:eastAsia="Arial" w:hAnsi="Arial"/>
                  <w:sz w:val="18"/>
                  <w:szCs w:val="18"/>
                  <w:color w:val="0000EE"/>
                  <w:w w:val="90"/>
                </w:rPr>
                <w:t>Amended and Restated Bylaws of Gemini Therapeutics, Inc. (incorporated by reference to Annex C to the Proxy Statement/Prospectus on</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0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Form S-4 (Registration No. 333-249785)).</w:t>
              </w:r>
            </w:hyperlink>
          </w:p>
        </w:tc>
        <w:tc>
          <w:tcPr>
            <w:tcW w:w="69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4.6</w:t>
            </w:r>
          </w:p>
        </w:tc>
        <w:tc>
          <w:tcPr>
            <w:tcW w:w="9560" w:type="dxa"/>
            <w:vAlign w:val="bottom"/>
            <w:tcBorders>
              <w:bottom w:val="single" w:sz="8" w:color="0000EE"/>
            </w:tcBorders>
            <w:gridSpan w:val="8"/>
          </w:tcPr>
          <w:p>
            <w:pPr>
              <w:spacing w:after="0"/>
              <w:rPr>
                <w:rFonts w:ascii="Arial" w:cs="Arial" w:eastAsia="Arial" w:hAnsi="Arial"/>
                <w:sz w:val="18"/>
                <w:szCs w:val="18"/>
                <w:color w:val="0000EE"/>
                <w:w w:val="90"/>
              </w:rPr>
            </w:pPr>
            <w:hyperlink r:id="rId56">
              <w:r>
                <w:rPr>
                  <w:rFonts w:ascii="Arial" w:cs="Arial" w:eastAsia="Arial" w:hAnsi="Arial"/>
                  <w:sz w:val="18"/>
                  <w:szCs w:val="18"/>
                  <w:color w:val="0000EE"/>
                  <w:w w:val="90"/>
                </w:rPr>
                <w:t>Registration Rights Agreement, dated February 5, 2021, by and among Gemini Therapeutics, Inc. and the stockholders party thereto</w:t>
              </w:r>
            </w:hyperlink>
          </w:p>
        </w:tc>
        <w:tc>
          <w:tcPr>
            <w:tcW w:w="4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4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56">
              <w:r>
                <w:rPr>
                  <w:rFonts w:ascii="Arial" w:cs="Arial" w:eastAsia="Arial" w:hAnsi="Arial"/>
                  <w:sz w:val="18"/>
                  <w:szCs w:val="18"/>
                  <w:color w:val="0000EE"/>
                  <w:w w:val="92"/>
                </w:rPr>
                <w:t>(incorporated by reference to Exhibit 10.1 on Form 8-A12B/A filed on February 5, 2021).</w:t>
              </w:r>
            </w:hyperlink>
          </w:p>
        </w:tc>
        <w:tc>
          <w:tcPr>
            <w:tcW w:w="35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5.1</w:t>
            </w:r>
          </w:p>
        </w:tc>
        <w:tc>
          <w:tcPr>
            <w:tcW w:w="9980" w:type="dxa"/>
            <w:vAlign w:val="bottom"/>
            <w:gridSpan w:val="1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Opinion of Goodwin Procter LLP.</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23.1</w:t>
            </w:r>
          </w:p>
        </w:tc>
        <w:tc>
          <w:tcPr>
            <w:tcW w:w="9980" w:type="dxa"/>
            <w:vAlign w:val="bottom"/>
            <w:gridSpan w:val="1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Consent of Ernst &amp; Young LLP, independent registered accounting firm for Gemini Therapeutics, Inc.</w:t>
              </w:r>
            </w:hyperlink>
          </w:p>
        </w:tc>
        <w:tc>
          <w:tcPr>
            <w:tcW w:w="0" w:type="dxa"/>
            <w:vAlign w:val="bottom"/>
          </w:tcPr>
          <w:p>
            <w:pPr>
              <w:spacing w:after="0"/>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23.2</w:t>
            </w:r>
          </w:p>
        </w:tc>
        <w:tc>
          <w:tcPr>
            <w:tcW w:w="7340" w:type="dxa"/>
            <w:vAlign w:val="bottom"/>
            <w:tcBorders>
              <w:top w:val="single" w:sz="8" w:color="0000EE"/>
            </w:tcBorders>
            <w:gridSpan w:val="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Consent of Goodwin Procter LLP (include as part of Exhibit 5.1).</w:t>
              </w:r>
            </w:hyperlink>
          </w:p>
        </w:tc>
        <w:tc>
          <w:tcPr>
            <w:tcW w:w="26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720" w:type="dxa"/>
            <w:vAlign w:val="bottom"/>
            <w:gridSpan w:val="4"/>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24.1</w:t>
            </w:r>
          </w:p>
        </w:tc>
        <w:tc>
          <w:tcPr>
            <w:tcW w:w="9980" w:type="dxa"/>
            <w:vAlign w:val="bottom"/>
            <w:gridSpan w:val="1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Power of Attorney (included on signature page of this Registration Statement).</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340" w:right="120" w:hanging="224"/>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be filed, if necessary, subsequent to the effectiveness of this registration statement by an amendment to this registration statement or incorporated by reference pursuant to a Current Report on Form 8-K in connection with the offering of securities.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Pursuant to the requirements of the Securities Act of 1933, Gemini Therapeutics, Inc. certifies that it has reasonable grounds to believe that it meets all of the requirements for filing on Form S-3 and has duly caused this registration statement to be signed on its behalf by the undersigned, thereunto duly authorized, in March on 10, 2022.</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Georges Gemayel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7946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Dr. Georges Gemayel</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Interim President and Chief Executive Officer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Each of the undersigned, whose signature appears below, hereby constitutes and appoints Dr. Georges Gemayel, and each of them, his or her true and lawful attorney-in-fact and agent, with full power of substitution and resubstitution, for him or her and in his or her name, place and stead, in any and all capacities, to sign any or all amendments, including post-effective amendments and any registration statement for the same offering that is to be effective under Rule 462(b) of the Securities Act of 1933, as amended, to this registration statement and to file the same with all exhibits thereto and other documents in connection therewith, with the Securities and Exchange Commission, granting unto said attorneys-in-fact and agents full power and authority to do and perform each and every act and thing necessary or appropriate to be done with respect to this registration statement or any amendments hereto in the premises, as fully to all intents and purposes as he or she might or could do in person, hereby ratifying and confirming all that said attorneys-in-fact and agents, or any of them, or his or their substitute or substitutes, may lawfully do or cause to be done by virtue thereof. This power of attorney shall be governed by and construed with the laws of the State of Delaware and applicable federal securities laws.</w:t>
      </w:r>
    </w:p>
    <w:p>
      <w:pPr>
        <w:spacing w:after="0" w:line="166"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18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Position</w:t>
            </w:r>
          </w:p>
        </w:tc>
        <w:tc>
          <w:tcPr>
            <w:tcW w:w="120" w:type="dxa"/>
            <w:vAlign w:val="bottom"/>
          </w:tcPr>
          <w:p>
            <w:pPr>
              <w:spacing w:after="0"/>
              <w:rPr>
                <w:sz w:val="16"/>
                <w:szCs w:val="16"/>
                <w:color w:val="auto"/>
              </w:rPr>
            </w:pPr>
          </w:p>
        </w:tc>
        <w:tc>
          <w:tcPr>
            <w:tcW w:w="17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Date</w:t>
            </w:r>
          </w:p>
        </w:tc>
      </w:tr>
      <w:tr>
        <w:trPr>
          <w:trHeight w:val="412"/>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Georges Gemayel</w:t>
            </w:r>
          </w:p>
        </w:tc>
        <w:tc>
          <w:tcPr>
            <w:tcW w:w="120" w:type="dxa"/>
            <w:vAlign w:val="bottom"/>
          </w:tcPr>
          <w:p>
            <w:pPr>
              <w:spacing w:after="0"/>
              <w:rPr>
                <w:sz w:val="24"/>
                <w:szCs w:val="24"/>
                <w:color w:val="auto"/>
              </w:rPr>
            </w:pPr>
          </w:p>
        </w:tc>
        <w:tc>
          <w:tcPr>
            <w:tcW w:w="49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Executive Chair, Interim Principal</w:t>
            </w:r>
          </w:p>
        </w:tc>
        <w:tc>
          <w:tcPr>
            <w:tcW w:w="1760" w:type="dxa"/>
            <w:vAlign w:val="bottom"/>
          </w:tcPr>
          <w:p>
            <w:pPr>
              <w:spacing w:after="0"/>
              <w:rPr>
                <w:sz w:val="20"/>
                <w:szCs w:val="20"/>
                <w:color w:val="auto"/>
              </w:rPr>
            </w:pPr>
            <w:r>
              <w:rPr>
                <w:rFonts w:ascii="Arial" w:cs="Arial" w:eastAsia="Arial" w:hAnsi="Arial"/>
                <w:sz w:val="18"/>
                <w:szCs w:val="18"/>
                <w:color w:val="auto"/>
                <w:w w:val="95"/>
              </w:rPr>
              <w:t>Dated: March 10,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Dr. Georges Gemayel</w:t>
            </w:r>
          </w:p>
        </w:tc>
        <w:tc>
          <w:tcPr>
            <w:tcW w:w="120" w:type="dxa"/>
            <w:vAlign w:val="bottom"/>
          </w:tcPr>
          <w:p>
            <w:pPr>
              <w:spacing w:after="0"/>
              <w:rPr>
                <w:sz w:val="19"/>
                <w:szCs w:val="19"/>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Executive Officer</w:t>
            </w: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Piekos</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Principal Financial and Principal</w:t>
            </w:r>
          </w:p>
        </w:tc>
        <w:tc>
          <w:tcPr>
            <w:tcW w:w="1760" w:type="dxa"/>
            <w:vAlign w:val="bottom"/>
          </w:tcPr>
          <w:p>
            <w:pPr>
              <w:spacing w:after="0"/>
              <w:rPr>
                <w:sz w:val="20"/>
                <w:szCs w:val="20"/>
                <w:color w:val="auto"/>
              </w:rPr>
            </w:pPr>
            <w:r>
              <w:rPr>
                <w:rFonts w:ascii="Arial" w:cs="Arial" w:eastAsia="Arial" w:hAnsi="Arial"/>
                <w:sz w:val="18"/>
                <w:szCs w:val="18"/>
                <w:color w:val="auto"/>
                <w:w w:val="95"/>
              </w:rPr>
              <w:t>Dated: March 10,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Brian Piekos</w:t>
            </w:r>
          </w:p>
        </w:tc>
        <w:tc>
          <w:tcPr>
            <w:tcW w:w="120" w:type="dxa"/>
            <w:vAlign w:val="bottom"/>
          </w:tcPr>
          <w:p>
            <w:pPr>
              <w:spacing w:after="0"/>
              <w:rPr>
                <w:sz w:val="19"/>
                <w:szCs w:val="19"/>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Accounting Officer</w:t>
            </w: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Jim Tananbaum</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spacing w:after="0"/>
              <w:rPr>
                <w:sz w:val="20"/>
                <w:szCs w:val="20"/>
                <w:color w:val="auto"/>
              </w:rPr>
            </w:pPr>
            <w:r>
              <w:rPr>
                <w:rFonts w:ascii="Arial" w:cs="Arial" w:eastAsia="Arial" w:hAnsi="Arial"/>
                <w:sz w:val="18"/>
                <w:szCs w:val="18"/>
                <w:color w:val="auto"/>
                <w:w w:val="95"/>
              </w:rPr>
              <w:t>Dated: March 10,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Dr. Jim Tananbaum</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 Gordon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spacing w:after="0"/>
              <w:rPr>
                <w:sz w:val="20"/>
                <w:szCs w:val="20"/>
                <w:color w:val="auto"/>
              </w:rPr>
            </w:pPr>
            <w:r>
              <w:rPr>
                <w:rFonts w:ascii="Arial" w:cs="Arial" w:eastAsia="Arial" w:hAnsi="Arial"/>
                <w:sz w:val="18"/>
                <w:szCs w:val="18"/>
                <w:color w:val="auto"/>
                <w:w w:val="95"/>
              </w:rPr>
              <w:t>Dated: March 10,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Dr. Carl Gordon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Lubner</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spacing w:after="0"/>
              <w:rPr>
                <w:sz w:val="20"/>
                <w:szCs w:val="20"/>
                <w:color w:val="auto"/>
              </w:rPr>
            </w:pPr>
            <w:r>
              <w:rPr>
                <w:rFonts w:ascii="Arial" w:cs="Arial" w:eastAsia="Arial" w:hAnsi="Arial"/>
                <w:sz w:val="18"/>
                <w:szCs w:val="18"/>
                <w:color w:val="auto"/>
                <w:w w:val="95"/>
              </w:rPr>
              <w:t>Dated: March 10,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David Lubner</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Tuyen Ong</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spacing w:after="0"/>
              <w:rPr>
                <w:sz w:val="20"/>
                <w:szCs w:val="20"/>
                <w:color w:val="auto"/>
              </w:rPr>
            </w:pPr>
            <w:r>
              <w:rPr>
                <w:rFonts w:ascii="Arial" w:cs="Arial" w:eastAsia="Arial" w:hAnsi="Arial"/>
                <w:sz w:val="18"/>
                <w:szCs w:val="18"/>
                <w:color w:val="auto"/>
                <w:w w:val="95"/>
              </w:rPr>
              <w:t>Dated: March 10,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Dr. Tuyen Ong</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Rhodes</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spacing w:after="0"/>
              <w:rPr>
                <w:sz w:val="20"/>
                <w:szCs w:val="20"/>
                <w:color w:val="auto"/>
              </w:rPr>
            </w:pPr>
            <w:r>
              <w:rPr>
                <w:rFonts w:ascii="Arial" w:cs="Arial" w:eastAsia="Arial" w:hAnsi="Arial"/>
                <w:sz w:val="18"/>
                <w:szCs w:val="18"/>
                <w:color w:val="auto"/>
                <w:w w:val="95"/>
              </w:rPr>
              <w:t>Dated: March 10,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Jason Rhodes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64"/>
        </w:trPr>
        <w:tc>
          <w:tcPr>
            <w:tcW w:w="4180" w:type="dxa"/>
            <w:vAlign w:val="bottom"/>
          </w:tcPr>
          <w:p>
            <w:pPr>
              <w:spacing w:after="0"/>
              <w:rPr>
                <w:sz w:val="24"/>
                <w:szCs w:val="24"/>
                <w:color w:val="auto"/>
              </w:rPr>
            </w:pPr>
          </w:p>
        </w:tc>
        <w:tc>
          <w:tcPr>
            <w:tcW w:w="4960" w:type="dxa"/>
            <w:vAlign w:val="bottom"/>
            <w:gridSpan w:val="2"/>
          </w:tcPr>
          <w:p>
            <w:pPr>
              <w:jc w:val="right"/>
              <w:ind w:right="345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Gemini Therapeutics, Inc.</w:t>
      </w:r>
    </w:p>
    <w:p>
      <w:pPr>
        <w:spacing w:after="0" w:line="252"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Securities Registered under Registration Statement on Form S-3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acted as counsel to you in connection with your filing of a Registration Statement on Form S-3 (as amended or supplemented,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pursuant to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relating to the offer and sale from time to time of up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22,832,920 shares (the “</w:t>
      </w:r>
      <w:r>
        <w:rPr>
          <w:rFonts w:ascii="Arial" w:cs="Arial" w:eastAsia="Arial" w:hAnsi="Arial"/>
          <w:sz w:val="17"/>
          <w:szCs w:val="17"/>
          <w:u w:val="single" w:color="auto"/>
          <w:color w:val="auto"/>
        </w:rPr>
        <w:t>Common Stock</w:t>
      </w:r>
      <w:r>
        <w:rPr>
          <w:rFonts w:ascii="Arial" w:cs="Arial" w:eastAsia="Arial" w:hAnsi="Arial"/>
          <w:sz w:val="17"/>
          <w:szCs w:val="17"/>
          <w:color w:val="auto"/>
        </w:rPr>
        <w:t>”) of Gemini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$0.0001 par value per share, which includes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22,832,920 shares of Common Stock (the “</w:t>
      </w:r>
      <w:r>
        <w:rPr>
          <w:rFonts w:ascii="Arial" w:cs="Arial" w:eastAsia="Arial" w:hAnsi="Arial"/>
          <w:sz w:val="16"/>
          <w:szCs w:val="16"/>
          <w:u w:val="single" w:color="auto"/>
          <w:color w:val="auto"/>
        </w:rPr>
        <w:t>Selling Securityholder Shares</w:t>
      </w:r>
      <w:r>
        <w:rPr>
          <w:rFonts w:ascii="Arial" w:cs="Arial" w:eastAsia="Arial" w:hAnsi="Arial"/>
          <w:sz w:val="16"/>
          <w:szCs w:val="16"/>
          <w:color w:val="auto"/>
        </w:rPr>
        <w:t>”) to be sold by the selling securityholders listed in the Registration Statement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“Selling Securityholders” (the “</w:t>
      </w:r>
      <w:r>
        <w:rPr>
          <w:rFonts w:ascii="Arial" w:cs="Arial" w:eastAsia="Arial" w:hAnsi="Arial"/>
          <w:sz w:val="18"/>
          <w:szCs w:val="18"/>
          <w:u w:val="single" w:color="auto"/>
          <w:color w:val="auto"/>
        </w:rPr>
        <w:t>Selling Securityholders</w:t>
      </w:r>
      <w:r>
        <w:rPr>
          <w:rFonts w:ascii="Arial" w:cs="Arial" w:eastAsia="Arial" w:hAnsi="Arial"/>
          <w:sz w:val="18"/>
          <w:szCs w:val="18"/>
          <w:color w:val="auto"/>
        </w:rPr>
        <w:t>”).</w:t>
      </w:r>
    </w:p>
    <w:p>
      <w:pPr>
        <w:spacing w:after="0" w:line="211"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Based on the foregoing, we are of the opinion that the Selling Securityholder Shares have been duly authorized and validly issued and are fully paid and non-assessable.</w:t>
      </w:r>
    </w:p>
    <w:p>
      <w:pPr>
        <w:spacing w:after="0" w:line="170"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Goodwin Procter LLP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GOODWIN PROCTER LLP</w:t>
      </w:r>
    </w:p>
    <w:p>
      <w:pPr>
        <w:sectPr>
          <w:pgSz w:w="11900" w:h="16838" w:orient="portrait"/>
          <w:cols w:equalWidth="0" w:num="1">
            <w:col w:w="11020"/>
          </w:cols>
          <w:pgMar w:left="440" w:top="121" w:right="4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consent to the reference to our firm under the caption “Experts” in the Registration Statement (Form S-3) and related Prospectus of Gemini Therapeutics, Inc. and to the incorporation by reference therein of our report dated March 10, 2022, with respect to the consolidated financial statements of Gemini Therapeutics, Inc. included in its Annual Report (Form 10-K) for the year ended December 31, 2021, filed with the Securities and Exchange Commission.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10, 2022</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6"/>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lowerRoman"/>
      <w:start w:val="10"/>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upperLetter"/>
      <w:start w:val="1"/>
    </w:lvl>
    <w:lvl w:ilvl="1">
      <w:lvlJc w:val="left"/>
      <w:lvlText w:val="(%2)"/>
      <w:numFmt w:val="lowerRoman"/>
      <w:start w:val="1"/>
    </w:lvl>
  </w:abstractNum>
  <w:abstractNum w:abstractNumId="18">
    <w:nsid w:val="436C6125"/>
    <w:multiLevelType w:val="hybridMultilevel"/>
    <w:lvl w:ilvl="0">
      <w:lvlJc w:val="left"/>
      <w:lvlText w:val="(%1)"/>
      <w:numFmt w:val="lowerRoman"/>
      <w:start w:val="1"/>
    </w:lvl>
  </w:abstractNum>
  <w:abstractNum w:abstractNumId="19">
    <w:nsid w:val="628C895D"/>
    <w:multiLevelType w:val="hybridMultilevel"/>
    <w:lvl w:ilvl="0">
      <w:lvlJc w:val="left"/>
      <w:lvlText w:val="%1"/>
      <w:numFmt w:val="upperLetter"/>
      <w:start w:val="1"/>
    </w:lvl>
    <w:lvl w:ilvl="1">
      <w:lvlJc w:val="left"/>
      <w:lvlText w:val="(%2)"/>
      <w:numFmt w:val="lowerRoman"/>
      <w:start w:val="2"/>
    </w:lvl>
  </w:abstractNum>
  <w:abstractNum w:abstractNumId="20">
    <w:nsid w:val="333AB105"/>
    <w:multiLevelType w:val="hybridMultilevel"/>
    <w:lvl w:ilvl="0">
      <w:lvlJc w:val="left"/>
      <w:lvlText w:val="%1."/>
      <w:numFmt w:val="upperLetter"/>
      <w:start w:val="6"/>
    </w:lvl>
    <w:lvl w:ilvl="1">
      <w:lvlJc w:val="left"/>
      <w:lvlText w:val="%2"/>
      <w:numFmt w:val="lowerRoman"/>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jpe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43" Type="http://schemas.openxmlformats.org/officeDocument/2006/relationships/hyperlink" Target="http://www.sec.gov/ix?doc=/Archives/edgar/data/1816736/000095017022003288/gmtx-20211231.htm" TargetMode="External"/><Relationship Id="rId44" Type="http://schemas.openxmlformats.org/officeDocument/2006/relationships/hyperlink" Target="http://www.sec.gov/ix?doc=/Archives/edgar/data/1816736/000119312522005115/d291571d8k.htm" TargetMode="External"/><Relationship Id="rId45" Type="http://schemas.openxmlformats.org/officeDocument/2006/relationships/hyperlink" Target="http://www.sec.gov/ix?doc=/Archives/edgar/data/1816736/000119312522009374/d237658d8k.htm" TargetMode="External"/><Relationship Id="rId46" Type="http://schemas.openxmlformats.org/officeDocument/2006/relationships/hyperlink" Target="http://www.sec.gov/ix?doc=/Archives/edgar/data/1816736/000119312522055899/d29362d8k.htm" TargetMode="External"/><Relationship Id="rId47" Type="http://schemas.openxmlformats.org/officeDocument/2006/relationships/hyperlink" Target="http://www.sec.gov/Archives/edgar/data/1816736/000121390021007091/ea134758-8a12ba1_gemini.htm" TargetMode="External"/><Relationship Id="rId54" Type="http://schemas.openxmlformats.org/officeDocument/2006/relationships/hyperlink" Target="http://www.sec.gov/Archives/edgar/data/1816736/000121390021008478/ea135023ex3-1_gemini.htm" TargetMode="External"/><Relationship Id="rId55" Type="http://schemas.openxmlformats.org/officeDocument/2006/relationships/hyperlink" Target="http://www.sec.gov/Archives/edgar/data/1816736/000121390020034347/fs42020_geminifsdevcorp.htm#T53" TargetMode="External"/><Relationship Id="rId56" Type="http://schemas.openxmlformats.org/officeDocument/2006/relationships/hyperlink" Target="http://www.sec.gov/Archives/edgar/data/1816736/000121390021007091/ea134758ex10-1_gemin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2022-03-11T05:22:56Z</dcterms:created>
  <dcterms:modified xsi:type="dcterms:W3CDTF">2022-03-11T05:22:56Z</dcterms:modified>
</cp:coreProperties>
</file>