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140970</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168275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156210</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GEMINI THERAPEUTICS,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144780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sectPr>
      </w:pPr>
    </w:p>
    <w:p>
      <w:pPr>
        <w:spacing w:after="0" w:line="387" w:lineRule="exact"/>
        <w:rPr>
          <w:sz w:val="24"/>
          <w:szCs w:val="24"/>
          <w:color w:val="auto"/>
        </w:rPr>
      </w:pPr>
    </w:p>
    <w:p>
      <w:pPr>
        <w:ind w:left="1321"/>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001-39438</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85-1612845</w:t>
      </w:r>
    </w:p>
    <w:p>
      <w:pPr>
        <w:spacing w:after="0" w:line="10" w:lineRule="exact"/>
        <w:rPr>
          <w:sz w:val="24"/>
          <w:szCs w:val="24"/>
          <w:color w:val="auto"/>
        </w:rPr>
      </w:pPr>
    </w:p>
    <w:p>
      <w:pPr>
        <w:sectPr>
          <w:pgSz w:w="11900" w:h="16838" w:orient="portrait"/>
          <w:cols w:equalWidth="0" w:num="3">
            <w:col w:w="3861" w:space="720"/>
            <w:col w:w="2420" w:space="720"/>
            <w:col w:w="1920"/>
          </w:cols>
          <w:pgMar w:left="1119" w:top="404" w:right="1139" w:bottom="1440" w:gutter="0" w:footer="0" w:header="0"/>
          <w:type w:val="continuous"/>
        </w:sectPr>
      </w:pPr>
    </w:p>
    <w:p>
      <w:pPr>
        <w:spacing w:after="0" w:line="1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09" w:lineRule="exact"/>
        <w:rPr>
          <w:sz w:val="24"/>
          <w:szCs w:val="24"/>
          <w:color w:val="auto"/>
        </w:rPr>
      </w:pPr>
    </w:p>
    <w:p>
      <w:pPr>
        <w:sectPr>
          <w:pgSz w:w="11900" w:h="16838" w:orient="portrait"/>
          <w:cols w:equalWidth="0" w:num="3">
            <w:col w:w="3841" w:space="720"/>
            <w:col w:w="2340" w:space="720"/>
            <w:col w:w="2020"/>
          </w:cols>
          <w:pgMar w:left="1119" w:top="404" w:right="1139" w:bottom="1440" w:gutter="0" w:footer="0" w:header="0"/>
          <w:type w:val="continuous"/>
        </w:sectPr>
      </w:pPr>
    </w:p>
    <w:p>
      <w:pPr>
        <w:ind w:left="981"/>
        <w:spacing w:after="0"/>
        <w:rPr>
          <w:sz w:val="20"/>
          <w:szCs w:val="20"/>
          <w:color w:val="auto"/>
        </w:rPr>
      </w:pPr>
      <w:r>
        <w:rPr>
          <w:rFonts w:ascii="Times New Roman" w:cs="Times New Roman" w:eastAsia="Times New Roman" w:hAnsi="Times New Roman"/>
          <w:sz w:val="15"/>
          <w:szCs w:val="15"/>
          <w:b w:val="1"/>
          <w:bCs w:val="1"/>
          <w:color w:val="auto"/>
        </w:rPr>
        <w:t>297 Boston Post Road #248, Wayland, MA</w:t>
      </w:r>
      <w:r>
        <w:rPr>
          <w:rFonts w:ascii="Times New Roman" w:cs="Times New Roman" w:eastAsia="Times New Roman" w:hAnsi="Times New Roman"/>
          <w:sz w:val="10"/>
          <w:szCs w:val="10"/>
          <w:b w:val="1"/>
          <w:bCs w:val="1"/>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01778</w:t>
      </w:r>
    </w:p>
    <w:p>
      <w:pPr>
        <w:spacing w:after="0" w:line="36" w:lineRule="exact"/>
        <w:rPr>
          <w:sz w:val="24"/>
          <w:szCs w:val="24"/>
          <w:color w:val="auto"/>
        </w:rPr>
      </w:pPr>
    </w:p>
    <w:p>
      <w:pPr>
        <w:sectPr>
          <w:pgSz w:w="11900" w:h="16838" w:orient="portrait"/>
          <w:cols w:equalWidth="0" w:num="2">
            <w:col w:w="6401" w:space="720"/>
            <w:col w:w="2520"/>
          </w:cols>
          <w:pgMar w:left="1119" w:top="404" w:right="1139" w:bottom="1440" w:gutter="0" w:footer="0" w:header="0"/>
          <w:type w:val="continuous"/>
        </w:sectPr>
      </w:pPr>
    </w:p>
    <w:p>
      <w:pPr>
        <w:ind w:left="140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91" w:lineRule="exact"/>
        <w:rPr>
          <w:sz w:val="24"/>
          <w:szCs w:val="24"/>
          <w:color w:val="auto"/>
        </w:rPr>
      </w:pPr>
    </w:p>
    <w:p>
      <w:pPr>
        <w:sectPr>
          <w:pgSz w:w="11900" w:h="16838" w:orient="portrait"/>
          <w:cols w:equalWidth="0" w:num="2">
            <w:col w:w="6301" w:space="720"/>
            <w:col w:w="2620"/>
          </w:cols>
          <w:pgMar w:left="1119" w:top="404"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401-4400</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133985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17" w:lineRule="exact"/>
        <w:rPr>
          <w:sz w:val="24"/>
          <w:szCs w:val="24"/>
          <w:color w:val="auto"/>
        </w:rPr>
      </w:pPr>
    </w:p>
    <w:p>
      <w:pPr>
        <w:ind w:left="1" w:right="20" w:firstLine="386"/>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General Instruction A.2. below):</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2" w:lineRule="exact"/>
        <w:rPr>
          <w:sz w:val="24"/>
          <w:szCs w:val="24"/>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1" w:right="2220" w:hanging="1"/>
        <w:spacing w:after="0" w:line="413" w:lineRule="auto"/>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 w:type="dxa"/>
        <w:tblCellMar>
          <w:top w:w="0" w:type="dxa"/>
          <w:left w:w="0" w:type="dxa"/>
          <w:bottom w:w="0" w:type="dxa"/>
          <w:right w:w="0" w:type="dxa"/>
        </w:tblCellMar>
      </w:tblPr>
      <w:tr>
        <w:trPr>
          <w:trHeight w:val="130"/>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Symbol</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20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$0.0001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GMTX</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Global Market</w:t>
            </w: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7701"/>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71" w:lineRule="exact"/>
        <w:rPr>
          <w:sz w:val="24"/>
          <w:szCs w:val="24"/>
          <w:color w:val="auto"/>
        </w:rPr>
      </w:pPr>
    </w:p>
    <w:p>
      <w:pPr>
        <w:ind w:left="1" w:right="24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56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13" w:lineRule="exact"/>
        <w:rPr>
          <w:sz w:val="24"/>
          <w:szCs w:val="24"/>
          <w:color w:val="auto"/>
        </w:rPr>
      </w:pPr>
    </w:p>
    <w:p>
      <w:pPr>
        <w:ind w:left="181" w:right="320" w:hanging="181"/>
        <w:spacing w:after="0" w:line="206" w:lineRule="auto"/>
        <w:tabs>
          <w:tab w:leader="none" w:pos="181"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165100</wp:posOffset>
            </wp:positionV>
            <wp:extent cx="61277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Merger Agreement</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On August 9, 2022, Gemini Therapeutics, Inc., a Delaware corporation (“</w:t>
      </w:r>
      <w:r>
        <w:rPr>
          <w:rFonts w:ascii="Times New Roman" w:cs="Times New Roman" w:eastAsia="Times New Roman" w:hAnsi="Times New Roman"/>
          <w:sz w:val="16"/>
          <w:szCs w:val="16"/>
          <w:u w:val="single" w:color="auto"/>
          <w:color w:val="auto"/>
        </w:rPr>
        <w:t>Gemini</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Gemstone Merger Sub, Inc., a Delaware corporation and a wholly owned subsidiary of Gemini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Disc Medicine, Inc., a Delaware corporation (“</w:t>
      </w:r>
      <w:r>
        <w:rPr>
          <w:rFonts w:ascii="Times New Roman" w:cs="Times New Roman" w:eastAsia="Times New Roman" w:hAnsi="Times New Roman"/>
          <w:sz w:val="16"/>
          <w:szCs w:val="16"/>
          <w:u w:val="single" w:color="auto"/>
          <w:color w:val="auto"/>
        </w:rPr>
        <w:t>Disc</w:t>
      </w:r>
      <w:r>
        <w:rPr>
          <w:rFonts w:ascii="Times New Roman" w:cs="Times New Roman" w:eastAsia="Times New Roman" w:hAnsi="Times New Roman"/>
          <w:sz w:val="16"/>
          <w:szCs w:val="16"/>
          <w:color w:val="auto"/>
        </w:rPr>
        <w:t>”), entered into an Agreement and Plan of Merger and Reorganization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among other matters, and subject to the satisfaction or waiver of the conditions set forth in the Merger Agreement, Merger Sub will merge with and into Disc, with Disc continuing as a wholly owned subsidiary of Gemini and the surviving corporation of the merger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The Merger is intended to qualify for federal income tax purposes as a tax-free reorganization under the provisions of Section 368(a) of the Internal Revenue Code of 1986, as amended.</w:t>
      </w:r>
    </w:p>
    <w:p>
      <w:pPr>
        <w:spacing w:after="0" w:line="165"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6"/>
          <w:szCs w:val="16"/>
          <w:color w:val="auto"/>
        </w:rPr>
        <w:t>Subject to the terms and conditions of the Merger Agreement, at the closing of the Merger, (a) each then outstanding share of Disc common stock (including shares of Disc common stock issued upon conversion of Disc preferred stock and shares of Disc common stock issued in the financing transaction described below) will be converted into the right to receive a number of shares of Gemini common stock calculated in accordance with the Merger Agreement (the “</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and (b) each then outstanding Disc stock option to purchase Disc common stock will be assumed by Gemini, subject to adjustment as set forth in the Merger Agreement. Under the terms of the Merger Agreement, prior to the closing of the transaction, the board of directors of the Company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may take actions to effect vesting treatment of equity awards of the Company in accordance with the terms of underlying equity award agreements or otherwise in accordance with the terms of the Merger Agreement.</w:t>
      </w:r>
    </w:p>
    <w:p>
      <w:pPr>
        <w:spacing w:after="0" w:line="16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Under the Exchange Ratio formula in the Merger Agreement, upon the closing of the Merger, on a pro forma basis and based upon the number of shares of Company common stock expected to be issued in the Merger, pre-Merger Gemini shareholders will own approximately 28% of the combined company and pre-Merger Disc stockholders will own approximately 72% of the combined company, before giving effect to the concurrent financing transaction described below. For purposes of calculating the Exchange Ratio, shares of Gemini common stock underlying Gemini stock options outstanding as of immediately prior to the closing of the Merger with an exercise price per share of less than or equal to $4.50 (as adjusted for the reverse stock split described below) will be deemed to be outstanding and all shares of Disc common stock underlying outstanding Disc stock options, warrants and other derivative securities will be deemed to be outstanding. The Exchange Ratio will be adjusted to the extent that Gemini’s net cash at closing is less than $87.4 million or greater than $96.6 million and based on the amount of the financing transaction described below, as further described in the Merger Agreement.</w:t>
      </w:r>
    </w:p>
    <w:p>
      <w:pPr>
        <w:spacing w:after="0" w:line="167"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6"/>
          <w:szCs w:val="16"/>
          <w:color w:val="auto"/>
        </w:rPr>
        <w:t>In connection with the Merger, Gemini will seek the approval of its stockholders to, among other things, (a) issue the shares of Gemini common stock issuable in connection with the Merger under the rules of The Nasdaq Stock Market LLC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and (b) amend its certificate of incorporation to effect a reverse split of Gemini common stock, as determined by the Gemini board of directors prior to the closing of the Merger (the “</w:t>
      </w:r>
      <w:r>
        <w:rPr>
          <w:rFonts w:ascii="Times New Roman" w:cs="Times New Roman" w:eastAsia="Times New Roman" w:hAnsi="Times New Roman"/>
          <w:sz w:val="16"/>
          <w:szCs w:val="16"/>
          <w:u w:val="single" w:color="auto"/>
          <w:color w:val="auto"/>
        </w:rPr>
        <w:t>Gemini Voting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Proposals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Each of Gemini and Disc has agreed to customary representations, warranties and covenants in the Merger Agreement, including, among others, covenants relating to (1) using commercially reasonable efforts to obtain the requisite approval of its stockholders, (2) non-solicitation of alternative acquisition proposals, (3) the conduct of their respective businesses during the period between the date of signing the Merger Agreement and the closing of the Merger, (4) Gemini using commercially reasonable efforts to maintain the existing listing of the Gemini common stock on Nasdaq and Gemini causing the shares of</w:t>
      </w:r>
    </w:p>
    <w:p>
      <w:pPr>
        <w:sectPr>
          <w:pgSz w:w="11900" w:h="16838" w:orient="portrait"/>
          <w:cols w:equalWidth="0" w:num="1">
            <w:col w:w="9640"/>
          </w:cols>
          <w:pgMar w:left="1120" w:top="275" w:right="1139" w:bottom="1440" w:gutter="0" w:footer="0" w:header="0"/>
        </w:sectPr>
      </w:pPr>
    </w:p>
    <w:bookmarkStart w:id="2" w:name="page3"/>
    <w:bookmarkEnd w:id="2"/>
    <w:p>
      <w:pPr>
        <w:ind w:left="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Gemini common stock to be issued in connection with the Merger to be approved for listing on Nasdaq prior to the closing of the Merger, and</w:t>
      </w:r>
    </w:p>
    <w:p>
      <w:pPr>
        <w:spacing w:after="0" w:line="22" w:lineRule="exact"/>
        <w:rPr>
          <w:sz w:val="20"/>
          <w:szCs w:val="20"/>
          <w:color w:val="auto"/>
        </w:rPr>
      </w:pPr>
    </w:p>
    <w:p>
      <w:pPr>
        <w:ind w:left="1" w:right="220" w:hanging="1"/>
        <w:spacing w:after="0" w:line="253" w:lineRule="auto"/>
        <w:tabs>
          <w:tab w:leader="none" w:pos="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filing with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and causing to become effective a registration statement to register the shares of Gemini common stock to be issued in connection with the Merger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1" w:right="20"/>
        <w:spacing w:after="0" w:line="252" w:lineRule="auto"/>
        <w:rPr>
          <w:sz w:val="20"/>
          <w:szCs w:val="20"/>
          <w:color w:val="auto"/>
        </w:rPr>
      </w:pPr>
      <w:r>
        <w:rPr>
          <w:rFonts w:ascii="Times New Roman" w:cs="Times New Roman" w:eastAsia="Times New Roman" w:hAnsi="Times New Roman"/>
          <w:sz w:val="16"/>
          <w:szCs w:val="16"/>
          <w:color w:val="auto"/>
        </w:rPr>
        <w:t>Consummation of the Merger is subject to certain closing conditions, including, among other things, (1) approval by Gemini stockholders of the Gemini Voting Proposals, (2) approval by the Disc stockholders of the adoption of the Merger Agreement, (3) Nasdaq’s approval of the listing of the shares of Gemini common stock to be issued in connection with the Merger, and (4) the effectiveness of the Registration Statement. Each party’s obligation to consummate the Merger is also subject to other specified customary conditions, including regarding the accuracy of the representations and warranties of the other party and the performance in all material respects by the other party of its obligations under the Merger Agreement required to be performed on or prior to the date of the closing of the Merger.</w:t>
      </w:r>
    </w:p>
    <w:p>
      <w:pPr>
        <w:spacing w:after="0" w:line="165" w:lineRule="exact"/>
        <w:rPr>
          <w:sz w:val="20"/>
          <w:szCs w:val="20"/>
          <w:color w:val="auto"/>
        </w:rPr>
      </w:pPr>
    </w:p>
    <w:p>
      <w:pPr>
        <w:ind w:left="1" w:right="200"/>
        <w:spacing w:after="0" w:line="286" w:lineRule="auto"/>
        <w:rPr>
          <w:sz w:val="20"/>
          <w:szCs w:val="20"/>
          <w:color w:val="auto"/>
        </w:rPr>
      </w:pPr>
      <w:r>
        <w:rPr>
          <w:rFonts w:ascii="Times New Roman" w:cs="Times New Roman" w:eastAsia="Times New Roman" w:hAnsi="Times New Roman"/>
          <w:sz w:val="15"/>
          <w:szCs w:val="15"/>
          <w:color w:val="auto"/>
        </w:rPr>
        <w:t>The Merger Agreement contains certain termination rights of each of Gemini and Disc. Upon termination of the Merger Agreement under specified circumstances, Gemini may be required to pay Disc a termination fee of $3,000,000 and/or reimburse Disc’s expenses up to a maximum of $750,000, and Disc may be required to pay Gemini a termination fee of $7,800,000 and/or reimburse Gemini’s expenses up to a maximum of $750,000.</w:t>
      </w:r>
    </w:p>
    <w:p>
      <w:pPr>
        <w:spacing w:after="0" w:line="140" w:lineRule="exact"/>
        <w:rPr>
          <w:sz w:val="20"/>
          <w:szCs w:val="20"/>
          <w:color w:val="auto"/>
        </w:rPr>
      </w:pPr>
    </w:p>
    <w:p>
      <w:pPr>
        <w:ind w:left="1" w:right="320"/>
        <w:spacing w:after="0" w:line="276" w:lineRule="auto"/>
        <w:rPr>
          <w:sz w:val="20"/>
          <w:szCs w:val="20"/>
          <w:color w:val="auto"/>
        </w:rPr>
      </w:pPr>
      <w:r>
        <w:rPr>
          <w:rFonts w:ascii="Times New Roman" w:cs="Times New Roman" w:eastAsia="Times New Roman" w:hAnsi="Times New Roman"/>
          <w:sz w:val="16"/>
          <w:szCs w:val="16"/>
          <w:color w:val="auto"/>
        </w:rPr>
        <w:t>At the effective time of the Merger (the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the Board of Directors of Gemini is expected to consist of nine (9) members, eight (8) of whom will be designated by Disc and one (1) of whom will be designated by Gemini.</w:t>
      </w:r>
    </w:p>
    <w:p>
      <w:pPr>
        <w:spacing w:after="0" w:line="2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Financing Transaction</w:t>
      </w:r>
    </w:p>
    <w:p>
      <w:pPr>
        <w:spacing w:after="0" w:line="104" w:lineRule="exact"/>
        <w:rPr>
          <w:sz w:val="20"/>
          <w:szCs w:val="20"/>
          <w:color w:val="auto"/>
        </w:rPr>
      </w:pPr>
    </w:p>
    <w:p>
      <w:pPr>
        <w:ind w:left="1" w:right="40"/>
        <w:spacing w:after="0" w:line="254" w:lineRule="auto"/>
        <w:rPr>
          <w:sz w:val="20"/>
          <w:szCs w:val="20"/>
          <w:color w:val="auto"/>
        </w:rPr>
      </w:pPr>
      <w:r>
        <w:rPr>
          <w:rFonts w:ascii="Times New Roman" w:cs="Times New Roman" w:eastAsia="Times New Roman" w:hAnsi="Times New Roman"/>
          <w:sz w:val="16"/>
          <w:szCs w:val="16"/>
          <w:color w:val="auto"/>
        </w:rPr>
        <w:t>Concurrently with the execution and delivery of the Merger Agreement, certain parties have entered into agreements with Disc pursuant to which they have agreed, subject to the terms and conditions of such agreements, to purchase prior to the consummation of the Merger shares of Disc common stock for an aggregate purchase price of approximately $53.5 million. The consummation of the transactions contemplated by such agreements is conditioned on the satisfaction or waiver of the conditions set forth in the Merger Agreement. Shares of Disc common stock issued pursuant to this financing transaction will be converted into shares of Gemini common stock in the Merger in accordance with the Exchange Ratio.</w:t>
      </w:r>
    </w:p>
    <w:p>
      <w:pPr>
        <w:spacing w:after="0" w:line="25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i w:val="1"/>
          <w:iCs w:val="1"/>
          <w:color w:val="auto"/>
        </w:rPr>
        <w:t>Contingent Value Rights Agreement</w:t>
      </w:r>
    </w:p>
    <w:p>
      <w:pPr>
        <w:spacing w:after="0" w:line="10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At or prior to the Effective Time, the Company will enter into a Contingent Value Rights Agreement (the “</w:t>
      </w:r>
      <w:r>
        <w:rPr>
          <w:rFonts w:ascii="Times New Roman" w:cs="Times New Roman" w:eastAsia="Times New Roman" w:hAnsi="Times New Roman"/>
          <w:sz w:val="16"/>
          <w:szCs w:val="16"/>
          <w:u w:val="single" w:color="auto"/>
          <w:color w:val="auto"/>
        </w:rPr>
        <w:t>CVR Agreement</w:t>
      </w:r>
      <w:r>
        <w:rPr>
          <w:rFonts w:ascii="Times New Roman" w:cs="Times New Roman" w:eastAsia="Times New Roman" w:hAnsi="Times New Roman"/>
          <w:sz w:val="16"/>
          <w:szCs w:val="16"/>
          <w:color w:val="auto"/>
        </w:rPr>
        <w:t>”) with a rights agent</w:t>
      </w:r>
    </w:p>
    <w:p>
      <w:pPr>
        <w:spacing w:after="0" w:line="22" w:lineRule="exact"/>
        <w:rPr>
          <w:sz w:val="20"/>
          <w:szCs w:val="20"/>
          <w:color w:val="auto"/>
        </w:rPr>
      </w:pPr>
    </w:p>
    <w:p>
      <w:pPr>
        <w:ind w:left="1" w:right="12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Rights Agent</w:t>
      </w:r>
      <w:r>
        <w:rPr>
          <w:rFonts w:ascii="Times New Roman" w:cs="Times New Roman" w:eastAsia="Times New Roman" w:hAnsi="Times New Roman"/>
          <w:sz w:val="16"/>
          <w:szCs w:val="16"/>
          <w:color w:val="auto"/>
        </w:rPr>
        <w:t>”) pursuant to which the Company’s pre-Merger common stockholders will receive one contingent value right (each, a “</w:t>
      </w:r>
      <w:r>
        <w:rPr>
          <w:rFonts w:ascii="Times New Roman" w:cs="Times New Roman" w:eastAsia="Times New Roman" w:hAnsi="Times New Roman"/>
          <w:sz w:val="16"/>
          <w:szCs w:val="16"/>
          <w:u w:val="single" w:color="auto"/>
          <w:color w:val="auto"/>
        </w:rPr>
        <w:t>CVR</w:t>
      </w:r>
      <w:r>
        <w:rPr>
          <w:rFonts w:ascii="Times New Roman" w:cs="Times New Roman" w:eastAsia="Times New Roman" w:hAnsi="Times New Roman"/>
          <w:sz w:val="16"/>
          <w:szCs w:val="16"/>
          <w:color w:val="auto"/>
        </w:rPr>
        <w:t>”) for each outstanding share of Gemini common stock held by such stockholder on such date. Each CVR will represent the contractual right to receive payments, in the form of shares of stock of the Company, upon the actual receipt by the Company or its affiliates of certain proceeds derived from consideration paid to the Company as a result of the disposition of the Company’s pre-Merger legacy assets, net of certain expenses and other deductions. Any payments under the CVR Agreement will be in the form of shares of the Company, determined on the basis of a volume weighted average for the five (5) trading days prior to the date of issuance.</w:t>
      </w:r>
    </w:p>
    <w:p>
      <w:pPr>
        <w:spacing w:after="0" w:line="167" w:lineRule="exact"/>
        <w:rPr>
          <w:sz w:val="20"/>
          <w:szCs w:val="20"/>
          <w:color w:val="auto"/>
        </w:rPr>
      </w:pPr>
    </w:p>
    <w:p>
      <w:pPr>
        <w:ind w:left="1"/>
        <w:spacing w:after="0" w:line="256" w:lineRule="auto"/>
        <w:rPr>
          <w:sz w:val="20"/>
          <w:szCs w:val="20"/>
          <w:color w:val="auto"/>
        </w:rPr>
      </w:pPr>
      <w:r>
        <w:rPr>
          <w:rFonts w:ascii="Times New Roman" w:cs="Times New Roman" w:eastAsia="Times New Roman" w:hAnsi="Times New Roman"/>
          <w:sz w:val="16"/>
          <w:szCs w:val="16"/>
          <w:color w:val="auto"/>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payment of any Company shares will be made or that any holders of CVRs will receive any amounts with respect thereto.</w:t>
      </w:r>
    </w:p>
    <w:p>
      <w:pPr>
        <w:sectPr>
          <w:pgSz w:w="11900" w:h="16838" w:orient="portrait"/>
          <w:cols w:equalWidth="0" w:num="1">
            <w:col w:w="9641"/>
          </w:cols>
          <w:pgMar w:left="1119" w:top="277" w:right="1139" w:bottom="1440" w:gutter="0" w:footer="0" w:header="0"/>
        </w:sectPr>
      </w:pPr>
    </w:p>
    <w:bookmarkStart w:id="3" w:name="page4"/>
    <w:bookmarkEnd w:id="3"/>
    <w:p>
      <w:pPr>
        <w:ind w:right="4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the Company or any of its affiliates. No interest will accrue on any amounts payable in respect of the CVRs.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Support Agreements and Lock-Up Agreements</w:t>
      </w:r>
    </w:p>
    <w:p>
      <w:pPr>
        <w:spacing w:after="0" w:line="10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5"/>
          <w:szCs w:val="15"/>
          <w:color w:val="auto"/>
        </w:rPr>
        <w:t>Concurrently with the execution of the Merger Agreement, (i) certain stockholders of Disc (solely in their respective capacities as Disc stockholders) holding approximately 90% of the outstanding shares of Disc capital stock have entered into support agreements with Gemini and Disc to vote all of their shares of Disc capital stock in favor of adoption of the Merger Agreement and against any alternative acquisition proposals (the “</w:t>
      </w:r>
      <w:r>
        <w:rPr>
          <w:rFonts w:ascii="Times New Roman" w:cs="Times New Roman" w:eastAsia="Times New Roman" w:hAnsi="Times New Roman"/>
          <w:sz w:val="15"/>
          <w:szCs w:val="15"/>
          <w:u w:val="single" w:color="auto"/>
          <w:color w:val="auto"/>
        </w:rPr>
        <w:t>Disc Support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Agreements</w:t>
      </w:r>
      <w:r>
        <w:rPr>
          <w:rFonts w:ascii="Times New Roman" w:cs="Times New Roman" w:eastAsia="Times New Roman" w:hAnsi="Times New Roman"/>
          <w:sz w:val="15"/>
          <w:szCs w:val="15"/>
          <w:color w:val="auto"/>
        </w:rPr>
        <w:t>”) and (ii) certain stockholders of Gemini holding approximately 36% of the outstanding shares of Gemini common stock have entered into support agreements with Gemini and Disc to vote all of their shares of Gemini common stock in favor of the Gemini Voting Proposals and against any alternative acquisition proposals (the “</w:t>
      </w:r>
      <w:r>
        <w:rPr>
          <w:rFonts w:ascii="Times New Roman" w:cs="Times New Roman" w:eastAsia="Times New Roman" w:hAnsi="Times New Roman"/>
          <w:sz w:val="15"/>
          <w:szCs w:val="15"/>
          <w:u w:val="single" w:color="auto"/>
          <w:color w:val="auto"/>
        </w:rPr>
        <w:t>Gemini Support Agreements</w:t>
      </w:r>
      <w:r>
        <w:rPr>
          <w:rFonts w:ascii="Times New Roman" w:cs="Times New Roman" w:eastAsia="Times New Roman" w:hAnsi="Times New Roman"/>
          <w:sz w:val="15"/>
          <w:szCs w:val="15"/>
          <w:color w:val="auto"/>
        </w:rPr>
        <w:t>”, and together with the Disc Support Agreements, the “</w:t>
      </w:r>
      <w:r>
        <w:rPr>
          <w:rFonts w:ascii="Times New Roman" w:cs="Times New Roman" w:eastAsia="Times New Roman" w:hAnsi="Times New Roman"/>
          <w:sz w:val="15"/>
          <w:szCs w:val="15"/>
          <w:u w:val="single" w:color="auto"/>
          <w:color w:val="auto"/>
        </w:rPr>
        <w:t>Support Agreements</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6"/>
          <w:szCs w:val="16"/>
          <w:color w:val="auto"/>
        </w:rPr>
        <w:t>Concurrently with the execution of the Merger Agreement, certain executive officers, directors and stockholders of Gemini and Disc have entered into lock-up agreements (the “</w:t>
      </w:r>
      <w:r>
        <w:rPr>
          <w:rFonts w:ascii="Times New Roman" w:cs="Times New Roman" w:eastAsia="Times New Roman" w:hAnsi="Times New Roman"/>
          <w:sz w:val="16"/>
          <w:szCs w:val="16"/>
          <w:u w:val="single" w:color="auto"/>
          <w:color w:val="auto"/>
        </w:rPr>
        <w:t>Lock-Up Agreements</w:t>
      </w:r>
      <w:r>
        <w:rPr>
          <w:rFonts w:ascii="Times New Roman" w:cs="Times New Roman" w:eastAsia="Times New Roman" w:hAnsi="Times New Roman"/>
          <w:sz w:val="16"/>
          <w:szCs w:val="16"/>
          <w:color w:val="auto"/>
        </w:rPr>
        <w:t>”) pursuant to which, subject to specified exceptions, they agreed not to transfer their shares of Gemini common stock for the 180-day period following the closing of the Merger.</w:t>
      </w:r>
    </w:p>
    <w:p>
      <w:pPr>
        <w:spacing w:after="0" w:line="15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The preceding summaries of the Merger Agreement, the Support Agreements and the Lock-Up Agreements do not purport to be complete and are qualified in their entirety by reference to the Merger Agreement, the form of Disc Support Agreement, the form of Gemini Support Agreement, the form of Lock-Up Agreement and the form of Contingent Value Rights Agreement, which are filed as Exhibits 2.1, 10.1, 10.2 10.3 and 10.4, respectively, to this Current Report on Form 8-K and which are incorporated herein by reference. The Merger Agreement has been attached as an exhibit to this Current Report on Form 8-K to provide investors and securityholders with information regarding its terms. It is not intended to provide any other factual information about Disc or Gemini or to modify or supplement any factual disclosures about Gemini in its public reports filed with the SEC. The Merger Agreement includes representations, warranties and covenants of Disc, Gemini and Merger Sub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Disc, Gemini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w:t>
      </w:r>
    </w:p>
    <w:p>
      <w:pPr>
        <w:spacing w:after="0" w:line="28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0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6"/>
          <w:szCs w:val="16"/>
          <w:color w:val="auto"/>
        </w:rPr>
        <w:t>On August 10, 2022, Gemini and Disc issued a joint press release announcing the execution of the Merger Agreement. The press release is furnished as Exhibit 99.1 to this Current Report on Form 8-K and incorporated herein by reference, except that the information contained on the websites referenced in the press release is not incorporated herein by reference.</w:t>
      </w:r>
    </w:p>
    <w:p>
      <w:pPr>
        <w:sectPr>
          <w:pgSz w:w="11900" w:h="16838" w:orient="portrait"/>
          <w:cols w:equalWidth="0" w:num="1">
            <w:col w:w="9620"/>
          </w:cols>
          <w:pgMar w:left="1120" w:top="277" w:right="1159" w:bottom="1440" w:gutter="0" w:footer="0" w:header="0"/>
        </w:sectPr>
      </w:pPr>
    </w:p>
    <w:bookmarkStart w:id="4" w:name="page5"/>
    <w:bookmarkEnd w:id="4"/>
    <w:p>
      <w:pPr>
        <w:ind w:right="220"/>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50165"/>
                    </a:xfrm>
                    <a:prstGeom prst="rect">
                      <a:avLst/>
                    </a:prstGeom>
                    <a:noFill/>
                  </pic:spPr>
                </pic:pic>
              </a:graphicData>
            </a:graphic>
          </wp:anchor>
        </w:drawing>
        <w:t>Furnished as Exhibit 99.2 hereto and incorporated herein by reference is the investor presentation that will be used by Gemini and Disc in connection with the Merger.</w:t>
      </w:r>
    </w:p>
    <w:p>
      <w:pPr>
        <w:spacing w:after="0" w:line="14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The Company plans to host a live webcast presentation to discuss the Merger as well as Disc’s platform and pipeline assets at 8:00 am Eastern time on August 10, 2022. The live webcast presentation can be accessed at the Events &amp; Presentations page of Gemini’s website or by dialing 1-(888) 660-6186 or 1-(929) 203-0798 internationally and referencing conference ID number 6678391. A webcast of the presentation and associated slides will be available on the Investors &amp; Media section of Gemini’s website at http://investors.geminitherapeutics.com and a replay will be archived for 30 days following the presentation.</w:t>
      </w:r>
    </w:p>
    <w:p>
      <w:pPr>
        <w:spacing w:after="0" w:line="16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6"/>
          <w:szCs w:val="16"/>
          <w:color w:val="auto"/>
        </w:rPr>
        <w:t>The information in this Item 7.01 and Exhibits 99.1 and 99.2 attached hereto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This Current Report on Form 8-K contains forward-looking statements (including within the meaning of Section 21E of the Exchange Act and Section 27A of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w:t>
      </w:r>
    </w:p>
    <w:p>
      <w:pPr>
        <w:sectPr>
          <w:pgSz w:w="11900" w:h="16838" w:orient="portrait"/>
          <w:cols w:equalWidth="0" w:num="1">
            <w:col w:w="9640"/>
          </w:cols>
          <w:pgMar w:left="1120" w:top="277" w:right="1139" w:bottom="1440" w:gutter="0" w:footer="0" w:header="0"/>
        </w:sectPr>
      </w:pPr>
    </w:p>
    <w:bookmarkStart w:id="5" w:name="page6"/>
    <w:bookmarkEnd w:id="5"/>
    <w:p>
      <w:pPr>
        <w:ind w:right="160"/>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50165"/>
                    </a:xfrm>
                    <a:prstGeom prst="rect">
                      <a:avLst/>
                    </a:prstGeom>
                    <a:noFill/>
                  </pic:spPr>
                </pic:pic>
              </a:graphicData>
            </a:graphic>
          </wp:anchor>
        </w:drawing>
        <w:t>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legislative, regulatory, political and economic developments; and those factors described under the heading</w:t>
      </w:r>
    </w:p>
    <w:p>
      <w:pPr>
        <w:spacing w:after="0" w:line="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“Risk Factors” in the Gemini’s most recent Annual Report on Form 10-K filed with the SEC, as well as discussions of potential risks, uncertainties, and other important factors included in later filings, including any Quarterly Reports on Form 10-Q and Current Reports on Form 8-K. Should one or more of these risks or uncertainties materialize, or should any of Gemini’s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10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5"/>
          <w:szCs w:val="15"/>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Additional Information Will be Filed with the SEC</w:t>
      </w:r>
    </w:p>
    <w:p>
      <w:pPr>
        <w:spacing w:after="0" w:line="10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In connection with the proposed transaction between Gemini and Disc, Gemini intends to file relevant materials with the SEC, including a registration statement on Form S-4 that will contain a proxy statement/prospectus of Gemini and information statement of Disc. GEMINI URGES INVESTORS AND STOCKHOLDERS TO READ THESE MATERIALS CAREFULLY AND IN THEIR ENTIRETY WHEN THEY BECOME AVAILABLE BECAUSE THEY WILL CONTAIN IMPORTANT INFORMATION ABOUT GEMINI, DISC, THE PROPOSED TRANSACTION AND RELATED MATTERS. Investors and shareholders will be able to obtain free copies of the proxy statement/prospectus/information statement and other documents filed by Gemini with the SEC (when they become available)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will be able to obtain free copies of the proxy statement/prospectus/information statement and other documents filed by Gemini with the SEC and stockholders are urged to read the proxy statement/prospectus/information statement and the other relevant materials when they become available before making any voting or investment decision with respect to the proposed transaction.</w:t>
      </w:r>
    </w:p>
    <w:p>
      <w:pPr>
        <w:sectPr>
          <w:pgSz w:w="11900" w:h="16838" w:orient="portrait"/>
          <w:cols w:equalWidth="0" w:num="1">
            <w:col w:w="9640"/>
          </w:cols>
          <w:pgMar w:left="1120" w:top="277" w:right="1139" w:bottom="1440" w:gutter="0" w:footer="0" w:header="0"/>
        </w:sectPr>
      </w:pPr>
    </w:p>
    <w:bookmarkStart w:id="6" w:name="page7"/>
    <w:bookmarkEnd w:id="6"/>
    <w:p>
      <w:pPr>
        <w:ind w:left="1"/>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50165"/>
                    </a:xfrm>
                    <a:prstGeom prst="rect">
                      <a:avLst/>
                    </a:prstGeom>
                    <a:noFill/>
                  </pic:spPr>
                </pic:pic>
              </a:graphicData>
            </a:graphic>
          </wp:anchor>
        </w:drawing>
        <w:t>Participants in the Solicitation</w:t>
      </w:r>
    </w:p>
    <w:p>
      <w:pPr>
        <w:spacing w:after="0" w:line="102" w:lineRule="exact"/>
        <w:rPr>
          <w:sz w:val="20"/>
          <w:szCs w:val="20"/>
          <w:color w:val="auto"/>
        </w:rPr>
      </w:pPr>
    </w:p>
    <w:p>
      <w:pPr>
        <w:ind w:left="1"/>
        <w:spacing w:after="0" w:line="254" w:lineRule="auto"/>
        <w:rPr>
          <w:sz w:val="20"/>
          <w:szCs w:val="20"/>
          <w:color w:val="auto"/>
        </w:rPr>
      </w:pPr>
      <w:r>
        <w:rPr>
          <w:rFonts w:ascii="Times New Roman" w:cs="Times New Roman" w:eastAsia="Times New Roman" w:hAnsi="Times New Roman"/>
          <w:sz w:val="16"/>
          <w:szCs w:val="16"/>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Additional information regarding these persons and their interests in the transaction will be included in the proxy statement/prospectus/information statement relating to the transaction when it is filed with the SEC. These documents can be obtained free of charge from the sources indicated above.</w:t>
      </w:r>
    </w:p>
    <w:p>
      <w:pPr>
        <w:spacing w:after="0" w:line="290" w:lineRule="exact"/>
        <w:rPr>
          <w:sz w:val="20"/>
          <w:szCs w:val="20"/>
          <w:color w:val="auto"/>
        </w:rPr>
      </w:pPr>
    </w:p>
    <w:p>
      <w:pPr>
        <w:ind w:left="1"/>
        <w:spacing w:after="0"/>
        <w:tabs>
          <w:tab w:leader="none" w:pos="1041"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00" w:lineRule="exact"/>
        <w:rPr>
          <w:sz w:val="20"/>
          <w:szCs w:val="20"/>
          <w:color w:val="auto"/>
        </w:rPr>
      </w:pPr>
    </w:p>
    <w:p>
      <w:pPr>
        <w:ind w:left="721" w:hanging="335"/>
        <w:spacing w:after="0"/>
        <w:tabs>
          <w:tab w:leader="none" w:pos="72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Exhibits</w:t>
      </w:r>
    </w:p>
    <w:p>
      <w:pPr>
        <w:spacing w:after="0" w:line="195"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2"/>
              </w:rPr>
              <w:t>Exhibit</w:t>
            </w:r>
          </w:p>
        </w:tc>
        <w:tc>
          <w:tcPr>
            <w:tcW w:w="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40"/>
        </w:trPr>
        <w:tc>
          <w:tcPr>
            <w:tcW w:w="400" w:type="dxa"/>
            <w:vAlign w:val="bottom"/>
          </w:tcPr>
          <w:p>
            <w:pPr>
              <w:jc w:val="right"/>
              <w:ind w:right="24"/>
              <w:spacing w:after="0" w:line="141" w:lineRule="exact"/>
              <w:rPr>
                <w:sz w:val="20"/>
                <w:szCs w:val="20"/>
                <w:color w:val="auto"/>
              </w:rPr>
            </w:pPr>
            <w:r>
              <w:rPr>
                <w:rFonts w:ascii="Times New Roman" w:cs="Times New Roman" w:eastAsia="Times New Roman" w:hAnsi="Times New Roman"/>
                <w:sz w:val="13"/>
                <w:szCs w:val="13"/>
                <w:b w:val="1"/>
                <w:bCs w:val="1"/>
                <w:color w:val="auto"/>
              </w:rPr>
              <w:t>No.</w:t>
            </w:r>
          </w:p>
        </w:tc>
        <w:tc>
          <w:tcPr>
            <w:tcW w:w="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60" w:type="dxa"/>
            <w:vAlign w:val="bottom"/>
          </w:tcPr>
          <w:p>
            <w:pPr>
              <w:spacing w:after="0"/>
              <w:rPr>
                <w:sz w:val="20"/>
                <w:szCs w:val="20"/>
                <w:color w:val="auto"/>
              </w:rPr>
            </w:pPr>
          </w:p>
        </w:tc>
        <w:tc>
          <w:tcPr>
            <w:tcW w:w="838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w w:val="98"/>
              </w:rPr>
              <w:t>Agreement and Plan of Merger and Reorganization, dated as of August 9, 2022, by and among Gemini Therapeutics, Inc., Gemstone</w:t>
            </w: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20" w:type="dxa"/>
            <w:vAlign w:val="bottom"/>
            <w:tcBorders>
              <w:top w:val="single" w:sz="8" w:color="0000EE"/>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6"/>
                <w:szCs w:val="16"/>
                <w:color w:val="0000EE"/>
                <w:w w:val="97"/>
              </w:rPr>
              <w:t>Merger Sub, Inc. and Disc Medicine, Inc.</w:t>
            </w:r>
          </w:p>
        </w:tc>
        <w:tc>
          <w:tcPr>
            <w:tcW w:w="5740" w:type="dxa"/>
            <w:vAlign w:val="bottom"/>
            <w:tcBorders>
              <w:top w:val="single" w:sz="8" w:color="0000EE"/>
            </w:tcBorders>
            <w:gridSpan w:val="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10.1</w:t>
            </w:r>
          </w:p>
        </w:tc>
        <w:tc>
          <w:tcPr>
            <w:tcW w:w="460" w:type="dxa"/>
            <w:vAlign w:val="bottom"/>
          </w:tcPr>
          <w:p>
            <w:pPr>
              <w:spacing w:after="0"/>
              <w:rPr>
                <w:sz w:val="22"/>
                <w:szCs w:val="22"/>
                <w:color w:val="auto"/>
              </w:rPr>
            </w:pPr>
          </w:p>
        </w:tc>
        <w:tc>
          <w:tcPr>
            <w:tcW w:w="838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Form of Disc Support Agreement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10.2</w:t>
            </w:r>
          </w:p>
        </w:tc>
        <w:tc>
          <w:tcPr>
            <w:tcW w:w="460" w:type="dxa"/>
            <w:vAlign w:val="bottom"/>
          </w:tcPr>
          <w:p>
            <w:pPr>
              <w:spacing w:after="0"/>
              <w:rPr>
                <w:sz w:val="22"/>
                <w:szCs w:val="22"/>
                <w:color w:val="auto"/>
              </w:rPr>
            </w:pPr>
          </w:p>
        </w:tc>
        <w:tc>
          <w:tcPr>
            <w:tcW w:w="838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Form of Gemini Support Agreement</w:t>
            </w:r>
          </w:p>
        </w:tc>
        <w:tc>
          <w:tcPr>
            <w:tcW w:w="0" w:type="dxa"/>
            <w:vAlign w:val="bottom"/>
          </w:tcPr>
          <w:p>
            <w:pPr>
              <w:spacing w:after="0"/>
              <w:rPr>
                <w:sz w:val="1"/>
                <w:szCs w:val="1"/>
                <w:color w:val="auto"/>
              </w:rPr>
            </w:pPr>
          </w:p>
        </w:tc>
      </w:tr>
      <w:tr>
        <w:trPr>
          <w:trHeight w:val="26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10.3</w:t>
            </w:r>
          </w:p>
        </w:tc>
        <w:tc>
          <w:tcPr>
            <w:tcW w:w="460" w:type="dxa"/>
            <w:vAlign w:val="bottom"/>
          </w:tcPr>
          <w:p>
            <w:pPr>
              <w:spacing w:after="0"/>
              <w:rPr>
                <w:sz w:val="22"/>
                <w:szCs w:val="22"/>
                <w:color w:val="auto"/>
              </w:rPr>
            </w:pPr>
          </w:p>
        </w:tc>
        <w:tc>
          <w:tcPr>
            <w:tcW w:w="2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Form of Lock-Up Agreement</w:t>
            </w:r>
          </w:p>
        </w:tc>
        <w:tc>
          <w:tcPr>
            <w:tcW w:w="60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10.4</w:t>
            </w:r>
          </w:p>
        </w:tc>
        <w:tc>
          <w:tcPr>
            <w:tcW w:w="460" w:type="dxa"/>
            <w:vAlign w:val="bottom"/>
          </w:tcPr>
          <w:p>
            <w:pPr>
              <w:spacing w:after="0"/>
              <w:rPr>
                <w:sz w:val="22"/>
                <w:szCs w:val="22"/>
                <w:color w:val="auto"/>
              </w:rPr>
            </w:pPr>
          </w:p>
        </w:tc>
        <w:tc>
          <w:tcPr>
            <w:tcW w:w="2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7"/>
              </w:rPr>
              <w:t>Form of Contingent Value Rights Agreement</w:t>
            </w:r>
          </w:p>
        </w:tc>
        <w:tc>
          <w:tcPr>
            <w:tcW w:w="55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99.1</w:t>
            </w:r>
          </w:p>
        </w:tc>
        <w:tc>
          <w:tcPr>
            <w:tcW w:w="460" w:type="dxa"/>
            <w:vAlign w:val="bottom"/>
          </w:tcPr>
          <w:p>
            <w:pPr>
              <w:spacing w:after="0"/>
              <w:rPr>
                <w:sz w:val="22"/>
                <w:szCs w:val="22"/>
                <w:color w:val="auto"/>
              </w:rPr>
            </w:pPr>
          </w:p>
        </w:tc>
        <w:tc>
          <w:tcPr>
            <w:tcW w:w="838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Joint Press Release issued on August 10, 2022</w:t>
            </w:r>
          </w:p>
        </w:tc>
        <w:tc>
          <w:tcPr>
            <w:tcW w:w="0" w:type="dxa"/>
            <w:vAlign w:val="bottom"/>
          </w:tcPr>
          <w:p>
            <w:pPr>
              <w:spacing w:after="0"/>
              <w:rPr>
                <w:sz w:val="1"/>
                <w:szCs w:val="1"/>
                <w:color w:val="auto"/>
              </w:rPr>
            </w:pPr>
          </w:p>
        </w:tc>
      </w:tr>
      <w:tr>
        <w:trPr>
          <w:trHeight w:val="264"/>
        </w:trPr>
        <w:tc>
          <w:tcPr>
            <w:tcW w:w="4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2"/>
              </w:rPr>
              <w:t>99.2</w:t>
            </w:r>
          </w:p>
        </w:tc>
        <w:tc>
          <w:tcPr>
            <w:tcW w:w="460" w:type="dxa"/>
            <w:vAlign w:val="bottom"/>
          </w:tcPr>
          <w:p>
            <w:pPr>
              <w:spacing w:after="0"/>
              <w:rPr>
                <w:sz w:val="22"/>
                <w:szCs w:val="22"/>
                <w:color w:val="auto"/>
              </w:rPr>
            </w:pPr>
          </w:p>
        </w:tc>
        <w:tc>
          <w:tcPr>
            <w:tcW w:w="29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Investor Presentation, dated August 10, 2022</w:t>
            </w:r>
          </w:p>
        </w:tc>
        <w:tc>
          <w:tcPr>
            <w:tcW w:w="54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60" w:type="dxa"/>
            <w:vAlign w:val="bottom"/>
          </w:tcPr>
          <w:p>
            <w:pPr>
              <w:spacing w:after="0"/>
              <w:rPr>
                <w:sz w:val="24"/>
                <w:szCs w:val="24"/>
                <w:color w:val="auto"/>
              </w:rPr>
            </w:pPr>
          </w:p>
        </w:tc>
        <w:tc>
          <w:tcPr>
            <w:tcW w:w="83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6756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341" w:lineRule="exact"/>
        <w:rPr>
          <w:sz w:val="20"/>
          <w:szCs w:val="20"/>
          <w:color w:val="auto"/>
        </w:rPr>
      </w:pPr>
    </w:p>
    <w:p>
      <w:pPr>
        <w:ind w:left="181" w:right="300" w:hanging="181"/>
        <w:spacing w:after="0" w:line="256" w:lineRule="auto"/>
        <w:tabs>
          <w:tab w:leader="none" w:pos="18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Exhibits and/or schedules have been omitted pursuant to Item 601(a)(5) of Regulation S-K. The registrant hereby undertakes to furnish supplementally copies of any of the omitted exhibits and schedules upon request by the SEC;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registrant may request confidential treatment pursuant to Rule 24b-2 under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for any exhibits or schedules so furnished.</w:t>
      </w:r>
    </w:p>
    <w:p>
      <w:pPr>
        <w:sectPr>
          <w:pgSz w:w="11900" w:h="16838" w:orient="portrait"/>
          <w:cols w:equalWidth="0" w:num="1">
            <w:col w:w="9581"/>
          </w:cols>
          <w:pgMar w:left="1119" w:top="275" w:right="11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w:t>
      </w:r>
    </w:p>
    <w:p>
      <w:pPr>
        <w:spacing w:after="0" w:line="19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40" w:type="dxa"/>
            <w:vAlign w:val="bottom"/>
          </w:tcPr>
          <w:p>
            <w:pPr>
              <w:spacing w:after="0"/>
              <w:rPr>
                <w:sz w:val="17"/>
                <w:szCs w:val="17"/>
                <w:color w:val="auto"/>
              </w:rPr>
            </w:pPr>
          </w:p>
        </w:tc>
        <w:tc>
          <w:tcPr>
            <w:tcW w:w="6500" w:type="dxa"/>
            <w:vAlign w:val="bottom"/>
            <w:gridSpan w:val="2"/>
          </w:tcPr>
          <w:p>
            <w:pPr>
              <w:ind w:left="1700"/>
              <w:spacing w:after="0"/>
              <w:rPr>
                <w:sz w:val="20"/>
                <w:szCs w:val="20"/>
                <w:color w:val="auto"/>
              </w:rPr>
            </w:pPr>
            <w:r>
              <w:rPr>
                <w:rFonts w:ascii="Times New Roman" w:cs="Times New Roman" w:eastAsia="Times New Roman" w:hAnsi="Times New Roman"/>
                <w:sz w:val="16"/>
                <w:szCs w:val="16"/>
                <w:color w:val="auto"/>
              </w:rPr>
              <w:t>GEMINI THERAPEUTICS, INC.</w:t>
            </w:r>
          </w:p>
        </w:tc>
      </w:tr>
      <w:tr>
        <w:trPr>
          <w:trHeight w:val="378"/>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10, 2022</w:t>
            </w:r>
          </w:p>
        </w:tc>
        <w:tc>
          <w:tcPr>
            <w:tcW w:w="226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Dr. Georges Gemayel</w:t>
            </w:r>
          </w:p>
        </w:tc>
      </w:tr>
      <w:tr>
        <w:trPr>
          <w:trHeight w:val="176"/>
        </w:trPr>
        <w:tc>
          <w:tcPr>
            <w:tcW w:w="3140" w:type="dxa"/>
            <w:vAlign w:val="bottom"/>
          </w:tcPr>
          <w:p>
            <w:pPr>
              <w:spacing w:after="0"/>
              <w:rPr>
                <w:sz w:val="15"/>
                <w:szCs w:val="15"/>
                <w:color w:val="auto"/>
              </w:rPr>
            </w:pPr>
          </w:p>
        </w:tc>
        <w:tc>
          <w:tcPr>
            <w:tcW w:w="2260" w:type="dxa"/>
            <w:vAlign w:val="bottom"/>
          </w:tcPr>
          <w:p>
            <w:pPr>
              <w:ind w:left="1700"/>
              <w:spacing w:after="0" w:line="177" w:lineRule="exact"/>
              <w:rPr>
                <w:sz w:val="20"/>
                <w:szCs w:val="20"/>
                <w:color w:val="auto"/>
              </w:rPr>
            </w:pPr>
            <w:r>
              <w:rPr>
                <w:rFonts w:ascii="Times New Roman" w:cs="Times New Roman" w:eastAsia="Times New Roman" w:hAnsi="Times New Roman"/>
                <w:sz w:val="16"/>
                <w:szCs w:val="16"/>
                <w:color w:val="auto"/>
              </w:rPr>
              <w:t>Name:</w:t>
            </w:r>
          </w:p>
        </w:tc>
        <w:tc>
          <w:tcPr>
            <w:tcW w:w="42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Dr. Georges Gemayel</w:t>
            </w:r>
          </w:p>
        </w:tc>
      </w:tr>
      <w:tr>
        <w:trPr>
          <w:trHeight w:val="206"/>
        </w:trPr>
        <w:tc>
          <w:tcPr>
            <w:tcW w:w="3140" w:type="dxa"/>
            <w:vAlign w:val="bottom"/>
          </w:tcPr>
          <w:p>
            <w:pPr>
              <w:spacing w:after="0"/>
              <w:rPr>
                <w:sz w:val="17"/>
                <w:szCs w:val="17"/>
                <w:color w:val="auto"/>
              </w:rPr>
            </w:pPr>
          </w:p>
        </w:tc>
        <w:tc>
          <w:tcPr>
            <w:tcW w:w="2260" w:type="dxa"/>
            <w:vAlign w:val="bottom"/>
          </w:tcPr>
          <w:p>
            <w:pPr>
              <w:ind w:left="1700"/>
              <w:spacing w:after="0"/>
              <w:rPr>
                <w:sz w:val="20"/>
                <w:szCs w:val="20"/>
                <w:color w:val="auto"/>
              </w:rPr>
            </w:pPr>
            <w:r>
              <w:rPr>
                <w:rFonts w:ascii="Times New Roman" w:cs="Times New Roman" w:eastAsia="Times New Roman" w:hAnsi="Times New Roman"/>
                <w:sz w:val="16"/>
                <w:szCs w:val="16"/>
                <w:color w:val="auto"/>
              </w:rPr>
              <w:t>Title:</w:t>
            </w: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Interim President and Chief Executive Officer</w:t>
            </w:r>
          </w:p>
        </w:tc>
      </w:tr>
    </w:tbl>
    <w:p>
      <w:pPr>
        <w:sectPr>
          <w:pgSz w:w="11900" w:h="16838" w:orient="portrait"/>
          <w:cols w:equalWidth="0" w:num="1">
            <w:col w:w="9640"/>
          </w:cols>
          <w:pgMar w:left="1120" w:top="275" w:right="11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COPY</w:t>
      </w:r>
    </w:p>
    <w:p>
      <w:pPr>
        <w:spacing w:after="0" w:line="3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AGREEMENT AND PLAN OF MERGER</w:t>
      </w:r>
    </w:p>
    <w:p>
      <w:pPr>
        <w:spacing w:after="0" w:line="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AND REORGANIZATION</w:t>
      </w:r>
    </w:p>
    <w:p>
      <w:pPr>
        <w:spacing w:after="0" w:line="1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among:</w:t>
      </w:r>
    </w:p>
    <w:p>
      <w:pPr>
        <w:spacing w:after="0" w:line="1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GEMINI THERAPEUTICS, INC.</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GEMSTONE MERGER SUB, INC.</w:t>
      </w:r>
      <w:r>
        <w:rPr>
          <w:rFonts w:ascii="Times New Roman" w:cs="Times New Roman" w:eastAsia="Times New Roman" w:hAnsi="Times New Roman"/>
          <w:sz w:val="16"/>
          <w:szCs w:val="16"/>
          <w:color w:val="auto"/>
        </w:rPr>
        <w:t>; and</w:t>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Dated as of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208915</wp:posOffset>
            </wp:positionV>
            <wp:extent cx="12915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320"/>
          </w:cols>
          <w:pgMar w:left="1440" w:top="121" w:right="11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8"/>
        </w:trPr>
        <w:tc>
          <w:tcPr>
            <w:tcW w:w="680" w:type="dxa"/>
            <w:vAlign w:val="bottom"/>
          </w:tcPr>
          <w:p>
            <w:pPr>
              <w:spacing w:after="0"/>
              <w:rPr>
                <w:sz w:val="18"/>
                <w:szCs w:val="18"/>
                <w:color w:val="auto"/>
              </w:rPr>
            </w:pPr>
          </w:p>
        </w:tc>
        <w:tc>
          <w:tcPr>
            <w:tcW w:w="6820" w:type="dxa"/>
            <w:vAlign w:val="bottom"/>
          </w:tcPr>
          <w:p>
            <w:pPr>
              <w:ind w:left="33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100" w:type="dxa"/>
            <w:vAlign w:val="bottom"/>
          </w:tcPr>
          <w:p>
            <w:pPr>
              <w:spacing w:after="0"/>
              <w:rPr>
                <w:sz w:val="18"/>
                <w:szCs w:val="18"/>
                <w:color w:val="auto"/>
              </w:rPr>
            </w:pPr>
          </w:p>
        </w:tc>
      </w:tr>
      <w:tr>
        <w:trPr>
          <w:trHeight w:val="326"/>
        </w:trPr>
        <w:tc>
          <w:tcPr>
            <w:tcW w:w="6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6"/>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 Definitions and Interpretative Provisions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Definitions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Definitional and Interpretative Provisions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 Description of Transaction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The Merger</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Effects of the Merger</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Closing; Effective Time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Certificate of Incorporation and Bylaws; Directors and Officers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Conversion of Shares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Closing of the Company’s Transfer Books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Surrender of Certificates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Appraisal Rights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Further Action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2.10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Consequences; Withholding</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2.11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Net Cash</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 Representations and Warranties of the Company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Organization; Subsidiaries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Organizational 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Authority; Binding Nature of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Vote Required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Non-Contravention; Consents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Capitalization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Financial Statements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Absence of Changes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Absence of Undisclosed Liabilities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 to Assets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Real Property; Leasehold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Intellectual Property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Agreements, Contracts and Commitments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Compliance; Permits; Restrictions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Legal Proceedings; Orders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19"/>
        </w:trPr>
        <w:tc>
          <w:tcPr>
            <w:tcW w:w="680" w:type="dxa"/>
            <w:vAlign w:val="bottom"/>
          </w:tcPr>
          <w:p>
            <w:pPr>
              <w:spacing w:after="0"/>
              <w:rPr>
                <w:sz w:val="24"/>
                <w:szCs w:val="24"/>
                <w:color w:val="auto"/>
              </w:rPr>
            </w:pPr>
          </w:p>
        </w:tc>
        <w:tc>
          <w:tcPr>
            <w:tcW w:w="6820" w:type="dxa"/>
            <w:vAlign w:val="bottom"/>
          </w:tcPr>
          <w:p>
            <w:pPr>
              <w:ind w:left="4060"/>
              <w:spacing w:after="0"/>
              <w:rPr>
                <w:sz w:val="20"/>
                <w:szCs w:val="20"/>
                <w:color w:val="auto"/>
              </w:rPr>
            </w:pPr>
            <w:r>
              <w:rPr>
                <w:rFonts w:ascii="Times New Roman" w:cs="Times New Roman" w:eastAsia="Times New Roman" w:hAnsi="Times New Roman"/>
                <w:sz w:val="16"/>
                <w:szCs w:val="16"/>
                <w:color w:val="auto"/>
              </w:rPr>
              <w:t>-i-</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600"/>
          </w:cols>
          <w:pgMar w:left="1120" w:top="251" w:right="117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191"/>
        </w:trPr>
        <w:tc>
          <w:tcPr>
            <w:tcW w:w="680" w:type="dxa"/>
            <w:vAlign w:val="bottom"/>
          </w:tcPr>
          <w:p>
            <w:pPr>
              <w:spacing w:after="0"/>
              <w:rPr>
                <w:sz w:val="16"/>
                <w:szCs w:val="16"/>
                <w:color w:val="auto"/>
              </w:rPr>
            </w:pPr>
          </w:p>
        </w:tc>
        <w:tc>
          <w:tcPr>
            <w:tcW w:w="6820" w:type="dxa"/>
            <w:vAlign w:val="bottom"/>
          </w:tcPr>
          <w:p>
            <w:pPr>
              <w:jc w:val="center"/>
              <w:ind w:left="1381"/>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100" w:type="dxa"/>
            <w:vAlign w:val="bottom"/>
          </w:tcPr>
          <w:p>
            <w:pPr>
              <w:spacing w:after="0"/>
              <w:rPr>
                <w:sz w:val="16"/>
                <w:szCs w:val="16"/>
                <w:color w:val="auto"/>
              </w:rPr>
            </w:pPr>
          </w:p>
        </w:tc>
      </w:tr>
      <w:tr>
        <w:trPr>
          <w:trHeight w:val="206"/>
        </w:trPr>
        <w:tc>
          <w:tcPr>
            <w:tcW w:w="680" w:type="dxa"/>
            <w:vAlign w:val="bottom"/>
          </w:tcPr>
          <w:p>
            <w:pPr>
              <w:spacing w:after="0"/>
              <w:rPr>
                <w:sz w:val="17"/>
                <w:szCs w:val="17"/>
                <w:color w:val="auto"/>
              </w:rPr>
            </w:pPr>
          </w:p>
        </w:tc>
        <w:tc>
          <w:tcPr>
            <w:tcW w:w="6820" w:type="dxa"/>
            <w:vAlign w:val="bottom"/>
          </w:tcPr>
          <w:p>
            <w:pPr>
              <w:jc w:val="center"/>
              <w:ind w:left="1381"/>
              <w:spacing w:after="0"/>
              <w:rPr>
                <w:sz w:val="20"/>
                <w:szCs w:val="20"/>
                <w:color w:val="auto"/>
              </w:rPr>
            </w:pPr>
            <w:r>
              <w:rPr>
                <w:rFonts w:ascii="Times New Roman" w:cs="Times New Roman" w:eastAsia="Times New Roman" w:hAnsi="Times New Roman"/>
                <w:sz w:val="16"/>
                <w:szCs w:val="16"/>
                <w:color w:val="auto"/>
                <w:w w:val="97"/>
              </w:rPr>
              <w:t>(continued)</w:t>
            </w:r>
          </w:p>
        </w:tc>
        <w:tc>
          <w:tcPr>
            <w:tcW w:w="2100" w:type="dxa"/>
            <w:vAlign w:val="bottom"/>
          </w:tcPr>
          <w:p>
            <w:pPr>
              <w:spacing w:after="0"/>
              <w:rPr>
                <w:sz w:val="17"/>
                <w:szCs w:val="17"/>
                <w:color w:val="auto"/>
              </w:rPr>
            </w:pPr>
          </w:p>
        </w:tc>
      </w:tr>
      <w:tr>
        <w:trPr>
          <w:trHeight w:val="243"/>
        </w:trPr>
        <w:tc>
          <w:tcPr>
            <w:tcW w:w="68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6"/>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Employee and Labor Matters; Benefit Plans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Environmental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Insurance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Financial Advisors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Transactions with Affiliates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Privacy and Data Security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Subscription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3.24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4. Representations and Warranties of Gem and Merger Sub</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Organization; Subsidiaries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Organizational 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Authority; Binding Nature of Agreement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Vote Required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Non-Contravention; Consents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Capitalization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 Filings; Financial Statements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Absence of Changes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Absence of Undisclosed Liabilities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 to Assets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Real Property; Leasehold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Intellectual Property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Agreements, Contracts and Commitments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Compliance; Permits; Restrictions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Legal Proceedings; Orders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Employee and Labor Matters; Benefit Plans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Environmental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4.19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Insurance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Transactions with Affiliates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Financial Advisors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319"/>
        </w:trPr>
        <w:tc>
          <w:tcPr>
            <w:tcW w:w="680" w:type="dxa"/>
            <w:vAlign w:val="bottom"/>
          </w:tcPr>
          <w:p>
            <w:pPr>
              <w:spacing w:after="0"/>
              <w:rPr>
                <w:sz w:val="24"/>
                <w:szCs w:val="24"/>
                <w:color w:val="auto"/>
              </w:rPr>
            </w:pPr>
          </w:p>
        </w:tc>
        <w:tc>
          <w:tcPr>
            <w:tcW w:w="6820" w:type="dxa"/>
            <w:vAlign w:val="bottom"/>
          </w:tcPr>
          <w:p>
            <w:pPr>
              <w:jc w:val="center"/>
              <w:ind w:left="1381"/>
              <w:spacing w:after="0"/>
              <w:rPr>
                <w:sz w:val="20"/>
                <w:szCs w:val="20"/>
                <w:color w:val="auto"/>
              </w:rPr>
            </w:pPr>
            <w:r>
              <w:rPr>
                <w:rFonts w:ascii="Times New Roman" w:cs="Times New Roman" w:eastAsia="Times New Roman" w:hAnsi="Times New Roman"/>
                <w:sz w:val="16"/>
                <w:szCs w:val="16"/>
                <w:color w:val="auto"/>
              </w:rPr>
              <w:t>-ii-</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600"/>
          </w:cols>
          <w:pgMar w:left="1120" w:top="251" w:right="117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191"/>
        </w:trPr>
        <w:tc>
          <w:tcPr>
            <w:tcW w:w="6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760" w:type="dxa"/>
            <w:vAlign w:val="bottom"/>
          </w:tcPr>
          <w:p>
            <w:pPr>
              <w:jc w:val="center"/>
              <w:ind w:right="3722"/>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r>
      <w:tr>
        <w:trPr>
          <w:trHeight w:val="206"/>
        </w:trPr>
        <w:tc>
          <w:tcPr>
            <w:tcW w:w="6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760" w:type="dxa"/>
            <w:vAlign w:val="bottom"/>
          </w:tcPr>
          <w:p>
            <w:pPr>
              <w:jc w:val="center"/>
              <w:ind w:right="3722"/>
              <w:spacing w:after="0"/>
              <w:rPr>
                <w:sz w:val="20"/>
                <w:szCs w:val="20"/>
                <w:color w:val="auto"/>
              </w:rPr>
            </w:pPr>
            <w:r>
              <w:rPr>
                <w:rFonts w:ascii="Times New Roman" w:cs="Times New Roman" w:eastAsia="Times New Roman" w:hAnsi="Times New Roman"/>
                <w:sz w:val="16"/>
                <w:szCs w:val="16"/>
                <w:color w:val="auto"/>
                <w:w w:val="97"/>
              </w:rPr>
              <w:t>(continued)</w:t>
            </w:r>
          </w:p>
        </w:tc>
      </w:tr>
      <w:tr>
        <w:trPr>
          <w:trHeight w:val="243"/>
        </w:trPr>
        <w:tc>
          <w:tcPr>
            <w:tcW w:w="6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6"/>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4.22</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Valid Issuance</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4.23</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Privacy and Data Security</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4.24</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84"/>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5. Certain Covenants of the Parties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5.1</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Operation of Gem’s Business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5.2</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Operation of the Company’s Business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5.3</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Access and Investigation</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5.4</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Solicitation</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5.5</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Notification of Certain Matters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5.6</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CVR Arrangements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5.7</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Asset Disposition</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84"/>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6. Additional Agreements of the Parties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Registration Statement; Proxy Statement</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6.2</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Company Stockholder Written Consent</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6.3</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Stockholder Meeting</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6.4</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Efforts; Regulatory Approvals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6.5</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Company Options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6.6</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Options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6.7</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Employee Benefits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6.8</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Indemnification of Officers and Directors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6.9</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Disclosure</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6.10</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Listing</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6.11</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Matters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6.12</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Legends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6.13</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Directors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6.14</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Termination of Certain Agreements and Rights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6.15</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Section 16 Matters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6.16</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Allocation Certificate</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6.17</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Nasdaq Reverse Split</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6.18</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Takeover Statutes</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6.19</w:t>
            </w:r>
          </w:p>
        </w:tc>
        <w:tc>
          <w:tcPr>
            <w:tcW w:w="3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Stockholder Litigation</w:t>
            </w:r>
          </w:p>
        </w:tc>
        <w:tc>
          <w:tcPr>
            <w:tcW w:w="5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319"/>
        </w:trPr>
        <w:tc>
          <w:tcPr>
            <w:tcW w:w="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760" w:type="dxa"/>
            <w:vAlign w:val="bottom"/>
          </w:tcPr>
          <w:p>
            <w:pPr>
              <w:jc w:val="center"/>
              <w:ind w:right="3722"/>
              <w:spacing w:after="0"/>
              <w:rPr>
                <w:sz w:val="20"/>
                <w:szCs w:val="20"/>
                <w:color w:val="auto"/>
              </w:rPr>
            </w:pPr>
            <w:r>
              <w:rPr>
                <w:rFonts w:ascii="Times New Roman" w:cs="Times New Roman" w:eastAsia="Times New Roman" w:hAnsi="Times New Roman"/>
                <w:sz w:val="16"/>
                <w:szCs w:val="16"/>
                <w:color w:val="auto"/>
                <w:w w:val="99"/>
              </w:rPr>
              <w:t>-iii-</w:t>
            </w:r>
          </w:p>
        </w:tc>
      </w:tr>
    </w:tbl>
    <w:p>
      <w:pPr>
        <w:jc w:val="center"/>
        <w:ind w:right="3722"/>
        <w:spacing w:after="0"/>
        <w:rPr>
          <w:sz w:val="20"/>
          <w:szCs w:val="20"/>
          <w:color w:val="auto"/>
        </w:rPr>
        <w:sectPr>
          <w:pgSz w:w="11900" w:h="16838" w:orient="portrait"/>
          <w:cols w:equalWidth="0" w:num="1">
            <w:col w:w="9600"/>
          </w:cols>
          <w:pgMar w:left="1120" w:top="251" w:right="117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191"/>
        </w:trPr>
        <w:tc>
          <w:tcPr>
            <w:tcW w:w="680" w:type="dxa"/>
            <w:vAlign w:val="bottom"/>
          </w:tcPr>
          <w:p>
            <w:pPr>
              <w:spacing w:after="0"/>
              <w:rPr>
                <w:sz w:val="16"/>
                <w:szCs w:val="16"/>
                <w:color w:val="auto"/>
              </w:rPr>
            </w:pPr>
          </w:p>
        </w:tc>
        <w:tc>
          <w:tcPr>
            <w:tcW w:w="6820" w:type="dxa"/>
            <w:vAlign w:val="bottom"/>
          </w:tcPr>
          <w:p>
            <w:pPr>
              <w:jc w:val="center"/>
              <w:ind w:left="1381"/>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100" w:type="dxa"/>
            <w:vAlign w:val="bottom"/>
          </w:tcPr>
          <w:p>
            <w:pPr>
              <w:spacing w:after="0"/>
              <w:rPr>
                <w:sz w:val="16"/>
                <w:szCs w:val="16"/>
                <w:color w:val="auto"/>
              </w:rPr>
            </w:pPr>
          </w:p>
        </w:tc>
      </w:tr>
      <w:tr>
        <w:trPr>
          <w:trHeight w:val="206"/>
        </w:trPr>
        <w:tc>
          <w:tcPr>
            <w:tcW w:w="680" w:type="dxa"/>
            <w:vAlign w:val="bottom"/>
          </w:tcPr>
          <w:p>
            <w:pPr>
              <w:spacing w:after="0"/>
              <w:rPr>
                <w:sz w:val="17"/>
                <w:szCs w:val="17"/>
                <w:color w:val="auto"/>
              </w:rPr>
            </w:pPr>
          </w:p>
        </w:tc>
        <w:tc>
          <w:tcPr>
            <w:tcW w:w="6820" w:type="dxa"/>
            <w:vAlign w:val="bottom"/>
          </w:tcPr>
          <w:p>
            <w:pPr>
              <w:jc w:val="center"/>
              <w:ind w:left="1381"/>
              <w:spacing w:after="0"/>
              <w:rPr>
                <w:sz w:val="20"/>
                <w:szCs w:val="20"/>
                <w:color w:val="auto"/>
              </w:rPr>
            </w:pPr>
            <w:r>
              <w:rPr>
                <w:rFonts w:ascii="Times New Roman" w:cs="Times New Roman" w:eastAsia="Times New Roman" w:hAnsi="Times New Roman"/>
                <w:sz w:val="16"/>
                <w:szCs w:val="16"/>
                <w:color w:val="auto"/>
                <w:w w:val="97"/>
              </w:rPr>
              <w:t>(continued)</w:t>
            </w:r>
          </w:p>
        </w:tc>
        <w:tc>
          <w:tcPr>
            <w:tcW w:w="2100" w:type="dxa"/>
            <w:vAlign w:val="bottom"/>
          </w:tcPr>
          <w:p>
            <w:pPr>
              <w:spacing w:after="0"/>
              <w:rPr>
                <w:sz w:val="17"/>
                <w:szCs w:val="17"/>
                <w:color w:val="auto"/>
              </w:rPr>
            </w:pPr>
          </w:p>
        </w:tc>
      </w:tr>
      <w:tr>
        <w:trPr>
          <w:trHeight w:val="243"/>
        </w:trPr>
        <w:tc>
          <w:tcPr>
            <w:tcW w:w="68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6"/>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6.20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SEC 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6.21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Obligations of Merger Sub</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 Conditions Precedent to Obligations of Each Party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Effectiveness of Registration Statement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Restraints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Stockholder Approval</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Listing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 Additional Conditions Precedent to Obligations of Gem and Merger Sub</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Accuracy of Representations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Performance of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Closing Certificate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FIRPTA Certificate</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Company Material Adverse Effect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Company Lock-Up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8.7</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Termination of Investor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8.8</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Company Preferred Stock Conversion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8.9</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Third Party Consents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8.10</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Dividend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 Additional Conditions Precedent to Obligation of the Company</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Accuracy of Representations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Performance of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Documents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9.4</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Gem Material Adverse Effect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9.5</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Gem Lock-Up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9.6</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Listing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10. Termination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Termination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10.2</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Effect of Termination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10.3</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Expenses; Termination Fees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84"/>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 Miscellaneous Provisions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84"/>
        </w:trPr>
        <w:tc>
          <w:tcPr>
            <w:tcW w:w="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11.1</w:t>
            </w:r>
          </w:p>
        </w:tc>
        <w:tc>
          <w:tcPr>
            <w:tcW w:w="6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Non-Survival of Representations and Warranties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319"/>
        </w:trPr>
        <w:tc>
          <w:tcPr>
            <w:tcW w:w="680" w:type="dxa"/>
            <w:vAlign w:val="bottom"/>
          </w:tcPr>
          <w:p>
            <w:pPr>
              <w:spacing w:after="0"/>
              <w:rPr>
                <w:sz w:val="24"/>
                <w:szCs w:val="24"/>
                <w:color w:val="auto"/>
              </w:rPr>
            </w:pPr>
          </w:p>
        </w:tc>
        <w:tc>
          <w:tcPr>
            <w:tcW w:w="6820" w:type="dxa"/>
            <w:vAlign w:val="bottom"/>
          </w:tcPr>
          <w:p>
            <w:pPr>
              <w:jc w:val="center"/>
              <w:ind w:left="1401"/>
              <w:spacing w:after="0"/>
              <w:rPr>
                <w:sz w:val="20"/>
                <w:szCs w:val="20"/>
                <w:color w:val="auto"/>
              </w:rPr>
            </w:pPr>
            <w:r>
              <w:rPr>
                <w:rFonts w:ascii="Times New Roman" w:cs="Times New Roman" w:eastAsia="Times New Roman" w:hAnsi="Times New Roman"/>
                <w:sz w:val="16"/>
                <w:szCs w:val="16"/>
                <w:color w:val="auto"/>
                <w:w w:val="95"/>
              </w:rPr>
              <w:t>-iv-</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600"/>
          </w:cols>
          <w:pgMar w:left="1120" w:top="251" w:right="117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bookmarkStart w:id="13" w:name="page14"/>
    <w:bookmarkEnd w:id="13"/>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TABLE OF CONTENTS</w:t>
      </w:r>
    </w:p>
    <w:p>
      <w:pPr>
        <w:spacing w:after="0" w:line="2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(continued)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6"/>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11.2</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Amendment</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11.3</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Waiver</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11.4</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Entire Agreement; Counterparts; Exchanges by Facsimile</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11.5</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Applicable Law; Jurisdiction</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11.6</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Assignability</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11.7</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Notices</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11.8</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Cooperation</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11.9</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Severability</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99"/>
              </w:rPr>
              <w:t>11.10</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Remedies; Specific Performance</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8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w w:val="99"/>
              </w:rPr>
              <w:t>11.11</w:t>
            </w:r>
          </w:p>
        </w:tc>
        <w:tc>
          <w:tcPr>
            <w:tcW w:w="3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 Third Party Beneficiaries</w:t>
            </w:r>
          </w:p>
        </w:tc>
        <w:tc>
          <w:tcPr>
            <w:tcW w:w="5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319"/>
        </w:trPr>
        <w:tc>
          <w:tcPr>
            <w:tcW w:w="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040" w:type="dxa"/>
            <w:vAlign w:val="bottom"/>
          </w:tcPr>
          <w:p>
            <w:pPr>
              <w:jc w:val="right"/>
              <w:ind w:right="4602"/>
              <w:spacing w:after="0"/>
              <w:rPr>
                <w:sz w:val="20"/>
                <w:szCs w:val="20"/>
                <w:color w:val="auto"/>
              </w:rPr>
            </w:pPr>
            <w:r>
              <w:rPr>
                <w:rFonts w:ascii="Times New Roman" w:cs="Times New Roman" w:eastAsia="Times New Roman" w:hAnsi="Times New Roman"/>
                <w:sz w:val="16"/>
                <w:szCs w:val="16"/>
                <w:color w:val="auto"/>
              </w:rPr>
              <w:t>-v-</w:t>
            </w:r>
          </w:p>
        </w:tc>
      </w:tr>
    </w:tbl>
    <w:p>
      <w:pPr>
        <w:sectPr>
          <w:pgSz w:w="11900" w:h="16838" w:orient="portrait"/>
          <w:cols w:equalWidth="0" w:num="1">
            <w:col w:w="9280"/>
          </w:cols>
          <w:pgMar w:left="1440" w:top="251" w:right="11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Exhibits:</w:t>
      </w:r>
    </w:p>
    <w:p>
      <w:pPr>
        <w:sectPr>
          <w:pgSz w:w="11900" w:h="16838" w:orient="portrait"/>
          <w:cols w:equalWidth="0" w:num="1">
            <w:col w:w="9339"/>
          </w:cols>
          <w:pgMar w:left="1120" w:top="251" w:right="1440" w:bottom="1440" w:gutter="0" w:footer="0" w:header="0"/>
        </w:sectPr>
      </w:pPr>
    </w:p>
    <w:p>
      <w:pPr>
        <w:spacing w:after="0" w:line="232" w:lineRule="exact"/>
        <w:rPr>
          <w:sz w:val="20"/>
          <w:szCs w:val="20"/>
          <w:color w:val="auto"/>
        </w:rPr>
      </w:pPr>
    </w:p>
    <w:p>
      <w:pPr>
        <w:jc w:val="both"/>
        <w:spacing w:after="0" w:line="406" w:lineRule="auto"/>
        <w:rPr>
          <w:sz w:val="20"/>
          <w:szCs w:val="20"/>
          <w:color w:val="auto"/>
        </w:rPr>
      </w:pPr>
      <w:r>
        <w:rPr>
          <w:rFonts w:ascii="Times New Roman" w:cs="Times New Roman" w:eastAsia="Times New Roman" w:hAnsi="Times New Roman"/>
          <w:sz w:val="15"/>
          <w:szCs w:val="15"/>
          <w:color w:val="auto"/>
        </w:rPr>
        <w:t>Exhibit A Exhibit B Exhibit C Exhibit D Exhibit 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Gem Stockholder Support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Form of Company Stockholder Support Agreement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Lock-Up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Subscription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CVR Agreement</w:t>
      </w:r>
    </w:p>
    <w:p>
      <w:pPr>
        <w:sectPr>
          <w:pgSz w:w="11900" w:h="16838" w:orient="portrait"/>
          <w:cols w:equalWidth="0" w:num="2">
            <w:col w:w="620" w:space="540"/>
            <w:col w:w="8179"/>
          </w:cols>
          <w:pgMar w:left="1120" w:top="251" w:right="1440" w:bottom="1440" w:gutter="0" w:footer="0" w:header="0"/>
          <w:type w:val="continuous"/>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AGREEMENT AND PLAN OF MERGER AND REORGANIZATION</w:t>
      </w:r>
    </w:p>
    <w:p>
      <w:pPr>
        <w:spacing w:after="0" w:line="194" w:lineRule="exact"/>
        <w:rPr>
          <w:sz w:val="20"/>
          <w:szCs w:val="20"/>
          <w:color w:val="auto"/>
        </w:rPr>
      </w:pPr>
    </w:p>
    <w:p>
      <w:pPr>
        <w:ind w:left="1" w:right="40" w:firstLine="386"/>
        <w:spacing w:after="0" w:line="257" w:lineRule="auto"/>
        <w:rPr>
          <w:sz w:val="20"/>
          <w:szCs w:val="20"/>
          <w:color w:val="auto"/>
        </w:rPr>
      </w:pP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3"/>
          <w:szCs w:val="13"/>
          <w:b w:val="1"/>
          <w:bCs w:val="1"/>
          <w:color w:val="auto"/>
        </w:rPr>
        <w:t>HIS</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3"/>
          <w:szCs w:val="13"/>
          <w:b w:val="1"/>
          <w:bCs w:val="1"/>
          <w:color w:val="auto"/>
        </w:rPr>
        <w:t>GREEMENT AND</w:t>
      </w:r>
      <w:r>
        <w:rPr>
          <w:rFonts w:ascii="Times New Roman" w:cs="Times New Roman" w:eastAsia="Times New Roman" w:hAnsi="Times New Roman"/>
          <w:sz w:val="16"/>
          <w:szCs w:val="16"/>
          <w:b w:val="1"/>
          <w:bCs w:val="1"/>
          <w:color w:val="auto"/>
        </w:rPr>
        <w:t xml:space="preserve"> P</w:t>
      </w:r>
      <w:r>
        <w:rPr>
          <w:rFonts w:ascii="Times New Roman" w:cs="Times New Roman" w:eastAsia="Times New Roman" w:hAnsi="Times New Roman"/>
          <w:sz w:val="13"/>
          <w:szCs w:val="13"/>
          <w:b w:val="1"/>
          <w:bCs w:val="1"/>
          <w:color w:val="auto"/>
        </w:rPr>
        <w:t>LAN OF</w:t>
      </w:r>
      <w:r>
        <w:rPr>
          <w:rFonts w:ascii="Times New Roman" w:cs="Times New Roman" w:eastAsia="Times New Roman" w:hAnsi="Times New Roman"/>
          <w:sz w:val="16"/>
          <w:szCs w:val="16"/>
          <w:b w:val="1"/>
          <w:bCs w:val="1"/>
          <w:color w:val="auto"/>
        </w:rPr>
        <w:t xml:space="preserve"> M</w:t>
      </w:r>
      <w:r>
        <w:rPr>
          <w:rFonts w:ascii="Times New Roman" w:cs="Times New Roman" w:eastAsia="Times New Roman" w:hAnsi="Times New Roman"/>
          <w:sz w:val="13"/>
          <w:szCs w:val="13"/>
          <w:b w:val="1"/>
          <w:bCs w:val="1"/>
          <w:color w:val="auto"/>
        </w:rPr>
        <w:t>ERGER AND</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3"/>
          <w:szCs w:val="13"/>
          <w:b w:val="1"/>
          <w:bCs w:val="1"/>
          <w:color w:val="auto"/>
        </w:rPr>
        <w:t>EORGANIZATION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made and entered into as of August 9, 2022, by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among </w:t>
      </w:r>
      <w:r>
        <w:rPr>
          <w:rFonts w:ascii="Times New Roman" w:cs="Times New Roman" w:eastAsia="Times New Roman" w:hAnsi="Times New Roman"/>
          <w:sz w:val="16"/>
          <w:szCs w:val="16"/>
          <w:b w:val="1"/>
          <w:bCs w:val="1"/>
          <w:color w:val="auto"/>
        </w:rPr>
        <w:t>G</w:t>
      </w:r>
      <w:r>
        <w:rPr>
          <w:rFonts w:ascii="Times New Roman" w:cs="Times New Roman" w:eastAsia="Times New Roman" w:hAnsi="Times New Roman"/>
          <w:sz w:val="13"/>
          <w:szCs w:val="13"/>
          <w:b w:val="1"/>
          <w:bCs w:val="1"/>
          <w:color w:val="auto"/>
        </w:rPr>
        <w:t>EMINI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16"/>
          <w:szCs w:val="16"/>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 Delaware corporation (“</w:t>
      </w:r>
      <w:r>
        <w:rPr>
          <w:rFonts w:ascii="Times New Roman" w:cs="Times New Roman" w:eastAsia="Times New Roman" w:hAnsi="Times New Roman"/>
          <w:sz w:val="16"/>
          <w:szCs w:val="16"/>
          <w:b w:val="1"/>
          <w:bCs w:val="1"/>
          <w:color w:val="auto"/>
        </w:rPr>
        <w:t>Gem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G</w:t>
      </w:r>
      <w:r>
        <w:rPr>
          <w:rFonts w:ascii="Times New Roman" w:cs="Times New Roman" w:eastAsia="Times New Roman" w:hAnsi="Times New Roman"/>
          <w:sz w:val="13"/>
          <w:szCs w:val="13"/>
          <w:b w:val="1"/>
          <w:bCs w:val="1"/>
          <w:color w:val="auto"/>
        </w:rPr>
        <w:t>EMSTONE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M</w:t>
      </w:r>
      <w:r>
        <w:rPr>
          <w:rFonts w:ascii="Times New Roman" w:cs="Times New Roman" w:eastAsia="Times New Roman" w:hAnsi="Times New Roman"/>
          <w:sz w:val="13"/>
          <w:szCs w:val="13"/>
          <w:b w:val="1"/>
          <w:bCs w:val="1"/>
          <w:color w:val="auto"/>
        </w:rPr>
        <w:t>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3"/>
          <w:szCs w:val="13"/>
          <w:b w:val="1"/>
          <w:bCs w:val="1"/>
          <w:color w:val="auto"/>
        </w:rPr>
        <w:t>UB</w:t>
      </w:r>
      <w:r>
        <w:rPr>
          <w:rFonts w:ascii="Times New Roman" w:cs="Times New Roman" w:eastAsia="Times New Roman" w:hAnsi="Times New Roman"/>
          <w:sz w:val="16"/>
          <w:szCs w:val="16"/>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 Delaware corporation and wholly owned subsidiary of Gem (“</w:t>
      </w:r>
      <w:r>
        <w:rPr>
          <w:rFonts w:ascii="Times New Roman" w:cs="Times New Roman" w:eastAsia="Times New Roman" w:hAnsi="Times New Roman"/>
          <w:sz w:val="16"/>
          <w:szCs w:val="16"/>
          <w:b w:val="1"/>
          <w:bCs w:val="1"/>
          <w:color w:val="auto"/>
        </w:rPr>
        <w:t>Merger Sub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D</w:t>
      </w:r>
      <w:r>
        <w:rPr>
          <w:rFonts w:ascii="Times New Roman" w:cs="Times New Roman" w:eastAsia="Times New Roman" w:hAnsi="Times New Roman"/>
          <w:sz w:val="13"/>
          <w:szCs w:val="13"/>
          <w:b w:val="1"/>
          <w:bCs w:val="1"/>
          <w:color w:val="auto"/>
        </w:rPr>
        <w:t>ISC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M</w:t>
      </w:r>
      <w:r>
        <w:rPr>
          <w:rFonts w:ascii="Times New Roman" w:cs="Times New Roman" w:eastAsia="Times New Roman" w:hAnsi="Times New Roman"/>
          <w:sz w:val="13"/>
          <w:szCs w:val="13"/>
          <w:b w:val="1"/>
          <w:bCs w:val="1"/>
          <w:color w:val="auto"/>
        </w:rPr>
        <w:t>EDICINE</w:t>
      </w:r>
      <w:r>
        <w:rPr>
          <w:rFonts w:ascii="Times New Roman" w:cs="Times New Roman" w:eastAsia="Times New Roman" w:hAnsi="Times New Roman"/>
          <w:sz w:val="16"/>
          <w:szCs w:val="16"/>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 Delaware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xml:space="preserve">”). Certain capitalized terms used in this Agreement are defined in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3"/>
          <w:szCs w:val="13"/>
          <w:b w:val="1"/>
          <w:bCs w:val="1"/>
          <w:color w:val="auto"/>
        </w:rPr>
        <w:t>ECITALS</w:t>
      </w:r>
    </w:p>
    <w:p>
      <w:pPr>
        <w:spacing w:after="0" w:line="194" w:lineRule="exact"/>
        <w:rPr>
          <w:sz w:val="20"/>
          <w:szCs w:val="20"/>
          <w:color w:val="auto"/>
        </w:rPr>
      </w:pPr>
    </w:p>
    <w:p>
      <w:pPr>
        <w:ind w:left="1" w:right="40" w:firstLine="386"/>
        <w:spacing w:after="0" w:line="313" w:lineRule="auto"/>
        <w:rPr>
          <w:sz w:val="20"/>
          <w:szCs w:val="20"/>
          <w:color w:val="auto"/>
        </w:rPr>
      </w:pPr>
      <w:r>
        <w:rPr>
          <w:rFonts w:ascii="Times New Roman" w:cs="Times New Roman" w:eastAsia="Times New Roman" w:hAnsi="Times New Roman"/>
          <w:sz w:val="15"/>
          <w:szCs w:val="15"/>
          <w:color w:val="auto"/>
        </w:rPr>
        <w:t>A. Gem and the Company intend to effect a merger of Merger Sub with and into the Company (the “</w:t>
      </w:r>
      <w:r>
        <w:rPr>
          <w:rFonts w:ascii="Times New Roman" w:cs="Times New Roman" w:eastAsia="Times New Roman" w:hAnsi="Times New Roman"/>
          <w:sz w:val="15"/>
          <w:szCs w:val="15"/>
          <w:b w:val="1"/>
          <w:bCs w:val="1"/>
          <w:color w:val="auto"/>
        </w:rPr>
        <w:t>Merger</w:t>
      </w:r>
      <w:r>
        <w:rPr>
          <w:rFonts w:ascii="Times New Roman" w:cs="Times New Roman" w:eastAsia="Times New Roman" w:hAnsi="Times New Roman"/>
          <w:sz w:val="15"/>
          <w:szCs w:val="15"/>
          <w:color w:val="auto"/>
        </w:rPr>
        <w:t>”) in accordance with this Agreement and the DGCL. Upon consummation of the Merger, Merger Sub will cease to exist and the Company will become a wholly owned subsidiary of Gem.</w:t>
      </w:r>
    </w:p>
    <w:p>
      <w:pPr>
        <w:spacing w:after="0" w:line="25" w:lineRule="exact"/>
        <w:rPr>
          <w:sz w:val="20"/>
          <w:szCs w:val="20"/>
          <w:color w:val="auto"/>
        </w:rPr>
      </w:pPr>
    </w:p>
    <w:p>
      <w:pPr>
        <w:ind w:left="1" w:right="300" w:firstLine="386"/>
        <w:spacing w:after="0" w:line="276" w:lineRule="auto"/>
        <w:rPr>
          <w:sz w:val="20"/>
          <w:szCs w:val="20"/>
          <w:color w:val="auto"/>
        </w:rPr>
      </w:pPr>
      <w:r>
        <w:rPr>
          <w:rFonts w:ascii="Times New Roman" w:cs="Times New Roman" w:eastAsia="Times New Roman" w:hAnsi="Times New Roman"/>
          <w:sz w:val="16"/>
          <w:szCs w:val="16"/>
          <w:color w:val="auto"/>
        </w:rPr>
        <w:t>B. The Parties intend that the Merger qualify as a “reorganization” within the meaning of Section 368(a) of the Code and that this constitute a “plan of reorganization” within the meaning of Treasury Regulations Section 1.368-2(g).</w:t>
      </w:r>
    </w:p>
    <w:p>
      <w:pPr>
        <w:spacing w:after="0" w:line="50" w:lineRule="exact"/>
        <w:rPr>
          <w:sz w:val="20"/>
          <w:szCs w:val="20"/>
          <w:color w:val="auto"/>
        </w:rPr>
      </w:pPr>
    </w:p>
    <w:p>
      <w:pPr>
        <w:ind w:left="1" w:right="20" w:firstLine="386"/>
        <w:spacing w:after="0" w:line="268" w:lineRule="auto"/>
        <w:rPr>
          <w:sz w:val="20"/>
          <w:szCs w:val="20"/>
          <w:color w:val="auto"/>
        </w:rPr>
      </w:pPr>
      <w:r>
        <w:rPr>
          <w:rFonts w:ascii="Times New Roman" w:cs="Times New Roman" w:eastAsia="Times New Roman" w:hAnsi="Times New Roman"/>
          <w:sz w:val="15"/>
          <w:szCs w:val="15"/>
          <w:color w:val="auto"/>
        </w:rPr>
        <w:t>C. The Gem Board has (i) determined that the Contemplated Transactions are fair to, advisable and in the best interests of Gem and its stockholders, (ii) approved and declared advisable this Agreement and the Contemplated Transactions, including the issuance of shares of Gem Common Stock to the stockholders of the Company pursuant to the terms of this Agreement, (iii) determined to recommend, upon the terms and subject to the conditions set forth in this Agreement, that the stockholders of Gem vote to approve this Agreement and thereby approve the Contemplated Transactions, including the issuance of shares of Gem Common Stock to the stockholders of the Company pursuant to the terms of this Agreement,</w:t>
      </w:r>
    </w:p>
    <w:p>
      <w:pPr>
        <w:ind w:left="1" w:hanging="1"/>
        <w:spacing w:after="0" w:line="250" w:lineRule="auto"/>
        <w:tabs>
          <w:tab w:leader="none" w:pos="26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determined that an amendment to Gem’s certificate of incorporation to effect the Nasdaq Reverse Split is advisable and in the best interests of Gem and its stockholders and (v) determined to recommend that the stockholders of Gem vote to approve an amendment to Gem’s certificate of incorporation to effect the Nasdaq Reverse Split and to make the other amendments provided in </w:t>
      </w:r>
      <w:r>
        <w:rPr>
          <w:rFonts w:ascii="Times New Roman" w:cs="Times New Roman" w:eastAsia="Times New Roman" w:hAnsi="Times New Roman"/>
          <w:sz w:val="16"/>
          <w:szCs w:val="16"/>
          <w:u w:val="single" w:color="auto"/>
          <w:color w:val="auto"/>
        </w:rPr>
        <w:t>Section 2.4(c)</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left="1" w:right="20" w:firstLine="385"/>
        <w:spacing w:after="0" w:line="256" w:lineRule="auto"/>
        <w:tabs>
          <w:tab w:leader="none" w:pos="58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approve the Contemplated Transactions.</w:t>
      </w:r>
    </w:p>
    <w:p>
      <w:pPr>
        <w:spacing w:after="0" w:line="66" w:lineRule="exact"/>
        <w:rPr>
          <w:rFonts w:ascii="Times New Roman" w:cs="Times New Roman" w:eastAsia="Times New Roman" w:hAnsi="Times New Roman"/>
          <w:sz w:val="16"/>
          <w:szCs w:val="16"/>
          <w:color w:val="auto"/>
        </w:rPr>
      </w:pPr>
    </w:p>
    <w:p>
      <w:pPr>
        <w:jc w:val="both"/>
        <w:ind w:left="1" w:right="120" w:firstLine="385"/>
        <w:spacing w:after="0" w:line="256" w:lineRule="auto"/>
        <w:tabs>
          <w:tab w:leader="none" w:pos="562"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approve the Contemplated Transactions.</w:t>
      </w:r>
    </w:p>
    <w:p>
      <w:pPr>
        <w:spacing w:after="0" w:line="66" w:lineRule="exact"/>
        <w:rPr>
          <w:rFonts w:ascii="Times New Roman" w:cs="Times New Roman" w:eastAsia="Times New Roman" w:hAnsi="Times New Roman"/>
          <w:sz w:val="16"/>
          <w:szCs w:val="16"/>
          <w:color w:val="auto"/>
        </w:rPr>
      </w:pPr>
    </w:p>
    <w:p>
      <w:pPr>
        <w:jc w:val="both"/>
        <w:ind w:left="1" w:right="120" w:firstLine="385"/>
        <w:spacing w:after="0" w:line="261" w:lineRule="auto"/>
        <w:tabs>
          <w:tab w:leader="none" w:pos="541"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Concurrently with the execution and delivery of this Agreement and as a condition and inducement to the Company’s willingness to enter into this Agreement, (i) the stockholders of Gem specified on Schedule F-1 of the Gem Disclosure Schedules are executing support agreements in favor of the Company, in substantially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(each,</w:t>
      </w:r>
    </w:p>
    <w:p>
      <w:pPr>
        <w:sectPr>
          <w:pgSz w:w="11900" w:h="16838" w:orient="portrait"/>
          <w:cols w:equalWidth="0" w:num="1">
            <w:col w:w="9621"/>
          </w:cols>
          <w:pgMar w:left="1119" w:top="251" w:right="1159" w:bottom="1440" w:gutter="0" w:footer="0" w:header="0"/>
        </w:sectPr>
      </w:pPr>
    </w:p>
    <w:bookmarkStart w:id="16" w:name="page17"/>
    <w:bookmarkEnd w:id="16"/>
    <w:p>
      <w:pPr>
        <w:ind w:right="40"/>
        <w:spacing w:after="0" w:line="27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 “</w:t>
      </w:r>
      <w:r>
        <w:rPr>
          <w:rFonts w:ascii="Times New Roman" w:cs="Times New Roman" w:eastAsia="Times New Roman" w:hAnsi="Times New Roman"/>
          <w:sz w:val="15"/>
          <w:szCs w:val="15"/>
          <w:b w:val="1"/>
          <w:bCs w:val="1"/>
          <w:color w:val="auto"/>
        </w:rPr>
        <w:t>Gem Stockholder Support Agreement</w:t>
      </w:r>
      <w:r>
        <w:rPr>
          <w:rFonts w:ascii="Times New Roman" w:cs="Times New Roman" w:eastAsia="Times New Roman" w:hAnsi="Times New Roman"/>
          <w:sz w:val="15"/>
          <w:szCs w:val="15"/>
          <w:color w:val="auto"/>
        </w:rPr>
        <w:t xml:space="preserve">”), pursuant to which such Persons have, subject to the terms and conditions set forth therein, agreed to vote all of their shares of capital stock of Gem in favor of the adoption and approval of this Agreement and approve the Contemplated Transactions and the Nasdaq Reverse Split and against any competing proposals, and (ii) the stockholders of Gem specified on </w:t>
      </w:r>
      <w:r>
        <w:rPr>
          <w:rFonts w:ascii="Times New Roman" w:cs="Times New Roman" w:eastAsia="Times New Roman" w:hAnsi="Times New Roman"/>
          <w:sz w:val="15"/>
          <w:szCs w:val="15"/>
          <w:u w:val="single" w:color="auto"/>
          <w:color w:val="auto"/>
        </w:rPr>
        <w:t>Schedule F-2</w:t>
      </w:r>
      <w:r>
        <w:rPr>
          <w:rFonts w:ascii="Times New Roman" w:cs="Times New Roman" w:eastAsia="Times New Roman" w:hAnsi="Times New Roman"/>
          <w:sz w:val="15"/>
          <w:szCs w:val="15"/>
          <w:color w:val="auto"/>
        </w:rPr>
        <w:t xml:space="preserve"> of the Gem Disclosure Schedule are executing lock-up agreements in substantially the form attached hereto as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(collectively, the “</w:t>
      </w:r>
      <w:r>
        <w:rPr>
          <w:rFonts w:ascii="Times New Roman" w:cs="Times New Roman" w:eastAsia="Times New Roman" w:hAnsi="Times New Roman"/>
          <w:sz w:val="15"/>
          <w:szCs w:val="15"/>
          <w:b w:val="1"/>
          <w:bCs w:val="1"/>
          <w:color w:val="auto"/>
        </w:rPr>
        <w:t>Gem Lock-Up Agreements</w:t>
      </w:r>
      <w:r>
        <w:rPr>
          <w:rFonts w:ascii="Times New Roman" w:cs="Times New Roman" w:eastAsia="Times New Roman" w:hAnsi="Times New Roman"/>
          <w:sz w:val="15"/>
          <w:szCs w:val="15"/>
          <w:color w:val="auto"/>
        </w:rPr>
        <w:t>”).</w:t>
      </w:r>
    </w:p>
    <w:p>
      <w:pPr>
        <w:spacing w:after="0" w:line="51" w:lineRule="exact"/>
        <w:rPr>
          <w:sz w:val="20"/>
          <w:szCs w:val="20"/>
          <w:color w:val="auto"/>
        </w:rPr>
      </w:pPr>
    </w:p>
    <w:p>
      <w:pPr>
        <w:ind w:firstLine="386"/>
        <w:spacing w:after="0" w:line="251" w:lineRule="auto"/>
        <w:rPr>
          <w:sz w:val="20"/>
          <w:szCs w:val="20"/>
          <w:color w:val="auto"/>
        </w:rPr>
      </w:pPr>
      <w:r>
        <w:rPr>
          <w:rFonts w:ascii="Times New Roman" w:cs="Times New Roman" w:eastAsia="Times New Roman" w:hAnsi="Times New Roman"/>
          <w:sz w:val="16"/>
          <w:szCs w:val="16"/>
          <w:color w:val="auto"/>
        </w:rPr>
        <w:t xml:space="preserve">G. Concurrently with the execution and delivery of this Agreement and as a condition and inducement to Gem’s willingness to enter into this Agreement, (i) the officers, directors and 5% or greater stockholders (together with their Affiliates) of the Company listed on Section A of the Company Disclosure Schedule (solely in their capacity as stockholders of the Company) are concurrently executing support agreements in favor of Gem in substantially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b w:val="1"/>
          <w:bCs w:val="1"/>
          <w:color w:val="auto"/>
        </w:rPr>
        <w:t>Company Stockholder Support Agreement</w:t>
      </w:r>
      <w:r>
        <w:rPr>
          <w:rFonts w:ascii="Times New Roman" w:cs="Times New Roman" w:eastAsia="Times New Roman" w:hAnsi="Times New Roman"/>
          <w:sz w:val="16"/>
          <w:szCs w:val="16"/>
          <w:color w:val="auto"/>
        </w:rPr>
        <w:t xml:space="preserve">”), pursuant to which such Persons have, subject to the terms and conditions set forth therein, agreed to vote all of their shares of Company Capital Stock in favor of the adoption and approval of this Agreement and approve the Contemplated Transactions and against any competing proposals, and (ii) the officers, directors and stockholders of the Company listed on Section B of the Company Disclosure Schedule are executing lock-up agreements in substantially the form attached hereto as </w:t>
      </w:r>
      <w:r>
        <w:rPr>
          <w:rFonts w:ascii="Times New Roman" w:cs="Times New Roman" w:eastAsia="Times New Roman" w:hAnsi="Times New Roman"/>
          <w:sz w:val="16"/>
          <w:szCs w:val="16"/>
          <w:u w:val="single" w:color="auto"/>
          <w:color w:val="auto"/>
        </w:rPr>
        <w:t>Exhibit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b w:val="1"/>
          <w:bCs w:val="1"/>
          <w:color w:val="auto"/>
        </w:rPr>
        <w:t>Company Lock-Up Agreements</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ind w:right="280" w:firstLine="386"/>
        <w:spacing w:after="0" w:line="254" w:lineRule="auto"/>
        <w:rPr>
          <w:sz w:val="20"/>
          <w:szCs w:val="20"/>
          <w:color w:val="auto"/>
        </w:rPr>
      </w:pPr>
      <w:r>
        <w:rPr>
          <w:rFonts w:ascii="Times New Roman" w:cs="Times New Roman" w:eastAsia="Times New Roman" w:hAnsi="Times New Roman"/>
          <w:sz w:val="16"/>
          <w:szCs w:val="16"/>
          <w:color w:val="auto"/>
        </w:rPr>
        <w:t>J. It is contemplated by this Agreement that, within two (2) Business Days after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Gem, in order to obtain the Required Company Stockholder Vote (each, a “</w:t>
      </w:r>
      <w:r>
        <w:rPr>
          <w:rFonts w:ascii="Times New Roman" w:cs="Times New Roman" w:eastAsia="Times New Roman" w:hAnsi="Times New Roman"/>
          <w:sz w:val="16"/>
          <w:szCs w:val="16"/>
          <w:b w:val="1"/>
          <w:bCs w:val="1"/>
          <w:color w:val="auto"/>
        </w:rPr>
        <w:t>Company Stockholder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Written Consent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Company Stockholder Written Consents</w:t>
      </w:r>
      <w:r>
        <w:rPr>
          <w:rFonts w:ascii="Times New Roman" w:cs="Times New Roman" w:eastAsia="Times New Roman" w:hAnsi="Times New Roman"/>
          <w:sz w:val="16"/>
          <w:szCs w:val="16"/>
          <w:color w:val="auto"/>
        </w:rPr>
        <w:t>”).</w:t>
      </w:r>
    </w:p>
    <w:p>
      <w:pPr>
        <w:spacing w:after="0" w:line="67" w:lineRule="exact"/>
        <w:rPr>
          <w:sz w:val="20"/>
          <w:szCs w:val="20"/>
          <w:color w:val="auto"/>
        </w:rPr>
      </w:pPr>
    </w:p>
    <w:p>
      <w:pPr>
        <w:ind w:right="200" w:firstLine="386"/>
        <w:spacing w:after="0" w:line="254" w:lineRule="auto"/>
        <w:rPr>
          <w:sz w:val="20"/>
          <w:szCs w:val="20"/>
          <w:color w:val="auto"/>
        </w:rPr>
      </w:pPr>
      <w:r>
        <w:rPr>
          <w:rFonts w:ascii="Times New Roman" w:cs="Times New Roman" w:eastAsia="Times New Roman" w:hAnsi="Times New Roman"/>
          <w:sz w:val="16"/>
          <w:szCs w:val="16"/>
          <w:color w:val="auto"/>
        </w:rPr>
        <w:t xml:space="preserve">K. Prior to the Effective Time, Gem shall enter into a contingent value rights agreement substantially in the form attached hereto as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(subject to changes to reflect the reasonable requests of the other parties thereto) (the “</w:t>
      </w:r>
      <w:r>
        <w:rPr>
          <w:rFonts w:ascii="Times New Roman" w:cs="Times New Roman" w:eastAsia="Times New Roman" w:hAnsi="Times New Roman"/>
          <w:sz w:val="16"/>
          <w:szCs w:val="16"/>
          <w:b w:val="1"/>
          <w:bCs w:val="1"/>
          <w:color w:val="auto"/>
        </w:rPr>
        <w:t>CVR Agreement</w:t>
      </w:r>
      <w:r>
        <w:rPr>
          <w:rFonts w:ascii="Times New Roman" w:cs="Times New Roman" w:eastAsia="Times New Roman" w:hAnsi="Times New Roman"/>
          <w:sz w:val="16"/>
          <w:szCs w:val="16"/>
          <w:color w:val="auto"/>
        </w:rPr>
        <w:t>”) with an institution appointed by the parties thereto to act as Rights Agent and a person or entity which will act as the Holders’ Representative (as such terms are defined in the CVR Agreement), pursuant to which Gem shall grant each holder of Gem Common Stock as of a record date prior to the Effective Time Contingent Value Rights (as defined in the CVR Agreement) in respect of certain potential future payments.</w:t>
      </w:r>
    </w:p>
    <w:p>
      <w:pPr>
        <w:spacing w:after="0" w:line="67" w:lineRule="exact"/>
        <w:rPr>
          <w:sz w:val="20"/>
          <w:szCs w:val="20"/>
          <w:color w:val="auto"/>
        </w:rPr>
      </w:pPr>
    </w:p>
    <w:p>
      <w:pPr>
        <w:ind w:right="20" w:firstLine="386"/>
        <w:spacing w:after="0" w:line="286" w:lineRule="auto"/>
        <w:rPr>
          <w:sz w:val="20"/>
          <w:szCs w:val="20"/>
          <w:color w:val="auto"/>
        </w:rPr>
      </w:pPr>
      <w:r>
        <w:rPr>
          <w:rFonts w:ascii="Times New Roman" w:cs="Times New Roman" w:eastAsia="Times New Roman" w:hAnsi="Times New Roman"/>
          <w:sz w:val="15"/>
          <w:szCs w:val="15"/>
          <w:color w:val="auto"/>
        </w:rPr>
        <w:t xml:space="preserve">L. Immediately prior to the execution and delivery of this Agreement, and as a condition of the willingness of Gem to enter into this Agreement, certain investors have executed the Subscription Agreement, in the form attached hereto as </w:t>
      </w:r>
      <w:r>
        <w:rPr>
          <w:rFonts w:ascii="Times New Roman" w:cs="Times New Roman" w:eastAsia="Times New Roman" w:hAnsi="Times New Roman"/>
          <w:sz w:val="15"/>
          <w:szCs w:val="15"/>
          <w:u w:val="single" w:color="auto"/>
          <w:color w:val="auto"/>
        </w:rPr>
        <w:t>Exhibit D</w:t>
      </w:r>
      <w:r>
        <w:rPr>
          <w:rFonts w:ascii="Times New Roman" w:cs="Times New Roman" w:eastAsia="Times New Roman" w:hAnsi="Times New Roman"/>
          <w:sz w:val="15"/>
          <w:szCs w:val="15"/>
          <w:color w:val="auto"/>
        </w:rPr>
        <w:t>, with the Company, pursuant to which such investors have agreed to purchase certain shares of Company Capital Stock prior to the Closing in connection with the Company Pre-Closing Financing.</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40"/>
          </w:cols>
          <w:pgMar w:left="1120" w:top="251" w:right="1139" w:bottom="1440" w:gutter="0" w:footer="0" w:header="0"/>
        </w:sectPr>
      </w:pPr>
    </w:p>
    <w:bookmarkStart w:id="17" w:name="page18"/>
    <w:bookmarkEnd w:id="17"/>
    <w:p>
      <w:pPr>
        <w:ind w:left="381"/>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w:t>
      </w:r>
      <w:r>
        <w:rPr>
          <w:rFonts w:ascii="Times New Roman" w:cs="Times New Roman" w:eastAsia="Times New Roman" w:hAnsi="Times New Roman"/>
          <w:sz w:val="13"/>
          <w:szCs w:val="13"/>
          <w:b w:val="1"/>
          <w:bCs w:val="1"/>
          <w:color w:val="auto"/>
        </w:rPr>
        <w:t>GREEMENT</w:t>
      </w:r>
    </w:p>
    <w:p>
      <w:pPr>
        <w:spacing w:after="0" w:line="10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The Parties, intending to be legally bound, agree as follows:</w:t>
      </w:r>
    </w:p>
    <w:p>
      <w:pPr>
        <w:spacing w:after="0" w:line="19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Definitions and Interpretative Provisions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a) For purposes of the Agreement (including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left="1" w:right="100" w:firstLine="386"/>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Acceptable Confidentiality Agreement</w:t>
      </w:r>
      <w:r>
        <w:rPr>
          <w:rFonts w:ascii="Times New Roman" w:cs="Times New Roman" w:eastAsia="Times New Roman" w:hAnsi="Times New Roman"/>
          <w:sz w:val="16"/>
          <w:szCs w:val="16"/>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Gem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w:t>
      </w:r>
    </w:p>
    <w:p>
      <w:pPr>
        <w:spacing w:after="0" w:line="161" w:lineRule="exact"/>
        <w:rPr>
          <w:sz w:val="20"/>
          <w:szCs w:val="20"/>
          <w:color w:val="auto"/>
        </w:rPr>
      </w:pPr>
    </w:p>
    <w:p>
      <w:pPr>
        <w:ind w:left="1"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 Inquiry</w:t>
      </w:r>
      <w:r>
        <w:rPr>
          <w:rFonts w:ascii="Times New Roman" w:cs="Times New Roman" w:eastAsia="Times New Roman" w:hAnsi="Times New Roman"/>
          <w:sz w:val="16"/>
          <w:szCs w:val="16"/>
          <w:color w:val="auto"/>
        </w:rPr>
        <w:t>” means, with respect to a Party, an inquiry, indication of interest or request for information (other than an inquiry, indication of interest or request for information made or submitted by the Company, on the one hand, or Gem, on the other hand, to the other Party) that could reasonably be expected to lead to an Acquisition Proposal.</w:t>
      </w:r>
    </w:p>
    <w:p>
      <w:pPr>
        <w:spacing w:after="0" w:line="154" w:lineRule="exact"/>
        <w:rPr>
          <w:sz w:val="20"/>
          <w:szCs w:val="20"/>
          <w:color w:val="auto"/>
        </w:rPr>
      </w:pPr>
    </w:p>
    <w:p>
      <w:pPr>
        <w:ind w:left="1" w:right="8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 Proposal</w:t>
      </w:r>
      <w:r>
        <w:rPr>
          <w:rFonts w:ascii="Times New Roman" w:cs="Times New Roman" w:eastAsia="Times New Roman" w:hAnsi="Times New Roman"/>
          <w:sz w:val="16"/>
          <w:szCs w:val="16"/>
          <w:color w:val="auto"/>
        </w:rPr>
        <w:t>” means, with respect to a Party, any offer or proposal, whether written or oral (other than an offer or proposal made or submitted by or on behalf of the Company or any of its Affiliates, on the one hand, or by or on behalf of Gem or any of its Affiliates, on the other hand, to the other Party) contemplating or otherwise relating to any Acquisition Transaction with such Party.</w:t>
      </w:r>
    </w:p>
    <w:p>
      <w:pPr>
        <w:spacing w:after="0" w:line="15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Acquisition Transaction</w:t>
      </w:r>
      <w:r>
        <w:rPr>
          <w:rFonts w:ascii="Times New Roman" w:cs="Times New Roman" w:eastAsia="Times New Roman" w:hAnsi="Times New Roman"/>
          <w:sz w:val="16"/>
          <w:szCs w:val="16"/>
          <w:color w:val="auto"/>
        </w:rPr>
        <w:t>” means any transaction or series of related transactions involving:</w:t>
      </w:r>
    </w:p>
    <w:p>
      <w:pPr>
        <w:spacing w:after="0" w:line="102" w:lineRule="exact"/>
        <w:rPr>
          <w:sz w:val="20"/>
          <w:szCs w:val="20"/>
          <w:color w:val="auto"/>
        </w:rPr>
      </w:pPr>
    </w:p>
    <w:p>
      <w:pPr>
        <w:jc w:val="both"/>
        <w:ind w:left="1" w:right="80" w:firstLine="867"/>
        <w:spacing w:after="0" w:line="269" w:lineRule="auto"/>
        <w:tabs>
          <w:tab w:leader="none" w:pos="1084"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w:t>
      </w:r>
    </w:p>
    <w:p>
      <w:pPr>
        <w:ind w:left="1" w:right="20" w:hanging="1"/>
        <w:spacing w:after="0" w:line="253" w:lineRule="auto"/>
        <w:tabs>
          <w:tab w:leader="none" w:pos="27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which a Party or any of its Subsidiaries issues securities representing more than 20% of the outstanding securities of any class of voting securities of such Party or any of its Subsidiaries;</w:t>
      </w:r>
    </w:p>
    <w:p>
      <w:pPr>
        <w:spacing w:after="0" w:line="67" w:lineRule="exact"/>
        <w:rPr>
          <w:rFonts w:ascii="Times New Roman" w:cs="Times New Roman" w:eastAsia="Times New Roman" w:hAnsi="Times New Roman"/>
          <w:sz w:val="16"/>
          <w:szCs w:val="16"/>
          <w:color w:val="auto"/>
        </w:rPr>
      </w:pPr>
    </w:p>
    <w:p>
      <w:pPr>
        <w:ind w:left="1" w:right="140" w:firstLine="867"/>
        <w:spacing w:after="0" w:line="276" w:lineRule="auto"/>
        <w:tabs>
          <w:tab w:leader="none" w:pos="1093"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 or</w:t>
      </w:r>
    </w:p>
    <w:p>
      <w:pPr>
        <w:spacing w:after="0" w:line="49" w:lineRule="exact"/>
        <w:rPr>
          <w:rFonts w:ascii="Times New Roman" w:cs="Times New Roman" w:eastAsia="Times New Roman" w:hAnsi="Times New Roman"/>
          <w:sz w:val="16"/>
          <w:szCs w:val="16"/>
          <w:color w:val="auto"/>
        </w:rPr>
      </w:pPr>
    </w:p>
    <w:p>
      <w:pPr>
        <w:ind w:left="1081" w:hanging="213"/>
        <w:spacing w:after="0"/>
        <w:tabs>
          <w:tab w:leader="none" w:pos="1081"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 or become party to or adopt a plan of liquidation or dissolution with respect to any Party or any of its Subsidiaries.</w:t>
      </w:r>
    </w:p>
    <w:p>
      <w:pPr>
        <w:spacing w:after="0" w:line="19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shall have the meaning given to such term in Rule 145 under the Securities Act.</w:t>
      </w:r>
    </w:p>
    <w:p>
      <w:pPr>
        <w:spacing w:after="0" w:line="137" w:lineRule="exact"/>
        <w:rPr>
          <w:sz w:val="20"/>
          <w:szCs w:val="20"/>
          <w:color w:val="auto"/>
        </w:rPr>
      </w:pPr>
    </w:p>
    <w:p>
      <w:pPr>
        <w:ind w:left="4781"/>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41"/>
          </w:cols>
          <w:pgMar w:left="1119" w:top="251" w:right="1139"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5"/>
          <w:szCs w:val="15"/>
          <w:b w:val="1"/>
          <w:bCs w:val="1"/>
          <w:color w:val="auto"/>
        </w:rPr>
        <w:t>Affordable Care Act</w:t>
      </w:r>
      <w:r>
        <w:rPr>
          <w:rFonts w:ascii="Times New Roman" w:cs="Times New Roman" w:eastAsia="Times New Roman" w:hAnsi="Times New Roman"/>
          <w:sz w:val="15"/>
          <w:szCs w:val="15"/>
          <w:color w:val="auto"/>
        </w:rPr>
        <w:t>” means the Patient Protection and Affordable Care Act, as amended by the Health Care and Education Reconciliation Act.</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Allocation Certificate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6.16</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2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Asset Disposition Proceeds</w:t>
      </w:r>
      <w:r>
        <w:rPr>
          <w:rFonts w:ascii="Times New Roman" w:cs="Times New Roman" w:eastAsia="Times New Roman" w:hAnsi="Times New Roman"/>
          <w:sz w:val="16"/>
          <w:szCs w:val="16"/>
          <w:color w:val="auto"/>
        </w:rPr>
        <w:t>” means the proceeds, in whatever form or amount, received by Gem prior to the Effective Time in respect of any sale, transfer, license, assignment or other transaction with respect to any of Gem’s tangible or intangible assets.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a day on which banks in the State of New York are authorized or obligated to be closed.</w:t>
      </w:r>
    </w:p>
    <w:p>
      <w:pPr>
        <w:spacing w:after="0" w:line="194" w:lineRule="exact"/>
        <w:rPr>
          <w:sz w:val="20"/>
          <w:szCs w:val="20"/>
          <w:color w:val="auto"/>
        </w:rPr>
      </w:pPr>
    </w:p>
    <w:p>
      <w:pPr>
        <w:ind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COBRA</w:t>
      </w:r>
      <w:r>
        <w:rPr>
          <w:rFonts w:ascii="Times New Roman" w:cs="Times New Roman" w:eastAsia="Times New Roman" w:hAnsi="Times New Roman"/>
          <w:sz w:val="16"/>
          <w:szCs w:val="16"/>
          <w:color w:val="auto"/>
        </w:rPr>
        <w:t>” means the Consolidated Omnibus Budget Reconciliation Act of 1985, as set forth in Section 4980B of the Code and Part 6 of Title I of ERISA.</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means the Internal Revenue Code of 1986, as amended.</w:t>
      </w:r>
    </w:p>
    <w:p>
      <w:pPr>
        <w:spacing w:after="0" w:line="194" w:lineRule="exact"/>
        <w:rPr>
          <w:sz w:val="20"/>
          <w:szCs w:val="20"/>
          <w:color w:val="auto"/>
        </w:rPr>
      </w:pPr>
    </w:p>
    <w:p>
      <w:pPr>
        <w:ind w:right="72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Associate</w:t>
      </w:r>
      <w:r>
        <w:rPr>
          <w:rFonts w:ascii="Times New Roman" w:cs="Times New Roman" w:eastAsia="Times New Roman" w:hAnsi="Times New Roman"/>
          <w:sz w:val="16"/>
          <w:szCs w:val="16"/>
          <w:color w:val="auto"/>
        </w:rPr>
        <w:t>” means any current or former employee, independent contractor, officer or director of the Company or any of its Subsidiaries.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Board</w:t>
      </w:r>
      <w:r>
        <w:rPr>
          <w:rFonts w:ascii="Times New Roman" w:cs="Times New Roman" w:eastAsia="Times New Roman" w:hAnsi="Times New Roman"/>
          <w:sz w:val="16"/>
          <w:szCs w:val="16"/>
          <w:color w:val="auto"/>
        </w:rPr>
        <w:t>” means the board of directors of the Company.</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Capital Stock</w:t>
      </w:r>
      <w:r>
        <w:rPr>
          <w:rFonts w:ascii="Times New Roman" w:cs="Times New Roman" w:eastAsia="Times New Roman" w:hAnsi="Times New Roman"/>
          <w:sz w:val="16"/>
          <w:szCs w:val="16"/>
          <w:color w:val="auto"/>
        </w:rPr>
        <w:t>” means the Company Common Stock and the Company Preferred Stock.</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Capitalization Representations</w:t>
      </w:r>
      <w:r>
        <w:rPr>
          <w:rFonts w:ascii="Times New Roman" w:cs="Times New Roman" w:eastAsia="Times New Roman" w:hAnsi="Times New Roman"/>
          <w:sz w:val="16"/>
          <w:szCs w:val="16"/>
          <w:color w:val="auto"/>
        </w:rPr>
        <w:t xml:space="preserve">” means the representations and warranties of the Company set forth in </w:t>
      </w:r>
      <w:r>
        <w:rPr>
          <w:rFonts w:ascii="Times New Roman" w:cs="Times New Roman" w:eastAsia="Times New Roman" w:hAnsi="Times New Roman"/>
          <w:sz w:val="16"/>
          <w:szCs w:val="16"/>
          <w:u w:val="single" w:color="auto"/>
          <w:color w:val="auto"/>
        </w:rPr>
        <w:t>Sections 3.6(a)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3.6(d)</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Common Stock</w:t>
      </w:r>
      <w:r>
        <w:rPr>
          <w:rFonts w:ascii="Times New Roman" w:cs="Times New Roman" w:eastAsia="Times New Roman" w:hAnsi="Times New Roman"/>
          <w:sz w:val="16"/>
          <w:szCs w:val="16"/>
          <w:color w:val="auto"/>
        </w:rPr>
        <w:t>” means the common stock, $0.0001 par value per share, of the Company.</w:t>
      </w:r>
    </w:p>
    <w:p>
      <w:pPr>
        <w:spacing w:after="0" w:line="194" w:lineRule="exact"/>
        <w:rPr>
          <w:sz w:val="20"/>
          <w:szCs w:val="20"/>
          <w:color w:val="auto"/>
        </w:rPr>
      </w:pPr>
    </w:p>
    <w:p>
      <w:pPr>
        <w:jc w:val="both"/>
        <w:ind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Contract</w:t>
      </w:r>
      <w:r>
        <w:rPr>
          <w:rFonts w:ascii="Times New Roman" w:cs="Times New Roman" w:eastAsia="Times New Roman" w:hAnsi="Times New Roman"/>
          <w:sz w:val="16"/>
          <w:szCs w:val="16"/>
          <w:color w:val="auto"/>
        </w:rPr>
        <w:t>” means any Contract: (a) to which the Company or any of its Subsidiaries is a party, (b) by which the Company or any of its Subsidiaries is or may become bound or under which the Company or any of its Subsidiaries has, or may become subject to, any obligation or (c) under which the Company or any of its Subsidiaries has or may acquire any right or interest.</w:t>
      </w:r>
    </w:p>
    <w:p>
      <w:pPr>
        <w:spacing w:after="0" w:line="154" w:lineRule="exact"/>
        <w:rPr>
          <w:sz w:val="20"/>
          <w:szCs w:val="20"/>
          <w:color w:val="auto"/>
        </w:rPr>
      </w:pPr>
    </w:p>
    <w:p>
      <w:pPr>
        <w:ind w:right="20"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Employee Plan</w:t>
      </w:r>
      <w:r>
        <w:rPr>
          <w:rFonts w:ascii="Times New Roman" w:cs="Times New Roman" w:eastAsia="Times New Roman" w:hAnsi="Times New Roman"/>
          <w:sz w:val="16"/>
          <w:szCs w:val="16"/>
          <w:color w:val="auto"/>
        </w:rPr>
        <w:t>” means any Employee Plan that the Company or any of its Subsidiaries sponsors, contributes to, or provides benefits under or through, or has any obligation to contribute to or provide benefits under or through, or if such plan provides benefits to or otherwise covers any current or former employee, officer, director or other service provider of the Company or any of its Subsidiaries (or their spouses, dependents, or beneficiaries) or with respect to which the Company or any of its Subsidiaries has or may have any liability (contingent or otherwise, including by reason of being an ERISA Affiliate).</w:t>
      </w:r>
    </w:p>
    <w:p>
      <w:pPr>
        <w:spacing w:after="0" w:line="162" w:lineRule="exact"/>
        <w:rPr>
          <w:sz w:val="20"/>
          <w:szCs w:val="20"/>
          <w:color w:val="auto"/>
        </w:rPr>
      </w:pPr>
    </w:p>
    <w:p>
      <w:pPr>
        <w:ind w:right="30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Fundamental Representations</w:t>
      </w:r>
      <w:r>
        <w:rPr>
          <w:rFonts w:ascii="Times New Roman" w:cs="Times New Roman" w:eastAsia="Times New Roman" w:hAnsi="Times New Roman"/>
          <w:sz w:val="16"/>
          <w:szCs w:val="16"/>
          <w:color w:val="auto"/>
        </w:rPr>
        <w:t xml:space="preserve">” means the representations and warranties of the Company set forth in </w:t>
      </w:r>
      <w:r>
        <w:rPr>
          <w:rFonts w:ascii="Times New Roman" w:cs="Times New Roman" w:eastAsia="Times New Roman" w:hAnsi="Times New Roman"/>
          <w:sz w:val="16"/>
          <w:szCs w:val="16"/>
          <w:u w:val="single" w:color="auto"/>
          <w:color w:val="auto"/>
        </w:rPr>
        <w:t>Sections 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3.5(a)(i)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3.20</w:t>
      </w:r>
      <w:r>
        <w:rPr>
          <w:rFonts w:ascii="Times New Roman" w:cs="Times New Roman" w:eastAsia="Times New Roman" w:hAnsi="Times New Roman"/>
          <w:sz w:val="16"/>
          <w:szCs w:val="16"/>
          <w:color w:val="auto"/>
        </w:rPr>
        <w: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20"/>
          </w:cols>
          <w:pgMar w:left="1120" w:top="251" w:right="1159" w:bottom="1440" w:gutter="0" w:footer="0" w:header="0"/>
        </w:sectPr>
      </w:pPr>
    </w:p>
    <w:bookmarkStart w:id="19" w:name="page20"/>
    <w:bookmarkEnd w:id="19"/>
    <w:p>
      <w:pPr>
        <w:ind w:right="100" w:firstLine="386"/>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Company IP Rights</w:t>
      </w:r>
      <w:r>
        <w:rPr>
          <w:rFonts w:ascii="Times New Roman" w:cs="Times New Roman" w:eastAsia="Times New Roman" w:hAnsi="Times New Roman"/>
          <w:sz w:val="16"/>
          <w:szCs w:val="16"/>
          <w:color w:val="auto"/>
        </w:rPr>
        <w:t>” means all Intellectual Property owned, licensed, or controlled by the Company or any of its Subsidiaries that is necessary for or used in the operation of the business of the Company or any of its Subsidiaries as presently conducted.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IP Rights Agreement</w:t>
      </w:r>
      <w:r>
        <w:rPr>
          <w:rFonts w:ascii="Times New Roman" w:cs="Times New Roman" w:eastAsia="Times New Roman" w:hAnsi="Times New Roman"/>
          <w:sz w:val="15"/>
          <w:szCs w:val="15"/>
          <w:color w:val="auto"/>
        </w:rPr>
        <w:t>” means any instrument, Contract or agreement governing, related to or pertaining to any Company IP Rights.</w:t>
      </w:r>
    </w:p>
    <w:p>
      <w:pPr>
        <w:spacing w:after="0" w:line="206" w:lineRule="exact"/>
        <w:rPr>
          <w:sz w:val="20"/>
          <w:szCs w:val="20"/>
          <w:color w:val="auto"/>
        </w:rPr>
      </w:pPr>
    </w:p>
    <w:p>
      <w:pPr>
        <w:ind w:firstLine="386"/>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Material Adverse Effect</w:t>
      </w:r>
      <w:r>
        <w:rPr>
          <w:rFonts w:ascii="Times New Roman" w:cs="Times New Roman" w:eastAsia="Times New Roman" w:hAnsi="Times New Roman"/>
          <w:sz w:val="15"/>
          <w:szCs w:val="15"/>
          <w:color w:val="auto"/>
        </w:rPr>
        <w:t>”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provided, however, that Effects arising or resulting from the following shall not be taken into account in determining whether there has been a Company Material Adverse Effect: (a) the announcement of the Agreement or the pendency of the Contemplated Transactions, (b) the taking of any action, or the failure to take any action, by the Company that is required to comply with the terms of the Agreement, (c)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GAAP or applicable Law or the interpretation thereof, or (e) general economic or political conditions or conditions generally affecting the industries in which the Company and its Subsidiaries operate; except in each case with respect to clauses (c), (d) and (e), to the extent disproportionately affecting the Company and its Subsidiaries, taken as a whole, relative to other similarly situated companies in the industries in which the Company and its Subsidiaries operate.</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Options</w:t>
      </w:r>
      <w:r>
        <w:rPr>
          <w:rFonts w:ascii="Times New Roman" w:cs="Times New Roman" w:eastAsia="Times New Roman" w:hAnsi="Times New Roman"/>
          <w:sz w:val="16"/>
          <w:szCs w:val="16"/>
          <w:color w:val="auto"/>
        </w:rPr>
        <w:t>” means options or other rights to purchase shares of Company Capital Stock issued by the Company.</w:t>
      </w:r>
    </w:p>
    <w:p>
      <w:pPr>
        <w:spacing w:after="0" w:line="194" w:lineRule="exact"/>
        <w:rPr>
          <w:sz w:val="20"/>
          <w:szCs w:val="20"/>
          <w:color w:val="auto"/>
        </w:rPr>
      </w:pPr>
    </w:p>
    <w:p>
      <w:pPr>
        <w:jc w:val="both"/>
        <w:ind w:right="18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Pre-Closing Financing</w:t>
      </w:r>
      <w:r>
        <w:rPr>
          <w:rFonts w:ascii="Times New Roman" w:cs="Times New Roman" w:eastAsia="Times New Roman" w:hAnsi="Times New Roman"/>
          <w:sz w:val="16"/>
          <w:szCs w:val="16"/>
          <w:color w:val="auto"/>
        </w:rPr>
        <w:t>” means an acquisition of Company Common Stock to be consummated prior to the Closing pursuant to the Subscription Agreement with aggregate gross cash proceeds to the Company not to exceed $53,500,000 (not including any conversion of promissory notes (which promissory notes were outstanding as of the date of this Agreement) in connection therewith).</w:t>
      </w:r>
    </w:p>
    <w:p>
      <w:pPr>
        <w:spacing w:after="0" w:line="154" w:lineRule="exact"/>
        <w:rPr>
          <w:sz w:val="20"/>
          <w:szCs w:val="20"/>
          <w:color w:val="auto"/>
        </w:rPr>
      </w:pPr>
    </w:p>
    <w:p>
      <w:pPr>
        <w:jc w:val="both"/>
        <w:ind w:right="28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Registered IP</w:t>
      </w:r>
      <w:r>
        <w:rPr>
          <w:rFonts w:ascii="Times New Roman" w:cs="Times New Roman" w:eastAsia="Times New Roman" w:hAnsi="Times New Roman"/>
          <w:sz w:val="16"/>
          <w:szCs w:val="16"/>
          <w:color w:val="auto"/>
        </w:rPr>
        <w:t>” means all Company IP Rights that are owned or exclusively licensed by the Company that are registered, filed or issued under the authority of, with or by any Governmental Authority, including all patents, registered copyrights and registered trademarks and any application or registration for any of the foregoing.</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Stockholder Support Agreements</w:t>
      </w:r>
      <w:r>
        <w:rPr>
          <w:rFonts w:ascii="Times New Roman" w:cs="Times New Roman" w:eastAsia="Times New Roman" w:hAnsi="Times New Roman"/>
          <w:sz w:val="16"/>
          <w:szCs w:val="16"/>
          <w:color w:val="auto"/>
        </w:rPr>
        <w:t>” shall have the meaning set forth in the recitals.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Stockholder Written Consent</w:t>
      </w:r>
      <w:r>
        <w:rPr>
          <w:rFonts w:ascii="Times New Roman" w:cs="Times New Roman" w:eastAsia="Times New Roman" w:hAnsi="Times New Roman"/>
          <w:sz w:val="16"/>
          <w:szCs w:val="16"/>
          <w:color w:val="auto"/>
        </w:rPr>
        <w:t>” shall have the meaning set forth in the recitals.</w:t>
      </w:r>
    </w:p>
    <w:p>
      <w:pPr>
        <w:spacing w:after="0" w:line="194" w:lineRule="exact"/>
        <w:rPr>
          <w:sz w:val="20"/>
          <w:szCs w:val="20"/>
          <w:color w:val="auto"/>
        </w:rPr>
      </w:pPr>
    </w:p>
    <w:p>
      <w:pPr>
        <w:ind w:right="22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Triggering Event</w:t>
      </w:r>
      <w:r>
        <w:rPr>
          <w:rFonts w:ascii="Times New Roman" w:cs="Times New Roman" w:eastAsia="Times New Roman" w:hAnsi="Times New Roman"/>
          <w:sz w:val="16"/>
          <w:szCs w:val="16"/>
          <w:color w:val="auto"/>
        </w:rPr>
        <w:t xml:space="preserve">” shall be deemed to have occurred if: (a) the Company Board or any committee thereof shall have made a Company Board Adverse Recommendation Change or approved, endorsed or recommended any Acquisition Proposal or (b) the Company shall have entered into any letter of intent or similar document or any Contract relating to any Acquisition Proposal (other than an Acceptable Confidentiality Agreement permitted pursuant to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20"/>
          </w:cols>
          <w:pgMar w:left="1120" w:top="251" w:right="1159" w:bottom="1440" w:gutter="0" w:footer="0" w:header="0"/>
        </w:sectPr>
      </w:pPr>
    </w:p>
    <w:bookmarkStart w:id="20" w:name="page21"/>
    <w:bookmarkEnd w:id="20"/>
    <w:p>
      <w:pPr>
        <w:jc w:val="both"/>
        <w:ind w:left="1" w:right="300" w:firstLine="386"/>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Company Unaudited Interim Balance Sheet</w:t>
      </w:r>
      <w:r>
        <w:rPr>
          <w:rFonts w:ascii="Times New Roman" w:cs="Times New Roman" w:eastAsia="Times New Roman" w:hAnsi="Times New Roman"/>
          <w:sz w:val="16"/>
          <w:szCs w:val="16"/>
          <w:color w:val="auto"/>
        </w:rPr>
        <w:t>” means the unaudited consolidated balance sheet of the Company for the three- month period ended March 31, 2022 provided to Gem prior to the date of this Agreement.</w:t>
      </w:r>
    </w:p>
    <w:p>
      <w:pPr>
        <w:spacing w:after="0" w:line="141"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Confidentiality Agreement</w:t>
      </w:r>
      <w:r>
        <w:rPr>
          <w:rFonts w:ascii="Times New Roman" w:cs="Times New Roman" w:eastAsia="Times New Roman" w:hAnsi="Times New Roman"/>
          <w:sz w:val="16"/>
          <w:szCs w:val="16"/>
          <w:color w:val="auto"/>
        </w:rPr>
        <w:t>” means the Mutual Non-Disclosure Agreement, dated as of January 31, 2022, between the Company and Gem.</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Consent</w:t>
      </w:r>
      <w:r>
        <w:rPr>
          <w:rFonts w:ascii="Times New Roman" w:cs="Times New Roman" w:eastAsia="Times New Roman" w:hAnsi="Times New Roman"/>
          <w:sz w:val="16"/>
          <w:szCs w:val="16"/>
          <w:color w:val="auto"/>
        </w:rPr>
        <w:t>” means any approval, consent, ratification, permission, waiver or authorization (including any Governmental Authorization).</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Contemplated Transactions</w:t>
      </w:r>
      <w:r>
        <w:rPr>
          <w:rFonts w:ascii="Times New Roman" w:cs="Times New Roman" w:eastAsia="Times New Roman" w:hAnsi="Times New Roman"/>
          <w:sz w:val="16"/>
          <w:szCs w:val="16"/>
          <w:color w:val="auto"/>
        </w:rPr>
        <w:t>” means the Merger and the other transactions contemplated by this Agreement.</w:t>
      </w:r>
    </w:p>
    <w:p>
      <w:pPr>
        <w:spacing w:after="0" w:line="194" w:lineRule="exact"/>
        <w:rPr>
          <w:sz w:val="20"/>
          <w:szCs w:val="20"/>
          <w:color w:val="auto"/>
        </w:rPr>
      </w:pPr>
    </w:p>
    <w:p>
      <w:pPr>
        <w:jc w:val="both"/>
        <w:ind w:left="1" w:right="32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Contract</w:t>
      </w:r>
      <w:r>
        <w:rPr>
          <w:rFonts w:ascii="Times New Roman" w:cs="Times New Roman" w:eastAsia="Times New Roman" w:hAnsi="Times New Roman"/>
          <w:sz w:val="16"/>
          <w:szCs w:val="16"/>
          <w:color w:val="auto"/>
        </w:rPr>
        <w:t>” means any agreement, contract, instrument, subcontract, lease (whether for real or personal property), mortgage, license, or other legally binding commitment or undertaking of any nature to which such Person is a party or by which such Person or any of its assets are bound or affected, whether written or oral.</w:t>
      </w:r>
    </w:p>
    <w:p>
      <w:pPr>
        <w:spacing w:after="0" w:line="154" w:lineRule="exact"/>
        <w:rPr>
          <w:sz w:val="20"/>
          <w:szCs w:val="20"/>
          <w:color w:val="auto"/>
        </w:rPr>
      </w:pPr>
    </w:p>
    <w:p>
      <w:pPr>
        <w:ind w:left="1" w:firstLine="386"/>
        <w:spacing w:after="0" w:line="28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CVR Expenditure Amount</w:t>
      </w:r>
      <w:r>
        <w:rPr>
          <w:rFonts w:ascii="Times New Roman" w:cs="Times New Roman" w:eastAsia="Times New Roman" w:hAnsi="Times New Roman"/>
          <w:sz w:val="15"/>
          <w:szCs w:val="15"/>
          <w:color w:val="auto"/>
        </w:rPr>
        <w:t>” means an amount in dollars, equal to $250,000, to be deducted from the definition of Gem Net Cash and used by Gem solely to fund its activities pursuant to the CVR Agreement, including to maintain the viability of, and potentially sell, assign, license, or otherwise dispose of, in one or more transactions some or all of any non-cash assets of Gem that remain in possession or control of Gem as of the Closing.</w:t>
      </w:r>
    </w:p>
    <w:p>
      <w:pPr>
        <w:spacing w:after="0" w:line="136"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DGCL</w:t>
      </w:r>
      <w:r>
        <w:rPr>
          <w:rFonts w:ascii="Times New Roman" w:cs="Times New Roman" w:eastAsia="Times New Roman" w:hAnsi="Times New Roman"/>
          <w:sz w:val="16"/>
          <w:szCs w:val="16"/>
          <w:color w:val="auto"/>
        </w:rPr>
        <w:t>” means the General Corporation Law of the State of Delaware.</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w:t>
      </w:r>
      <w:r>
        <w:rPr>
          <w:rFonts w:ascii="Times New Roman" w:cs="Times New Roman" w:eastAsia="Times New Roman" w:hAnsi="Times New Roman"/>
          <w:sz w:val="16"/>
          <w:szCs w:val="16"/>
          <w:color w:val="auto"/>
        </w:rPr>
        <w:t>” means any effect, change, event, circumstance, or development.</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Employee Plan</w:t>
      </w:r>
      <w:r>
        <w:rPr>
          <w:rFonts w:ascii="Times New Roman" w:cs="Times New Roman" w:eastAsia="Times New Roman" w:hAnsi="Times New Roman"/>
          <w:sz w:val="16"/>
          <w:szCs w:val="16"/>
          <w:color w:val="auto"/>
        </w:rPr>
        <w:t>” means (A) an “employee benefit plan” within the meaning of Section 3(3) of ERISA, whether or not subject to ERISA;</w:t>
      </w:r>
    </w:p>
    <w:p>
      <w:pPr>
        <w:spacing w:after="0" w:line="24" w:lineRule="exact"/>
        <w:rPr>
          <w:sz w:val="20"/>
          <w:szCs w:val="20"/>
          <w:color w:val="auto"/>
        </w:rPr>
      </w:pPr>
    </w:p>
    <w:p>
      <w:pPr>
        <w:ind w:left="1" w:right="40" w:hanging="1"/>
        <w:spacing w:after="0" w:line="248" w:lineRule="auto"/>
        <w:tabs>
          <w:tab w:leader="none" w:pos="25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option plans, stock purchase plans, equity-based plans, retention plans, profit sharing plans, bonus (including any annual bonus and retention bonus) or incentive plans, programs or arrangements, deferred compensation arrangements or agreements, employment or severance pay plans, programs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w:t>
      </w:r>
    </w:p>
    <w:p>
      <w:pPr>
        <w:spacing w:after="0" w:line="166" w:lineRule="exact"/>
        <w:rPr>
          <w:sz w:val="20"/>
          <w:szCs w:val="20"/>
          <w:color w:val="auto"/>
        </w:rPr>
      </w:pPr>
    </w:p>
    <w:p>
      <w:pPr>
        <w:ind w:left="1" w:right="100"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Encumbrance</w:t>
      </w:r>
      <w:r>
        <w:rPr>
          <w:rFonts w:ascii="Times New Roman" w:cs="Times New Roman" w:eastAsia="Times New Roman" w:hAnsi="Times New Roman"/>
          <w:sz w:val="16"/>
          <w:szCs w:val="16"/>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621"/>
          </w:cols>
          <w:pgMar w:left="1119" w:top="251" w:right="1159" w:bottom="1440" w:gutter="0" w:footer="0" w:header="0"/>
        </w:sectPr>
      </w:pPr>
    </w:p>
    <w:bookmarkStart w:id="21" w:name="page22"/>
    <w:bookmarkEnd w:id="21"/>
    <w:p>
      <w:pPr>
        <w:ind w:right="140" w:firstLine="386"/>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Enforceability Exceptions</w:t>
      </w:r>
      <w:r>
        <w:rPr>
          <w:rFonts w:ascii="Times New Roman" w:cs="Times New Roman" w:eastAsia="Times New Roman" w:hAnsi="Times New Roman"/>
          <w:sz w:val="16"/>
          <w:szCs w:val="16"/>
          <w:color w:val="auto"/>
        </w:rPr>
        <w:t>” means the (a) Laws of general application relating to bankruptcy, insolvency and the relief of debtors and (b) rules of law governing specific performance, injunctive relief and other equitable remedies.</w:t>
      </w:r>
    </w:p>
    <w:p>
      <w:pPr>
        <w:spacing w:after="0" w:line="141" w:lineRule="exact"/>
        <w:rPr>
          <w:sz w:val="20"/>
          <w:szCs w:val="20"/>
          <w:color w:val="auto"/>
        </w:rPr>
      </w:pPr>
    </w:p>
    <w:p>
      <w:pPr>
        <w:jc w:val="both"/>
        <w:ind w:right="30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Entity</w:t>
      </w:r>
      <w:r>
        <w:rPr>
          <w:rFonts w:ascii="Times New Roman" w:cs="Times New Roman" w:eastAsia="Times New Roman" w:hAnsi="Times New Roman"/>
          <w:sz w:val="16"/>
          <w:szCs w:val="16"/>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54" w:lineRule="exact"/>
        <w:rPr>
          <w:sz w:val="20"/>
          <w:szCs w:val="20"/>
          <w:color w:val="auto"/>
        </w:rPr>
      </w:pPr>
    </w:p>
    <w:p>
      <w:pPr>
        <w:ind w:right="8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Environmental Law</w:t>
      </w:r>
      <w:r>
        <w:rPr>
          <w:rFonts w:ascii="Times New Roman" w:cs="Times New Roman" w:eastAsia="Times New Roman" w:hAnsi="Times New Roman"/>
          <w:sz w:val="16"/>
          <w:szCs w:val="16"/>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ERISA</w:t>
      </w:r>
      <w:r>
        <w:rPr>
          <w:rFonts w:ascii="Times New Roman" w:cs="Times New Roman" w:eastAsia="Times New Roman" w:hAnsi="Times New Roman"/>
          <w:sz w:val="16"/>
          <w:szCs w:val="16"/>
          <w:color w:val="auto"/>
        </w:rPr>
        <w:t>” means the Employee Retirement Income Security Act of 1974, as amended.</w:t>
      </w:r>
    </w:p>
    <w:p>
      <w:pPr>
        <w:spacing w:after="0" w:line="194" w:lineRule="exact"/>
        <w:rPr>
          <w:sz w:val="20"/>
          <w:szCs w:val="20"/>
          <w:color w:val="auto"/>
        </w:rPr>
      </w:pPr>
    </w:p>
    <w:p>
      <w:pPr>
        <w:ind w:right="40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ERISA Affiliate</w:t>
      </w:r>
      <w:r>
        <w:rPr>
          <w:rFonts w:ascii="Times New Roman" w:cs="Times New Roman" w:eastAsia="Times New Roman" w:hAnsi="Times New Roman"/>
          <w:sz w:val="16"/>
          <w:szCs w:val="16"/>
          <w:color w:val="auto"/>
        </w:rPr>
        <w:t>” means, with respect to any Entity, any other entity, trade or business that is, or at any applicable time was, a member of a group described in Section 414(b), (c), (m) or (o) of the Code or Section 4001(b)(1) of ERISA that includes such Entity.</w:t>
      </w:r>
    </w:p>
    <w:p>
      <w:pPr>
        <w:spacing w:after="0" w:line="141" w:lineRule="exact"/>
        <w:rPr>
          <w:sz w:val="20"/>
          <w:szCs w:val="20"/>
          <w:color w:val="auto"/>
        </w:rPr>
      </w:pPr>
    </w:p>
    <w:p>
      <w:pPr>
        <w:jc w:val="both"/>
        <w:ind w:firstLine="386"/>
        <w:spacing w:after="0" w:line="27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Equity Plan Amendments</w:t>
      </w:r>
      <w:r>
        <w:rPr>
          <w:rFonts w:ascii="Times New Roman" w:cs="Times New Roman" w:eastAsia="Times New Roman" w:hAnsi="Times New Roman"/>
          <w:sz w:val="15"/>
          <w:szCs w:val="15"/>
          <w:color w:val="auto"/>
        </w:rPr>
        <w:t>” means (a) an amendment to the Gem 2021 Stock Option and Incentive Plan to provide for such number of shares of common stock of Gem equal to nine and a half percent (9.5%) on a fully diluted basis to be available for grant or issuance thereunder, as calculated to be as of immediately following the Closing, and (b) an amendment to the Gem ESPP to provide for such number of shares of common stock of Gem equal to one percent (1%) on a fully diluted basis to be available for purchase thereunder, as calculated to be as of immediately following the Closing.</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 as amended.</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Ratio</w:t>
      </w:r>
      <w:r>
        <w:rPr>
          <w:rFonts w:ascii="Times New Roman" w:cs="Times New Roman" w:eastAsia="Times New Roman" w:hAnsi="Times New Roman"/>
          <w:sz w:val="15"/>
          <w:szCs w:val="15"/>
          <w:color w:val="auto"/>
        </w:rPr>
        <w:t xml:space="preserve">” means, subject to </w:t>
      </w:r>
      <w:r>
        <w:rPr>
          <w:rFonts w:ascii="Times New Roman" w:cs="Times New Roman" w:eastAsia="Times New Roman" w:hAnsi="Times New Roman"/>
          <w:sz w:val="15"/>
          <w:szCs w:val="15"/>
          <w:u w:val="single" w:color="auto"/>
          <w:color w:val="auto"/>
        </w:rPr>
        <w:t>Section 2.5(f)</w:t>
      </w:r>
      <w:r>
        <w:rPr>
          <w:rFonts w:ascii="Times New Roman" w:cs="Times New Roman" w:eastAsia="Times New Roman" w:hAnsi="Times New Roman"/>
          <w:sz w:val="15"/>
          <w:szCs w:val="15"/>
          <w:color w:val="auto"/>
        </w:rPr>
        <w:t>, the following ratio (rounded to four decimal places): the quotient obtained by dividing (a)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Merger Shares by (b) the Company Outstanding Shares, in which:</w:t>
      </w:r>
    </w:p>
    <w:p>
      <w:pPr>
        <w:spacing w:after="0" w:line="92" w:lineRule="exact"/>
        <w:rPr>
          <w:sz w:val="20"/>
          <w:szCs w:val="20"/>
          <w:color w:val="auto"/>
        </w:rPr>
      </w:pPr>
    </w:p>
    <w:p>
      <w:pPr>
        <w:ind w:left="1240" w:hanging="283"/>
        <w:spacing w:after="0"/>
        <w:tabs>
          <w:tab w:leader="none" w:pos="1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Aggregate Valuation</w:t>
      </w:r>
      <w:r>
        <w:rPr>
          <w:rFonts w:ascii="Times New Roman" w:cs="Times New Roman" w:eastAsia="Times New Roman" w:hAnsi="Times New Roman"/>
          <w:sz w:val="16"/>
          <w:szCs w:val="16"/>
          <w:color w:val="auto"/>
        </w:rPr>
        <w:t>” means the sum of (i) the Company Valuation, plus (ii) the Gem Valuation.</w:t>
      </w:r>
    </w:p>
    <w:p>
      <w:pPr>
        <w:spacing w:after="0" w:line="111" w:lineRule="exact"/>
        <w:rPr>
          <w:rFonts w:ascii="Times New Roman" w:cs="Times New Roman" w:eastAsia="Times New Roman" w:hAnsi="Times New Roman"/>
          <w:sz w:val="16"/>
          <w:szCs w:val="16"/>
          <w:color w:val="auto"/>
        </w:rPr>
      </w:pPr>
    </w:p>
    <w:p>
      <w:pPr>
        <w:ind w:left="1240" w:right="180" w:hanging="283"/>
        <w:spacing w:after="0" w:line="278" w:lineRule="auto"/>
        <w:tabs>
          <w:tab w:leader="none" w:pos="1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Allocation Percentage</w:t>
      </w:r>
      <w:r>
        <w:rPr>
          <w:rFonts w:ascii="Times New Roman" w:cs="Times New Roman" w:eastAsia="Times New Roman" w:hAnsi="Times New Roman"/>
          <w:sz w:val="16"/>
          <w:szCs w:val="16"/>
          <w:color w:val="auto"/>
        </w:rPr>
        <w:t>” means the quotient (rounded to four decimal places) determined by dividing (i) the Company Valuation by (ii) the Aggregate Valuation.</w:t>
      </w:r>
    </w:p>
    <w:p>
      <w:pPr>
        <w:spacing w:after="0" w:line="58" w:lineRule="exact"/>
        <w:rPr>
          <w:rFonts w:ascii="Times New Roman" w:cs="Times New Roman" w:eastAsia="Times New Roman" w:hAnsi="Times New Roman"/>
          <w:sz w:val="16"/>
          <w:szCs w:val="16"/>
          <w:color w:val="auto"/>
        </w:rPr>
      </w:pPr>
    </w:p>
    <w:p>
      <w:pPr>
        <w:ind w:left="1240" w:right="140" w:hanging="283"/>
        <w:spacing w:after="0" w:line="278" w:lineRule="auto"/>
        <w:tabs>
          <w:tab w:leader="none" w:pos="1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Merger Shares</w:t>
      </w:r>
      <w:r>
        <w:rPr>
          <w:rFonts w:ascii="Times New Roman" w:cs="Times New Roman" w:eastAsia="Times New Roman" w:hAnsi="Times New Roman"/>
          <w:sz w:val="16"/>
          <w:szCs w:val="16"/>
          <w:color w:val="auto"/>
        </w:rPr>
        <w:t>” means the product (rounded down to the nearest whole share) determined by multiplying (i) the Post-Closing Gem Shares by (ii) the Company Allocation Percentage.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40"/>
          </w:cols>
          <w:pgMar w:left="1120" w:top="251" w:right="1139" w:bottom="1440" w:gutter="0" w:footer="0" w:header="0"/>
        </w:sectPr>
      </w:pPr>
    </w:p>
    <w:bookmarkStart w:id="22" w:name="page23"/>
    <w:bookmarkEnd w:id="22"/>
    <w:p>
      <w:pPr>
        <w:ind w:left="920" w:hanging="283"/>
        <w:spacing w:after="0" w:line="250" w:lineRule="auto"/>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Company Outstanding Shares</w:t>
      </w:r>
      <w:r>
        <w:rPr>
          <w:rFonts w:ascii="Times New Roman" w:cs="Times New Roman" w:eastAsia="Times New Roman" w:hAnsi="Times New Roman"/>
          <w:sz w:val="16"/>
          <w:szCs w:val="16"/>
          <w:color w:val="auto"/>
        </w:rPr>
        <w:t xml:space="preserve">” means, subject to </w:t>
      </w:r>
      <w:r>
        <w:rPr>
          <w:rFonts w:ascii="Times New Roman" w:cs="Times New Roman" w:eastAsia="Times New Roman" w:hAnsi="Times New Roman"/>
          <w:sz w:val="16"/>
          <w:szCs w:val="16"/>
          <w:u w:val="single" w:color="auto"/>
          <w:color w:val="auto"/>
        </w:rPr>
        <w:t>Section 2.5(f)</w:t>
      </w:r>
      <w:r>
        <w:rPr>
          <w:rFonts w:ascii="Times New Roman" w:cs="Times New Roman" w:eastAsia="Times New Roman" w:hAnsi="Times New Roman"/>
          <w:sz w:val="16"/>
          <w:szCs w:val="16"/>
          <w:color w:val="auto"/>
        </w:rPr>
        <w:t xml:space="preserve">, the total number of shares of Company Capital Stock outstanding immediately prior to the Effective Time expressed on a fully-diluted and as-converted to Company Common Stock basis assuming, without limitation or duplication, (i) the exercise in full of all Company Options outstanding as of immediately prior to the Effective Time that are not cancelled at the Effective Time pursuant to </w:t>
      </w:r>
      <w:r>
        <w:rPr>
          <w:rFonts w:ascii="Times New Roman" w:cs="Times New Roman" w:eastAsia="Times New Roman" w:hAnsi="Times New Roman"/>
          <w:sz w:val="16"/>
          <w:szCs w:val="16"/>
          <w:u w:val="single" w:color="auto"/>
          <w:color w:val="auto"/>
        </w:rPr>
        <w:t>Section 6.5(a)</w:t>
      </w:r>
      <w:r>
        <w:rPr>
          <w:rFonts w:ascii="Times New Roman" w:cs="Times New Roman" w:eastAsia="Times New Roman" w:hAnsi="Times New Roman"/>
          <w:sz w:val="16"/>
          <w:szCs w:val="16"/>
          <w:color w:val="auto"/>
        </w:rPr>
        <w:t xml:space="preserve"> (and excluding any unvested Company Options that are forfeited at the Effective Time), (ii) the conversion of all shares of Company Preferred Stock into Company Common Stock, and (iii) the issuance of shares of Company Capital Stock in respect of all other outstanding options, warrants, restricted stock units, stock appreciation rights or rights to receive such shares, whether conditional or unconditional and including any outstanding options or rights triggered by or associated with the consummation of the Merger. Company Outstanding Shares shall include all shares of the Company issued in connection with the Company Pre-Closing Financing prior to the Effective Time and exclude any shares to be issued by the Company or Gem following the Effective Time and not in connection with the Merger or the Contemplated Transactions.</w:t>
      </w:r>
    </w:p>
    <w:p>
      <w:pPr>
        <w:spacing w:after="0" w:line="79" w:lineRule="exact"/>
        <w:rPr>
          <w:rFonts w:ascii="Times New Roman" w:cs="Times New Roman" w:eastAsia="Times New Roman" w:hAnsi="Times New Roman"/>
          <w:sz w:val="16"/>
          <w:szCs w:val="16"/>
          <w:color w:val="auto"/>
        </w:rPr>
      </w:pPr>
    </w:p>
    <w:p>
      <w:pPr>
        <w:ind w:left="920" w:right="60" w:hanging="283"/>
        <w:spacing w:after="0" w:line="257" w:lineRule="auto"/>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Valuation”</w:t>
      </w:r>
      <w:r>
        <w:rPr>
          <w:rFonts w:ascii="Times New Roman" w:cs="Times New Roman" w:eastAsia="Times New Roman" w:hAnsi="Times New Roman"/>
          <w:sz w:val="16"/>
          <w:szCs w:val="16"/>
          <w:color w:val="auto"/>
        </w:rPr>
        <w:t xml:space="preserve"> means (i) $260,000,000 plus (ii) the amount of net proceeds actually received by the Company (less any fees, costs and expenses incurred or payable by the Company in connection therewith) in connection with the Company Pre-Closing Financing prior to the Effective Time as set forth in the Allocation Certificate (provided that the gross proceeds of such Company Pre-Closing Financing on which such net proceeds are calculated shall not exceed $53,500,000).</w:t>
      </w:r>
    </w:p>
    <w:p>
      <w:pPr>
        <w:spacing w:after="0" w:line="75" w:lineRule="exact"/>
        <w:rPr>
          <w:rFonts w:ascii="Times New Roman" w:cs="Times New Roman" w:eastAsia="Times New Roman" w:hAnsi="Times New Roman"/>
          <w:sz w:val="16"/>
          <w:szCs w:val="16"/>
          <w:color w:val="auto"/>
        </w:rPr>
      </w:pPr>
    </w:p>
    <w:p>
      <w:pPr>
        <w:ind w:left="920" w:right="180" w:hanging="283"/>
        <w:spacing w:after="0" w:line="278" w:lineRule="auto"/>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Allocation Percentage</w:t>
      </w:r>
      <w:r>
        <w:rPr>
          <w:rFonts w:ascii="Times New Roman" w:cs="Times New Roman" w:eastAsia="Times New Roman" w:hAnsi="Times New Roman"/>
          <w:sz w:val="16"/>
          <w:szCs w:val="16"/>
          <w:color w:val="auto"/>
        </w:rPr>
        <w:t>” means the quotient (rounded to four decimal places) determined by dividing (i) the Gem Valuation by (ii) the Aggregate Valuation.</w:t>
      </w:r>
    </w:p>
    <w:p>
      <w:pPr>
        <w:spacing w:after="0" w:line="58" w:lineRule="exact"/>
        <w:rPr>
          <w:rFonts w:ascii="Times New Roman" w:cs="Times New Roman" w:eastAsia="Times New Roman" w:hAnsi="Times New Roman"/>
          <w:sz w:val="16"/>
          <w:szCs w:val="16"/>
          <w:color w:val="auto"/>
        </w:rPr>
      </w:pPr>
    </w:p>
    <w:p>
      <w:pPr>
        <w:ind w:left="920" w:hanging="283"/>
        <w:spacing w:after="0" w:line="250" w:lineRule="auto"/>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Outstanding Shares</w:t>
      </w:r>
      <w:r>
        <w:rPr>
          <w:rFonts w:ascii="Times New Roman" w:cs="Times New Roman" w:eastAsia="Times New Roman" w:hAnsi="Times New Roman"/>
          <w:sz w:val="16"/>
          <w:szCs w:val="16"/>
          <w:color w:val="auto"/>
        </w:rPr>
        <w:t xml:space="preserve">” means, subject to </w:t>
      </w:r>
      <w:r>
        <w:rPr>
          <w:rFonts w:ascii="Times New Roman" w:cs="Times New Roman" w:eastAsia="Times New Roman" w:hAnsi="Times New Roman"/>
          <w:sz w:val="16"/>
          <w:szCs w:val="16"/>
          <w:u w:val="single" w:color="auto"/>
          <w:color w:val="auto"/>
        </w:rPr>
        <w:t>Section 2.5(f)</w:t>
      </w:r>
      <w:r>
        <w:rPr>
          <w:rFonts w:ascii="Times New Roman" w:cs="Times New Roman" w:eastAsia="Times New Roman" w:hAnsi="Times New Roman"/>
          <w:sz w:val="16"/>
          <w:szCs w:val="16"/>
          <w:color w:val="auto"/>
        </w:rPr>
        <w:t xml:space="preserve"> (including, without limitation, the effects of the Nasdaq Reverse Split), the total number of shares of Gem Common Stock outstanding immediately prior to the Effective Time expressed on a fully-diluted basis, but assuming, without limitation or duplication, (i) the exercise in full of all Gem Options outstanding as of immediately prior to the Effective Time with a per share exercise price that is less than or equal to $4.50 (as adjusted for the Nasdaq Reverse Split), and (ii) the issuance of shares of Gem Common Stock in respect of all other outstanding options (not including Gem Options excluded by clause (i) above), warrants, restricted stock units, restricted stock awards or rights to receive such shares, whether conditional or unconditional and including any outstanding options (other than Gem Options excluded by clause (i) above) or rights triggered by or associated with the consummation of the Merger (but excluding any shares of Gem Common Stock reserved for issuance other than with respect to outstanding Gem Options, restricted stock units, restricted stock awards or rights to receive such shares under the Gem Stock Plans or Gem ESPP as of immediately prior to the Effective Time).</w:t>
      </w:r>
    </w:p>
    <w:p>
      <w:pPr>
        <w:spacing w:after="0" w:line="1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320"/>
          </w:cols>
          <w:pgMar w:left="1440" w:top="251" w:right="1139" w:bottom="1440" w:gutter="0" w:footer="0" w:header="0"/>
        </w:sectPr>
      </w:pPr>
    </w:p>
    <w:bookmarkStart w:id="23" w:name="page24"/>
    <w:bookmarkEnd w:id="23"/>
    <w:p>
      <w:pPr>
        <w:ind w:left="1240" w:hanging="283"/>
        <w:spacing w:after="0" w:line="278"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Gem Valuation</w:t>
      </w:r>
      <w:r>
        <w:rPr>
          <w:rFonts w:ascii="Times New Roman" w:cs="Times New Roman" w:eastAsia="Times New Roman" w:hAnsi="Times New Roman"/>
          <w:sz w:val="16"/>
          <w:szCs w:val="16"/>
          <w:color w:val="auto"/>
        </w:rPr>
        <w:t>” means $100,000,000 minus the Lower Gem Net Cash Amount (if any), plus the Higher Gem Net Cash Amount (if any), and plus the value of any Asset Disposition Proceeds.</w:t>
      </w:r>
    </w:p>
    <w:p>
      <w:pPr>
        <w:spacing w:after="0" w:line="58" w:lineRule="exact"/>
        <w:rPr>
          <w:rFonts w:ascii="Times New Roman" w:cs="Times New Roman" w:eastAsia="Times New Roman" w:hAnsi="Times New Roman"/>
          <w:sz w:val="16"/>
          <w:szCs w:val="16"/>
          <w:color w:val="auto"/>
        </w:rPr>
      </w:pPr>
    </w:p>
    <w:p>
      <w:pPr>
        <w:ind w:left="1240" w:right="160" w:hanging="283"/>
        <w:spacing w:after="0" w:line="278"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Higher Gem Net Cash Amount</w:t>
      </w:r>
      <w:r>
        <w:rPr>
          <w:rFonts w:ascii="Times New Roman" w:cs="Times New Roman" w:eastAsia="Times New Roman" w:hAnsi="Times New Roman"/>
          <w:sz w:val="16"/>
          <w:szCs w:val="16"/>
          <w:color w:val="auto"/>
        </w:rPr>
        <w:t>” means if the Final Net Cash is more than $96,600,000, then the amount by which the Final Net Cash is more than $96,600,000.</w:t>
      </w:r>
    </w:p>
    <w:p>
      <w:pPr>
        <w:spacing w:after="0" w:line="58" w:lineRule="exact"/>
        <w:rPr>
          <w:rFonts w:ascii="Times New Roman" w:cs="Times New Roman" w:eastAsia="Times New Roman" w:hAnsi="Times New Roman"/>
          <w:sz w:val="16"/>
          <w:szCs w:val="16"/>
          <w:color w:val="auto"/>
        </w:rPr>
      </w:pPr>
    </w:p>
    <w:p>
      <w:pPr>
        <w:ind w:left="1240" w:right="20" w:hanging="283"/>
        <w:spacing w:after="0" w:line="278"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Lower Gem Net Cash Amount</w:t>
      </w:r>
      <w:r>
        <w:rPr>
          <w:rFonts w:ascii="Times New Roman" w:cs="Times New Roman" w:eastAsia="Times New Roman" w:hAnsi="Times New Roman"/>
          <w:sz w:val="16"/>
          <w:szCs w:val="16"/>
          <w:color w:val="auto"/>
        </w:rPr>
        <w:t>” means if the Final Net Cash is less than $87,400,000, then the amount by which Final Net Cash is less than $87,400,000.</w:t>
      </w:r>
    </w:p>
    <w:p>
      <w:pPr>
        <w:spacing w:after="0" w:line="58" w:lineRule="exact"/>
        <w:rPr>
          <w:rFonts w:ascii="Times New Roman" w:cs="Times New Roman" w:eastAsia="Times New Roman" w:hAnsi="Times New Roman"/>
          <w:sz w:val="16"/>
          <w:szCs w:val="16"/>
          <w:color w:val="auto"/>
        </w:rPr>
      </w:pPr>
    </w:p>
    <w:p>
      <w:pPr>
        <w:ind w:left="1240" w:right="120" w:hanging="283"/>
        <w:spacing w:after="0" w:line="278" w:lineRule="auto"/>
        <w:tabs>
          <w:tab w:leader="none" w:pos="12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Post-Closing Gem Shares</w:t>
      </w:r>
      <w:r>
        <w:rPr>
          <w:rFonts w:ascii="Times New Roman" w:cs="Times New Roman" w:eastAsia="Times New Roman" w:hAnsi="Times New Roman"/>
          <w:sz w:val="16"/>
          <w:szCs w:val="16"/>
          <w:color w:val="auto"/>
        </w:rPr>
        <w:t>” mean the quotient determined by dividing (i) the Gem Outstanding Shares by (ii) the Gem Allocation Percentage.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Set forth on Annex A is an illustrative example of Exchange Ratio calculations.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Associate</w:t>
      </w:r>
      <w:r>
        <w:rPr>
          <w:rFonts w:ascii="Times New Roman" w:cs="Times New Roman" w:eastAsia="Times New Roman" w:hAnsi="Times New Roman"/>
          <w:sz w:val="16"/>
          <w:szCs w:val="16"/>
          <w:color w:val="auto"/>
        </w:rPr>
        <w:t>” means any current or former employee, independent contractor, officer or director of Gem or any of its Subsidiaries.</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Board</w:t>
      </w:r>
      <w:r>
        <w:rPr>
          <w:rFonts w:ascii="Times New Roman" w:cs="Times New Roman" w:eastAsia="Times New Roman" w:hAnsi="Times New Roman"/>
          <w:sz w:val="16"/>
          <w:szCs w:val="16"/>
          <w:color w:val="auto"/>
        </w:rPr>
        <w:t>” means the board of directors of Gem.</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Gem Capitalization Representations</w:t>
      </w:r>
      <w:r>
        <w:rPr>
          <w:rFonts w:ascii="Times New Roman" w:cs="Times New Roman" w:eastAsia="Times New Roman" w:hAnsi="Times New Roman"/>
          <w:sz w:val="15"/>
          <w:szCs w:val="15"/>
          <w:color w:val="auto"/>
        </w:rPr>
        <w:t xml:space="preserve">” means the representations and warranties of Gem and Merger Sub set forth in </w:t>
      </w:r>
      <w:r>
        <w:rPr>
          <w:rFonts w:ascii="Times New Roman" w:cs="Times New Roman" w:eastAsia="Times New Roman" w:hAnsi="Times New Roman"/>
          <w:sz w:val="15"/>
          <w:szCs w:val="15"/>
          <w:u w:val="single" w:color="auto"/>
          <w:color w:val="auto"/>
        </w:rPr>
        <w:t>Sections 4.6(a)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4.6(d)</w:t>
      </w:r>
      <w:r>
        <w:rPr>
          <w:rFonts w:ascii="Times New Roman" w:cs="Times New Roman" w:eastAsia="Times New Roman" w:hAnsi="Times New Roman"/>
          <w:sz w:val="15"/>
          <w:szCs w:val="15"/>
          <w:color w:val="auto"/>
        </w:rPr>
        <w:t>.</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Common Stock</w:t>
      </w:r>
      <w:r>
        <w:rPr>
          <w:rFonts w:ascii="Times New Roman" w:cs="Times New Roman" w:eastAsia="Times New Roman" w:hAnsi="Times New Roman"/>
          <w:sz w:val="16"/>
          <w:szCs w:val="16"/>
          <w:color w:val="auto"/>
        </w:rPr>
        <w:t>” means the common stock, $0.0001 par value per share, of Gem.</w:t>
      </w:r>
    </w:p>
    <w:p>
      <w:pPr>
        <w:spacing w:after="0" w:line="194" w:lineRule="exact"/>
        <w:rPr>
          <w:sz w:val="20"/>
          <w:szCs w:val="20"/>
          <w:color w:val="auto"/>
        </w:rPr>
      </w:pPr>
    </w:p>
    <w:p>
      <w:pPr>
        <w:ind w:right="14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Contract</w:t>
      </w:r>
      <w:r>
        <w:rPr>
          <w:rFonts w:ascii="Times New Roman" w:cs="Times New Roman" w:eastAsia="Times New Roman" w:hAnsi="Times New Roman"/>
          <w:sz w:val="16"/>
          <w:szCs w:val="16"/>
          <w:color w:val="auto"/>
        </w:rPr>
        <w:t>” means any Contract: (a) to which Gem is a party, (b) by which Gem is or may become bound or under which Gem has, or may become subject to, any obligation or (c) under which Gem has or may acquire any right or interest.</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Effective Date</w:t>
      </w:r>
      <w:r>
        <w:rPr>
          <w:rFonts w:ascii="Times New Roman" w:cs="Times New Roman" w:eastAsia="Times New Roman" w:hAnsi="Times New Roman"/>
          <w:sz w:val="16"/>
          <w:szCs w:val="16"/>
          <w:color w:val="auto"/>
        </w:rPr>
        <w:t>” means February 5, 2021.</w:t>
      </w:r>
    </w:p>
    <w:p>
      <w:pPr>
        <w:spacing w:after="0" w:line="194" w:lineRule="exact"/>
        <w:rPr>
          <w:sz w:val="20"/>
          <w:szCs w:val="20"/>
          <w:color w:val="auto"/>
        </w:rPr>
      </w:pPr>
    </w:p>
    <w:p>
      <w:pPr>
        <w:ind w:right="120"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Employee Plan</w:t>
      </w:r>
      <w:r>
        <w:rPr>
          <w:rFonts w:ascii="Times New Roman" w:cs="Times New Roman" w:eastAsia="Times New Roman" w:hAnsi="Times New Roman"/>
          <w:sz w:val="16"/>
          <w:szCs w:val="16"/>
          <w:color w:val="auto"/>
        </w:rPr>
        <w:t>” means any Employee Plan that Gem or any of its Subsidiaries sponsors, contributes to, or provides benefits under or through, or has any obligation to contribute to or provide benefits under or through, or if such plan provides benefits to or otherwise covers any current or former employee, officer, director or other service provider of Gem or any of its Subsidiaries (or their spouses, dependents, or beneficiaries) or with respect to which Gem or any of its Subsidiaries has or may have any liability (contingent or otherwise, including by reason of being an ERISA Affiliate).</w:t>
      </w:r>
    </w:p>
    <w:p>
      <w:pPr>
        <w:spacing w:after="0" w:line="162" w:lineRule="exact"/>
        <w:rPr>
          <w:sz w:val="20"/>
          <w:szCs w:val="20"/>
          <w:color w:val="auto"/>
        </w:rPr>
      </w:pPr>
    </w:p>
    <w:p>
      <w:pPr>
        <w:ind w:right="4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Fundamental Representations</w:t>
      </w:r>
      <w:r>
        <w:rPr>
          <w:rFonts w:ascii="Times New Roman" w:cs="Times New Roman" w:eastAsia="Times New Roman" w:hAnsi="Times New Roman"/>
          <w:sz w:val="16"/>
          <w:szCs w:val="16"/>
          <w:color w:val="auto"/>
        </w:rPr>
        <w:t xml:space="preserve">” means the representations and warranties of Gem and Merger Sub set forth in </w:t>
      </w:r>
      <w:r>
        <w:rPr>
          <w:rFonts w:ascii="Times New Roman" w:cs="Times New Roman" w:eastAsia="Times New Roman" w:hAnsi="Times New Roman"/>
          <w:sz w:val="16"/>
          <w:szCs w:val="16"/>
          <w:u w:val="single" w:color="auto"/>
          <w:color w:val="auto"/>
        </w:rPr>
        <w:t>Sections 4.1(a)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4.21</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right="48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IP Rights</w:t>
      </w:r>
      <w:r>
        <w:rPr>
          <w:rFonts w:ascii="Times New Roman" w:cs="Times New Roman" w:eastAsia="Times New Roman" w:hAnsi="Times New Roman"/>
          <w:sz w:val="16"/>
          <w:szCs w:val="16"/>
          <w:color w:val="auto"/>
        </w:rPr>
        <w:t>” means all Intellectual Property owned, licensed or controlled by Gem that is necessary for or used in the operation of the business of Gem as presently conducted.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IP Rights Agreement</w:t>
      </w:r>
      <w:r>
        <w:rPr>
          <w:rFonts w:ascii="Times New Roman" w:cs="Times New Roman" w:eastAsia="Times New Roman" w:hAnsi="Times New Roman"/>
          <w:sz w:val="16"/>
          <w:szCs w:val="16"/>
          <w:color w:val="auto"/>
        </w:rPr>
        <w:t>” means any instrument, Contract or agreement governing, related or pertaining to any Gem IP Rights.</w:t>
      </w:r>
    </w:p>
    <w:p>
      <w:pPr>
        <w:spacing w:after="0" w:line="1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640"/>
          </w:cols>
          <w:pgMar w:left="1120" w:top="251" w:right="1139" w:bottom="1440" w:gutter="0" w:footer="0" w:header="0"/>
        </w:sectPr>
      </w:pPr>
    </w:p>
    <w:bookmarkStart w:id="24" w:name="page25"/>
    <w:bookmarkEnd w:id="24"/>
    <w:p>
      <w:pPr>
        <w:ind w:firstLine="386"/>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Gem Material Adverse Effect</w:t>
      </w:r>
      <w:r>
        <w:rPr>
          <w:rFonts w:ascii="Times New Roman" w:cs="Times New Roman" w:eastAsia="Times New Roman" w:hAnsi="Times New Roman"/>
          <w:sz w:val="16"/>
          <w:szCs w:val="16"/>
          <w:color w:val="auto"/>
        </w:rPr>
        <w:t>” means any Effect that, considered together with all other Effects that have occurred prior to the date of determination of the occurrence of the Gem Material Adverse Effect, has or would reasonably be expected to have a material adverse effect on the business, financial condition, assets, liabilities or results of operations of Gem; provided, however, that Effects arising or resulting from the following shall not be taken into account in determining whether there has been a Gem Material Adverse Effect: (a) the announcement of the Agreement or the pendency of the Contemplated Transactions, (b) any change in the stock price or trading volume of Gem Common Stock (it being understood, however, that any Effect causing or contributing to any change in stock price or trading volume of Gem Common Stock may be taken into account in determining whether a Gem Material Adverse Effect has occurred, unless such Effects are otherwise excepted from this definition), (c) the taking of any action, or the failure to take any action, by Gem that is required to comply with the terms of the Agreement or the taking of any action expressly permitted by Section 5.1(b) of the Gem Disclosure Schedule, (d)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or (f) general economic or political conditions or conditions generally affecting the industries in which Gem operates; except, in each case with respect to clauses (d), (e) and (f), to the extent disproportionately affecting Gem relative to other similarly situated companies in the industries in which Gem operates.</w:t>
      </w:r>
    </w:p>
    <w:p>
      <w:pPr>
        <w:spacing w:after="0" w:line="166" w:lineRule="exact"/>
        <w:rPr>
          <w:sz w:val="20"/>
          <w:szCs w:val="20"/>
          <w:color w:val="auto"/>
        </w:rPr>
      </w:pPr>
    </w:p>
    <w:p>
      <w:pPr>
        <w:ind w:right="20" w:firstLine="386"/>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Net Cash</w:t>
      </w:r>
      <w:r>
        <w:rPr>
          <w:rFonts w:ascii="Times New Roman" w:cs="Times New Roman" w:eastAsia="Times New Roman" w:hAnsi="Times New Roman"/>
          <w:sz w:val="16"/>
          <w:szCs w:val="16"/>
          <w:color w:val="auto"/>
        </w:rPr>
        <w:t>” means, as of any applicable time of determination and without duplication, (A) the sum of (1) the cash, cash equivalents, restricted cash and marketable securities of such person and its Subsidiaries and (2) accounts receivable (including any Tax refund claims pending as of the date of this Agreement), deposits and interest, minus (B) the sum of (1) any unpaid Transaction Expenses of Gem or its Subsidiaries, (2) unpaid indebtedness for borrowed money of Gem and its Subsidiaries, (3) any accounts payable and accrued expenses (other than accrued expenses which are Transaction Expenses of Gem), including any such accounts payable or accrued expenses associated with the termination of any Gem Contracts which were in effect prior to the Effective Time (even if the applicable expenses are due and payable after the Effective Time), (4) any unpaid employer portion of payroll or employment Taxes incurred in connection with the grant, exercise, conversion, settlement or cancellation of any RSUs, options, equity compensation and other change in control or severance payments (including any bonuses payable) or any CVRs issued to holders of RSUs or options or otherwise as compensation (either incurred prior to or at the time of the Merger, and for the avoidance of doubt, not calculated as of the close of business on the Business Day prior to the Closing Date)), in each case with respect to this clause (4), incurred in connection with the Merger by Gem at or prior to the Effective Time (even if payable after the Effective Time), (5) any pre-payment, termination, “end of term” or similar fee or charge payable to any lender in connection with the repayment of indebtedness by Gem at or prior to the Effective Time, (6) contractual commitments for future payments by Gem or its Affiliates due prior to the one-year anniversary of the Closing Date; and (7) the CVR Expenditure Amount. Each component of Gem Net Cash, to the extent applicable, shall be determined in accordance with GAAP, applied on a basis consistent with the application of GAAP in the preparation of Gem’s most recent audited or reviewed financial statements. A sample calculation of Gem Net Cash and its components is set forth in Annex B for illustrative purposes only.</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600"/>
          </w:cols>
          <w:pgMar w:left="1120" w:top="251" w:right="1179" w:bottom="1440" w:gutter="0" w:footer="0" w:header="0"/>
        </w:sectPr>
      </w:pPr>
    </w:p>
    <w:bookmarkStart w:id="25" w:name="page26"/>
    <w:bookmarkEnd w:id="25"/>
    <w:p>
      <w:pPr>
        <w:ind w:right="300" w:firstLine="386"/>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Gem Options</w:t>
      </w:r>
      <w:r>
        <w:rPr>
          <w:rFonts w:ascii="Times New Roman" w:cs="Times New Roman" w:eastAsia="Times New Roman" w:hAnsi="Times New Roman"/>
          <w:sz w:val="16"/>
          <w:szCs w:val="16"/>
          <w:color w:val="auto"/>
        </w:rPr>
        <w:t>” means options or other rights to purchase shares of Gem Common Stock issued by Gem, other than options or other rights to purchase shares of Gem Common Stock under the Gem ESPP.</w:t>
      </w:r>
    </w:p>
    <w:p>
      <w:pPr>
        <w:spacing w:after="0" w:line="141" w:lineRule="exact"/>
        <w:rPr>
          <w:sz w:val="20"/>
          <w:szCs w:val="20"/>
          <w:color w:val="auto"/>
        </w:rPr>
      </w:pPr>
    </w:p>
    <w:p>
      <w:pPr>
        <w:jc w:val="both"/>
        <w:ind w:right="36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Registered IP</w:t>
      </w:r>
      <w:r>
        <w:rPr>
          <w:rFonts w:ascii="Times New Roman" w:cs="Times New Roman" w:eastAsia="Times New Roman" w:hAnsi="Times New Roman"/>
          <w:sz w:val="16"/>
          <w:szCs w:val="16"/>
          <w:color w:val="auto"/>
        </w:rPr>
        <w:t>” means all Gem IP Rights that are owned or exclusively licensed by Gem that are registered, filed or issued under the authority of, with or by any Governmental Authority, including all patents, registered copyrights and registered trademarks and any applications or registrations for any of the foregoing.</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RSU</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Gem RSUs</w:t>
      </w:r>
      <w:r>
        <w:rPr>
          <w:rFonts w:ascii="Times New Roman" w:cs="Times New Roman" w:eastAsia="Times New Roman" w:hAnsi="Times New Roman"/>
          <w:sz w:val="16"/>
          <w:szCs w:val="16"/>
          <w:color w:val="auto"/>
        </w:rPr>
        <w:t>” means restricted stock unit awards or similar rights to receive shares of Gem Common Stock issued by Gem.</w:t>
      </w:r>
    </w:p>
    <w:p>
      <w:pPr>
        <w:spacing w:after="0" w:line="194" w:lineRule="exact"/>
        <w:rPr>
          <w:sz w:val="20"/>
          <w:szCs w:val="20"/>
          <w:color w:val="auto"/>
        </w:rPr>
      </w:pPr>
    </w:p>
    <w:p>
      <w:pPr>
        <w:ind w:right="28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Stock Plans</w:t>
      </w:r>
      <w:r>
        <w:rPr>
          <w:rFonts w:ascii="Times New Roman" w:cs="Times New Roman" w:eastAsia="Times New Roman" w:hAnsi="Times New Roman"/>
          <w:sz w:val="16"/>
          <w:szCs w:val="16"/>
          <w:color w:val="auto"/>
        </w:rPr>
        <w:t>” means each of the Gem 2021 Stock Option and Incentive Plan, the Gem 2021 Inducement Plan, and the Gem 2017 Stock Option and Grant Plan, as amended, and the Gem 2015 Employee, Director and Consultant Stock Option Plan.</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Stockholder Support Agreements</w:t>
      </w:r>
      <w:r>
        <w:rPr>
          <w:rFonts w:ascii="Times New Roman" w:cs="Times New Roman" w:eastAsia="Times New Roman" w:hAnsi="Times New Roman"/>
          <w:sz w:val="16"/>
          <w:szCs w:val="16"/>
          <w:color w:val="auto"/>
        </w:rPr>
        <w:t>” shall have the meaning set forth in the recitals.</w:t>
      </w:r>
    </w:p>
    <w:p>
      <w:pPr>
        <w:spacing w:after="0" w:line="194" w:lineRule="exact"/>
        <w:rPr>
          <w:sz w:val="20"/>
          <w:szCs w:val="20"/>
          <w:color w:val="auto"/>
        </w:rPr>
      </w:pPr>
    </w:p>
    <w:p>
      <w:pPr>
        <w:ind w:firstLine="386"/>
        <w:spacing w:after="0" w:line="27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Gem Triggering Event</w:t>
      </w:r>
      <w:r>
        <w:rPr>
          <w:rFonts w:ascii="Times New Roman" w:cs="Times New Roman" w:eastAsia="Times New Roman" w:hAnsi="Times New Roman"/>
          <w:sz w:val="15"/>
          <w:szCs w:val="15"/>
          <w:color w:val="auto"/>
        </w:rPr>
        <w:t xml:space="preserve">” shall be deemed to have occurred if: (a) Gem shall have failed to include in the Proxy Statement the Gem Board Recommendation, (b) the Gem Board or any committee thereof shall have made a Gem Board Adverse Recommendation Change or approved, endorsed or recommended any Acquisition Proposal (other than with the Company), or (c) Gem shall have entered into any letter of intent or similar document or any Contract relating to any Acquisition Proposal (other than an Acceptable Confidentiality Agreement permitted pursuant to </w:t>
      </w:r>
      <w:r>
        <w:rPr>
          <w:rFonts w:ascii="Times New Roman" w:cs="Times New Roman" w:eastAsia="Times New Roman" w:hAnsi="Times New Roman"/>
          <w:sz w:val="15"/>
          <w:szCs w:val="15"/>
          <w:u w:val="single" w:color="auto"/>
          <w:color w:val="auto"/>
        </w:rPr>
        <w:t>Section 5.4</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ind w:right="10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Gem Unaudited Interim Balance Sheet</w:t>
      </w:r>
      <w:r>
        <w:rPr>
          <w:rFonts w:ascii="Times New Roman" w:cs="Times New Roman" w:eastAsia="Times New Roman" w:hAnsi="Times New Roman"/>
          <w:sz w:val="16"/>
          <w:szCs w:val="16"/>
          <w:color w:val="auto"/>
        </w:rPr>
        <w:t>” means the unaudited consolidated balance sheet of Gem for the three-month period ended March 31, 2022 provided to the Company prior to the date of this Agreement.</w:t>
      </w:r>
    </w:p>
    <w:p>
      <w:pPr>
        <w:spacing w:after="0" w:line="141" w:lineRule="exact"/>
        <w:rPr>
          <w:sz w:val="20"/>
          <w:szCs w:val="20"/>
          <w:color w:val="auto"/>
        </w:rPr>
      </w:pPr>
    </w:p>
    <w:p>
      <w:pPr>
        <w:ind w:right="40"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Authority</w:t>
      </w:r>
      <w:r>
        <w:rPr>
          <w:rFonts w:ascii="Times New Roman" w:cs="Times New Roman" w:eastAsia="Times New Roman" w:hAnsi="Times New Roman"/>
          <w:sz w:val="16"/>
          <w:szCs w:val="16"/>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62" w:lineRule="exact"/>
        <w:rPr>
          <w:sz w:val="20"/>
          <w:szCs w:val="20"/>
          <w:color w:val="auto"/>
        </w:rPr>
      </w:pPr>
    </w:p>
    <w:p>
      <w:pPr>
        <w:ind w:right="2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Authorization</w:t>
      </w:r>
      <w:r>
        <w:rPr>
          <w:rFonts w:ascii="Times New Roman" w:cs="Times New Roman" w:eastAsia="Times New Roman" w:hAnsi="Times New Roman"/>
          <w:sz w:val="16"/>
          <w:szCs w:val="16"/>
          <w:color w:val="auto"/>
        </w:rPr>
        <w:t>”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54" w:lineRule="exact"/>
        <w:rPr>
          <w:sz w:val="20"/>
          <w:szCs w:val="20"/>
          <w:color w:val="auto"/>
        </w:rPr>
      </w:pPr>
    </w:p>
    <w:p>
      <w:pPr>
        <w:ind w:firstLine="386"/>
        <w:spacing w:after="0" w:line="28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Hazardous Materials</w:t>
      </w:r>
      <w:r>
        <w:rPr>
          <w:rFonts w:ascii="Times New Roman" w:cs="Times New Roman" w:eastAsia="Times New Roman" w:hAnsi="Times New Roman"/>
          <w:sz w:val="15"/>
          <w:szCs w:val="15"/>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620"/>
          </w:cols>
          <w:pgMar w:left="1120" w:top="251" w:right="1159" w:bottom="1440" w:gutter="0" w:footer="0" w:header="0"/>
        </w:sectPr>
      </w:pPr>
    </w:p>
    <w:bookmarkStart w:id="26" w:name="page27"/>
    <w:bookmarkEnd w:id="26"/>
    <w:p>
      <w:pPr>
        <w:ind w:left="1" w:right="100" w:firstLine="386"/>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cs="Times New Roman" w:eastAsia="Times New Roman" w:hAnsi="Times New Roman"/>
          <w:sz w:val="16"/>
          <w:szCs w:val="16"/>
          <w:b w:val="1"/>
          <w:bCs w:val="1"/>
          <w:color w:val="auto"/>
        </w:rPr>
        <w:t>Patents</w:t>
      </w:r>
      <w:r>
        <w:rPr>
          <w:rFonts w:ascii="Times New Roman" w:cs="Times New Roman" w:eastAsia="Times New Roman" w:hAnsi="Times New Roman"/>
          <w:sz w:val="16"/>
          <w:szCs w:val="16"/>
          <w:color w:val="auto"/>
        </w:rPr>
        <w:t>”), (b) trademarks, service marks, trade names, domain names, corporate names, brand names, URLs, trade dress, logos, social media accounts and other source identifiers, including registrations and applications for registration thereof, (c) copyrights, including registrations and applications for registration thereof, (d) software, including all source code, object code and related documentation, formulae, customer lists, trade secrets, know-how, confidential information and other proprietary rights and intellectual property, whether patentable or not and (e) all United States and foreign rights arising under or associated with any of the foregoing.</w:t>
      </w:r>
    </w:p>
    <w:p>
      <w:pPr>
        <w:spacing w:after="0" w:line="16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IRS</w:t>
      </w:r>
      <w:r>
        <w:rPr>
          <w:rFonts w:ascii="Times New Roman" w:cs="Times New Roman" w:eastAsia="Times New Roman" w:hAnsi="Times New Roman"/>
          <w:sz w:val="16"/>
          <w:szCs w:val="16"/>
          <w:color w:val="auto"/>
        </w:rPr>
        <w:t>” means the United States Internal Revenue Service.</w:t>
      </w:r>
    </w:p>
    <w:p>
      <w:pPr>
        <w:spacing w:after="0" w:line="194" w:lineRule="exact"/>
        <w:rPr>
          <w:sz w:val="20"/>
          <w:szCs w:val="20"/>
          <w:color w:val="auto"/>
        </w:rPr>
      </w:pPr>
    </w:p>
    <w:p>
      <w:pPr>
        <w:ind w:left="1" w:right="36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Key Employee</w:t>
      </w:r>
      <w:r>
        <w:rPr>
          <w:rFonts w:ascii="Times New Roman" w:cs="Times New Roman" w:eastAsia="Times New Roman" w:hAnsi="Times New Roman"/>
          <w:sz w:val="16"/>
          <w:szCs w:val="16"/>
          <w:color w:val="auto"/>
        </w:rPr>
        <w:t>” means, with respect to the Company or Gem, an executive officer of such Party or any employee of such Party that reports directly to the board of directors of such Party or to the Chief Executive Officer or Chief Accounting Officer of such Party.</w:t>
      </w:r>
    </w:p>
    <w:p>
      <w:pPr>
        <w:spacing w:after="0" w:line="141" w:lineRule="exact"/>
        <w:rPr>
          <w:sz w:val="20"/>
          <w:szCs w:val="20"/>
          <w:color w:val="auto"/>
        </w:rPr>
      </w:pPr>
    </w:p>
    <w:p>
      <w:pPr>
        <w:ind w:left="1" w:right="4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Knowledge</w:t>
      </w:r>
      <w:r>
        <w:rPr>
          <w:rFonts w:ascii="Times New Roman" w:cs="Times New Roman" w:eastAsia="Times New Roman" w:hAnsi="Times New Roman"/>
          <w:sz w:val="16"/>
          <w:szCs w:val="16"/>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is actually aware of the relevant fact and such knowledge is imputed has or should reasonably be expected to have Knowledge of such fact or other matter.</w:t>
      </w:r>
    </w:p>
    <w:p>
      <w:pPr>
        <w:spacing w:after="0" w:line="158" w:lineRule="exact"/>
        <w:rPr>
          <w:sz w:val="20"/>
          <w:szCs w:val="20"/>
          <w:color w:val="auto"/>
        </w:rPr>
      </w:pPr>
    </w:p>
    <w:p>
      <w:pPr>
        <w:ind w:left="1" w:right="12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Law</w:t>
      </w:r>
      <w:r>
        <w:rPr>
          <w:rFonts w:ascii="Times New Roman" w:cs="Times New Roman" w:eastAsia="Times New Roman" w:hAnsi="Times New Roman"/>
          <w:sz w:val="16"/>
          <w:szCs w:val="16"/>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58" w:lineRule="exact"/>
        <w:rPr>
          <w:sz w:val="20"/>
          <w:szCs w:val="20"/>
          <w:color w:val="auto"/>
        </w:rPr>
      </w:pPr>
    </w:p>
    <w:p>
      <w:pPr>
        <w:ind w:left="1" w:right="42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Legal Proceeding</w:t>
      </w:r>
      <w:r>
        <w:rPr>
          <w:rFonts w:ascii="Times New Roman" w:cs="Times New Roman" w:eastAsia="Times New Roman" w:hAnsi="Times New Roman"/>
          <w:sz w:val="16"/>
          <w:szCs w:val="16"/>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54" w:lineRule="exact"/>
        <w:rPr>
          <w:sz w:val="20"/>
          <w:szCs w:val="20"/>
          <w:color w:val="auto"/>
        </w:rPr>
      </w:pPr>
    </w:p>
    <w:p>
      <w:pPr>
        <w:ind w:left="1" w:right="30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Continuing Obligation</w:t>
      </w:r>
      <w:r>
        <w:rPr>
          <w:rFonts w:ascii="Times New Roman" w:cs="Times New Roman" w:eastAsia="Times New Roman" w:hAnsi="Times New Roman"/>
          <w:sz w:val="16"/>
          <w:szCs w:val="16"/>
          <w:color w:val="auto"/>
        </w:rPr>
        <w:t>” shall mean, other than any obligations specifically set forth in the CVR Agreement, any non-competition obligation affecting any of the assets of the Company as they exist as of the date of this Agreement.</w:t>
      </w:r>
    </w:p>
    <w:p>
      <w:pPr>
        <w:spacing w:after="0" w:line="141"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Merger Sub Board</w:t>
      </w:r>
      <w:r>
        <w:rPr>
          <w:rFonts w:ascii="Times New Roman" w:cs="Times New Roman" w:eastAsia="Times New Roman" w:hAnsi="Times New Roman"/>
          <w:sz w:val="16"/>
          <w:szCs w:val="16"/>
          <w:color w:val="auto"/>
        </w:rPr>
        <w:t>” means the board of directors of Merger Sub.</w:t>
      </w:r>
    </w:p>
    <w:p>
      <w:pPr>
        <w:spacing w:after="0" w:line="194" w:lineRule="exact"/>
        <w:rPr>
          <w:sz w:val="20"/>
          <w:szCs w:val="20"/>
          <w:color w:val="auto"/>
        </w:rPr>
      </w:pPr>
    </w:p>
    <w:p>
      <w:pPr>
        <w:ind w:left="1" w:right="12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Multiemployer Plan</w:t>
      </w:r>
      <w:r>
        <w:rPr>
          <w:rFonts w:ascii="Times New Roman" w:cs="Times New Roman" w:eastAsia="Times New Roman" w:hAnsi="Times New Roman"/>
          <w:sz w:val="16"/>
          <w:szCs w:val="16"/>
          <w:color w:val="auto"/>
        </w:rPr>
        <w:t>” means (a) a “multiemployer plan,” as defined in Section 3(37) or 4001(a)(3) of ERISA or (b) a plan which if maintained or administered in or otherwise subject to the laws of the United States would be described in clause (a) of this definition.</w:t>
      </w:r>
    </w:p>
    <w:p>
      <w:pPr>
        <w:spacing w:after="0" w:line="141"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Multiple Employer Plan</w:t>
      </w:r>
      <w:r>
        <w:rPr>
          <w:rFonts w:ascii="Times New Roman" w:cs="Times New Roman" w:eastAsia="Times New Roman" w:hAnsi="Times New Roman"/>
          <w:sz w:val="15"/>
          <w:szCs w:val="15"/>
          <w:color w:val="auto"/>
        </w:rPr>
        <w:t>” means (a) a “multiple employer plan” within the meaning of Section 413(c) of the Code or Section 210 of ERISA or</w:t>
      </w:r>
    </w:p>
    <w:p>
      <w:pPr>
        <w:spacing w:after="0" w:line="36" w:lineRule="exact"/>
        <w:rPr>
          <w:sz w:val="20"/>
          <w:szCs w:val="20"/>
          <w:color w:val="auto"/>
        </w:rPr>
      </w:pPr>
    </w:p>
    <w:p>
      <w:pPr>
        <w:ind w:left="221" w:hanging="221"/>
        <w:spacing w:after="0"/>
        <w:tabs>
          <w:tab w:leader="none" w:pos="221"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plan which if maintained or administered in or otherwise subject to the laws of the United States would be described in clause (a) of this definition.</w:t>
      </w:r>
    </w:p>
    <w:p>
      <w:pPr>
        <w:spacing w:after="0" w:line="129" w:lineRule="exact"/>
        <w:rPr>
          <w:rFonts w:ascii="Times New Roman" w:cs="Times New Roman" w:eastAsia="Times New Roman" w:hAnsi="Times New Roman"/>
          <w:sz w:val="15"/>
          <w:szCs w:val="15"/>
          <w:color w:val="auto"/>
        </w:rPr>
      </w:pPr>
    </w:p>
    <w:p>
      <w:pPr>
        <w:ind w:left="474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12</w:t>
      </w:r>
    </w:p>
    <w:p>
      <w:pPr>
        <w:sectPr>
          <w:pgSz w:w="11900" w:h="16838" w:orient="portrait"/>
          <w:cols w:equalWidth="0" w:num="1">
            <w:col w:w="9621"/>
          </w:cols>
          <w:pgMar w:left="1119" w:top="251" w:right="1159" w:bottom="1440" w:gutter="0" w:footer="0" w:header="0"/>
        </w:sectPr>
      </w:pPr>
    </w:p>
    <w:bookmarkStart w:id="27" w:name="page28"/>
    <w:bookmarkEnd w:id="27"/>
    <w:p>
      <w:pPr>
        <w:ind w:left="1" w:right="40" w:firstLine="386"/>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Multiple Employer Welfare Arrangement</w:t>
      </w:r>
      <w:r>
        <w:rPr>
          <w:rFonts w:ascii="Times New Roman" w:cs="Times New Roman" w:eastAsia="Times New Roman" w:hAnsi="Times New Roman"/>
          <w:sz w:val="16"/>
          <w:szCs w:val="16"/>
          <w:color w:val="auto"/>
        </w:rPr>
        <w:t>” means (a) a “multiple employer welfare arrangement” within the meaning of Section 3(40) of ERISA or (b) a plan which if maintained or administered in or otherwise subject to the laws of the United States would be described in clause (a) of this definition.</w:t>
      </w:r>
    </w:p>
    <w:p>
      <w:pPr>
        <w:spacing w:after="0" w:line="15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means The Nasdaq Stock Market.</w:t>
      </w:r>
    </w:p>
    <w:p>
      <w:pPr>
        <w:spacing w:after="0" w:line="194" w:lineRule="exact"/>
        <w:rPr>
          <w:sz w:val="20"/>
          <w:szCs w:val="20"/>
          <w:color w:val="auto"/>
        </w:rPr>
      </w:pPr>
    </w:p>
    <w:p>
      <w:pPr>
        <w:ind w:left="1" w:right="28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Nasdaq Reverse Split</w:t>
      </w:r>
      <w:r>
        <w:rPr>
          <w:rFonts w:ascii="Times New Roman" w:cs="Times New Roman" w:eastAsia="Times New Roman" w:hAnsi="Times New Roman"/>
          <w:sz w:val="16"/>
          <w:szCs w:val="16"/>
          <w:color w:val="auto"/>
        </w:rPr>
        <w:t>” means a reverse stock split of all outstanding shares of Gem Common Stock at a reverse stock split ratio as mutually agreed to by Gem and the Company that is effected by Gem prior to the Effective Time.</w:t>
      </w:r>
    </w:p>
    <w:p>
      <w:pPr>
        <w:spacing w:after="0" w:line="141" w:lineRule="exact"/>
        <w:rPr>
          <w:sz w:val="20"/>
          <w:szCs w:val="20"/>
          <w:color w:val="auto"/>
        </w:rPr>
      </w:pPr>
    </w:p>
    <w:p>
      <w:pPr>
        <w:ind w:left="1" w:right="160"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Order</w:t>
      </w:r>
      <w:r>
        <w:rPr>
          <w:rFonts w:ascii="Times New Roman" w:cs="Times New Roman" w:eastAsia="Times New Roman" w:hAnsi="Times New Roman"/>
          <w:sz w:val="16"/>
          <w:szCs w:val="16"/>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or arbitrator.</w:t>
      </w:r>
    </w:p>
    <w:p>
      <w:pPr>
        <w:spacing w:after="0" w:line="154" w:lineRule="exact"/>
        <w:rPr>
          <w:sz w:val="20"/>
          <w:szCs w:val="20"/>
          <w:color w:val="auto"/>
        </w:rPr>
      </w:pPr>
    </w:p>
    <w:p>
      <w:pPr>
        <w:ind w:left="1" w:right="140" w:firstLine="386"/>
        <w:spacing w:after="0" w:line="28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Ordinary Course of Business</w:t>
      </w:r>
      <w:r>
        <w:rPr>
          <w:rFonts w:ascii="Times New Roman" w:cs="Times New Roman" w:eastAsia="Times New Roman" w:hAnsi="Times New Roman"/>
          <w:sz w:val="15"/>
          <w:szCs w:val="15"/>
          <w:color w:val="auto"/>
        </w:rPr>
        <w:t xml:space="preserve">” means, in the case of each of the Company and Gem, such actions taken in the ordinary course of its normal operations and consistent with its past practices;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during the Pre-Closing Period, the Ordinary Course of Business of Gem shall also be deemed to include actions taken to effect the sale, transfer and/or winding down of its prior research and development assets and activities.</w:t>
      </w:r>
    </w:p>
    <w:p>
      <w:pPr>
        <w:spacing w:after="0" w:line="136" w:lineRule="exact"/>
        <w:rPr>
          <w:sz w:val="20"/>
          <w:szCs w:val="20"/>
          <w:color w:val="auto"/>
        </w:rPr>
      </w:pPr>
    </w:p>
    <w:p>
      <w:pPr>
        <w:ind w:left="1" w:firstLine="386"/>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Organizational Documents</w:t>
      </w:r>
      <w:r>
        <w:rPr>
          <w:rFonts w:ascii="Times New Roman" w:cs="Times New Roman" w:eastAsia="Times New Roman" w:hAnsi="Times New Roman"/>
          <w:sz w:val="16"/>
          <w:szCs w:val="16"/>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6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means the Company, Merger Sub and Gem.</w:t>
      </w:r>
    </w:p>
    <w:p>
      <w:pPr>
        <w:spacing w:after="0" w:line="194" w:lineRule="exact"/>
        <w:rPr>
          <w:sz w:val="20"/>
          <w:szCs w:val="20"/>
          <w:color w:val="auto"/>
        </w:rPr>
      </w:pPr>
    </w:p>
    <w:p>
      <w:pPr>
        <w:ind w:left="1" w:right="36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Alternative Agreement</w:t>
      </w:r>
      <w:r>
        <w:rPr>
          <w:rFonts w:ascii="Times New Roman" w:cs="Times New Roman" w:eastAsia="Times New Roman" w:hAnsi="Times New Roman"/>
          <w:sz w:val="16"/>
          <w:szCs w:val="16"/>
          <w:color w:val="auto"/>
        </w:rPr>
        <w:t>” means a definitive agreement that contemplates or otherwise relates to an Acquisition Transaction that constitutes a Superior Offer.</w:t>
      </w:r>
    </w:p>
    <w:p>
      <w:pPr>
        <w:spacing w:after="0" w:line="141" w:lineRule="exact"/>
        <w:rPr>
          <w:sz w:val="20"/>
          <w:szCs w:val="20"/>
          <w:color w:val="auto"/>
        </w:rPr>
      </w:pPr>
    </w:p>
    <w:p>
      <w:pPr>
        <w:ind w:left="1" w:right="20" w:firstLine="386"/>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Encumbrance</w:t>
      </w:r>
      <w:r>
        <w:rPr>
          <w:rFonts w:ascii="Times New Roman" w:cs="Times New Roman" w:eastAsia="Times New Roman" w:hAnsi="Times New Roman"/>
          <w:sz w:val="15"/>
          <w:szCs w:val="15"/>
          <w:color w:val="auto"/>
        </w:rPr>
        <w:t>” means (a) any liens for current Taxes not yet due and payable or for Taxes that are being contested in good faith and for which adequate reserves have been made on the Company Unaudited Interim Balance Sheet or the Gem Unaudited Interim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any of its Subsidiaries or Gem, as applicable, (c) statutory liens to secure obligations to landlords, lessors or renters under leases or rental agreements, (d) deposits or pledges made in connection with, or to secure payment of, workers’ compensation, unemployment insurance or similar programs mandated by Law and</w:t>
      </w:r>
    </w:p>
    <w:p>
      <w:pPr>
        <w:spacing w:after="0" w:line="3" w:lineRule="exact"/>
        <w:rPr>
          <w:sz w:val="20"/>
          <w:szCs w:val="20"/>
          <w:color w:val="auto"/>
        </w:rPr>
      </w:pPr>
    </w:p>
    <w:p>
      <w:pPr>
        <w:ind w:left="4741" w:right="1340" w:hanging="4741"/>
        <w:spacing w:after="0" w:line="423" w:lineRule="auto"/>
        <w:tabs>
          <w:tab w:leader="none" w:pos="20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statutory liens in favor of carriers, warehousemen, mechanics and materialmen, to secure claims for labor, materials or supplies. 13</w:t>
      </w:r>
    </w:p>
    <w:p>
      <w:pPr>
        <w:sectPr>
          <w:pgSz w:w="11900" w:h="16838" w:orient="portrait"/>
          <w:cols w:equalWidth="0" w:num="1">
            <w:col w:w="9621"/>
          </w:cols>
          <w:pgMar w:left="1119" w:top="251" w:right="1159" w:bottom="1440" w:gutter="0" w:footer="0" w:header="0"/>
        </w:sectPr>
      </w:pPr>
    </w:p>
    <w:bookmarkStart w:id="28" w:name="page29"/>
    <w:bookmarkEnd w:id="28"/>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Entity or Governmental Authority.</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Personal Information</w:t>
      </w:r>
      <w:r>
        <w:rPr>
          <w:rFonts w:ascii="Times New Roman" w:cs="Times New Roman" w:eastAsia="Times New Roman" w:hAnsi="Times New Roman"/>
          <w:sz w:val="16"/>
          <w:szCs w:val="16"/>
          <w:color w:val="auto"/>
        </w:rPr>
        <w:t>” means information about an identified or identifiable individual.</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Privacy Laws</w:t>
      </w:r>
      <w:r>
        <w:rPr>
          <w:rFonts w:ascii="Times New Roman" w:cs="Times New Roman" w:eastAsia="Times New Roman" w:hAnsi="Times New Roman"/>
          <w:sz w:val="16"/>
          <w:szCs w:val="16"/>
          <w:color w:val="auto"/>
        </w:rPr>
        <w:t>” mean Laws relating to privacy, security and/or collection, use or other processing of Personal Information.</w:t>
      </w:r>
    </w:p>
    <w:p>
      <w:pPr>
        <w:spacing w:after="0" w:line="194" w:lineRule="exact"/>
        <w:rPr>
          <w:sz w:val="20"/>
          <w:szCs w:val="20"/>
          <w:color w:val="auto"/>
        </w:rPr>
      </w:pPr>
    </w:p>
    <w:p>
      <w:pPr>
        <w:ind w:right="12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Representatives</w:t>
      </w:r>
      <w:r>
        <w:rPr>
          <w:rFonts w:ascii="Times New Roman" w:cs="Times New Roman" w:eastAsia="Times New Roman" w:hAnsi="Times New Roman"/>
          <w:sz w:val="16"/>
          <w:szCs w:val="16"/>
          <w:color w:val="auto"/>
        </w:rPr>
        <w:t>” means directors, officers, equityholders, employees, agents, consultants, attorneys, accountants, investment bankers, advisors and other representatives.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Sarbanes-Oxley Act</w:t>
      </w:r>
      <w:r>
        <w:rPr>
          <w:rFonts w:ascii="Times New Roman" w:cs="Times New Roman" w:eastAsia="Times New Roman" w:hAnsi="Times New Roman"/>
          <w:sz w:val="16"/>
          <w:szCs w:val="16"/>
          <w:color w:val="auto"/>
        </w:rPr>
        <w:t>” means the Sarbanes-Oxley Act of 2002.</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means the United States Securities and Exchange Commission.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w:t>
      </w:r>
    </w:p>
    <w:p>
      <w:pPr>
        <w:spacing w:after="0" w:line="194" w:lineRule="exact"/>
        <w:rPr>
          <w:sz w:val="20"/>
          <w:szCs w:val="20"/>
          <w:color w:val="auto"/>
        </w:rPr>
      </w:pPr>
    </w:p>
    <w:p>
      <w:pPr>
        <w:ind w:firstLine="386"/>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Subscription Agreement</w:t>
      </w:r>
      <w:r>
        <w:rPr>
          <w:rFonts w:ascii="Times New Roman" w:cs="Times New Roman" w:eastAsia="Times New Roman" w:hAnsi="Times New Roman"/>
          <w:sz w:val="16"/>
          <w:szCs w:val="16"/>
          <w:color w:val="auto"/>
        </w:rPr>
        <w:t xml:space="preserve">” means the Subscription Agreement attached hereto as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among the Company and the Persons named therein, pursuant to which such Persons have agreed to purchase the number of shares of Company Capital Stock set forth therein in connection with the Company Pre-Closing Financing.</w:t>
      </w:r>
    </w:p>
    <w:p>
      <w:pPr>
        <w:spacing w:after="0" w:line="154" w:lineRule="exact"/>
        <w:rPr>
          <w:sz w:val="20"/>
          <w:szCs w:val="20"/>
          <w:color w:val="auto"/>
        </w:rPr>
      </w:pPr>
    </w:p>
    <w:p>
      <w:pPr>
        <w:ind w:right="320" w:firstLine="386"/>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Subsequent Transaction</w:t>
      </w:r>
      <w:r>
        <w:rPr>
          <w:rFonts w:ascii="Times New Roman" w:cs="Times New Roman" w:eastAsia="Times New Roman" w:hAnsi="Times New Roman"/>
          <w:sz w:val="16"/>
          <w:szCs w:val="16"/>
          <w:color w:val="auto"/>
        </w:rPr>
        <w:t>” means any Acquisition Transaction (with all references to 20% in the definition of Acquisition Transaction being treated as references to 70% for these purposes).</w:t>
      </w:r>
    </w:p>
    <w:p>
      <w:pPr>
        <w:spacing w:after="0" w:line="141" w:lineRule="exact"/>
        <w:rPr>
          <w:sz w:val="20"/>
          <w:szCs w:val="20"/>
          <w:color w:val="auto"/>
        </w:rPr>
      </w:pPr>
    </w:p>
    <w:p>
      <w:pPr>
        <w:ind w:right="20" w:firstLine="386"/>
        <w:spacing w:after="0" w:line="257" w:lineRule="auto"/>
        <w:rPr>
          <w:sz w:val="20"/>
          <w:szCs w:val="20"/>
          <w:color w:val="auto"/>
        </w:rPr>
      </w:pPr>
      <w:r>
        <w:rPr>
          <w:rFonts w:ascii="Times New Roman" w:cs="Times New Roman" w:eastAsia="Times New Roman" w:hAnsi="Times New Roman"/>
          <w:sz w:val="16"/>
          <w:szCs w:val="16"/>
          <w:color w:val="auto"/>
        </w:rPr>
        <w:t>An Entity shall be deemed to be a “</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58" w:lineRule="exact"/>
        <w:rPr>
          <w:sz w:val="20"/>
          <w:szCs w:val="20"/>
          <w:color w:val="auto"/>
        </w:rPr>
      </w:pPr>
    </w:p>
    <w:p>
      <w:pPr>
        <w:ind w:right="20" w:firstLine="386"/>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Superior Offer</w:t>
      </w:r>
      <w:r>
        <w:rPr>
          <w:rFonts w:ascii="Times New Roman" w:cs="Times New Roman" w:eastAsia="Times New Roman" w:hAnsi="Times New Roman"/>
          <w:sz w:val="16"/>
          <w:szCs w:val="16"/>
          <w:color w:val="auto"/>
        </w:rPr>
        <w:t>” means an unsolicited bona fide written Acquisition Proposal (with all references to 20% in the definition of Acquisition Transaction being treated as references to 70% for these purposes) that: (a) was not obtained or made as a direct or indirect result of a breach of (or in violation of) the Agreement, and (b) is on terms and conditions that the Gem Board or the Company Board, as applicable, determines in good faith, based on such matters that it deems relevant (including the likelihood of consummation thereof, the financing terms thereof, any termination or break-up fees and conditions to consummation), as well as any written offer by the other Party to the Agreement to amend the terms of the Agreement, and following consultation with its outside legal counsel and financial advisors, if any, are more favorable, from a financial point of view, to Gem’s stockholders or the Company’s stockholders, as applicable, than the terms of the Contemplated Transactions.</w:t>
      </w:r>
    </w:p>
    <w:p>
      <w:pPr>
        <w:spacing w:after="0" w:line="161" w:lineRule="exact"/>
        <w:rPr>
          <w:sz w:val="20"/>
          <w:szCs w:val="20"/>
          <w:color w:val="auto"/>
        </w:rPr>
      </w:pPr>
    </w:p>
    <w:p>
      <w:pPr>
        <w:ind w:right="14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w:t>
      </w:r>
      <w:r>
        <w:rPr>
          <w:rFonts w:ascii="Times New Roman" w:cs="Times New Roman" w:eastAsia="Times New Roman" w:hAnsi="Times New Roman"/>
          <w:sz w:val="16"/>
          <w:szCs w:val="16"/>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or similar charge, and including any fine, penalty, addition to tax or interest with respect thereto imposed by a Governmental Authority.</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640"/>
          </w:cols>
          <w:pgMar w:left="1120" w:top="251" w:right="1139"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Tax Opinion</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2.10(b)</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right="140" w:firstLine="386"/>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Return</w:t>
      </w:r>
      <w:r>
        <w:rPr>
          <w:rFonts w:ascii="Times New Roman" w:cs="Times New Roman" w:eastAsia="Times New Roman" w:hAnsi="Times New Roman"/>
          <w:sz w:val="16"/>
          <w:szCs w:val="16"/>
          <w:color w:val="auto"/>
        </w:rPr>
        <w:t>” means any return (including any information return), report, statement, declaration, estimate, schedule, notice, notification, form, election, certificate or other document or information, and any amendment or supplement to any of the foregoing, filed or required to be filed with any Governmental Authority in connection with the determination, assessment, collection or payment of any Tax or in connection with the administration, implementation or enforcement of or compliance with any Law relating to any Tax.</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 Taxes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6.11(b)</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40" w:firstLine="386"/>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Expenses</w:t>
      </w:r>
      <w:r>
        <w:rPr>
          <w:rFonts w:ascii="Times New Roman" w:cs="Times New Roman" w:eastAsia="Times New Roman" w:hAnsi="Times New Roman"/>
          <w:sz w:val="16"/>
          <w:szCs w:val="16"/>
          <w:color w:val="auto"/>
        </w:rPr>
        <w:t xml:space="preserve">” means, with respect to any person as of the applicable time of determination and without duplication, the sum of (A) the cash cost of any change of control, bonus, severance, retention or similar payments that become due and payable by such person or any of its Subsidiaries at or prior to the Effective Time or as a result of the Merger or the transactions contemplated hereby, and (B) subject to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all costs, fees and expenses incurred by such person or its Subsidiaries at or prior to the Effective Time in connection with the negotiation, preparation and execution of this Agreement or any agreements, documents, certificates, opinions or other items contemplated hereby and the consummation of the Merger or the other transactions contemplated hereby and that are unpaid as of the Effective Time, including brokerage fees and commissions, finders’ fees or financial advisory fees payable by such person at or prior to the Effective Time.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Treasury Regulations</w:t>
      </w:r>
      <w:r>
        <w:rPr>
          <w:rFonts w:ascii="Times New Roman" w:cs="Times New Roman" w:eastAsia="Times New Roman" w:hAnsi="Times New Roman"/>
          <w:sz w:val="16"/>
          <w:szCs w:val="16"/>
          <w:color w:val="auto"/>
        </w:rPr>
        <w:t>” means the United States Treasury regulations promulgated under the Code.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U.S. Tax Treatment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2.10(a)</w:t>
      </w:r>
      <w:r>
        <w:rPr>
          <w:rFonts w:ascii="Times New Roman" w:cs="Times New Roman" w:eastAsia="Times New Roman" w:hAnsi="Times New Roman"/>
          <w:sz w:val="16"/>
          <w:szCs w:val="16"/>
          <w:color w:val="auto"/>
        </w:rPr>
        <w:t>.</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 Each of the following terms is defined in the Section set forth opposite such term: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5780" w:type="dxa"/>
            <w:vAlign w:val="bottom"/>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273"/>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Firm</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2.11(e)</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Agreement</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Preamble</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Anticipated Closing Date</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2.11(a)</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Assumed Option</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6.5(a)</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Capitalization Date</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4.6(a)</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Determination Time</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2.11(a)</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Certificate of Merger</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2.3</w:t>
            </w:r>
          </w:p>
        </w:tc>
      </w:tr>
      <w:tr>
        <w:trPr>
          <w:trHeight w:val="284"/>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Closing</w:t>
            </w:r>
          </w:p>
        </w:tc>
        <w:tc>
          <w:tcPr>
            <w:tcW w:w="6460" w:type="dxa"/>
            <w:vAlign w:val="bottom"/>
            <w:gridSpan w:val="2"/>
          </w:tcPr>
          <w:p>
            <w:pPr>
              <w:ind w:left="5780"/>
              <w:spacing w:after="0"/>
              <w:rPr>
                <w:sz w:val="20"/>
                <w:szCs w:val="20"/>
                <w:color w:val="auto"/>
              </w:rPr>
            </w:pPr>
            <w:r>
              <w:rPr>
                <w:rFonts w:ascii="Times New Roman" w:cs="Times New Roman" w:eastAsia="Times New Roman" w:hAnsi="Times New Roman"/>
                <w:sz w:val="16"/>
                <w:szCs w:val="16"/>
                <w:color w:val="auto"/>
              </w:rPr>
              <w:t>2.3</w:t>
            </w:r>
          </w:p>
        </w:tc>
      </w:tr>
      <w:tr>
        <w:trPr>
          <w:trHeight w:val="319"/>
        </w:trPr>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780" w:type="dxa"/>
            <w:vAlign w:val="bottom"/>
          </w:tcPr>
          <w:p>
            <w:pPr>
              <w:jc w:val="right"/>
              <w:ind w:right="3981"/>
              <w:spacing w:after="0"/>
              <w:rPr>
                <w:sz w:val="20"/>
                <w:szCs w:val="20"/>
                <w:color w:val="auto"/>
              </w:rPr>
            </w:pPr>
            <w:r>
              <w:rPr>
                <w:rFonts w:ascii="Times New Roman" w:cs="Times New Roman" w:eastAsia="Times New Roman" w:hAnsi="Times New Roman"/>
                <w:sz w:val="16"/>
                <w:szCs w:val="16"/>
                <w:color w:val="auto"/>
              </w:rPr>
              <w:t>15</w:t>
            </w:r>
          </w:p>
        </w:tc>
        <w:tc>
          <w:tcPr>
            <w:tcW w:w="680" w:type="dxa"/>
            <w:vAlign w:val="bottom"/>
          </w:tcPr>
          <w:p>
            <w:pPr>
              <w:spacing w:after="0"/>
              <w:rPr>
                <w:sz w:val="24"/>
                <w:szCs w:val="24"/>
                <w:color w:val="auto"/>
              </w:rPr>
            </w:pPr>
          </w:p>
        </w:tc>
      </w:tr>
    </w:tbl>
    <w:p>
      <w:pPr>
        <w:sectPr>
          <w:pgSz w:w="11900" w:h="16838" w:orient="portrait"/>
          <w:cols w:equalWidth="0" w:num="1">
            <w:col w:w="9640"/>
          </w:cols>
          <w:pgMar w:left="1120" w:top="251" w:right="11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4960" w:type="dxa"/>
            <w:vAlign w:val="bottom"/>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273"/>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2.3</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Preamble</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Audited Financial Statements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3.7(e)</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Board Adverse Recommendation Change</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6.2(d)</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Board Recommendation</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6.2(c)</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Disclosure Schedule</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Section 3</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Financials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3.7(a)</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Interim Financial Statements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6.1(e)</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Lock-Up Agreements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Material Contract</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3.13(a)</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Plan</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3.6(c)</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Permits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3.14(b)</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Preferred Stock</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3.6(a)</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Preferred Stock Conversion</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8.8</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Product Candidates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3.14(d)</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Real Estate Leases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3.11</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Regulatory Permits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3.14(d)</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Stock Certificate</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2.6</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Stockholder Written Consents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Termination Fee</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10.3(b)</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6.8(a)</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CVR Agreement</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D&amp;O Indemnified Parties</w:t>
            </w:r>
          </w:p>
        </w:tc>
        <w:tc>
          <w:tcPr>
            <w:tcW w:w="5640" w:type="dxa"/>
            <w:vAlign w:val="bottom"/>
            <w:gridSpan w:val="2"/>
          </w:tcPr>
          <w:p>
            <w:pPr>
              <w:ind w:left="4960"/>
              <w:spacing w:after="0"/>
              <w:rPr>
                <w:sz w:val="20"/>
                <w:szCs w:val="20"/>
                <w:color w:val="auto"/>
              </w:rPr>
            </w:pPr>
            <w:r>
              <w:rPr>
                <w:rFonts w:ascii="Times New Roman" w:cs="Times New Roman" w:eastAsia="Times New Roman" w:hAnsi="Times New Roman"/>
                <w:sz w:val="16"/>
                <w:szCs w:val="16"/>
                <w:color w:val="auto"/>
              </w:rPr>
              <w:t>6.8(a)</w:t>
            </w:r>
          </w:p>
        </w:tc>
      </w:tr>
      <w:tr>
        <w:trPr>
          <w:trHeight w:val="319"/>
        </w:trPr>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960" w:type="dxa"/>
            <w:vAlign w:val="bottom"/>
          </w:tcPr>
          <w:p>
            <w:pPr>
              <w:jc w:val="right"/>
              <w:ind w:right="3981"/>
              <w:spacing w:after="0"/>
              <w:rPr>
                <w:sz w:val="20"/>
                <w:szCs w:val="20"/>
                <w:color w:val="auto"/>
              </w:rPr>
            </w:pPr>
            <w:r>
              <w:rPr>
                <w:rFonts w:ascii="Times New Roman" w:cs="Times New Roman" w:eastAsia="Times New Roman" w:hAnsi="Times New Roman"/>
                <w:sz w:val="16"/>
                <w:szCs w:val="16"/>
                <w:color w:val="auto"/>
              </w:rPr>
              <w:t>16</w:t>
            </w:r>
          </w:p>
        </w:tc>
        <w:tc>
          <w:tcPr>
            <w:tcW w:w="680" w:type="dxa"/>
            <w:vAlign w:val="bottom"/>
          </w:tcPr>
          <w:p>
            <w:pPr>
              <w:spacing w:after="0"/>
              <w:rPr>
                <w:sz w:val="24"/>
                <w:szCs w:val="24"/>
                <w:color w:val="auto"/>
              </w:rPr>
            </w:pPr>
          </w:p>
        </w:tc>
      </w:tr>
    </w:tbl>
    <w:p>
      <w:pPr>
        <w:sectPr>
          <w:pgSz w:w="11900" w:h="16838" w:orient="portrait"/>
          <w:cols w:equalWidth="0" w:num="1">
            <w:col w:w="9640"/>
          </w:cols>
          <w:pgMar w:left="1120" w:top="248" w:right="11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3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5100" w:type="dxa"/>
            <w:vAlign w:val="bottom"/>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273"/>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Delivery Date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2.11(a)</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Dispute Notice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2.11(b)</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Dissenting Shares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2.8(a)</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5.1(b)(i)</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Drug Regulatory Agency</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3.14(c)</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Effective Time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2.3</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 Date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10.1(b)</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Exchange Agent</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2.7(a)</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FDA</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3.14(c)</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FDCA</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3.14(c)</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Final Net Cash</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2.11(c)</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Form S-4</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6.1(a)</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GAAP</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3.7(a)</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Preamble</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Asset Disposition</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5.7</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Board Adverse Recommendation Change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6.3(b)</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Board Recommendation</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6.3(b)</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Disclosure Schedule</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Section 4</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ESPP</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4.6(c)</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Lock-Up Agreements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Material Contract</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4.13</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Permits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4.14(b)</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Product Candidates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4.14(d)</w:t>
            </w:r>
          </w:p>
        </w:tc>
      </w:tr>
      <w:tr>
        <w:trPr>
          <w:trHeight w:val="284"/>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Regulatory Permits</w:t>
            </w:r>
          </w:p>
        </w:tc>
        <w:tc>
          <w:tcPr>
            <w:tcW w:w="5780" w:type="dxa"/>
            <w:vAlign w:val="bottom"/>
            <w:gridSpan w:val="2"/>
          </w:tcPr>
          <w:p>
            <w:pPr>
              <w:ind w:left="5100"/>
              <w:spacing w:after="0"/>
              <w:rPr>
                <w:sz w:val="20"/>
                <w:szCs w:val="20"/>
                <w:color w:val="auto"/>
              </w:rPr>
            </w:pPr>
            <w:r>
              <w:rPr>
                <w:rFonts w:ascii="Times New Roman" w:cs="Times New Roman" w:eastAsia="Times New Roman" w:hAnsi="Times New Roman"/>
                <w:sz w:val="16"/>
                <w:szCs w:val="16"/>
                <w:color w:val="auto"/>
              </w:rPr>
              <w:t>4.14(d)</w:t>
            </w:r>
          </w:p>
        </w:tc>
      </w:tr>
      <w:tr>
        <w:trPr>
          <w:trHeight w:val="319"/>
        </w:trPr>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100" w:type="dxa"/>
            <w:vAlign w:val="bottom"/>
          </w:tcPr>
          <w:p>
            <w:pPr>
              <w:jc w:val="right"/>
              <w:ind w:right="3981"/>
              <w:spacing w:after="0"/>
              <w:rPr>
                <w:sz w:val="20"/>
                <w:szCs w:val="20"/>
                <w:color w:val="auto"/>
              </w:rPr>
            </w:pPr>
            <w:r>
              <w:rPr>
                <w:rFonts w:ascii="Times New Roman" w:cs="Times New Roman" w:eastAsia="Times New Roman" w:hAnsi="Times New Roman"/>
                <w:sz w:val="16"/>
                <w:szCs w:val="16"/>
                <w:color w:val="auto"/>
              </w:rPr>
              <w:t>17</w:t>
            </w:r>
          </w:p>
        </w:tc>
        <w:tc>
          <w:tcPr>
            <w:tcW w:w="680" w:type="dxa"/>
            <w:vAlign w:val="bottom"/>
          </w:tcPr>
          <w:p>
            <w:pPr>
              <w:spacing w:after="0"/>
              <w:rPr>
                <w:sz w:val="24"/>
                <w:szCs w:val="24"/>
                <w:color w:val="auto"/>
              </w:rPr>
            </w:pPr>
          </w:p>
        </w:tc>
      </w:tr>
    </w:tbl>
    <w:p>
      <w:pPr>
        <w:sectPr>
          <w:pgSz w:w="11900" w:h="16838" w:orient="portrait"/>
          <w:cols w:equalWidth="0" w:num="1">
            <w:col w:w="9640"/>
          </w:cols>
          <w:pgMar w:left="1120" w:top="248" w:right="11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3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5400" w:type="dxa"/>
            <w:vAlign w:val="bottom"/>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273"/>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Real Estate Leases</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4.11</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SEC Documents</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4.7(a)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Stockholder Matters</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6.3(a)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Stockholder Meeting</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6.3(a)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Stockholder Support Agreement</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 Termination Fee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10.3(c)</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 Date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3.6(f)</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Investor Agreements</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6.14</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Liability</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3.9</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Recitals</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 Consideration</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2.5(a)(ii)</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 Sub</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Preamble</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Calculation</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2.11(a)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Schedule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2.11(a)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Notice Period</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6.2(d)</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PHSA</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3.14(c)</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Pre-Closing Period</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5.1(a)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Privacy Policies</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3.22</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Proxy Statement</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6.1(a)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Registration Statement</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6.1(a)</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Required Company Stockholder Vote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3.4</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Required Gem Stockholder Vote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4.4</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Response Date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2.11(b)</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 Notice</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6.2(b)</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Surviving Corporation</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2.1</w:t>
            </w:r>
          </w:p>
        </w:tc>
      </w:tr>
      <w:tr>
        <w:trPr>
          <w:trHeight w:val="284"/>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Transaction Litigation</w:t>
            </w:r>
          </w:p>
        </w:tc>
        <w:tc>
          <w:tcPr>
            <w:tcW w:w="6080" w:type="dxa"/>
            <w:vAlign w:val="bottom"/>
            <w:gridSpan w:val="2"/>
          </w:tcPr>
          <w:p>
            <w:pPr>
              <w:ind w:left="5400"/>
              <w:spacing w:after="0"/>
              <w:rPr>
                <w:sz w:val="20"/>
                <w:szCs w:val="20"/>
                <w:color w:val="auto"/>
              </w:rPr>
            </w:pPr>
            <w:r>
              <w:rPr>
                <w:rFonts w:ascii="Times New Roman" w:cs="Times New Roman" w:eastAsia="Times New Roman" w:hAnsi="Times New Roman"/>
                <w:sz w:val="16"/>
                <w:szCs w:val="16"/>
                <w:color w:val="auto"/>
              </w:rPr>
              <w:t>6.19</w:t>
            </w:r>
          </w:p>
        </w:tc>
      </w:tr>
      <w:tr>
        <w:trPr>
          <w:trHeight w:val="319"/>
        </w:trPr>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400" w:type="dxa"/>
            <w:vAlign w:val="bottom"/>
          </w:tcPr>
          <w:p>
            <w:pPr>
              <w:jc w:val="right"/>
              <w:ind w:right="3981"/>
              <w:spacing w:after="0"/>
              <w:rPr>
                <w:sz w:val="20"/>
                <w:szCs w:val="20"/>
                <w:color w:val="auto"/>
              </w:rPr>
            </w:pPr>
            <w:r>
              <w:rPr>
                <w:rFonts w:ascii="Times New Roman" w:cs="Times New Roman" w:eastAsia="Times New Roman" w:hAnsi="Times New Roman"/>
                <w:sz w:val="16"/>
                <w:szCs w:val="16"/>
                <w:color w:val="auto"/>
              </w:rPr>
              <w:t>18</w:t>
            </w:r>
          </w:p>
        </w:tc>
        <w:tc>
          <w:tcPr>
            <w:tcW w:w="680" w:type="dxa"/>
            <w:vAlign w:val="bottom"/>
          </w:tcPr>
          <w:p>
            <w:pPr>
              <w:spacing w:after="0"/>
              <w:rPr>
                <w:sz w:val="24"/>
                <w:szCs w:val="24"/>
                <w:color w:val="auto"/>
              </w:rPr>
            </w:pPr>
          </w:p>
        </w:tc>
      </w:tr>
    </w:tbl>
    <w:p>
      <w:pPr>
        <w:sectPr>
          <w:pgSz w:w="11900" w:h="16838" w:orient="portrait"/>
          <w:cols w:equalWidth="0" w:num="1">
            <w:col w:w="9640"/>
          </w:cols>
          <w:pgMar w:left="1120" w:top="248" w:right="1139" w:bottom="1440" w:gutter="0" w:footer="0" w:header="0"/>
        </w:sectPr>
      </w:pPr>
    </w:p>
    <w:bookmarkStart w:id="33" w:name="page34"/>
    <w:bookmarkEnd w:id="33"/>
    <w:p>
      <w:pPr>
        <w:ind w:firstLine="869"/>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1.2 </w:t>
      </w:r>
      <w:r>
        <w:rPr>
          <w:rFonts w:ascii="Times New Roman" w:cs="Times New Roman" w:eastAsia="Times New Roman" w:hAnsi="Times New Roman"/>
          <w:sz w:val="15"/>
          <w:szCs w:val="15"/>
          <w:u w:val="single" w:color="auto"/>
          <w:color w:val="auto"/>
        </w:rPr>
        <w:t>Other Definitional and Interpretative Provisions</w:t>
      </w:r>
      <w:r>
        <w:rPr>
          <w:rFonts w:ascii="Times New Roman" w:cs="Times New Roman" w:eastAsia="Times New Roman" w:hAnsi="Times New Roman"/>
          <w:sz w:val="15"/>
          <w:szCs w:val="15"/>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Gem Disclosure Schedule shall be arranged in sections and subsections corresponding to the numbered and lettered sections and subsections contained in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respectively. The disclosures in any section or subsection of the Company Disclosure Schedule or the Gem Disclosure Schedule shall qualify other sections and subsections in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The inclusion of any information in the Company Disclosure Schedule or Gem Disclosure Schedule (or any update thereto) shall not be deemed to be an admission or acknowledgement, in and of itself, that such information is required by the terms hereof to be disclosed, is material, has resulted in or would result in a Company Material Adverse Effect or Gem Material Adverse Effect, as the case may be, or its outside the Ordinary Course of Business.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620"/>
          </w:cols>
          <w:pgMar w:left="1120" w:top="253" w:right="11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2. </w:t>
      </w:r>
      <w:r>
        <w:rPr>
          <w:rFonts w:ascii="Times New Roman" w:cs="Times New Roman" w:eastAsia="Times New Roman" w:hAnsi="Times New Roman"/>
          <w:sz w:val="16"/>
          <w:szCs w:val="16"/>
          <w:u w:val="single" w:color="auto"/>
          <w:color w:val="auto"/>
        </w:rPr>
        <w:t>Description of Transaction</w:t>
      </w:r>
    </w:p>
    <w:p>
      <w:pPr>
        <w:spacing w:after="0" w:line="100" w:lineRule="exact"/>
        <w:rPr>
          <w:sz w:val="20"/>
          <w:szCs w:val="20"/>
          <w:color w:val="auto"/>
        </w:rPr>
      </w:pPr>
    </w:p>
    <w:p>
      <w:pPr>
        <w:ind w:firstLine="869"/>
        <w:spacing w:after="0" w:line="261"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The Merger</w:t>
      </w:r>
      <w:r>
        <w:rPr>
          <w:rFonts w:ascii="Times New Roman" w:cs="Times New Roman" w:eastAsia="Times New Roman" w:hAnsi="Times New Roman"/>
          <w:sz w:val="16"/>
          <w:szCs w:val="16"/>
          <w:color w:val="auto"/>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cs="Times New Roman" w:eastAsia="Times New Roman" w:hAnsi="Times New Roman"/>
          <w:sz w:val="16"/>
          <w:szCs w:val="16"/>
          <w:b w:val="1"/>
          <w:bCs w:val="1"/>
          <w:color w:val="auto"/>
        </w:rPr>
        <w:t>Surviving Corporation</w:t>
      </w:r>
      <w:r>
        <w:rPr>
          <w:rFonts w:ascii="Times New Roman" w:cs="Times New Roman" w:eastAsia="Times New Roman" w:hAnsi="Times New Roman"/>
          <w:sz w:val="16"/>
          <w:szCs w:val="16"/>
          <w:color w:val="auto"/>
        </w:rPr>
        <w:t>”).</w:t>
      </w:r>
    </w:p>
    <w:p>
      <w:pPr>
        <w:spacing w:after="0" w:line="62" w:lineRule="exact"/>
        <w:rPr>
          <w:sz w:val="20"/>
          <w:szCs w:val="20"/>
          <w:color w:val="auto"/>
        </w:rPr>
      </w:pPr>
    </w:p>
    <w:p>
      <w:pPr>
        <w:ind w:firstLine="869"/>
        <w:spacing w:after="0" w:line="276"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Effects of the Merger</w:t>
      </w:r>
      <w:r>
        <w:rPr>
          <w:rFonts w:ascii="Times New Roman" w:cs="Times New Roman" w:eastAsia="Times New Roman" w:hAnsi="Times New Roman"/>
          <w:sz w:val="16"/>
          <w:szCs w:val="16"/>
          <w:color w:val="auto"/>
        </w:rPr>
        <w:t>. The Merger shall have the effects set forth in this Agreement and in the applicable provisions of the DGCL. As a result of the Merger, the Company will become a wholly owned subsidiary of Gem.</w:t>
      </w:r>
    </w:p>
    <w:p>
      <w:pPr>
        <w:spacing w:after="0" w:line="50"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Closing; Effective Time</w:t>
      </w:r>
      <w:r>
        <w:rPr>
          <w:rFonts w:ascii="Times New Roman" w:cs="Times New Roman" w:eastAsia="Times New Roman" w:hAnsi="Times New Roman"/>
          <w:sz w:val="16"/>
          <w:szCs w:val="16"/>
          <w:color w:val="auto"/>
        </w:rPr>
        <w:t xml:space="preserve">. Unless this Agreement is earlier terminated pursuant to the provisions of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and subject to the satisfaction or waiver of the conditions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w:t>
      </w:r>
      <w:r>
        <w:rPr>
          <w:rFonts w:ascii="Times New Roman" w:cs="Times New Roman" w:eastAsia="Times New Roman" w:hAnsi="Times New Roman"/>
          <w:sz w:val="16"/>
          <w:szCs w:val="16"/>
          <w:color w:val="auto"/>
        </w:rPr>
        <w:t>, the consummation of the Merger (the “</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w:t>
      </w:r>
      <w:r>
        <w:rPr>
          <w:rFonts w:ascii="Times New Roman" w:cs="Times New Roman" w:eastAsia="Times New Roman" w:hAnsi="Times New Roman"/>
          <w:sz w:val="16"/>
          <w:szCs w:val="16"/>
          <w:color w:val="auto"/>
        </w:rPr>
        <w:t>, other than those conditions that by their nature are to be satisfied at the Closing, but subject to the satisfaction or waiver of each of such conditions), or at such other time, date and place as Gem and the Company may mutually agree in writing. The date on which the Closing actually takes place is referred to as the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At the Closing, the Parties shall cause the Merger to be consummated by executing and filing with the Secretary of State of the State of Delaware a certificate of merger with respect to the Merger, satisfying the applicable requirements of the DGCL and in form and substance as agreed to by the Parties (the “</w:t>
      </w:r>
      <w:r>
        <w:rPr>
          <w:rFonts w:ascii="Times New Roman" w:cs="Times New Roman" w:eastAsia="Times New Roman" w:hAnsi="Times New Roman"/>
          <w:sz w:val="16"/>
          <w:szCs w:val="16"/>
          <w:b w:val="1"/>
          <w:bCs w:val="1"/>
          <w:color w:val="auto"/>
        </w:rPr>
        <w:t>Certificate of Merger</w:t>
      </w:r>
      <w:r>
        <w:rPr>
          <w:rFonts w:ascii="Times New Roman" w:cs="Times New Roman" w:eastAsia="Times New Roman" w:hAnsi="Times New Roman"/>
          <w:sz w:val="16"/>
          <w:szCs w:val="16"/>
          <w:color w:val="auto"/>
        </w:rPr>
        <w:t>”). The Merger shall become effective at the time of the filing of such Certificate of Merger with the Secretary of State of the State of Delaware or at such later time as may be specified in such Certificate of Merger with the consent of Gem and the Company (the time as of which the Merger becomes effective being referred to as the “</w:t>
      </w:r>
      <w:r>
        <w:rPr>
          <w:rFonts w:ascii="Times New Roman" w:cs="Times New Roman" w:eastAsia="Times New Roman" w:hAnsi="Times New Roman"/>
          <w:sz w:val="16"/>
          <w:szCs w:val="16"/>
          <w:b w:val="1"/>
          <w:bCs w:val="1"/>
          <w:color w:val="auto"/>
        </w:rPr>
        <w:t>Effective Time</w:t>
      </w:r>
      <w:r>
        <w:rPr>
          <w:rFonts w:ascii="Times New Roman" w:cs="Times New Roman" w:eastAsia="Times New Roman" w:hAnsi="Times New Roman"/>
          <w:sz w:val="16"/>
          <w:szCs w:val="16"/>
          <w:color w:val="auto"/>
        </w:rPr>
        <w:t>”).</w:t>
      </w:r>
    </w:p>
    <w:p>
      <w:pPr>
        <w:spacing w:after="0" w:line="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Certificate of Incorporation and Bylaws; Directors and Officers</w:t>
      </w:r>
      <w:r>
        <w:rPr>
          <w:rFonts w:ascii="Times New Roman" w:cs="Times New Roman" w:eastAsia="Times New Roman" w:hAnsi="Times New Roman"/>
          <w:sz w:val="16"/>
          <w:szCs w:val="16"/>
          <w:color w:val="auto"/>
        </w:rPr>
        <w:t>. At the Effective Time:</w:t>
      </w:r>
    </w:p>
    <w:p>
      <w:pPr>
        <w:spacing w:after="0" w:line="100" w:lineRule="exact"/>
        <w:rPr>
          <w:sz w:val="20"/>
          <w:szCs w:val="20"/>
          <w:color w:val="auto"/>
        </w:rPr>
      </w:pPr>
    </w:p>
    <w:p>
      <w:pPr>
        <w:ind w:firstLine="1253"/>
        <w:spacing w:after="0" w:line="276" w:lineRule="auto"/>
        <w:tabs>
          <w:tab w:leader="none" w:pos="146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virtue of the Merger, the certificate of incorporation of the Surviving Corporation shall be amended and restated as set forth in an exhibit to the Certificate of Merger, until thereafter amended as provided by the DGCL and such certificate of incorporation;</w:t>
      </w:r>
    </w:p>
    <w:p>
      <w:pPr>
        <w:spacing w:after="0" w:line="49" w:lineRule="exact"/>
        <w:rPr>
          <w:rFonts w:ascii="Times New Roman" w:cs="Times New Roman" w:eastAsia="Times New Roman" w:hAnsi="Times New Roman"/>
          <w:sz w:val="16"/>
          <w:szCs w:val="16"/>
          <w:color w:val="auto"/>
        </w:rPr>
      </w:pPr>
    </w:p>
    <w:p>
      <w:pPr>
        <w:jc w:val="both"/>
        <w:ind w:right="80" w:firstLine="1253"/>
        <w:spacing w:after="0" w:line="256" w:lineRule="auto"/>
        <w:tabs>
          <w:tab w:leader="none" w:pos="147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the shall take all actions necessary so that certificate of incorporation of Gem shall remain in effect following the Effective Time, until thereafter amended as provided by the DGCL; provided, however, that at or prior to the Effective Time, Gem shall file an amendment to its certificate of incorporation to (i) change the name of Gem to “Disc Medicine, Inc.”, (ii) effect the Nasdaq Reverse Split and (iii) make such other changes as are mutually agreeable to Gem and the Company;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640"/>
          </w:cols>
          <w:pgMar w:left="1120" w:top="253" w:right="1139" w:bottom="1440" w:gutter="0" w:footer="0" w:header="0"/>
        </w:sectPr>
      </w:pPr>
    </w:p>
    <w:bookmarkStart w:id="35" w:name="page36"/>
    <w:bookmarkEnd w:id="35"/>
    <w:p>
      <w:pPr>
        <w:ind w:right="400" w:firstLine="1253"/>
        <w:spacing w:after="0" w:line="276" w:lineRule="auto"/>
        <w:tabs>
          <w:tab w:leader="none" w:pos="146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bylaws of the Surviving Corporation shall be identical to the bylaws of Merger Sub as in effect immediately prior to the Effective Time, until thereafter amended as provided by the DGCL and such bylaws;</w:t>
      </w:r>
    </w:p>
    <w:p>
      <w:pPr>
        <w:spacing w:after="0" w:line="49" w:lineRule="exact"/>
        <w:rPr>
          <w:rFonts w:ascii="Times New Roman" w:cs="Times New Roman" w:eastAsia="Times New Roman" w:hAnsi="Times New Roman"/>
          <w:sz w:val="16"/>
          <w:szCs w:val="16"/>
          <w:color w:val="auto"/>
        </w:rPr>
      </w:pPr>
    </w:p>
    <w:p>
      <w:pPr>
        <w:ind w:right="200" w:firstLine="1253"/>
        <w:spacing w:after="0" w:line="276" w:lineRule="auto"/>
        <w:tabs>
          <w:tab w:leader="none" w:pos="147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shall take the actions necessary so that the directors and officers of Gem, each to hold office in accordance with the certificate of incorporation and bylaws of Gem, shall be as set forth in </w:t>
      </w:r>
      <w:r>
        <w:rPr>
          <w:rFonts w:ascii="Times New Roman" w:cs="Times New Roman" w:eastAsia="Times New Roman" w:hAnsi="Times New Roman"/>
          <w:sz w:val="16"/>
          <w:szCs w:val="16"/>
          <w:u w:val="single" w:color="auto"/>
          <w:color w:val="auto"/>
        </w:rPr>
        <w:t>Section 6.13</w:t>
      </w:r>
      <w:r>
        <w:rPr>
          <w:rFonts w:ascii="Times New Roman" w:cs="Times New Roman" w:eastAsia="Times New Roman" w:hAnsi="Times New Roman"/>
          <w:sz w:val="16"/>
          <w:szCs w:val="16"/>
          <w:color w:val="auto"/>
        </w:rPr>
        <w:t>; and</w:t>
      </w:r>
    </w:p>
    <w:p>
      <w:pPr>
        <w:spacing w:after="0" w:line="49" w:lineRule="exact"/>
        <w:rPr>
          <w:rFonts w:ascii="Times New Roman" w:cs="Times New Roman" w:eastAsia="Times New Roman" w:hAnsi="Times New Roman"/>
          <w:sz w:val="16"/>
          <w:szCs w:val="16"/>
          <w:color w:val="auto"/>
        </w:rPr>
      </w:pPr>
    </w:p>
    <w:p>
      <w:pPr>
        <w:ind w:right="160" w:firstLine="1253"/>
        <w:spacing w:after="0" w:line="261" w:lineRule="auto"/>
        <w:tabs>
          <w:tab w:leader="none" w:pos="146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shall take the actions necessary so that the directors and officers of the Surviving Corporation, each to hold office in accordance with the certificate of incorporation and bylaws of the Surviving Corporation, shall be the directors and officers of Gem as set forth in </w:t>
      </w:r>
      <w:r>
        <w:rPr>
          <w:rFonts w:ascii="Times New Roman" w:cs="Times New Roman" w:eastAsia="Times New Roman" w:hAnsi="Times New Roman"/>
          <w:sz w:val="16"/>
          <w:szCs w:val="16"/>
          <w:u w:val="single" w:color="auto"/>
          <w:color w:val="auto"/>
        </w:rPr>
        <w:t>Section 6.13</w:t>
      </w:r>
      <w:r>
        <w:rPr>
          <w:rFonts w:ascii="Times New Roman" w:cs="Times New Roman" w:eastAsia="Times New Roman" w:hAnsi="Times New Roman"/>
          <w:sz w:val="16"/>
          <w:szCs w:val="16"/>
          <w:color w:val="auto"/>
        </w:rPr>
        <w:t xml:space="preserve">, after giving effect to the provisions of </w:t>
      </w:r>
      <w:r>
        <w:rPr>
          <w:rFonts w:ascii="Times New Roman" w:cs="Times New Roman" w:eastAsia="Times New Roman" w:hAnsi="Times New Roman"/>
          <w:sz w:val="16"/>
          <w:szCs w:val="16"/>
          <w:u w:val="single" w:color="auto"/>
          <w:color w:val="auto"/>
        </w:rPr>
        <w:t>Section 6.13</w:t>
      </w:r>
      <w:r>
        <w:rPr>
          <w:rFonts w:ascii="Times New Roman" w:cs="Times New Roman" w:eastAsia="Times New Roman" w:hAnsi="Times New Roman"/>
          <w:sz w:val="16"/>
          <w:szCs w:val="16"/>
          <w:color w:val="auto"/>
        </w:rPr>
        <w:t>.</w:t>
      </w:r>
    </w:p>
    <w:p>
      <w:pPr>
        <w:spacing w:after="0" w:line="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Conversion of Shares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00" w:firstLine="1253"/>
        <w:spacing w:after="0" w:line="276" w:lineRule="auto"/>
        <w:tabs>
          <w:tab w:leader="none" w:pos="14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(after giving effect to the Company Preferred Stock Conversion), by virtue of the Merger and without any further action on the part of Gem, Merger Sub, the Company or any stockholder of the Company or Gem:</w:t>
      </w:r>
    </w:p>
    <w:p>
      <w:pPr>
        <w:spacing w:after="0" w:line="49" w:lineRule="exact"/>
        <w:rPr>
          <w:rFonts w:ascii="Times New Roman" w:cs="Times New Roman" w:eastAsia="Times New Roman" w:hAnsi="Times New Roman"/>
          <w:sz w:val="16"/>
          <w:szCs w:val="16"/>
          <w:color w:val="auto"/>
        </w:rPr>
      </w:pPr>
    </w:p>
    <w:p>
      <w:pPr>
        <w:ind w:left="380" w:right="160" w:firstLine="1209"/>
        <w:spacing w:after="0" w:line="276" w:lineRule="auto"/>
        <w:tabs>
          <w:tab w:leader="none" w:pos="1772"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shares of Company Capital Stock held as treasury stock immediately prior to the Effective Time shall be canceled and retired and shall cease to exist, and no consideration shall be delivered in exchange therefor; and</w:t>
      </w:r>
    </w:p>
    <w:p>
      <w:pPr>
        <w:spacing w:after="0" w:line="49" w:lineRule="exact"/>
        <w:rPr>
          <w:rFonts w:ascii="Times New Roman" w:cs="Times New Roman" w:eastAsia="Times New Roman" w:hAnsi="Times New Roman"/>
          <w:sz w:val="16"/>
          <w:szCs w:val="16"/>
          <w:color w:val="auto"/>
        </w:rPr>
      </w:pPr>
    </w:p>
    <w:p>
      <w:pPr>
        <w:ind w:left="380" w:firstLine="1209"/>
        <w:spacing w:after="0" w:line="256" w:lineRule="auto"/>
        <w:tabs>
          <w:tab w:leader="none" w:pos="181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2.5(c)</w:t>
      </w:r>
      <w:r>
        <w:rPr>
          <w:rFonts w:ascii="Times New Roman" w:cs="Times New Roman" w:eastAsia="Times New Roman" w:hAnsi="Times New Roman"/>
          <w:sz w:val="16"/>
          <w:szCs w:val="16"/>
          <w:color w:val="auto"/>
        </w:rPr>
        <w:t xml:space="preserve">, each share of Company Capital Stock (including any shares of Company Capital Stock issued pursuant to the Company Pre-Closing Financing) outstanding immediately prior to the Effective Time (excluding shares to be canceled pursuant to </w:t>
      </w:r>
      <w:r>
        <w:rPr>
          <w:rFonts w:ascii="Times New Roman" w:cs="Times New Roman" w:eastAsia="Times New Roman" w:hAnsi="Times New Roman"/>
          <w:sz w:val="16"/>
          <w:szCs w:val="16"/>
          <w:u w:val="single" w:color="auto"/>
          <w:color w:val="auto"/>
        </w:rPr>
        <w:t>Section 2.5(a)(i)</w:t>
      </w:r>
      <w:r>
        <w:rPr>
          <w:rFonts w:ascii="Times New Roman" w:cs="Times New Roman" w:eastAsia="Times New Roman" w:hAnsi="Times New Roman"/>
          <w:sz w:val="16"/>
          <w:szCs w:val="16"/>
          <w:color w:val="auto"/>
        </w:rPr>
        <w:t xml:space="preserve"> and excluding Dissenting Shares) shall be converted solely into the right to receive a number of shares of Gem Common Stock equal to the Exchange Ratio (the “</w:t>
      </w:r>
      <w:r>
        <w:rPr>
          <w:rFonts w:ascii="Times New Roman" w:cs="Times New Roman" w:eastAsia="Times New Roman" w:hAnsi="Times New Roman"/>
          <w:sz w:val="16"/>
          <w:szCs w:val="16"/>
          <w:b w:val="1"/>
          <w:bCs w:val="1"/>
          <w:color w:val="auto"/>
        </w:rPr>
        <w:t>Merger Consideration</w:t>
      </w:r>
      <w:r>
        <w:rPr>
          <w:rFonts w:ascii="Times New Roman" w:cs="Times New Roman" w:eastAsia="Times New Roman" w:hAnsi="Times New Roman"/>
          <w:sz w:val="16"/>
          <w:szCs w:val="16"/>
          <w:color w:val="auto"/>
        </w:rPr>
        <w:t>”).</w:t>
      </w:r>
    </w:p>
    <w:p>
      <w:pPr>
        <w:spacing w:after="0" w:line="66" w:lineRule="exact"/>
        <w:rPr>
          <w:rFonts w:ascii="Times New Roman" w:cs="Times New Roman" w:eastAsia="Times New Roman" w:hAnsi="Times New Roman"/>
          <w:sz w:val="16"/>
          <w:szCs w:val="16"/>
          <w:color w:val="auto"/>
        </w:rPr>
      </w:pPr>
    </w:p>
    <w:p>
      <w:pPr>
        <w:ind w:right="20" w:firstLine="1253"/>
        <w:spacing w:after="0" w:line="252" w:lineRule="auto"/>
        <w:tabs>
          <w:tab w:leader="none" w:pos="147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shares of Company Capital Stock outstanding immediately prior to the Effective Time are unvested or are subject to a repurchase option or a risk of forfeiture under any applicable restricted stock award agreement or other similar agreement with the Company, then the shares of Gem Common Stock issued in exchange for such shares of Company Capital Stock will to the same extent be unvested and subject to the same repurchase option or risk of forfeiture, and such shares of Gem Common Stock shall accordingly be marked with appropriate legends. The Company shall take all actions that may be necessary to ensure that, from and after the Effective Time, Gem is entitled to exercise any such repurchase option or other right set forth in any such restricted stock award agreement or other agreement.</w:t>
      </w:r>
    </w:p>
    <w:p>
      <w:pPr>
        <w:spacing w:after="0" w:line="70" w:lineRule="exact"/>
        <w:rPr>
          <w:rFonts w:ascii="Times New Roman" w:cs="Times New Roman" w:eastAsia="Times New Roman" w:hAnsi="Times New Roman"/>
          <w:sz w:val="16"/>
          <w:szCs w:val="16"/>
          <w:color w:val="auto"/>
        </w:rPr>
      </w:pPr>
    </w:p>
    <w:p>
      <w:pPr>
        <w:ind w:right="40" w:firstLine="1253"/>
        <w:spacing w:after="0" w:line="251" w:lineRule="auto"/>
        <w:tabs>
          <w:tab w:leader="none" w:pos="146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fractional shares of Gem Common Stock shall be issued in connection with the Merger, and no certificates or scrip for any such fractional shares shall be issued. Notwithstanding any other provision of this Agreement, each holder of shares of Company Capital Stock converted pursuant to the Merger who would otherwise have been entitled to receive a fraction of a share of Gem Common Stock (after taking into account all Certificates delivered by such holder and the aggregate number of shares of Company Capital Stock represented thereby) shall receive, in lieu thereof, cash (without interest and subject to applicable Tax withholding) in an amount equal to such fractional part of a share of Gem Common Stock multiplied by the last reported sale price of Gem Common Stock at the 4:00 p.m., Eastern time, end of regular trading hours on Nasdaq on the last trading day prior to the Effective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640"/>
          </w:cols>
          <w:pgMar w:left="1120" w:top="253" w:right="1139" w:bottom="1440" w:gutter="0" w:footer="0" w:header="0"/>
        </w:sectPr>
      </w:pPr>
    </w:p>
    <w:bookmarkStart w:id="36" w:name="page37"/>
    <w:bookmarkEnd w:id="36"/>
    <w:p>
      <w:pPr>
        <w:ind w:right="80" w:firstLine="1253"/>
        <w:spacing w:after="0" w:line="276" w:lineRule="auto"/>
        <w:tabs>
          <w:tab w:leader="none" w:pos="147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All Company Options and all stock appreciation rights outstanding immediately prior to the Effective Time under the Company Plan shall be treated in accordance with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w:t>
      </w:r>
    </w:p>
    <w:p>
      <w:pPr>
        <w:spacing w:after="0" w:line="49" w:lineRule="exact"/>
        <w:rPr>
          <w:rFonts w:ascii="Times New Roman" w:cs="Times New Roman" w:eastAsia="Times New Roman" w:hAnsi="Times New Roman"/>
          <w:sz w:val="16"/>
          <w:szCs w:val="16"/>
          <w:color w:val="auto"/>
        </w:rPr>
      </w:pPr>
    </w:p>
    <w:p>
      <w:pPr>
        <w:ind w:right="40" w:firstLine="1253"/>
        <w:spacing w:after="0" w:line="256" w:lineRule="auto"/>
        <w:tabs>
          <w:tab w:leader="none" w:pos="146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common stock, $0.001 par value per share, of Merger Sub issued and outstanding immediately prior to the Effective Time shall be converted into and exchanged for one validly issued, fully paid and nonassessable share of common stock, $0.001 par value per share, of the Surviving Corporation. Each stock certificate of Merger Sub evidencing ownership of any such shares shall, as of the Effective Time, evidence ownership of such shares of common stock of the Surviving Corporation until presented for transfer or exchange.</w:t>
      </w:r>
    </w:p>
    <w:p>
      <w:pPr>
        <w:spacing w:after="0" w:line="66" w:lineRule="exact"/>
        <w:rPr>
          <w:rFonts w:ascii="Times New Roman" w:cs="Times New Roman" w:eastAsia="Times New Roman" w:hAnsi="Times New Roman"/>
          <w:sz w:val="16"/>
          <w:szCs w:val="16"/>
          <w:color w:val="auto"/>
        </w:rPr>
      </w:pPr>
    </w:p>
    <w:p>
      <w:pPr>
        <w:ind w:right="140" w:firstLine="1253"/>
        <w:spacing w:after="0" w:line="250" w:lineRule="auto"/>
        <w:tabs>
          <w:tab w:leader="none" w:pos="145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between the date of this Agreement and the Effective Time, the outstanding shares of Company Capital Stock or Gem Common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and Gem Common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Gem to take any action with respect to Company Capital Stock or Gem Common Stock, respectively, that is prohibited or not expressly permitted by the terms of this Agreement.</w:t>
      </w:r>
    </w:p>
    <w:p>
      <w:pPr>
        <w:spacing w:after="0" w:line="73" w:lineRule="exact"/>
        <w:rPr>
          <w:sz w:val="20"/>
          <w:szCs w:val="20"/>
          <w:color w:val="auto"/>
        </w:rPr>
      </w:pPr>
    </w:p>
    <w:p>
      <w:pPr>
        <w:ind w:right="60" w:firstLine="869"/>
        <w:spacing w:after="0" w:line="270" w:lineRule="auto"/>
        <w:rPr>
          <w:sz w:val="20"/>
          <w:szCs w:val="20"/>
          <w:color w:val="auto"/>
        </w:rPr>
      </w:pPr>
      <w:r>
        <w:rPr>
          <w:rFonts w:ascii="Times New Roman" w:cs="Times New Roman" w:eastAsia="Times New Roman" w:hAnsi="Times New Roman"/>
          <w:sz w:val="15"/>
          <w:szCs w:val="15"/>
          <w:color w:val="auto"/>
        </w:rPr>
        <w:t xml:space="preserve">2.6 </w:t>
      </w:r>
      <w:r>
        <w:rPr>
          <w:rFonts w:ascii="Times New Roman" w:cs="Times New Roman" w:eastAsia="Times New Roman" w:hAnsi="Times New Roman"/>
          <w:sz w:val="15"/>
          <w:szCs w:val="15"/>
          <w:u w:val="single" w:color="auto"/>
          <w:color w:val="auto"/>
        </w:rPr>
        <w:t>Closing of the Company’s Transfer Books</w:t>
      </w:r>
      <w:r>
        <w:rPr>
          <w:rFonts w:ascii="Times New Roman" w:cs="Times New Roman" w:eastAsia="Times New Roman" w:hAnsi="Times New Roman"/>
          <w:sz w:val="15"/>
          <w:szCs w:val="15"/>
          <w:color w:val="auto"/>
        </w:rPr>
        <w:t xml:space="preserve">. At the Effective Time: (a) all shares of Company Capital Stock outstanding immediately prior to the Effective Time shall be treated in accordance with </w:t>
      </w:r>
      <w:r>
        <w:rPr>
          <w:rFonts w:ascii="Times New Roman" w:cs="Times New Roman" w:eastAsia="Times New Roman" w:hAnsi="Times New Roman"/>
          <w:sz w:val="15"/>
          <w:szCs w:val="15"/>
          <w:u w:val="single" w:color="auto"/>
          <w:color w:val="auto"/>
        </w:rPr>
        <w:t>Section 2.5(a)</w:t>
      </w:r>
      <w:r>
        <w:rPr>
          <w:rFonts w:ascii="Times New Roman" w:cs="Times New Roman" w:eastAsia="Times New Roman" w:hAnsi="Times New Roman"/>
          <w:sz w:val="15"/>
          <w:szCs w:val="15"/>
          <w:color w:val="auto"/>
        </w:rPr>
        <w:t>, and all holders of certificates representing shares of Company Capital Stock that were outstanding immediately prior to the Effective Time shall cease to have any rights as stockholders of the Company (other than the right to receive the Merger Consideration) and (b) the stock transfer books of the Company shall be closed with respect to all shares of Company Capital Stock outstanding immediately prior to the Effective Time. No further transfer of any such shares of Company Capital Stock shall be made on such stock transfer books after the Effective Time. If, after the Effective Time, a valid certificate previously representing any shares of Company Capital Stock outstanding immediately prior to the Effective Time (a “</w:t>
      </w:r>
      <w:r>
        <w:rPr>
          <w:rFonts w:ascii="Times New Roman" w:cs="Times New Roman" w:eastAsia="Times New Roman" w:hAnsi="Times New Roman"/>
          <w:sz w:val="15"/>
          <w:szCs w:val="15"/>
          <w:b w:val="1"/>
          <w:bCs w:val="1"/>
          <w:color w:val="auto"/>
        </w:rPr>
        <w:t>Company Stock Certificate</w:t>
      </w:r>
      <w:r>
        <w:rPr>
          <w:rFonts w:ascii="Times New Roman" w:cs="Times New Roman" w:eastAsia="Times New Roman" w:hAnsi="Times New Roman"/>
          <w:sz w:val="15"/>
          <w:szCs w:val="15"/>
          <w:color w:val="auto"/>
        </w:rPr>
        <w:t xml:space="preserve">”) is presented to the Exchange Agent or to the Surviving Corporation, such Company Stock Certificate shall be canceled and shall be exchanged as provided in </w:t>
      </w:r>
      <w:r>
        <w:rPr>
          <w:rFonts w:ascii="Times New Roman" w:cs="Times New Roman" w:eastAsia="Times New Roman" w:hAnsi="Times New Roman"/>
          <w:sz w:val="15"/>
          <w:szCs w:val="15"/>
          <w:u w:val="single" w:color="auto"/>
          <w:color w:val="auto"/>
        </w:rPr>
        <w:t>Sections 2.5</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2.7</w:t>
      </w:r>
      <w:r>
        <w:rPr>
          <w:rFonts w:ascii="Times New Roman" w:cs="Times New Roman" w:eastAsia="Times New Roman" w:hAnsi="Times New Roman"/>
          <w:sz w:val="15"/>
          <w:szCs w:val="15"/>
          <w:color w:val="auto"/>
        </w:rPr>
        <w:t>.</w:t>
      </w:r>
    </w:p>
    <w:p>
      <w:pPr>
        <w:spacing w:after="0" w:line="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Surrender of Certificates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firstLine="1253"/>
        <w:spacing w:after="0" w:line="261" w:lineRule="auto"/>
        <w:tabs>
          <w:tab w:leader="none" w:pos="146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the Closing Date, Gem shall select a reputable bank, transfer agent or trust company to act as exchange agent in the Merger (the “</w:t>
      </w:r>
      <w:r>
        <w:rPr>
          <w:rFonts w:ascii="Times New Roman" w:cs="Times New Roman" w:eastAsia="Times New Roman" w:hAnsi="Times New Roman"/>
          <w:sz w:val="16"/>
          <w:szCs w:val="16"/>
          <w:b w:val="1"/>
          <w:bCs w:val="1"/>
          <w:color w:val="auto"/>
        </w:rPr>
        <w:t>Exchange Agent</w:t>
      </w:r>
      <w:r>
        <w:rPr>
          <w:rFonts w:ascii="Times New Roman" w:cs="Times New Roman" w:eastAsia="Times New Roman" w:hAnsi="Times New Roman"/>
          <w:sz w:val="16"/>
          <w:szCs w:val="16"/>
          <w:color w:val="auto"/>
        </w:rPr>
        <w:t xml:space="preserve">”). At the Effective Time, Gem shall deposit with the Exchange Agent evidence of book-entry shares representing the shares of Gem Common Stock issuable pursuant to </w:t>
      </w:r>
      <w:r>
        <w:rPr>
          <w:rFonts w:ascii="Times New Roman" w:cs="Times New Roman" w:eastAsia="Times New Roman" w:hAnsi="Times New Roman"/>
          <w:sz w:val="16"/>
          <w:szCs w:val="16"/>
          <w:u w:val="single" w:color="auto"/>
          <w:color w:val="auto"/>
        </w:rPr>
        <w:t>Section 2.5(a)</w:t>
      </w:r>
      <w:r>
        <w:rPr>
          <w:rFonts w:ascii="Times New Roman" w:cs="Times New Roman" w:eastAsia="Times New Roman" w:hAnsi="Times New Roman"/>
          <w:sz w:val="16"/>
          <w:szCs w:val="16"/>
          <w:color w:val="auto"/>
        </w:rPr>
        <w:t xml:space="preserve"> in exchange for shares of Company Capital Stock.</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600"/>
          </w:cols>
          <w:pgMar w:left="1120" w:top="253" w:right="1179" w:bottom="1440" w:gutter="0" w:footer="0" w:header="0"/>
        </w:sectPr>
      </w:pPr>
    </w:p>
    <w:bookmarkStart w:id="37" w:name="page38"/>
    <w:bookmarkEnd w:id="37"/>
    <w:p>
      <w:pPr>
        <w:ind w:firstLine="1253"/>
        <w:spacing w:after="0" w:line="248" w:lineRule="auto"/>
        <w:tabs>
          <w:tab w:leader="none" w:pos="147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Promptly after the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Gem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in exchange for book-entry shares of Gem Common Stock. Upon surrender of a Company Stock Certificate to the Exchange Agent for exchange, together with a duly executed letter of transmittal and such other documents as may be reasonably required by the Exchange Agent or Gem: (A) the holder of such Company Stock Certificate shall be entitled to receive in exchange therefor book-entry shares representing the Merger Consideration (in a number of whole shares of Gem Common Stock) that such holder has the right to receive pursuant to the provisions of </w:t>
      </w:r>
      <w:r>
        <w:rPr>
          <w:rFonts w:ascii="Times New Roman" w:cs="Times New Roman" w:eastAsia="Times New Roman" w:hAnsi="Times New Roman"/>
          <w:sz w:val="16"/>
          <w:szCs w:val="16"/>
          <w:u w:val="single" w:color="auto"/>
          <w:color w:val="auto"/>
        </w:rPr>
        <w:t>Section 2.5(a)</w:t>
      </w:r>
      <w:r>
        <w:rPr>
          <w:rFonts w:ascii="Times New Roman" w:cs="Times New Roman" w:eastAsia="Times New Roman" w:hAnsi="Times New Roman"/>
          <w:sz w:val="16"/>
          <w:szCs w:val="16"/>
          <w:color w:val="auto"/>
        </w:rPr>
        <w:t xml:space="preserve"> and (B) the Company Stock Certificate so surrendered shall be canceled. Until surrendered as contemplated by this </w:t>
      </w:r>
      <w:r>
        <w:rPr>
          <w:rFonts w:ascii="Times New Roman" w:cs="Times New Roman" w:eastAsia="Times New Roman" w:hAnsi="Times New Roman"/>
          <w:sz w:val="16"/>
          <w:szCs w:val="16"/>
          <w:u w:val="single" w:color="auto"/>
          <w:color w:val="auto"/>
        </w:rPr>
        <w:t>Section 2.7(b)</w:t>
      </w:r>
      <w:r>
        <w:rPr>
          <w:rFonts w:ascii="Times New Roman" w:cs="Times New Roman" w:eastAsia="Times New Roman" w:hAnsi="Times New Roman"/>
          <w:sz w:val="16"/>
          <w:szCs w:val="16"/>
          <w:color w:val="auto"/>
        </w:rPr>
        <w:t>, each Company Stock Certificate shall be deemed, from and after the Effective Time, to represent only the right to receive book-entry shares of Gem Common Stock representing the Merger Consideration. If any Company Stock Certificate shall have been lost, stolen or destroyed, Gem may, in its discretion and as a condition precedent to the delivery of any shares of Gem Common Stock, require the owner of such lost, stolen or destroyed Company Stock Certificate to provide an applicable affidavit with respect to such Company Stock Certificate and post a bond indemnifying Gem against any claim suffered by Gem related to the lost, stolen or destroyed Company Stock Certificate or any Gem Common Stock issued in exchange therefor as Gem may reasonably request.</w:t>
      </w:r>
    </w:p>
    <w:p>
      <w:pPr>
        <w:spacing w:after="0" w:line="81" w:lineRule="exact"/>
        <w:rPr>
          <w:rFonts w:ascii="Times New Roman" w:cs="Times New Roman" w:eastAsia="Times New Roman" w:hAnsi="Times New Roman"/>
          <w:sz w:val="16"/>
          <w:szCs w:val="16"/>
          <w:color w:val="auto"/>
        </w:rPr>
      </w:pPr>
    </w:p>
    <w:p>
      <w:pPr>
        <w:ind w:right="20" w:firstLine="1253"/>
        <w:spacing w:after="0" w:line="254" w:lineRule="auto"/>
        <w:tabs>
          <w:tab w:leader="none" w:pos="146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 dividends or other distributions declared or made with respect to Gem Common Stock with a record date after the Effective Time shall be paid to the holder of any unsurrendered Company Stock Certificate with respect to the shares of Gem Common Stock that such holder has the right to receive in the Merger until such holder surrenders such Company Stock Certificate or provides an affidavit of loss or destruction in lieu thereof in accordance with this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(at which time such holder shall be entitled, subject to the effect of applicable abandoned property, escheat or similar Laws, to receive all such dividends and distributions, without interest).</w:t>
      </w:r>
    </w:p>
    <w:p>
      <w:pPr>
        <w:spacing w:after="0" w:line="67" w:lineRule="exact"/>
        <w:rPr>
          <w:rFonts w:ascii="Times New Roman" w:cs="Times New Roman" w:eastAsia="Times New Roman" w:hAnsi="Times New Roman"/>
          <w:sz w:val="16"/>
          <w:szCs w:val="16"/>
          <w:color w:val="auto"/>
        </w:rPr>
      </w:pPr>
    </w:p>
    <w:p>
      <w:pPr>
        <w:ind w:firstLine="1253"/>
        <w:spacing w:after="0" w:line="256" w:lineRule="auto"/>
        <w:tabs>
          <w:tab w:leader="none" w:pos="147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shares of Gem Common Stock deposited with the Exchange Agent that remain undistributed to holders of Company Stock Certificates as of the date that is 180 days after the Closing Date shall be delivered to Gem upon demand, and any holders of Company Stock Certificates who have not theretofore surrendered their Company Stock Certificates in accordance with this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shall thereafter look only to Gem for satisfaction of their claims for Gem Common Stock and any dividends or distributions with respect to shares of Gem Common Stock.</w:t>
      </w:r>
    </w:p>
    <w:p>
      <w:pPr>
        <w:spacing w:after="0" w:line="66" w:lineRule="exact"/>
        <w:rPr>
          <w:rFonts w:ascii="Times New Roman" w:cs="Times New Roman" w:eastAsia="Times New Roman" w:hAnsi="Times New Roman"/>
          <w:sz w:val="16"/>
          <w:szCs w:val="16"/>
          <w:color w:val="auto"/>
        </w:rPr>
      </w:pPr>
    </w:p>
    <w:p>
      <w:pPr>
        <w:ind w:right="20" w:firstLine="1253"/>
        <w:spacing w:after="0" w:line="261" w:lineRule="auto"/>
        <w:tabs>
          <w:tab w:leader="none" w:pos="146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Party shall be liable to any holder of any Company Stock Certificate or to any other Person with respect to any shares of Gem Common Stock (or dividends or distributions with respect thereto) or for any cash amounts delivered to any public official pursuant to any applicable abandoned property Law, escheat Law or similar Law.</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640"/>
          </w:cols>
          <w:pgMar w:left="1120" w:top="253" w:right="1139" w:bottom="1440" w:gutter="0" w:footer="0" w:header="0"/>
        </w:sectPr>
      </w:pPr>
    </w:p>
    <w:bookmarkStart w:id="38" w:name="page39"/>
    <w:bookmarkEnd w:id="38"/>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2.8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40" w:firstLine="1253"/>
        <w:spacing w:after="0" w:line="250" w:lineRule="auto"/>
        <w:tabs>
          <w:tab w:leader="none" w:pos="146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Times New Roman" w:cs="Times New Roman" w:eastAsia="Times New Roman" w:hAnsi="Times New Roman"/>
          <w:sz w:val="16"/>
          <w:szCs w:val="16"/>
          <w:b w:val="1"/>
          <w:bCs w:val="1"/>
          <w:color w:val="auto"/>
        </w:rPr>
        <w:t>Dissenting Shares</w:t>
      </w:r>
      <w:r>
        <w:rPr>
          <w:rFonts w:ascii="Times New Roman" w:cs="Times New Roman" w:eastAsia="Times New Roman" w:hAnsi="Times New Roman"/>
          <w:sz w:val="16"/>
          <w:szCs w:val="16"/>
          <w:color w:val="auto"/>
        </w:rPr>
        <w:t xml:space="preserve">”) shall not be converted into or represent the right to receive the Merger Consideration described in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attributable to such Dissenting Shares. Such stockholders shall be entitled to receive payment of the appraised value of such shares of Company Capital Stock held by them as determined by the Delaware Court of Chancery in accordance with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shares of Company Capital Stock under the DGCL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right="280" w:firstLine="1253"/>
        <w:spacing w:after="0" w:line="256" w:lineRule="auto"/>
        <w:tabs>
          <w:tab w:leader="none" w:pos="147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give Gem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Gem’s prior written consent, make any payment with respect to, or settle or offer to settle, any such demands, or agree to do any of the foregoing.</w:t>
      </w:r>
    </w:p>
    <w:p>
      <w:pPr>
        <w:spacing w:after="0" w:line="66" w:lineRule="exact"/>
        <w:rPr>
          <w:sz w:val="20"/>
          <w:szCs w:val="20"/>
          <w:color w:val="auto"/>
        </w:rPr>
      </w:pPr>
    </w:p>
    <w:p>
      <w:pPr>
        <w:ind w:right="80" w:firstLine="869"/>
        <w:spacing w:after="0" w:line="254" w:lineRule="auto"/>
        <w:rPr>
          <w:sz w:val="20"/>
          <w:szCs w:val="20"/>
          <w:color w:val="auto"/>
        </w:rPr>
      </w:pPr>
      <w:r>
        <w:rPr>
          <w:rFonts w:ascii="Times New Roman" w:cs="Times New Roman" w:eastAsia="Times New Roman" w:hAnsi="Times New Roman"/>
          <w:sz w:val="16"/>
          <w:szCs w:val="16"/>
          <w:color w:val="auto"/>
        </w:rPr>
        <w:t xml:space="preserve">2.9 </w:t>
      </w:r>
      <w:r>
        <w:rPr>
          <w:rFonts w:ascii="Times New Roman" w:cs="Times New Roman" w:eastAsia="Times New Roman" w:hAnsi="Times New Roman"/>
          <w:sz w:val="16"/>
          <w:szCs w:val="16"/>
          <w:u w:val="single" w:color="auto"/>
          <w:color w:val="auto"/>
        </w:rPr>
        <w:t>Further Action</w:t>
      </w:r>
      <w:r>
        <w:rPr>
          <w:rFonts w:ascii="Times New Roman" w:cs="Times New Roman" w:eastAsia="Times New Roman" w:hAnsi="Times New Roman"/>
          <w:sz w:val="16"/>
          <w:szCs w:val="16"/>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2.10 </w:t>
      </w:r>
      <w:r>
        <w:rPr>
          <w:rFonts w:ascii="Times New Roman" w:cs="Times New Roman" w:eastAsia="Times New Roman" w:hAnsi="Times New Roman"/>
          <w:sz w:val="16"/>
          <w:szCs w:val="16"/>
          <w:u w:val="single" w:color="auto"/>
          <w:color w:val="auto"/>
        </w:rPr>
        <w:t>Tax Consequences; Withholding</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firstLine="1253"/>
        <w:spacing w:after="0" w:line="267" w:lineRule="auto"/>
        <w:tabs>
          <w:tab w:leader="none" w:pos="1469"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U.S. federal (and applicable state and local) income tax purposes, the Merger is intended to constitute a reorganization within the meaning of Section 368(a) of the Code (the “</w:t>
      </w:r>
      <w:r>
        <w:rPr>
          <w:rFonts w:ascii="Times New Roman" w:cs="Times New Roman" w:eastAsia="Times New Roman" w:hAnsi="Times New Roman"/>
          <w:sz w:val="15"/>
          <w:szCs w:val="15"/>
          <w:b w:val="1"/>
          <w:bCs w:val="1"/>
          <w:color w:val="auto"/>
        </w:rPr>
        <w:t>U.S. Tax Treatment</w:t>
      </w:r>
      <w:r>
        <w:rPr>
          <w:rFonts w:ascii="Times New Roman" w:cs="Times New Roman" w:eastAsia="Times New Roman" w:hAnsi="Times New Roman"/>
          <w:sz w:val="15"/>
          <w:szCs w:val="15"/>
          <w:color w:val="auto"/>
        </w:rPr>
        <w:t>”). The Parties hereby (i) adopt this Agreement insofar as it relates to the Merger as a “plan of reorganization” within the meaning of Treasury Regulations Section 1.368-2(g), (ii) agree to file and retain such information as shall be required under Treasury Regulations Section 1.368-3, and (iii) agree to file all Tax Returns on a basis consistent with the U.S. Tax Treatment, unless otherwise required by a “determination” that is final within the meaning of Section 1313(a) of the Code. Notwithstanding the foregoing or anything else to the contrary contained in this Agreement, the Parties acknowledge and agree that, other than the representations set forth in Sections 3.16(l) and</w:t>
      </w:r>
    </w:p>
    <w:p>
      <w:pPr>
        <w:spacing w:after="0" w:line="1" w:lineRule="exact"/>
        <w:rPr>
          <w:rFonts w:ascii="Times New Roman" w:cs="Times New Roman" w:eastAsia="Times New Roman" w:hAnsi="Times New Roman"/>
          <w:sz w:val="15"/>
          <w:szCs w:val="15"/>
          <w:color w:val="auto"/>
        </w:rPr>
      </w:pPr>
    </w:p>
    <w:p>
      <w:pPr>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4.16(k),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640"/>
          </w:cols>
          <w:pgMar w:left="1120" w:top="253" w:right="1139" w:bottom="1440" w:gutter="0" w:footer="0" w:header="0"/>
        </w:sectPr>
      </w:pPr>
    </w:p>
    <w:bookmarkStart w:id="39" w:name="page40"/>
    <w:bookmarkEnd w:id="39"/>
    <w:p>
      <w:pPr>
        <w:ind w:firstLine="1253"/>
        <w:spacing w:after="0" w:line="250" w:lineRule="auto"/>
        <w:tabs>
          <w:tab w:leader="none" w:pos="147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in connection with the preparation and filing of the Registration Statement or any other filing required by applicable Law or the SEC’s review thereof, the SEC requests or requires that a tax opinion with respect to the U.S. federal income tax consequences of the Merger be prepared and submitted (a “</w:t>
      </w:r>
      <w:r>
        <w:rPr>
          <w:rFonts w:ascii="Times New Roman" w:cs="Times New Roman" w:eastAsia="Times New Roman" w:hAnsi="Times New Roman"/>
          <w:sz w:val="16"/>
          <w:szCs w:val="16"/>
          <w:b w:val="1"/>
          <w:bCs w:val="1"/>
          <w:color w:val="auto"/>
        </w:rPr>
        <w:t>Tax Opinion</w:t>
      </w:r>
      <w:r>
        <w:rPr>
          <w:rFonts w:ascii="Times New Roman" w:cs="Times New Roman" w:eastAsia="Times New Roman" w:hAnsi="Times New Roman"/>
          <w:sz w:val="16"/>
          <w:szCs w:val="16"/>
          <w:color w:val="auto"/>
        </w:rPr>
        <w:t>”), (i) the Company and Gem shall each use their reasonable best efforts to deliver to Goodwin Procter LLP and Wilmer Cutler Pickering Hale and Dorr LLP, respectively, in connection with any Tax Opinion to be rendered by such counsel, customary Tax representation letters satisfactory to such counsel, dated and executed as of the date such relevant filing shall have been declared effective by the SEC and such other date(s) as determined to be reasonably necessary by such counsel in connection with the preparation and filing of such Registration Statement or any other filing required by applicable Law, and (ii) the Company and Gem shall each use its reasonable best efforts to cause Goodwin Procter LLP and Wilmer Cutler Pickering Hale and Dorr LLP, respectively, to furnish a Tax Opinion, subject to customary assumptions and limitations, to the effect that the U.S. Tax Treatment should apply to the Merger. For the avoidance of doubt, in no event shall any such Tax Opinion be a condition to Closing.</w:t>
      </w:r>
    </w:p>
    <w:p>
      <w:pPr>
        <w:spacing w:after="0" w:line="70" w:lineRule="exact"/>
        <w:rPr>
          <w:rFonts w:ascii="Times New Roman" w:cs="Times New Roman" w:eastAsia="Times New Roman" w:hAnsi="Times New Roman"/>
          <w:sz w:val="16"/>
          <w:szCs w:val="16"/>
          <w:color w:val="auto"/>
        </w:rPr>
      </w:pPr>
    </w:p>
    <w:p>
      <w:pPr>
        <w:ind w:right="20" w:firstLine="1253"/>
        <w:spacing w:after="0" w:line="250" w:lineRule="auto"/>
        <w:tabs>
          <w:tab w:leader="none" w:pos="146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Exchange Agent, Gem and the Surviving Corporation shall be entitled to deduct and withhold from the amounts otherwise payable pursuant to this Agreement to any holder of shares of Company Capital Stock and any other recipient of payments hereunder such amounts as it reasonably determines that it is required to deduct and withhold with respect to the making of such payment under the Code, or any other applicable provision of Law. To the extent that amounts are so withheld and paid to the appropriate taxing authority by the Exchange Agent, the Surviving Corporation or Gem, as the case may be, such withheld amounts shall be treated for all purposes of this Agreement as having been paid to the holder of the shares of Company Capital Stock or other recipient of payments hereunder in respect of which such deduction and withholding was made by the Exchange Agent, the Surviving Corporation or Gem, as the case may be. Prior to the Exchange Agent, Gem or the Surviving Corporation making any deduction or withholding determined to be required under applicable Law, the Parties shall cooperate in good faith to eliminate or reduce any such deduction or withholding (including through the request and provision of any statements, forms or other documents to reduce or eliminate any such deduction or withholding).</w:t>
      </w:r>
    </w:p>
    <w:p>
      <w:pPr>
        <w:spacing w:after="0" w:line="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2.11 </w:t>
      </w:r>
      <w:r>
        <w:rPr>
          <w:rFonts w:ascii="Times New Roman" w:cs="Times New Roman" w:eastAsia="Times New Roman" w:hAnsi="Times New Roman"/>
          <w:sz w:val="16"/>
          <w:szCs w:val="16"/>
          <w:u w:val="single" w:color="auto"/>
          <w:color w:val="auto"/>
        </w:rPr>
        <w:t>Gem Net Cash</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40" w:firstLine="1253"/>
        <w:spacing w:after="0" w:line="254" w:lineRule="auto"/>
        <w:tabs>
          <w:tab w:leader="none" w:pos="146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more than ten (10) nor less than five (5) Business Days prior to the anticipated date for Closing (as mutually agreed in good faith by Gem and the Company) (the “Anticipated Closing Date”), Gem will deliver to the Company a schedule (the “Net Cash Schedule”) setting forth, in reasonable detail, Gem’s good faith estimated calculation of Gem Net Cash (the “Net Cash Calculation” and the date of delivery</w:t>
      </w:r>
    </w:p>
    <w:p>
      <w:pPr>
        <w:ind w:right="4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such schedule, the “Delivery Date”) as of 5:00 p.m. Eastern Time on the last Business Day prior to the Anticipated Closing Date (the “Cash Determination Time”), prepared and certified by Gem’s chief executive officer and chief financial officer (or if there is no chief financial officer at such time, the principal financial and accounting officer for Gem). Gem shall make available to the Company, or its accountants and/or counsel, the work papers and reasonable back-up materials used or useful in preparing the Net Cash Schedule, as reasonably requested by the Company (and at reasonable times and upon reasonable notice).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640"/>
          </w:cols>
          <w:pgMar w:left="1120" w:top="253" w:right="1139" w:bottom="1440" w:gutter="0" w:footer="0" w:header="0"/>
        </w:sectPr>
      </w:pPr>
    </w:p>
    <w:bookmarkStart w:id="40" w:name="page41"/>
    <w:bookmarkEnd w:id="40"/>
    <w:p>
      <w:pPr>
        <w:ind w:right="240" w:firstLine="1253"/>
        <w:spacing w:after="0" w:line="286" w:lineRule="auto"/>
        <w:tabs>
          <w:tab w:leader="none" w:pos="1478"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Within three (3) Business Days after the Delivery Date (the last day of such period, the “Response Date”), the Company shall have the right to dispute any part of the Net Cash Calculation by delivering a written notice to that effect to Gem (a “Dispute Notice”). Any Dispute Notice shall identify in reasonable detail and to the extent known the nature and amounts of any proposed revisions to the Net Cash Calculation.</w:t>
      </w:r>
    </w:p>
    <w:p>
      <w:pPr>
        <w:spacing w:after="0" w:line="45" w:lineRule="exact"/>
        <w:rPr>
          <w:rFonts w:ascii="Times New Roman" w:cs="Times New Roman" w:eastAsia="Times New Roman" w:hAnsi="Times New Roman"/>
          <w:sz w:val="15"/>
          <w:szCs w:val="15"/>
          <w:color w:val="auto"/>
        </w:rPr>
      </w:pPr>
    </w:p>
    <w:p>
      <w:pPr>
        <w:ind w:right="80" w:firstLine="1253"/>
        <w:spacing w:after="0" w:line="256" w:lineRule="auto"/>
        <w:tabs>
          <w:tab w:leader="none" w:pos="146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prior to the Response Date, the Company notifies Gem in writing that it has no objections to the Net Cash Calculation or, if prior to 5:00 p.m. Eastern Time on the Response Date, the Company has failed to deliver a Dispute Notice as provided in </w:t>
      </w:r>
      <w:r>
        <w:rPr>
          <w:rFonts w:ascii="Times New Roman" w:cs="Times New Roman" w:eastAsia="Times New Roman" w:hAnsi="Times New Roman"/>
          <w:sz w:val="16"/>
          <w:szCs w:val="16"/>
          <w:u w:val="single" w:color="auto"/>
          <w:color w:val="auto"/>
        </w:rPr>
        <w:t>Section 2.11(b)</w:t>
      </w:r>
      <w:r>
        <w:rPr>
          <w:rFonts w:ascii="Times New Roman" w:cs="Times New Roman" w:eastAsia="Times New Roman" w:hAnsi="Times New Roman"/>
          <w:sz w:val="16"/>
          <w:szCs w:val="16"/>
          <w:color w:val="auto"/>
        </w:rPr>
        <w:t>, then the Net Cash Calculation as set forth in the Net Cash Schedule shall be deemed to have been finally determined for purposes of this Agreement and to represent the Net Cash at the Cash Determination Time (the “</w:t>
      </w:r>
      <w:r>
        <w:rPr>
          <w:rFonts w:ascii="Times New Roman" w:cs="Times New Roman" w:eastAsia="Times New Roman" w:hAnsi="Times New Roman"/>
          <w:sz w:val="16"/>
          <w:szCs w:val="16"/>
          <w:b w:val="1"/>
          <w:bCs w:val="1"/>
          <w:color w:val="auto"/>
        </w:rPr>
        <w:t>Final Net Cash</w:t>
      </w:r>
      <w:r>
        <w:rPr>
          <w:rFonts w:ascii="Times New Roman" w:cs="Times New Roman" w:eastAsia="Times New Roman" w:hAnsi="Times New Roman"/>
          <w:sz w:val="16"/>
          <w:szCs w:val="16"/>
          <w:color w:val="auto"/>
        </w:rPr>
        <w:t>”) for purposes of this Agreement.</w:t>
      </w:r>
    </w:p>
    <w:p>
      <w:pPr>
        <w:spacing w:after="0" w:line="66" w:lineRule="exact"/>
        <w:rPr>
          <w:rFonts w:ascii="Times New Roman" w:cs="Times New Roman" w:eastAsia="Times New Roman" w:hAnsi="Times New Roman"/>
          <w:sz w:val="16"/>
          <w:szCs w:val="16"/>
          <w:color w:val="auto"/>
        </w:rPr>
      </w:pPr>
    </w:p>
    <w:p>
      <w:pPr>
        <w:ind w:right="180" w:firstLine="1253"/>
        <w:spacing w:after="0" w:line="254" w:lineRule="auto"/>
        <w:tabs>
          <w:tab w:leader="none" w:pos="1478"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delivers a Dispute Notice on or prior to 5:00 p.m. Eastern Time on the Response Date, then Representatives of Gem and the Company shall promptly, and in no event later than one (1) calendar day after the Response Date, meet (in person, virtually or telephonically) and attempt in good faith to resolve the disputed item(s) and negotiate an agreed-upon determination of Gem Net Cash, which agreed upon Gem Net Cash amount shall be deemed to have been finally determined for purposes of this Agreement and to represent the Final Net Cash for purposes of this Agreement.</w:t>
      </w:r>
    </w:p>
    <w:p>
      <w:pPr>
        <w:spacing w:after="0" w:line="67" w:lineRule="exact"/>
        <w:rPr>
          <w:rFonts w:ascii="Times New Roman" w:cs="Times New Roman" w:eastAsia="Times New Roman" w:hAnsi="Times New Roman"/>
          <w:sz w:val="16"/>
          <w:szCs w:val="16"/>
          <w:color w:val="auto"/>
        </w:rPr>
      </w:pPr>
    </w:p>
    <w:p>
      <w:pPr>
        <w:ind w:firstLine="1253"/>
        <w:spacing w:after="0" w:line="248" w:lineRule="auto"/>
        <w:tabs>
          <w:tab w:leader="none" w:pos="146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Representatives of Gem and the Company are unable to negotiate an agreed-upon determination of Final Net Cash pursuant to </w:t>
      </w:r>
      <w:r>
        <w:rPr>
          <w:rFonts w:ascii="Times New Roman" w:cs="Times New Roman" w:eastAsia="Times New Roman" w:hAnsi="Times New Roman"/>
          <w:sz w:val="16"/>
          <w:szCs w:val="16"/>
          <w:u w:val="single" w:color="auto"/>
          <w:color w:val="auto"/>
        </w:rPr>
        <w:t>Section 2.11(c)</w:t>
      </w:r>
      <w:r>
        <w:rPr>
          <w:rFonts w:ascii="Times New Roman" w:cs="Times New Roman" w:eastAsia="Times New Roman" w:hAnsi="Times New Roman"/>
          <w:sz w:val="16"/>
          <w:szCs w:val="16"/>
          <w:color w:val="auto"/>
        </w:rPr>
        <w:t xml:space="preserve"> within two (2) calendar days after delivery of the Dispute Notice (or such other period as Gem and the Company may mutually agree upon), then any disputed items remaining under disagreement as to the calculation of Gem Net Cash shall be referred to an independent auditor of recognized national standing jointly selected and mutually agreed upon by Gem and the Company (the “</w:t>
      </w:r>
      <w:r>
        <w:rPr>
          <w:rFonts w:ascii="Times New Roman" w:cs="Times New Roman" w:eastAsia="Times New Roman" w:hAnsi="Times New Roman"/>
          <w:sz w:val="16"/>
          <w:szCs w:val="16"/>
          <w:b w:val="1"/>
          <w:bCs w:val="1"/>
          <w:color w:val="auto"/>
        </w:rPr>
        <w:t>Accounting Firm</w:t>
      </w:r>
      <w:r>
        <w:rPr>
          <w:rFonts w:ascii="Times New Roman" w:cs="Times New Roman" w:eastAsia="Times New Roman" w:hAnsi="Times New Roman"/>
          <w:sz w:val="16"/>
          <w:szCs w:val="16"/>
          <w:color w:val="auto"/>
        </w:rPr>
        <w:t xml:space="preserve">”). Gem shall promptly deliver to the Accounting Firm the work papers and back-up materials used in preparing the Net Cash Schedule, and Gem and the Company shall use commercially reasonable efforts to cause the Accounting Firm to make its determination within five (5) calendar days of accepting its selection. Gem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Gem and the Company. The determination of the Accounting Firm shall be limited to the disagreements submitted to the Accounting Firm. The determination of Gem Net Cash made by the Accounting Firm shall be made in writing delivered to each of Gem and the Company, shall be final and binding on Gem and the Company and shall be deemed to have been finally determined for purposes of this Agreement and to represent the Final Net Cash for purposes of this Agreement. The Parties shall delay the Closing until the resolution of the matters described in this </w:t>
      </w:r>
      <w:r>
        <w:rPr>
          <w:rFonts w:ascii="Times New Roman" w:cs="Times New Roman" w:eastAsia="Times New Roman" w:hAnsi="Times New Roman"/>
          <w:sz w:val="16"/>
          <w:szCs w:val="16"/>
          <w:u w:val="single" w:color="auto"/>
          <w:color w:val="auto"/>
        </w:rPr>
        <w:t>Section 2.11(e)</w:t>
      </w:r>
      <w:r>
        <w:rPr>
          <w:rFonts w:ascii="Times New Roman" w:cs="Times New Roman" w:eastAsia="Times New Roman" w:hAnsi="Times New Roman"/>
          <w:sz w:val="16"/>
          <w:szCs w:val="16"/>
          <w:color w:val="auto"/>
        </w:rPr>
        <w:t xml:space="preserve">. The fees and expenses of the Accounting Firm shall be allocated between Gem and the Company in the same proportion that the disputed amount of the Gem Net Cash that was unsuccessfully disputed by such Party (as finally determined by the Accounting Firm) bears to the total disputed amount of the Gem Net Cash amount. If this </w:t>
      </w:r>
      <w:r>
        <w:rPr>
          <w:rFonts w:ascii="Times New Roman" w:cs="Times New Roman" w:eastAsia="Times New Roman" w:hAnsi="Times New Roman"/>
          <w:sz w:val="16"/>
          <w:szCs w:val="16"/>
          <w:u w:val="single" w:color="auto"/>
          <w:color w:val="auto"/>
        </w:rPr>
        <w:t>Section 2.11(e)</w:t>
      </w:r>
      <w:r>
        <w:rPr>
          <w:rFonts w:ascii="Times New Roman" w:cs="Times New Roman" w:eastAsia="Times New Roman" w:hAnsi="Times New Roman"/>
          <w:sz w:val="16"/>
          <w:szCs w:val="16"/>
          <w:color w:val="auto"/>
        </w:rPr>
        <w:t xml:space="preserve"> applies as to the determination of the Final Net Cash described in </w:t>
      </w:r>
      <w:r>
        <w:rPr>
          <w:rFonts w:ascii="Times New Roman" w:cs="Times New Roman" w:eastAsia="Times New Roman" w:hAnsi="Times New Roman"/>
          <w:sz w:val="16"/>
          <w:szCs w:val="16"/>
          <w:u w:val="single" w:color="auto"/>
          <w:color w:val="auto"/>
        </w:rPr>
        <w:t>Section 2.11(c)</w:t>
      </w:r>
      <w:r>
        <w:rPr>
          <w:rFonts w:ascii="Times New Roman" w:cs="Times New Roman" w:eastAsia="Times New Roman" w:hAnsi="Times New Roman"/>
          <w:sz w:val="16"/>
          <w:szCs w:val="16"/>
          <w:color w:val="auto"/>
        </w:rPr>
        <w:t xml:space="preserve">, upon resolution of the matter in accordance with this </w:t>
      </w:r>
      <w:r>
        <w:rPr>
          <w:rFonts w:ascii="Times New Roman" w:cs="Times New Roman" w:eastAsia="Times New Roman" w:hAnsi="Times New Roman"/>
          <w:sz w:val="16"/>
          <w:szCs w:val="16"/>
          <w:u w:val="single" w:color="auto"/>
          <w:color w:val="auto"/>
        </w:rPr>
        <w:t>Section 2.11(e)</w:t>
      </w:r>
      <w:r>
        <w:rPr>
          <w:rFonts w:ascii="Times New Roman" w:cs="Times New Roman" w:eastAsia="Times New Roman" w:hAnsi="Times New Roman"/>
          <w:sz w:val="16"/>
          <w:szCs w:val="16"/>
          <w:color w:val="auto"/>
        </w:rPr>
        <w:t>, the Parties shall not be required to determine Gem Net Cash again even though the Closing Date may occur later than the Anticipated Closing Date, except that either Gem and the Company may require a redetermination of the Final Net Cash if the Closing Date is more than ten (10) calendar days after the Anticipated Closing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640"/>
          </w:cols>
          <w:pgMar w:left="1120" w:top="253" w:right="1139" w:bottom="1440" w:gutter="0" w:footer="0" w:header="0"/>
        </w:sectPr>
      </w:pPr>
    </w:p>
    <w:bookmarkStart w:id="41" w:name="page42"/>
    <w:bookmarkEnd w:id="41"/>
    <w:p>
      <w:pPr>
        <w:ind w:left="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3. </w:t>
      </w: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w:t>
      </w:r>
    </w:p>
    <w:p>
      <w:pPr>
        <w:spacing w:after="0" w:line="98" w:lineRule="exact"/>
        <w:rPr>
          <w:sz w:val="20"/>
          <w:szCs w:val="20"/>
          <w:color w:val="auto"/>
        </w:rPr>
      </w:pPr>
    </w:p>
    <w:p>
      <w:pPr>
        <w:ind w:left="1" w:right="620" w:firstLine="386"/>
        <w:spacing w:after="0" w:line="278" w:lineRule="auto"/>
        <w:rPr>
          <w:sz w:val="20"/>
          <w:szCs w:val="20"/>
          <w:color w:val="auto"/>
        </w:rPr>
      </w:pPr>
      <w:r>
        <w:rPr>
          <w:rFonts w:ascii="Times New Roman" w:cs="Times New Roman" w:eastAsia="Times New Roman" w:hAnsi="Times New Roman"/>
          <w:sz w:val="16"/>
          <w:szCs w:val="16"/>
          <w:color w:val="auto"/>
        </w:rPr>
        <w:t>Subject to Section 3, except as set forth in the written disclosure schedule delivered by the Company to Gem (the “</w:t>
      </w:r>
      <w:r>
        <w:rPr>
          <w:rFonts w:ascii="Times New Roman" w:cs="Times New Roman" w:eastAsia="Times New Roman" w:hAnsi="Times New Roman"/>
          <w:sz w:val="16"/>
          <w:szCs w:val="16"/>
          <w:b w:val="1"/>
          <w:bCs w:val="1"/>
          <w:color w:val="auto"/>
        </w:rPr>
        <w:t>Company Disclosure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Schedule</w:t>
      </w:r>
      <w:r>
        <w:rPr>
          <w:rFonts w:ascii="Times New Roman" w:cs="Times New Roman" w:eastAsia="Times New Roman" w:hAnsi="Times New Roman"/>
          <w:sz w:val="16"/>
          <w:szCs w:val="16"/>
          <w:color w:val="auto"/>
        </w:rPr>
        <w:t>”), the Company represents and warrants to Gem and Merger Sub as follows.</w:t>
      </w:r>
    </w:p>
    <w:p>
      <w:pPr>
        <w:spacing w:after="0" w:line="49"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Due Organization; Subsidiaries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firstLine="1253"/>
        <w:spacing w:after="0" w:line="279" w:lineRule="auto"/>
        <w:tabs>
          <w:tab w:leader="none" w:pos="147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49" w:lineRule="exact"/>
        <w:rPr>
          <w:rFonts w:ascii="Times New Roman" w:cs="Times New Roman" w:eastAsia="Times New Roman" w:hAnsi="Times New Roman"/>
          <w:sz w:val="15"/>
          <w:szCs w:val="15"/>
          <w:color w:val="auto"/>
        </w:rPr>
      </w:pPr>
    </w:p>
    <w:p>
      <w:pPr>
        <w:ind w:left="1" w:right="20" w:firstLine="1253"/>
        <w:spacing w:after="0" w:line="256" w:lineRule="auto"/>
        <w:tabs>
          <w:tab w:leader="none" w:pos="147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its Subsidiaries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66" w:lineRule="exact"/>
        <w:rPr>
          <w:rFonts w:ascii="Times New Roman" w:cs="Times New Roman" w:eastAsia="Times New Roman" w:hAnsi="Times New Roman"/>
          <w:sz w:val="16"/>
          <w:szCs w:val="16"/>
          <w:color w:val="auto"/>
        </w:rPr>
      </w:pPr>
    </w:p>
    <w:p>
      <w:pPr>
        <w:ind w:left="1" w:right="60" w:firstLine="1253"/>
        <w:spacing w:after="0" w:line="251" w:lineRule="auto"/>
        <w:tabs>
          <w:tab w:leader="none" w:pos="147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has no Subsidiaries, except for the Entities identified in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color w:val="auto"/>
        </w:rPr>
        <w:t xml:space="preserve"> of the Company Disclosure Schedule; and neither the Company nor any of the Entities identified in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color w:val="auto"/>
        </w:rPr>
        <w:t xml:space="preserve"> of the Company Disclosure Schedule owns any capital stock of, or any equity, ownership or profit sharing interest of any nature in, or controls directly or indirectly, any other Entity other than the Entities identified in </w:t>
      </w:r>
      <w:r>
        <w:rPr>
          <w:rFonts w:ascii="Times New Roman" w:cs="Times New Roman" w:eastAsia="Times New Roman" w:hAnsi="Times New Roman"/>
          <w:sz w:val="16"/>
          <w:szCs w:val="16"/>
          <w:u w:val="single" w:color="auto"/>
          <w:color w:val="auto"/>
        </w:rPr>
        <w:t>Section 3.1(c)</w:t>
      </w:r>
      <w:r>
        <w:rPr>
          <w:rFonts w:ascii="Times New Roman" w:cs="Times New Roman" w:eastAsia="Times New Roman" w:hAnsi="Times New Roman"/>
          <w:sz w:val="16"/>
          <w:szCs w:val="16"/>
          <w:color w:val="auto"/>
        </w:rPr>
        <w:t xml:space="preserve"> of the Company Disclosure Schedule. Neither the Company nor any of its Subsidiaries is or has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69" w:lineRule="exact"/>
        <w:rPr>
          <w:sz w:val="20"/>
          <w:szCs w:val="20"/>
          <w:color w:val="auto"/>
        </w:rPr>
      </w:pPr>
    </w:p>
    <w:p>
      <w:pPr>
        <w:jc w:val="both"/>
        <w:ind w:left="1" w:right="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color w:val="auto"/>
        </w:rPr>
        <w:t>. The Company has delivered to Gem accurate and complete copies of the Organizational Documents of the Company and each of its Subsidiaries. Neither the Company nor any of its Subsidiaries is in breach or violation of its Organizational Documents in any material respect.</w:t>
      </w:r>
    </w:p>
    <w:p>
      <w:pPr>
        <w:spacing w:after="0" w:line="62" w:lineRule="exact"/>
        <w:rPr>
          <w:sz w:val="20"/>
          <w:szCs w:val="20"/>
          <w:color w:val="auto"/>
        </w:rPr>
      </w:pPr>
    </w:p>
    <w:p>
      <w:pPr>
        <w:ind w:left="1" w:right="80" w:firstLine="869"/>
        <w:spacing w:after="0" w:line="275" w:lineRule="auto"/>
        <w:rPr>
          <w:sz w:val="20"/>
          <w:szCs w:val="20"/>
          <w:color w:val="auto"/>
        </w:rPr>
      </w:pPr>
      <w:r>
        <w:rPr>
          <w:rFonts w:ascii="Times New Roman" w:cs="Times New Roman" w:eastAsia="Times New Roman" w:hAnsi="Times New Roman"/>
          <w:sz w:val="15"/>
          <w:szCs w:val="15"/>
          <w:color w:val="auto"/>
        </w:rPr>
        <w:t xml:space="preserve">3.3 </w:t>
      </w:r>
      <w:r>
        <w:rPr>
          <w:rFonts w:ascii="Times New Roman" w:cs="Times New Roman" w:eastAsia="Times New Roman" w:hAnsi="Times New Roman"/>
          <w:sz w:val="15"/>
          <w:szCs w:val="15"/>
          <w:u w:val="single" w:color="auto"/>
          <w:color w:val="auto"/>
        </w:rPr>
        <w:t>Authority; Binding Nature of Agreement</w:t>
      </w:r>
      <w:r>
        <w:rPr>
          <w:rFonts w:ascii="Times New Roman" w:cs="Times New Roman" w:eastAsia="Times New Roman" w:hAnsi="Times New Roman"/>
          <w:sz w:val="15"/>
          <w:szCs w:val="15"/>
          <w:color w:val="auto"/>
        </w:rPr>
        <w:t>. The Company and each of its Subsidiaries have all necessary corporate power and authority to enter into and to perform its obligations under this Agreement and to consummate the Contemplated Transactions. The Company Board has</w:t>
      </w:r>
    </w:p>
    <w:p>
      <w:pPr>
        <w:ind w:left="1" w:right="120" w:hanging="1"/>
        <w:spacing w:after="0" w:line="253" w:lineRule="auto"/>
        <w:tabs>
          <w:tab w:leader="none" w:pos="18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determined that the Contemplated Transactions are fair to, advisable and in the best interests of the Company and its stockholders, (ii) approved and declared advisable</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641"/>
          </w:cols>
          <w:pgMar w:left="1119" w:top="253" w:right="1139" w:bottom="1440" w:gutter="0" w:footer="0" w:header="0"/>
        </w:sectPr>
      </w:pPr>
    </w:p>
    <w:bookmarkStart w:id="42" w:name="page43"/>
    <w:bookmarkEnd w:id="42"/>
    <w:p>
      <w:pPr>
        <w:ind w:right="6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this Agreement and the Contemplated Transactions and (iii)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Gem and Merger Sub, constitutes the legal, valid and binding obligation of the Company, enforceable against the Company in accordance with its terms, subject to the Enforceability Exceptions. Prior to the execution of the Company Stockholder Support Agreements, the Company Board approved the Company Stockholder Support Agreements and the transactions contemplated thereby.</w:t>
      </w:r>
    </w:p>
    <w:p>
      <w:pPr>
        <w:spacing w:after="0" w:line="69" w:lineRule="exact"/>
        <w:rPr>
          <w:sz w:val="20"/>
          <w:szCs w:val="20"/>
          <w:color w:val="auto"/>
        </w:rPr>
      </w:pPr>
    </w:p>
    <w:p>
      <w:pPr>
        <w:ind w:firstLine="869"/>
        <w:spacing w:after="0" w:line="275"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Vote Required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The affirmative vote of (i) the holders of a majority of the shares of Company Common Stock outstanding on the record date for the Company Stockholder Written Consent and entitled to vote thereon, voting as a single class, and (ii) the holders of Company Preferred Stock constituting the Requisite Holders (including at least one Specified Series B Holder) each as defined in the Company’s Second Amended and Restated Certificate of Incorporation, as in effect from time to time (the “</w:t>
      </w:r>
      <w:r>
        <w:rPr>
          <w:rFonts w:ascii="Times New Roman" w:cs="Times New Roman" w:eastAsia="Times New Roman" w:hAnsi="Times New Roman"/>
          <w:sz w:val="15"/>
          <w:szCs w:val="15"/>
          <w:b w:val="1"/>
          <w:bCs w:val="1"/>
          <w:color w:val="auto"/>
        </w:rPr>
        <w:t>Required Company Stockholder Vote</w:t>
      </w:r>
      <w:r>
        <w:rPr>
          <w:rFonts w:ascii="Times New Roman" w:cs="Times New Roman" w:eastAsia="Times New Roman" w:hAnsi="Times New Roman"/>
          <w:sz w:val="15"/>
          <w:szCs w:val="15"/>
          <w:color w:val="auto"/>
        </w:rPr>
        <w:t>”), is the only vote of the holders of any class or series of Company Capital Stock necessary to adopt and approve this Agreement and approve the Contemplated Transactions.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Non-Contravention; Consents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220" w:firstLine="1253"/>
        <w:spacing w:after="0" w:line="261" w:lineRule="auto"/>
        <w:tabs>
          <w:tab w:leader="none" w:pos="146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compliance with obtaining the Required Company Stockholder Vote and the filing of the Certificate of Merger with the Secretary of State of the State of Delaware pursuant to the DGCL, neither (x) the execution, delivery or performance of this Agreement by the Company, nor (y) the consummation of the Contemplated Transactions, will directly or indirectly (with or without notice or lapse of time):</w:t>
      </w:r>
    </w:p>
    <w:p>
      <w:pPr>
        <w:spacing w:after="0" w:line="62" w:lineRule="exact"/>
        <w:rPr>
          <w:rFonts w:ascii="Times New Roman" w:cs="Times New Roman" w:eastAsia="Times New Roman" w:hAnsi="Times New Roman"/>
          <w:sz w:val="16"/>
          <w:szCs w:val="16"/>
          <w:color w:val="auto"/>
        </w:rPr>
      </w:pPr>
    </w:p>
    <w:p>
      <w:pPr>
        <w:ind w:left="1780" w:hanging="191"/>
        <w:spacing w:after="0"/>
        <w:tabs>
          <w:tab w:leader="none" w:pos="178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violation of any of the provisions of the Company’s Organizational Documents;</w:t>
      </w:r>
    </w:p>
    <w:p>
      <w:pPr>
        <w:spacing w:after="0" w:line="99" w:lineRule="exact"/>
        <w:rPr>
          <w:rFonts w:ascii="Times New Roman" w:cs="Times New Roman" w:eastAsia="Times New Roman" w:hAnsi="Times New Roman"/>
          <w:sz w:val="16"/>
          <w:szCs w:val="16"/>
          <w:color w:val="auto"/>
        </w:rPr>
      </w:pPr>
    </w:p>
    <w:p>
      <w:pPr>
        <w:ind w:left="380" w:right="40" w:firstLine="1209"/>
        <w:spacing w:after="0" w:line="261" w:lineRule="auto"/>
        <w:tabs>
          <w:tab w:leader="none" w:pos="1816"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material violation of, or give any Governmental Authority or other Person the right to challenge the Contemplated Transactions or to exercise any remedy or obtain any relief under, any Law or any Order by which the Company or its Subsidiaries, or any of the assets owned or used by the Company or its Subsidiaries, is subject;</w:t>
      </w:r>
    </w:p>
    <w:p>
      <w:pPr>
        <w:spacing w:after="0" w:line="62" w:lineRule="exact"/>
        <w:rPr>
          <w:rFonts w:ascii="Times New Roman" w:cs="Times New Roman" w:eastAsia="Times New Roman" w:hAnsi="Times New Roman"/>
          <w:sz w:val="16"/>
          <w:szCs w:val="16"/>
          <w:color w:val="auto"/>
        </w:rPr>
      </w:pPr>
    </w:p>
    <w:p>
      <w:pPr>
        <w:jc w:val="both"/>
        <w:ind w:left="380" w:right="40" w:firstLine="1209"/>
        <w:spacing w:after="0" w:line="261" w:lineRule="auto"/>
        <w:tabs>
          <w:tab w:leader="none" w:pos="186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its Subsidiaries;</w:t>
      </w:r>
    </w:p>
    <w:p>
      <w:pPr>
        <w:spacing w:after="0" w:line="62" w:lineRule="exact"/>
        <w:rPr>
          <w:rFonts w:ascii="Times New Roman" w:cs="Times New Roman" w:eastAsia="Times New Roman" w:hAnsi="Times New Roman"/>
          <w:sz w:val="16"/>
          <w:szCs w:val="16"/>
          <w:color w:val="auto"/>
        </w:rPr>
      </w:pPr>
    </w:p>
    <w:p>
      <w:pPr>
        <w:jc w:val="both"/>
        <w:ind w:left="380" w:right="100" w:firstLine="1209"/>
        <w:spacing w:after="0" w:line="254" w:lineRule="auto"/>
        <w:tabs>
          <w:tab w:leader="none" w:pos="1851"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640"/>
          </w:cols>
          <w:pgMar w:left="1120" w:top="253" w:right="1139" w:bottom="1440" w:gutter="0" w:footer="0" w:header="0"/>
        </w:sectPr>
      </w:pPr>
    </w:p>
    <w:bookmarkStart w:id="43" w:name="page44"/>
    <w:bookmarkEnd w:id="43"/>
    <w:p>
      <w:pPr>
        <w:ind w:left="380" w:firstLine="1209"/>
        <w:spacing w:after="0" w:line="276" w:lineRule="auto"/>
        <w:tabs>
          <w:tab w:leader="none" w:pos="1808"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result in the imposition or creation of any Encumbrance upon or with respect to any asset owned or used by the Company or its Subsidiaries (except for Permitted Encumbrances).</w:t>
      </w:r>
    </w:p>
    <w:p>
      <w:pPr>
        <w:spacing w:after="0" w:line="49" w:lineRule="exact"/>
        <w:rPr>
          <w:rFonts w:ascii="Times New Roman" w:cs="Times New Roman" w:eastAsia="Times New Roman" w:hAnsi="Times New Roman"/>
          <w:sz w:val="16"/>
          <w:szCs w:val="16"/>
          <w:color w:val="auto"/>
        </w:rPr>
      </w:pPr>
    </w:p>
    <w:p>
      <w:pPr>
        <w:ind w:right="60" w:firstLine="1253"/>
        <w:spacing w:after="0" w:line="254" w:lineRule="auto"/>
        <w:tabs>
          <w:tab w:leader="none" w:pos="147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(i) the Required Company Stockholder Vote, (ii) the filing of the Certificate of Merger with the Secretary of State of the State of Delaware pursuant to the DGCL, and (iii) such consents, waivers, approvals, orders, authorizations, registrations, declarations and filings as may be required under applicable federal and state securities laws, neither the Company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67" w:lineRule="exact"/>
        <w:rPr>
          <w:rFonts w:ascii="Times New Roman" w:cs="Times New Roman" w:eastAsia="Times New Roman" w:hAnsi="Times New Roman"/>
          <w:sz w:val="16"/>
          <w:szCs w:val="16"/>
          <w:color w:val="auto"/>
        </w:rPr>
      </w:pPr>
    </w:p>
    <w:p>
      <w:pPr>
        <w:ind w:right="40" w:firstLine="1253"/>
        <w:spacing w:after="0" w:line="279" w:lineRule="auto"/>
        <w:tabs>
          <w:tab w:leader="none" w:pos="146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Board has taken and will take all actions necessary to ensure that the restrictions applicable to business combinations contained in Section 203 of the DGCL are, and will be, inapplicable to the execution, delivery and performance of this Agreement and the Company Stockholder Support Agreements and to the consummation of the Contemplated Transactions. No other state takeover statute or similar Law applies or purports to apply to the Merger, this Agreement, the Company Stockholder Support Agreements or any of the Contemplated Transactions.</w:t>
      </w:r>
    </w:p>
    <w:p>
      <w:pPr>
        <w:spacing w:after="0" w:line="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firstLine="1253"/>
        <w:spacing w:after="0" w:line="252" w:lineRule="auto"/>
        <w:tabs>
          <w:tab w:leader="none" w:pos="146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Company Capital Stock as of the date of this Agreement consists of (i) 109,395,840 shares of Company Common Stock, par value $0.0001 per share, of which 8,759,908 shares have been issued and are outstanding as of the date of this Agreement, and (ii) 84,166,666 shares of Preferred Stock, par value $0.0001 per share (the “</w:t>
      </w:r>
      <w:r>
        <w:rPr>
          <w:rFonts w:ascii="Times New Roman" w:cs="Times New Roman" w:eastAsia="Times New Roman" w:hAnsi="Times New Roman"/>
          <w:sz w:val="16"/>
          <w:szCs w:val="16"/>
          <w:b w:val="1"/>
          <w:bCs w:val="1"/>
          <w:color w:val="auto"/>
        </w:rPr>
        <w:t>Company Preferred Stock</w:t>
      </w:r>
      <w:r>
        <w:rPr>
          <w:rFonts w:ascii="Times New Roman" w:cs="Times New Roman" w:eastAsia="Times New Roman" w:hAnsi="Times New Roman"/>
          <w:sz w:val="16"/>
          <w:szCs w:val="16"/>
          <w:color w:val="auto"/>
        </w:rPr>
        <w:t>”), of which (a) 5,000,000 shares have been designated Series Seed Preferred Stock, all of which are issued and outstanding, (b) 41,666,666 shares have been designated Series A Preferred Stock, all of which are issued or outstanding, and (c) 37,500,000 shares have been designated Series B Preferred Stock, all of which are issued and outstanding as of the date of this Agreement. The Company does not hold any shares of its capital stock in its treasury.</w:t>
      </w:r>
    </w:p>
    <w:p>
      <w:pPr>
        <w:spacing w:after="0" w:line="70" w:lineRule="exact"/>
        <w:rPr>
          <w:rFonts w:ascii="Times New Roman" w:cs="Times New Roman" w:eastAsia="Times New Roman" w:hAnsi="Times New Roman"/>
          <w:sz w:val="16"/>
          <w:szCs w:val="16"/>
          <w:color w:val="auto"/>
        </w:rPr>
      </w:pPr>
    </w:p>
    <w:p>
      <w:pPr>
        <w:ind w:right="20" w:firstLine="1253"/>
        <w:spacing w:after="0" w:line="249" w:lineRule="auto"/>
        <w:tabs>
          <w:tab w:leader="none" w:pos="147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of the outstanding shares of Company Common Stock and Company Preferred Stock and all outstanding securities of the Subsidiaries as set out in </w:t>
      </w:r>
      <w:r>
        <w:rPr>
          <w:rFonts w:ascii="Times New Roman" w:cs="Times New Roman" w:eastAsia="Times New Roman" w:hAnsi="Times New Roman"/>
          <w:sz w:val="16"/>
          <w:szCs w:val="16"/>
          <w:u w:val="single" w:color="auto"/>
          <w:color w:val="auto"/>
        </w:rPr>
        <w:t>Section 3.6(b)</w:t>
      </w:r>
      <w:r>
        <w:rPr>
          <w:rFonts w:ascii="Times New Roman" w:cs="Times New Roman" w:eastAsia="Times New Roman" w:hAnsi="Times New Roman"/>
          <w:sz w:val="16"/>
          <w:szCs w:val="16"/>
          <w:color w:val="auto"/>
        </w:rPr>
        <w:t xml:space="preserve"> of the Company Disclosure Schedule have been duly authorized and validly issued, and are fully paid and nonassessable and are free of any Encumbrances. None of the outstanding shares of Company Common Stock or Company Preferred Stock is entitled or subject to any preemptive right, right of participation, right of maintenance or any similar right and none of the outstanding shares of Company Common Stock or Company Preferred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or Company Preferred Stock. The Company is not under any obligation, nor is it bound by any Contract pursuant to which it may become obligated, to repurchase, redeem or otherwise acquire any outstanding shares of Company Common Stock or other securities. </w:t>
      </w:r>
      <w:r>
        <w:rPr>
          <w:rFonts w:ascii="Times New Roman" w:cs="Times New Roman" w:eastAsia="Times New Roman" w:hAnsi="Times New Roman"/>
          <w:sz w:val="16"/>
          <w:szCs w:val="16"/>
          <w:u w:val="single" w:color="auto"/>
          <w:color w:val="auto"/>
        </w:rPr>
        <w:t>Section 3.6(b)</w:t>
      </w:r>
      <w:r>
        <w:rPr>
          <w:rFonts w:ascii="Times New Roman" w:cs="Times New Roman" w:eastAsia="Times New Roman" w:hAnsi="Times New Roman"/>
          <w:sz w:val="16"/>
          <w:szCs w:val="16"/>
          <w:color w:val="auto"/>
        </w:rPr>
        <w:t xml:space="preserve"> of the Company Disclosure Schedule accurately and completely lists all repurchase rights held by the Company with respect to shares of Company Common Stock (including shares issued pursuant to the exercise of stock options) and specifies which of those repurchase rights are currently exercisable. Each share of Company Preferred Stock is convertible into one share of Company Common Stock.</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640"/>
          </w:cols>
          <w:pgMar w:left="1120" w:top="253" w:right="1139" w:bottom="1440" w:gutter="0" w:footer="0" w:header="0"/>
        </w:sectPr>
      </w:pPr>
    </w:p>
    <w:bookmarkStart w:id="44" w:name="page45"/>
    <w:bookmarkEnd w:id="44"/>
    <w:p>
      <w:pPr>
        <w:ind w:left="1" w:right="20" w:firstLine="1253"/>
        <w:spacing w:after="0" w:line="267" w:lineRule="auto"/>
        <w:tabs>
          <w:tab w:leader="none" w:pos="1470" w:val="left"/>
        </w:tabs>
        <w:numPr>
          <w:ilvl w:val="1"/>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Except for the Company’s 2017 Stock Option and Grant Plan, as amended (the “</w:t>
      </w:r>
      <w:r>
        <w:rPr>
          <w:rFonts w:ascii="Times New Roman" w:cs="Times New Roman" w:eastAsia="Times New Roman" w:hAnsi="Times New Roman"/>
          <w:sz w:val="15"/>
          <w:szCs w:val="15"/>
          <w:b w:val="1"/>
          <w:bCs w:val="1"/>
          <w:color w:val="auto"/>
        </w:rPr>
        <w:t>Company Plan</w:t>
      </w:r>
      <w:r>
        <w:rPr>
          <w:rFonts w:ascii="Times New Roman" w:cs="Times New Roman" w:eastAsia="Times New Roman" w:hAnsi="Times New Roman"/>
          <w:sz w:val="15"/>
          <w:szCs w:val="15"/>
          <w:color w:val="auto"/>
        </w:rPr>
        <w:t xml:space="preserve">”), the Company does not have any stock option plan or any other plan, program, agreement or arrangement providing for any equity-based compensation for any Person. As of the date of this Agreement, the Company has reserved 17,503,334 shares of Company Common Stock for issuance under the Company Plan, of which 1,034,067 shares have been issued and are currently outstanding, 14,935,273 have been reserved for issuance upon exercise of Company Options granted under the Company Plan, and 1,533,994 shares of Company Common Stock remain available for future issuance pursuant to the Company Plan. </w:t>
      </w:r>
      <w:r>
        <w:rPr>
          <w:rFonts w:ascii="Times New Roman" w:cs="Times New Roman" w:eastAsia="Times New Roman" w:hAnsi="Times New Roman"/>
          <w:sz w:val="15"/>
          <w:szCs w:val="15"/>
          <w:u w:val="single" w:color="auto"/>
          <w:color w:val="auto"/>
        </w:rPr>
        <w:t>Section 3.6(c)</w:t>
      </w:r>
      <w:r>
        <w:rPr>
          <w:rFonts w:ascii="Times New Roman" w:cs="Times New Roman" w:eastAsia="Times New Roman" w:hAnsi="Times New Roman"/>
          <w:sz w:val="15"/>
          <w:szCs w:val="15"/>
          <w:color w:val="auto"/>
        </w:rPr>
        <w:t xml:space="preserve"> of the Company Disclosure Schedule sets forth the following information (A) with respect to each Company Option outstanding as of the date of this Agreement: (i) the name of the optionee, (ii) the number of shares of Company Common Stock subject to such Company Option at the time of grant,</w:t>
      </w:r>
    </w:p>
    <w:p>
      <w:pPr>
        <w:ind w:left="1" w:right="20" w:hanging="1"/>
        <w:spacing w:after="0" w:line="265" w:lineRule="auto"/>
        <w:tabs>
          <w:tab w:leader="none" w:pos="277"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Company Common Stock subject to such Company Option as of the date of this Agreement, (iv) the exercise price of such Company Option, (v) the date on which such Company Option was granted, (vi) the applicable vesting schedule, including any acceleration provisions, and the number of vested and unvested options as of the date of this Agreement, (vii) the expiration date of such Company Option and (viii) whether such Company Option is intended to be an “incentive stock option” (as defined in the Code) or a non-qualified stock option and (B) with respect to each stock appreciation right granted by the Company as of the date of this Agreement (a “</w:t>
      </w:r>
      <w:r>
        <w:rPr>
          <w:rFonts w:ascii="Times New Roman" w:cs="Times New Roman" w:eastAsia="Times New Roman" w:hAnsi="Times New Roman"/>
          <w:sz w:val="15"/>
          <w:szCs w:val="15"/>
          <w:b w:val="1"/>
          <w:bCs w:val="1"/>
          <w:color w:val="auto"/>
        </w:rPr>
        <w:t>Company SAR</w:t>
      </w:r>
      <w:r>
        <w:rPr>
          <w:rFonts w:ascii="Times New Roman" w:cs="Times New Roman" w:eastAsia="Times New Roman" w:hAnsi="Times New Roman"/>
          <w:sz w:val="15"/>
          <w:szCs w:val="15"/>
          <w:color w:val="auto"/>
        </w:rPr>
        <w:t>”), (i) the name of the recipient of the grant of the Company SAR, (ii) the number of shares of Company Common Stock subject to such Company SAR at the time of grant, (iii) the number of shares of Company Common Stock subject to such Company SAR as of the date of this Agreement, (iv) the exercise price of such Company SAR, (v) the date on which such Company SAR was granted, (vi) the applicable vesting schedule, including any acceleration provisions, and the number of vested and unvested options as of the date of this Agreement, (vii) the expiration date of such Company SAR. The Company has made available to Gem an accurate and complete copy of the Company Plan, forms of all award agreements evidencing outstanding equity awards thereunder, any equity award agreements that differ in any material respect from the forms of award agreements and evidence of board and stockholder approval of the Company Plan and any amendments thereto. No vesting of Company Options will accelerate in connection with the closing of the Contemplated Transactions.</w:t>
      </w:r>
    </w:p>
    <w:p>
      <w:pPr>
        <w:spacing w:after="0" w:line="62" w:lineRule="exact"/>
        <w:rPr>
          <w:rFonts w:ascii="Times New Roman" w:cs="Times New Roman" w:eastAsia="Times New Roman" w:hAnsi="Times New Roman"/>
          <w:sz w:val="15"/>
          <w:szCs w:val="15"/>
          <w:color w:val="auto"/>
        </w:rPr>
      </w:pPr>
    </w:p>
    <w:p>
      <w:pPr>
        <w:ind w:left="1481" w:hanging="227"/>
        <w:spacing w:after="0"/>
        <w:tabs>
          <w:tab w:leader="none" w:pos="148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for the outstanding Company Options and Company SARs set forth on </w:t>
      </w:r>
      <w:r>
        <w:rPr>
          <w:rFonts w:ascii="Times New Roman" w:cs="Times New Roman" w:eastAsia="Times New Roman" w:hAnsi="Times New Roman"/>
          <w:sz w:val="16"/>
          <w:szCs w:val="16"/>
          <w:u w:val="single" w:color="auto"/>
          <w:color w:val="auto"/>
        </w:rPr>
        <w:t>Section 3.6(c)</w:t>
      </w:r>
      <w:r>
        <w:rPr>
          <w:rFonts w:ascii="Times New Roman" w:cs="Times New Roman" w:eastAsia="Times New Roman" w:hAnsi="Times New Roman"/>
          <w:sz w:val="16"/>
          <w:szCs w:val="16"/>
          <w:color w:val="auto"/>
        </w:rPr>
        <w:t xml:space="preserve"> of the Company Disclosure</w:t>
      </w:r>
    </w:p>
    <w:p>
      <w:pPr>
        <w:spacing w:after="0" w:line="22" w:lineRule="exact"/>
        <w:rPr>
          <w:rFonts w:ascii="Times New Roman" w:cs="Times New Roman" w:eastAsia="Times New Roman" w:hAnsi="Times New Roman"/>
          <w:sz w:val="16"/>
          <w:szCs w:val="16"/>
          <w:color w:val="auto"/>
        </w:rPr>
      </w:pPr>
    </w:p>
    <w:p>
      <w:pPr>
        <w:ind w:left="1"/>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(iii) stockholder rights plan (or similar plan commonly referred to as a “poison pill”) or Contract under which the Company or any of its Subsidiaries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 No consent of the holders of Company Options is required in connection with the actions contemplated by Article II.</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641"/>
          </w:cols>
          <w:pgMar w:left="1119" w:top="251" w:right="1139" w:bottom="1440" w:gutter="0" w:footer="0" w:header="0"/>
        </w:sectPr>
      </w:pPr>
    </w:p>
    <w:bookmarkStart w:id="45" w:name="page46"/>
    <w:bookmarkEnd w:id="45"/>
    <w:p>
      <w:pPr>
        <w:ind w:left="1" w:right="240" w:firstLine="1253"/>
        <w:spacing w:after="0" w:line="275" w:lineRule="auto"/>
        <w:tabs>
          <w:tab w:leader="none" w:pos="1470" w:val="left"/>
        </w:tabs>
        <w:numPr>
          <w:ilvl w:val="1"/>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All outstanding shares of Company Common Stock, Company Preferred Stock, Company Options, Company SARs and other securities of the Company have been issued and granted in material compliance with (i) all applicable securities laws and other applicable Law and</w:t>
      </w:r>
    </w:p>
    <w:p>
      <w:pPr>
        <w:ind w:left="241" w:hanging="241"/>
        <w:spacing w:after="0"/>
        <w:tabs>
          <w:tab w:leader="none" w:pos="24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requirements set forth in applicable Contracts.</w:t>
      </w:r>
    </w:p>
    <w:p>
      <w:pPr>
        <w:spacing w:after="0" w:line="82" w:lineRule="exact"/>
        <w:rPr>
          <w:rFonts w:ascii="Times New Roman" w:cs="Times New Roman" w:eastAsia="Times New Roman" w:hAnsi="Times New Roman"/>
          <w:sz w:val="16"/>
          <w:szCs w:val="16"/>
          <w:color w:val="auto"/>
        </w:rPr>
      </w:pPr>
    </w:p>
    <w:p>
      <w:pPr>
        <w:ind w:left="1" w:right="120" w:firstLine="1253"/>
        <w:spacing w:after="0" w:line="251" w:lineRule="auto"/>
        <w:tabs>
          <w:tab w:leader="none" w:pos="1453"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Company Options and Company SARs, (i) each grant was duly authorized no later than the date on which the grant of such Company Option or Company SAR was by its terms to be effective (the “</w:t>
      </w:r>
      <w:r>
        <w:rPr>
          <w:rFonts w:ascii="Times New Roman" w:cs="Times New Roman" w:eastAsia="Times New Roman" w:hAnsi="Times New Roman"/>
          <w:sz w:val="16"/>
          <w:szCs w:val="16"/>
          <w:b w:val="1"/>
          <w:bCs w:val="1"/>
          <w:color w:val="auto"/>
        </w:rPr>
        <w:t>Grant Date</w:t>
      </w:r>
      <w:r>
        <w:rPr>
          <w:rFonts w:ascii="Times New Roman" w:cs="Times New Roman" w:eastAsia="Times New Roman" w:hAnsi="Times New Roman"/>
          <w:sz w:val="16"/>
          <w:szCs w:val="16"/>
          <w:color w:val="auto"/>
        </w:rPr>
        <w:t>”) by all necessary corporate action, (ii) each grant was made in all material respects in accordance with the terms of the Company Plan and (iii) the per share exercise price of each Company Option or Company SAR was not less than the fair market value of a share of Company Common Stock on the applicable Grant Date determined in a manner consistent with Section 409A of the Code and has not otherwise been subject to “modification” or “extension” within the meaning of Section 409A of the Code or has any feature for the deferral of compensation other than the deferral of recognition of income until the later of exercise or disposition of such option.</w:t>
      </w:r>
    </w:p>
    <w:p>
      <w:pPr>
        <w:spacing w:after="0" w:line="72"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right="80" w:firstLine="1253"/>
        <w:spacing w:after="0" w:line="251" w:lineRule="auto"/>
        <w:tabs>
          <w:tab w:leader="none" w:pos="147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3.7(a)</w:t>
      </w:r>
      <w:r>
        <w:rPr>
          <w:rFonts w:ascii="Times New Roman" w:cs="Times New Roman" w:eastAsia="Times New Roman" w:hAnsi="Times New Roman"/>
          <w:sz w:val="16"/>
          <w:szCs w:val="16"/>
          <w:color w:val="auto"/>
        </w:rPr>
        <w:t xml:space="preserve"> of the Company Disclosure Schedule includes accurate and complete copies of (i) the Company’s audited consolidated balance sheets at December 31, 2020 and December 31, 2021, (ii) the Company Unaudited Interim Balance Sheet, (iii) the Company’s audited consolidated statements of income, cash flow and stockholders’ equity for the years ended 2021 and 2020 and (iv) the Company’s unaudited statements of income, cash flow and stockholders’ equity for the three months ended March 31, 2022 (collectively, the “</w:t>
      </w:r>
      <w:r>
        <w:rPr>
          <w:rFonts w:ascii="Times New Roman" w:cs="Times New Roman" w:eastAsia="Times New Roman" w:hAnsi="Times New Roman"/>
          <w:sz w:val="16"/>
          <w:szCs w:val="16"/>
          <w:b w:val="1"/>
          <w:bCs w:val="1"/>
          <w:color w:val="auto"/>
        </w:rPr>
        <w:t>Company Financials</w:t>
      </w:r>
      <w:r>
        <w:rPr>
          <w:rFonts w:ascii="Times New Roman" w:cs="Times New Roman" w:eastAsia="Times New Roman" w:hAnsi="Times New Roman"/>
          <w:sz w:val="16"/>
          <w:szCs w:val="16"/>
          <w:color w:val="auto"/>
        </w:rPr>
        <w:t>”). The Company Financials (A) were prepared in accordance with United States generally accepted accounting principles (“</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(except as may be indicated in the footnotes to such Company Financials and that unaudited financial statements may not have notes thereto) applied on a consistent basis unless otherwise noted therein throughout the periods indicated and (B) fairly present, in all material respects, the financial position and operating results of the Company and its consolidated Subsidiaries as of the dates and for the periods indicated therein.</w:t>
      </w:r>
    </w:p>
    <w:p>
      <w:pPr>
        <w:spacing w:after="0" w:line="69" w:lineRule="exact"/>
        <w:rPr>
          <w:rFonts w:ascii="Times New Roman" w:cs="Times New Roman" w:eastAsia="Times New Roman" w:hAnsi="Times New Roman"/>
          <w:sz w:val="16"/>
          <w:szCs w:val="16"/>
          <w:color w:val="auto"/>
        </w:rPr>
      </w:pPr>
    </w:p>
    <w:p>
      <w:pPr>
        <w:ind w:left="1" w:firstLine="1253"/>
        <w:spacing w:after="0" w:line="251" w:lineRule="auto"/>
        <w:tabs>
          <w:tab w:leader="none" w:pos="147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its Subsidiaries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and its Subsidiaries in conformity with GAAP and to maintain accountability of the Company’s and its Subsidiaries’ assets, (iii) access to the Company’s and its Subsidiaries’ assets is permitted only in accordance with management’s general or specific authorization and (iv) the recorded accountability for the Company’s and its Subsidiaries’ assets is compared with the existing assets at regular intervals and appropriate action is taken with respect to any differences. The Company and each of its Subsidiaries maintains internal control over financial reporting that provides reasonable assurance regarding the reliability of financial reporting and the preparation of financial statements for external purposes in accordance with GAAP.</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641"/>
          </w:cols>
          <w:pgMar w:left="1119" w:top="253" w:right="1139" w:bottom="1440" w:gutter="0" w:footer="0" w:header="0"/>
        </w:sectPr>
      </w:pPr>
    </w:p>
    <w:bookmarkStart w:id="46" w:name="page47"/>
    <w:bookmarkEnd w:id="46"/>
    <w:p>
      <w:pPr>
        <w:ind w:left="1" w:firstLine="1253"/>
        <w:spacing w:after="0" w:line="261" w:lineRule="auto"/>
        <w:tabs>
          <w:tab w:leader="none" w:pos="147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Section 3.7(c)</w:t>
      </w:r>
      <w:r>
        <w:rPr>
          <w:rFonts w:ascii="Times New Roman" w:cs="Times New Roman" w:eastAsia="Times New Roman" w:hAnsi="Times New Roman"/>
          <w:sz w:val="16"/>
          <w:szCs w:val="16"/>
          <w:color w:val="auto"/>
        </w:rPr>
        <w:t xml:space="preserve"> of the Company Disclosure Schedule lists, and the Company has delivered to Gem accurate and complete copies of the documentation creating or governing, all securitization transactions and “off-balance sheet arrangements” (as defined in Item 303(c) of Regulation S-K under the Exchange Act) effected by the Company or any of its Subsidiaries since January 1, 2019.</w:t>
      </w:r>
    </w:p>
    <w:p>
      <w:pPr>
        <w:spacing w:after="0" w:line="62" w:lineRule="exact"/>
        <w:rPr>
          <w:rFonts w:ascii="Times New Roman" w:cs="Times New Roman" w:eastAsia="Times New Roman" w:hAnsi="Times New Roman"/>
          <w:sz w:val="16"/>
          <w:szCs w:val="16"/>
          <w:color w:val="auto"/>
        </w:rPr>
      </w:pPr>
    </w:p>
    <w:p>
      <w:pPr>
        <w:ind w:left="1" w:right="60" w:firstLine="1253"/>
        <w:spacing w:after="0" w:line="254" w:lineRule="auto"/>
        <w:tabs>
          <w:tab w:leader="none" w:pos="1479"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January 1, 2019,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January 1, 2019, neither the Company nor its independent auditors have identified</w:t>
      </w:r>
    </w:p>
    <w:p>
      <w:pPr>
        <w:ind w:left="1" w:right="80" w:hanging="1"/>
        <w:spacing w:after="0" w:line="263" w:lineRule="auto"/>
        <w:tabs>
          <w:tab w:leader="none" w:pos="189"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significant deficiency or material weakness in the design or operation of the system of internal accounting controls utilized by the Company and its Subsidiaries, (ii) any fraud, whether or not material, that involves the Company, any of its Subsidiaries, the Company’s management or other employees who have a role in the preparation of financial statements or the internal accounting controls utilized by the Company and its Subsidiaries or</w:t>
      </w:r>
    </w:p>
    <w:p>
      <w:pPr>
        <w:ind w:left="281" w:hanging="281"/>
        <w:spacing w:after="0"/>
        <w:tabs>
          <w:tab w:leader="none" w:pos="28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 or allegation regarding any of the foregoing.</w:t>
      </w:r>
    </w:p>
    <w:p>
      <w:pPr>
        <w:spacing w:after="0" w:line="82" w:lineRule="exact"/>
        <w:rPr>
          <w:rFonts w:ascii="Times New Roman" w:cs="Times New Roman" w:eastAsia="Times New Roman" w:hAnsi="Times New Roman"/>
          <w:sz w:val="16"/>
          <w:szCs w:val="16"/>
          <w:color w:val="auto"/>
        </w:rPr>
      </w:pPr>
    </w:p>
    <w:p>
      <w:pPr>
        <w:ind w:left="1" w:right="100" w:firstLine="1253"/>
        <w:spacing w:after="0" w:line="276" w:lineRule="auto"/>
        <w:tabs>
          <w:tab w:leader="none" w:pos="147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Gem audited financial statements of the Company for each of its fiscal years required to be included in the Proxy Registration Statement (the “</w:t>
      </w:r>
      <w:r>
        <w:rPr>
          <w:rFonts w:ascii="Times New Roman" w:cs="Times New Roman" w:eastAsia="Times New Roman" w:hAnsi="Times New Roman"/>
          <w:sz w:val="16"/>
          <w:szCs w:val="16"/>
          <w:b w:val="1"/>
          <w:bCs w:val="1"/>
          <w:color w:val="auto"/>
        </w:rPr>
        <w:t>Company Audited Financial Statements</w:t>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1" w:right="180" w:firstLine="869"/>
        <w:spacing w:after="0" w:line="252" w:lineRule="auto"/>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u w:val="single" w:color="auto"/>
          <w:color w:val="auto"/>
        </w:rPr>
        <w:t>Absence of Changes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Section 3.8</w:t>
      </w:r>
      <w:r>
        <w:rPr>
          <w:rFonts w:ascii="Times New Roman" w:cs="Times New Roman" w:eastAsia="Times New Roman" w:hAnsi="Times New Roman"/>
          <w:sz w:val="16"/>
          <w:szCs w:val="16"/>
          <w:color w:val="auto"/>
        </w:rPr>
        <w:t xml:space="preserve"> of the Company Disclosure Schedule, between the date of the Company Unaudited 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an event or development that would, individually or in the aggregate, reasonably be expected to have a Company Material Adverse Effect, or (b) action, event or occurrence that would have required consent of Gem pursuant to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 xml:space="preserve"> of this Agreement had such action, event or occurrence taken place after the execution and delivery of this Agreement.</w:t>
      </w:r>
    </w:p>
    <w:p>
      <w:pPr>
        <w:spacing w:after="0" w:line="71" w:lineRule="exact"/>
        <w:rPr>
          <w:sz w:val="20"/>
          <w:szCs w:val="20"/>
          <w:color w:val="auto"/>
        </w:rPr>
      </w:pPr>
    </w:p>
    <w:p>
      <w:pPr>
        <w:jc w:val="both"/>
        <w:ind w:left="1" w:right="460" w:firstLine="869"/>
        <w:spacing w:after="0" w:line="271" w:lineRule="auto"/>
        <w:rPr>
          <w:sz w:val="20"/>
          <w:szCs w:val="20"/>
          <w:color w:val="auto"/>
        </w:rPr>
      </w:pPr>
      <w:r>
        <w:rPr>
          <w:rFonts w:ascii="Times New Roman" w:cs="Times New Roman" w:eastAsia="Times New Roman" w:hAnsi="Times New Roman"/>
          <w:sz w:val="15"/>
          <w:szCs w:val="15"/>
          <w:color w:val="auto"/>
        </w:rPr>
        <w:t xml:space="preserve">3.9 </w:t>
      </w:r>
      <w:r>
        <w:rPr>
          <w:rFonts w:ascii="Times New Roman" w:cs="Times New Roman" w:eastAsia="Times New Roman" w:hAnsi="Times New Roman"/>
          <w:sz w:val="15"/>
          <w:szCs w:val="15"/>
          <w:u w:val="single" w:color="auto"/>
          <w:color w:val="auto"/>
        </w:rPr>
        <w:t>Absence of Undisclosed Liabilities</w:t>
      </w:r>
      <w:r>
        <w:rPr>
          <w:rFonts w:ascii="Times New Roman" w:cs="Times New Roman" w:eastAsia="Times New Roman" w:hAnsi="Times New Roman"/>
          <w:sz w:val="15"/>
          <w:szCs w:val="15"/>
          <w:color w:val="auto"/>
        </w:rPr>
        <w:t>. Neither the Company nor any of its Subsidiaries has any liability, indebtedness, obligation, expense, claim, deficiency, guaranty or endorsement of any kind, whether accrued, absolute, contingent, matured, unmatured or otherwise (each a “</w:t>
      </w:r>
      <w:r>
        <w:rPr>
          <w:rFonts w:ascii="Times New Roman" w:cs="Times New Roman" w:eastAsia="Times New Roman" w:hAnsi="Times New Roman"/>
          <w:sz w:val="15"/>
          <w:szCs w:val="15"/>
          <w:b w:val="1"/>
          <w:bCs w:val="1"/>
          <w:color w:val="auto"/>
        </w:rPr>
        <w:t>Liability</w:t>
      </w:r>
      <w:r>
        <w:rPr>
          <w:rFonts w:ascii="Times New Roman" w:cs="Times New Roman" w:eastAsia="Times New Roman" w:hAnsi="Times New Roman"/>
          <w:sz w:val="15"/>
          <w:szCs w:val="15"/>
          <w:color w:val="auto"/>
        </w:rPr>
        <w:t>”), in each case, of a type required to be reflected or reserved for on a balance sheet prepared in accordance with GAAP, except for:</w:t>
      </w:r>
    </w:p>
    <w:p>
      <w:pPr>
        <w:spacing w:after="0" w:line="1" w:lineRule="exact"/>
        <w:rPr>
          <w:sz w:val="20"/>
          <w:szCs w:val="20"/>
          <w:color w:val="auto"/>
        </w:rPr>
      </w:pPr>
    </w:p>
    <w:p>
      <w:pPr>
        <w:ind w:left="1" w:right="40" w:hanging="1"/>
        <w:spacing w:after="0" w:line="248" w:lineRule="auto"/>
        <w:tabs>
          <w:tab w:leader="none" w:pos="21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Liabilities disclosed, reflected or reserved against in the Company Unaudited Interim Balance Sheet, (b) normal and recurring current Liabilities that have been incurred by the Company or its Subsidiaries since the date of the Company Unaudited Interim Balance Sheet in the Ordinary Course of Business (none of which relates to any breach of contract, breach of warranty, tort, infringement, or violation of Law), (c) Liabilities for performance of obligations of the Company or any of its Subsidiaries under Company Contracts, and (d) Liabilities incurred in connection with the Contemplated Transactions.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641"/>
          </w:cols>
          <w:pgMar w:left="1119" w:top="253" w:right="1139" w:bottom="1440" w:gutter="0" w:footer="0" w:header="0"/>
        </w:sectPr>
      </w:pPr>
    </w:p>
    <w:bookmarkStart w:id="47" w:name="page48"/>
    <w:bookmarkEnd w:id="47"/>
    <w:p>
      <w:pPr>
        <w:ind w:left="1"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3.10 </w:t>
      </w:r>
      <w:r>
        <w:rPr>
          <w:rFonts w:ascii="Times New Roman" w:cs="Times New Roman" w:eastAsia="Times New Roman" w:hAnsi="Times New Roman"/>
          <w:sz w:val="16"/>
          <w:szCs w:val="16"/>
          <w:u w:val="single" w:color="auto"/>
          <w:color w:val="auto"/>
        </w:rPr>
        <w:t>Title to Assets</w:t>
      </w:r>
      <w:r>
        <w:rPr>
          <w:rFonts w:ascii="Times New Roman" w:cs="Times New Roman" w:eastAsia="Times New Roman" w:hAnsi="Times New Roman"/>
          <w:sz w:val="16"/>
          <w:szCs w:val="16"/>
          <w:color w:val="auto"/>
        </w:rPr>
        <w:t>. Each of the Company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Company</w:t>
      </w:r>
    </w:p>
    <w:p>
      <w:pPr>
        <w:spacing w:after="0" w:line="1" w:lineRule="exact"/>
        <w:rPr>
          <w:sz w:val="20"/>
          <w:szCs w:val="20"/>
          <w:color w:val="auto"/>
        </w:rPr>
      </w:pPr>
    </w:p>
    <w:p>
      <w:pPr>
        <w:jc w:val="both"/>
        <w:ind w:left="1" w:right="40"/>
        <w:spacing w:after="0" w:line="250" w:lineRule="auto"/>
        <w:rPr>
          <w:sz w:val="20"/>
          <w:szCs w:val="20"/>
          <w:color w:val="auto"/>
        </w:rPr>
      </w:pPr>
      <w:r>
        <w:rPr>
          <w:rFonts w:ascii="Times New Roman" w:cs="Times New Roman" w:eastAsia="Times New Roman" w:hAnsi="Times New Roman"/>
          <w:sz w:val="16"/>
          <w:szCs w:val="16"/>
          <w:color w:val="auto"/>
        </w:rPr>
        <w:t>Unaudited Interim Balance Sheet and (b) all other assets reflected in the books and records of the Company or any of its Subsidiaries as being owned by the Company or such Subsidiary. All of such assets are owned or, in the case of leased assets, leased by the Company or any of its Subsidiaries free and clear of any Encumbrances, other than Permitted Encumbrances.</w:t>
      </w:r>
    </w:p>
    <w:p>
      <w:pPr>
        <w:spacing w:after="0" w:line="70" w:lineRule="exact"/>
        <w:rPr>
          <w:sz w:val="20"/>
          <w:szCs w:val="20"/>
          <w:color w:val="auto"/>
        </w:rPr>
      </w:pPr>
    </w:p>
    <w:p>
      <w:pPr>
        <w:ind w:left="1" w:right="80" w:firstLine="869"/>
        <w:spacing w:after="0" w:line="254" w:lineRule="auto"/>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Real Property; Leasehold</w:t>
      </w:r>
      <w:r>
        <w:rPr>
          <w:rFonts w:ascii="Times New Roman" w:cs="Times New Roman" w:eastAsia="Times New Roman" w:hAnsi="Times New Roman"/>
          <w:sz w:val="16"/>
          <w:szCs w:val="16"/>
          <w:color w:val="auto"/>
        </w:rPr>
        <w:t>. Neither the Company nor any of its Subsidiaries owns or has ever owned any real property. The Company has made available to Gem (a) an accurate and complete list of all real properties with respect to which the Company directly or indirectly holds a valid leasehold interest as well as any other real estate that is in the possession of or leased by the Company or any of its Subsidiaries and (b) copies of all leases under which any such real property is possessed (the “</w:t>
      </w:r>
      <w:r>
        <w:rPr>
          <w:rFonts w:ascii="Times New Roman" w:cs="Times New Roman" w:eastAsia="Times New Roman" w:hAnsi="Times New Roman"/>
          <w:sz w:val="16"/>
          <w:szCs w:val="16"/>
          <w:b w:val="1"/>
          <w:bCs w:val="1"/>
          <w:color w:val="auto"/>
        </w:rPr>
        <w:t>Company Real Estate Leases</w:t>
      </w:r>
      <w:r>
        <w:rPr>
          <w:rFonts w:ascii="Times New Roman" w:cs="Times New Roman" w:eastAsia="Times New Roman" w:hAnsi="Times New Roman"/>
          <w:sz w:val="16"/>
          <w:szCs w:val="16"/>
          <w:color w:val="auto"/>
        </w:rPr>
        <w:t>”), each of which is in full force and effect, with no existing material default thereunder.</w:t>
      </w:r>
    </w:p>
    <w:p>
      <w:pPr>
        <w:spacing w:after="0" w:line="67"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right="120" w:firstLine="1253"/>
        <w:spacing w:after="0" w:line="256" w:lineRule="auto"/>
        <w:tabs>
          <w:tab w:leader="none" w:pos="147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3.12(a)</w:t>
      </w:r>
      <w:r>
        <w:rPr>
          <w:rFonts w:ascii="Times New Roman" w:cs="Times New Roman" w:eastAsia="Times New Roman" w:hAnsi="Times New Roman"/>
          <w:sz w:val="16"/>
          <w:szCs w:val="16"/>
          <w:color w:val="auto"/>
        </w:rPr>
        <w:t xml:space="preserve"> of the Company Disclosure Schedule is a complete listing of all Company Registered IP, in each case enumerating specifically the applicable filing or registration number, title, jurisdiction in which filing was made or from which registration issued, date of filing or issuance, and names of all current registered owners(s), as applicable, or in the case of domain names or social media accounts, the URL or social media account, the registrar or social media company and the date on which such URL or social media account expires (if any).</w:t>
      </w:r>
    </w:p>
    <w:p>
      <w:pPr>
        <w:spacing w:after="0" w:line="66" w:lineRule="exact"/>
        <w:rPr>
          <w:rFonts w:ascii="Times New Roman" w:cs="Times New Roman" w:eastAsia="Times New Roman" w:hAnsi="Times New Roman"/>
          <w:sz w:val="16"/>
          <w:szCs w:val="16"/>
          <w:color w:val="auto"/>
        </w:rPr>
      </w:pPr>
    </w:p>
    <w:p>
      <w:pPr>
        <w:ind w:left="1" w:firstLine="1253"/>
        <w:spacing w:after="0" w:line="268" w:lineRule="auto"/>
        <w:tabs>
          <w:tab w:leader="none" w:pos="1479"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3.12(b)</w:t>
      </w:r>
      <w:r>
        <w:rPr>
          <w:rFonts w:ascii="Times New Roman" w:cs="Times New Roman" w:eastAsia="Times New Roman" w:hAnsi="Times New Roman"/>
          <w:sz w:val="15"/>
          <w:szCs w:val="15"/>
          <w:color w:val="auto"/>
        </w:rPr>
        <w:t xml:space="preserve"> of the Company Disclosure Schedule sets forth (i) all material Company Contracts pursuant to which Company IP Rights are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or any of its Subsidiaries’ products or services, (B) any Intellectual Property licensed on a non-exclusive basis ancillary to the purchase or use of equipment, reagents or other materials,</w:t>
      </w:r>
    </w:p>
    <w:p>
      <w:pPr>
        <w:ind w:left="1" w:right="140" w:hanging="1"/>
        <w:spacing w:after="0" w:line="274" w:lineRule="auto"/>
        <w:tabs>
          <w:tab w:leader="none" w:pos="251"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confidential information provided under confidentiality agreements and (D) agreements between Company and its employees in Company’s standard form thereof), (ii) the corresponding Company Contract pursuant to which such Company IP Rights are licensed to the Company or any of its Subsidiaries and (iii) whether the license or licenses granted to the Company or any of its Subsidiaries are exclusive or non-exclusive.</w:t>
      </w:r>
    </w:p>
    <w:p>
      <w:pPr>
        <w:spacing w:after="0" w:line="54" w:lineRule="exact"/>
        <w:rPr>
          <w:rFonts w:ascii="Times New Roman" w:cs="Times New Roman" w:eastAsia="Times New Roman" w:hAnsi="Times New Roman"/>
          <w:sz w:val="15"/>
          <w:szCs w:val="15"/>
          <w:color w:val="auto"/>
        </w:rPr>
      </w:pPr>
    </w:p>
    <w:p>
      <w:pPr>
        <w:ind w:left="1" w:firstLine="1253"/>
        <w:spacing w:after="0" w:line="254" w:lineRule="auto"/>
        <w:tabs>
          <w:tab w:leader="none" w:pos="147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3.12(c)</w:t>
      </w:r>
      <w:r>
        <w:rPr>
          <w:rFonts w:ascii="Times New Roman" w:cs="Times New Roman" w:eastAsia="Times New Roman" w:hAnsi="Times New Roman"/>
          <w:sz w:val="16"/>
          <w:szCs w:val="16"/>
          <w:color w:val="auto"/>
        </w:rPr>
        <w:t xml:space="preserve"> of the Company Disclosure Schedule sets forth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w:t>
      </w:r>
    </w:p>
    <w:p>
      <w:pPr>
        <w:spacing w:after="0" w:line="67" w:lineRule="exact"/>
        <w:rPr>
          <w:rFonts w:ascii="Times New Roman" w:cs="Times New Roman" w:eastAsia="Times New Roman" w:hAnsi="Times New Roman"/>
          <w:sz w:val="16"/>
          <w:szCs w:val="16"/>
          <w:color w:val="auto"/>
        </w:rPr>
      </w:pPr>
    </w:p>
    <w:p>
      <w:pPr>
        <w:jc w:val="both"/>
        <w:ind w:left="1" w:right="100" w:firstLine="1253"/>
        <w:spacing w:after="0" w:line="261" w:lineRule="auto"/>
        <w:tabs>
          <w:tab w:leader="none" w:pos="1479"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bound by, and no Company IP Rights are subject to, any Contract containing any covenant or other provision that in any way limits or restricts the ability of the Company or any of its Subsidiaries to use, exploit, assert, defend, or enforce any Company IP Rights anywhere in the world.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641"/>
          </w:cols>
          <w:pgMar w:left="1119" w:top="253" w:right="1139" w:bottom="1440" w:gutter="0" w:footer="0" w:header="0"/>
        </w:sectPr>
      </w:pPr>
    </w:p>
    <w:bookmarkStart w:id="48" w:name="page49"/>
    <w:bookmarkEnd w:id="48"/>
    <w:p>
      <w:pPr>
        <w:ind w:left="1461" w:hanging="207"/>
        <w:spacing w:after="0"/>
        <w:tabs>
          <w:tab w:leader="none" w:pos="146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Company or one of its Subsidiaries exclusively owns all right, title, and interest to and in Company IP Rights (other than</w:t>
      </w:r>
    </w:p>
    <w:p>
      <w:pPr>
        <w:spacing w:after="0" w:line="22" w:lineRule="exact"/>
        <w:rPr>
          <w:rFonts w:ascii="Times New Roman" w:cs="Times New Roman" w:eastAsia="Times New Roman" w:hAnsi="Times New Roman"/>
          <w:sz w:val="16"/>
          <w:szCs w:val="16"/>
          <w:color w:val="auto"/>
        </w:rPr>
      </w:pPr>
    </w:p>
    <w:p>
      <w:pPr>
        <w:ind w:left="1" w:right="140" w:hanging="1"/>
        <w:spacing w:after="0" w:line="247" w:lineRule="auto"/>
        <w:tabs>
          <w:tab w:leader="none" w:pos="18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Company IP Rights exclusively and non-exclusively licensed to the Company or one of its Subsidiaries, or co-owned rights, each as set forth in </w:t>
      </w:r>
      <w:r>
        <w:rPr>
          <w:rFonts w:ascii="Times New Roman" w:cs="Times New Roman" w:eastAsia="Times New Roman" w:hAnsi="Times New Roman"/>
          <w:sz w:val="16"/>
          <w:szCs w:val="16"/>
          <w:u w:val="single" w:color="auto"/>
          <w:color w:val="auto"/>
        </w:rPr>
        <w:t>Section 3.12(b)</w:t>
      </w:r>
      <w:r>
        <w:rPr>
          <w:rFonts w:ascii="Times New Roman" w:cs="Times New Roman" w:eastAsia="Times New Roman" w:hAnsi="Times New Roman"/>
          <w:sz w:val="16"/>
          <w:szCs w:val="16"/>
          <w:color w:val="auto"/>
        </w:rPr>
        <w:t xml:space="preserve"> of the Company Disclosure Schedule, (ii) any non-customized software that (A) is licensed to the Company or any of its Subsidiaries solely in executable or object code form pursuant to a non-exclusive, internal use software license and other Intellectual Property associated with such software and (B) is not incorporated into, or material to the development, manufacturing, or distribution of, any of the Company’s or any of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76" w:lineRule="exact"/>
        <w:rPr>
          <w:rFonts w:ascii="Times New Roman" w:cs="Times New Roman" w:eastAsia="Times New Roman" w:hAnsi="Times New Roman"/>
          <w:sz w:val="16"/>
          <w:szCs w:val="16"/>
          <w:color w:val="auto"/>
        </w:rPr>
      </w:pPr>
    </w:p>
    <w:p>
      <w:pPr>
        <w:ind w:left="381" w:right="40" w:firstLine="1209"/>
        <w:spacing w:after="0" w:line="276" w:lineRule="auto"/>
        <w:tabs>
          <w:tab w:leader="none" w:pos="1774"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49" w:lineRule="exact"/>
        <w:rPr>
          <w:rFonts w:ascii="Times New Roman" w:cs="Times New Roman" w:eastAsia="Times New Roman" w:hAnsi="Times New Roman"/>
          <w:sz w:val="16"/>
          <w:szCs w:val="16"/>
          <w:color w:val="auto"/>
        </w:rPr>
      </w:pPr>
    </w:p>
    <w:p>
      <w:pPr>
        <w:ind w:left="381" w:firstLine="1209"/>
        <w:spacing w:after="0" w:line="256" w:lineRule="auto"/>
        <w:tabs>
          <w:tab w:leader="none" w:pos="1817"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who is or was an employee or contractor of the Company or any of its Subsidiaries and who is or was involved in the creation or development of any Company IP Rights purported to be owned by the Company has signed a valid, enforceable agreement containing a present assignment of such Intellectual Property to the Company or such Subsidiary and confidentiality provisions protecting trade secrets and confidential information of the Company and its Subsidiaries.</w:t>
      </w:r>
    </w:p>
    <w:p>
      <w:pPr>
        <w:spacing w:after="0" w:line="66" w:lineRule="exact"/>
        <w:rPr>
          <w:rFonts w:ascii="Times New Roman" w:cs="Times New Roman" w:eastAsia="Times New Roman" w:hAnsi="Times New Roman"/>
          <w:sz w:val="16"/>
          <w:szCs w:val="16"/>
          <w:color w:val="auto"/>
        </w:rPr>
      </w:pPr>
    </w:p>
    <w:p>
      <w:pPr>
        <w:ind w:left="381" w:right="40" w:firstLine="1209"/>
        <w:spacing w:after="0" w:line="251" w:lineRule="auto"/>
        <w:tabs>
          <w:tab w:leader="none" w:pos="1861"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 current or former stockholder, officer, director, or employee of the Company or any of its Subsidiaries has any claim, right (whether or not currently exercisable), or interest to or in any Company IP Rights owned or purported to be owned by the Company. To the Knowledge of the Company, no employee of the Company or any of its Subsidiaries is (a) bound by or otherwise subject to any Contract restricting such employee from performing such employee’s duties for the Company or such Subsidiary or (b) in breach of any Contract with any former employer or other Person concerning Company IP Rights owned or purported to be owned by the Company or confidentiality provisions protecting trade secrets and confidential information comprising Company IP Rights owned or purported to be owned by the Company.</w:t>
      </w:r>
    </w:p>
    <w:p>
      <w:pPr>
        <w:spacing w:after="0" w:line="72" w:lineRule="exact"/>
        <w:rPr>
          <w:rFonts w:ascii="Times New Roman" w:cs="Times New Roman" w:eastAsia="Times New Roman" w:hAnsi="Times New Roman"/>
          <w:sz w:val="16"/>
          <w:szCs w:val="16"/>
          <w:color w:val="auto"/>
        </w:rPr>
      </w:pPr>
    </w:p>
    <w:p>
      <w:pPr>
        <w:ind w:left="381" w:right="140" w:firstLine="1209"/>
        <w:spacing w:after="0" w:line="276" w:lineRule="auto"/>
        <w:tabs>
          <w:tab w:leader="none" w:pos="1853"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funding, facilities, or personnel of any Governmental Authority were used, directly or indirectly, to develop or create, in whole or in part, any Company IP Rights in which the Company or any of its Subsidiaries has an ownership interest.</w:t>
      </w:r>
    </w:p>
    <w:p>
      <w:pPr>
        <w:spacing w:after="0" w:line="49" w:lineRule="exact"/>
        <w:rPr>
          <w:rFonts w:ascii="Times New Roman" w:cs="Times New Roman" w:eastAsia="Times New Roman" w:hAnsi="Times New Roman"/>
          <w:sz w:val="16"/>
          <w:szCs w:val="16"/>
          <w:color w:val="auto"/>
        </w:rPr>
      </w:pPr>
    </w:p>
    <w:p>
      <w:pPr>
        <w:ind w:left="381" w:right="220" w:firstLine="1209"/>
        <w:spacing w:after="0" w:line="256" w:lineRule="auto"/>
        <w:tabs>
          <w:tab w:leader="none" w:pos="1809"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has taken reasonable steps to maintain the confidentiality of and otherwise protect and enforce its rights in all proprietary information that the Company or such Subsidiary holds, or purports to hold, as confidential or a trade secret. There has been no unauthorized disclosure of any trade secret of the Company. No trade secret that is material to the Company has been disclosed to any third party under any confidentiality agreement with a limited term of protection.</w:t>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9641"/>
          </w:cols>
          <w:pgMar w:left="1119" w:top="253" w:right="1139" w:bottom="1440" w:gutter="0" w:footer="0" w:header="0"/>
        </w:sectPr>
      </w:pPr>
    </w:p>
    <w:bookmarkStart w:id="49" w:name="page50"/>
    <w:bookmarkEnd w:id="49"/>
    <w:p>
      <w:pPr>
        <w:ind w:left="360" w:right="60" w:firstLine="1209"/>
        <w:spacing w:after="0" w:line="276" w:lineRule="auto"/>
        <w:tabs>
          <w:tab w:leader="none" w:pos="1831"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Neither the Company nor any of its Subsidiaries has assigned or otherwise transferred ownership of, or agreed to assign or otherwise transfer ownership of, any Company IP Rights to any other Person.</w:t>
      </w:r>
    </w:p>
    <w:p>
      <w:pPr>
        <w:spacing w:after="0" w:line="49" w:lineRule="exact"/>
        <w:rPr>
          <w:rFonts w:ascii="Times New Roman" w:cs="Times New Roman" w:eastAsia="Times New Roman" w:hAnsi="Times New Roman"/>
          <w:sz w:val="16"/>
          <w:szCs w:val="16"/>
          <w:color w:val="auto"/>
        </w:rPr>
      </w:pPr>
    </w:p>
    <w:p>
      <w:pPr>
        <w:ind w:left="360" w:right="40" w:firstLine="1209"/>
        <w:spacing w:after="0" w:line="276" w:lineRule="auto"/>
        <w:tabs>
          <w:tab w:leader="none" w:pos="1875"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the Company IP Rights constitute all Intellectual Property necessary for the Company and its Subsidiaries to conduct its business as currently conducted and planned to be conducted.</w:t>
      </w:r>
    </w:p>
    <w:p>
      <w:pPr>
        <w:spacing w:after="0" w:line="49" w:lineRule="exact"/>
        <w:rPr>
          <w:rFonts w:ascii="Times New Roman" w:cs="Times New Roman" w:eastAsia="Times New Roman" w:hAnsi="Times New Roman"/>
          <w:sz w:val="16"/>
          <w:szCs w:val="16"/>
          <w:color w:val="auto"/>
        </w:rPr>
      </w:pPr>
    </w:p>
    <w:p>
      <w:pPr>
        <w:ind w:left="-20" w:firstLine="1253"/>
        <w:spacing w:after="0" w:line="252" w:lineRule="auto"/>
        <w:tabs>
          <w:tab w:leader="none" w:pos="143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or made available to Gem a complete and accurate copy of all Company IP Rights Agreements. With respect to each of the Company IP Rights Agreements: (i) each such agreement is valid and binding on the Company or its Subsidiaries, as applicable, and the applicable counterparty so such Company IP Rights Agreement, and in full force and effect, (ii) the Company has not received any written notice of termination or cancellation under such agreement, or received any written notice of breach or default under such Company IP Rights Agreement, which breach has not been cured or waived and (iii) neither the Company nor its Subsidiaries, and to the Knowledge of the Company, no other party to any such agreement, is in breach or default thereof in any material respect.</w:t>
      </w:r>
    </w:p>
    <w:p>
      <w:pPr>
        <w:spacing w:after="0" w:line="70" w:lineRule="exact"/>
        <w:rPr>
          <w:rFonts w:ascii="Times New Roman" w:cs="Times New Roman" w:eastAsia="Times New Roman" w:hAnsi="Times New Roman"/>
          <w:sz w:val="16"/>
          <w:szCs w:val="16"/>
          <w:color w:val="auto"/>
        </w:rPr>
      </w:pPr>
    </w:p>
    <w:p>
      <w:pPr>
        <w:ind w:left="-20" w:right="80" w:firstLine="1253"/>
        <w:spacing w:after="0" w:line="251" w:lineRule="auto"/>
        <w:tabs>
          <w:tab w:leader="none" w:pos="145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manufacture, marketing, license, sale, offering for sale, importation, use, or intended use or other disposal of any product or technology as currently licensed or sold or under development by the Company or any of its Subsidiaries does not violate any license or agreement between the Company or any of its Subsidiaries and any third party, and, to the Knowledge of the Company, does not infringe, misappropriate or otherwise violate any Intellectual Property right of any other Person, other than any Company Intellectual Property licensed to the Company by any other Person. To the Knowledge of the Company, no third party is infringing, misappropriating or otherwise violating any Intellectual Property owned by Company within the Company IP Rights, or breaching any license or agreement with the Company or its Subsidiaries relating to any Company IP Rights.</w:t>
      </w:r>
    </w:p>
    <w:p>
      <w:pPr>
        <w:spacing w:after="0" w:line="72" w:lineRule="exact"/>
        <w:rPr>
          <w:rFonts w:ascii="Times New Roman" w:cs="Times New Roman" w:eastAsia="Times New Roman" w:hAnsi="Times New Roman"/>
          <w:sz w:val="16"/>
          <w:szCs w:val="16"/>
          <w:color w:val="auto"/>
        </w:rPr>
      </w:pPr>
    </w:p>
    <w:p>
      <w:pPr>
        <w:ind w:left="-20" w:right="40" w:firstLine="1253"/>
        <w:spacing w:after="0" w:line="251" w:lineRule="auto"/>
        <w:tabs>
          <w:tab w:leader="none" w:pos="145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of this Agreement, Company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Neither the Company nor any of its Subsidiaries has received any written notice asserting that any Company IP Rights or the proposed use, sale, offer for sale, license or disposition of products, methods, or processes claimed or covered thereunder conflicts with or infringes, misappropriates or otherwise violates the rights of any other Person or that the Company or any of its Subsidiaries have otherwise infringed, misappropriated or otherwise violated any Intellectual Property of any Person. None of the Company IP Rights is subject to any outstanding Order of or agreement with any Governmental Authority or arbitrator that limits the ability of the Company to exploit any Company IP Rights.</w:t>
      </w:r>
    </w:p>
    <w:p>
      <w:pPr>
        <w:spacing w:after="0" w:line="69" w:lineRule="exact"/>
        <w:rPr>
          <w:rFonts w:ascii="Times New Roman" w:cs="Times New Roman" w:eastAsia="Times New Roman" w:hAnsi="Times New Roman"/>
          <w:sz w:val="16"/>
          <w:szCs w:val="16"/>
          <w:color w:val="auto"/>
        </w:rPr>
      </w:pPr>
    </w:p>
    <w:p>
      <w:pPr>
        <w:ind w:left="-20" w:right="20" w:firstLine="1253"/>
        <w:spacing w:after="0" w:line="256" w:lineRule="auto"/>
        <w:tabs>
          <w:tab w:leader="none" w:pos="1423"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item of Company IP Rights that is Company Registered IP is and at all times has been filed and maintained in compliance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9620"/>
          </w:cols>
          <w:pgMar w:left="1140" w:top="253" w:right="1139" w:bottom="1440" w:gutter="0" w:footer="0" w:header="0"/>
        </w:sectPr>
      </w:pPr>
    </w:p>
    <w:bookmarkStart w:id="50" w:name="page51"/>
    <w:bookmarkEnd w:id="50"/>
    <w:p>
      <w:pPr>
        <w:ind w:left="-20" w:right="100" w:firstLine="1253"/>
        <w:spacing w:after="0" w:line="252" w:lineRule="auto"/>
        <w:tabs>
          <w:tab w:leader="none" w:pos="142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To the Knowledge of the Company, no trademark (whether registered or unregistered) or trade name owned, used, or applied for by the Company or any of its Subsidiaries conflicts or interferes with any trademark (whether registered or unregistered) or trade name owned, used, or applied for by any other Person. None of the goodwill associated with or inherent in any trademark (whether registered or unregistered) in which the Company or any of its Subsidiaries has or purports to have an ownership interest has been impaired as determined by the Company or any of its Subsidiaries in accordance with GAAP. The Company has not granted any license under any trademark or trade name owned or purported to be owned by the Company.</w:t>
      </w:r>
    </w:p>
    <w:p>
      <w:pPr>
        <w:spacing w:after="0" w:line="70" w:lineRule="exact"/>
        <w:rPr>
          <w:rFonts w:ascii="Times New Roman" w:cs="Times New Roman" w:eastAsia="Times New Roman" w:hAnsi="Times New Roman"/>
          <w:sz w:val="16"/>
          <w:szCs w:val="16"/>
          <w:color w:val="auto"/>
        </w:rPr>
      </w:pPr>
    </w:p>
    <w:p>
      <w:pPr>
        <w:ind w:left="-20" w:firstLine="1253"/>
        <w:spacing w:after="0" w:line="251" w:lineRule="auto"/>
        <w:tabs>
          <w:tab w:leader="none" w:pos="1458"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Sections 3.12(b)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3.12(c)</w:t>
      </w:r>
      <w:r>
        <w:rPr>
          <w:rFonts w:ascii="Times New Roman" w:cs="Times New Roman" w:eastAsia="Times New Roman" w:hAnsi="Times New Roman"/>
          <w:sz w:val="16"/>
          <w:szCs w:val="16"/>
          <w:color w:val="auto"/>
        </w:rPr>
        <w:t xml:space="preserve"> of the Company Disclosure Schedule or as contained in license, distribution and service agreements entered into in the Ordinary Course of Business by the Company (i) neither the Company nor any of its Subsidiaries is bound by any Contract to indemnify, defend, hold harmless, or reimburse any other Person with respect to any Intellectual Property infringement, misappropriation, or similar claim which is material to the Company and its Subsidiaries, taken as a whole and (ii) neither the Company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72" w:lineRule="exact"/>
        <w:rPr>
          <w:rFonts w:ascii="Times New Roman" w:cs="Times New Roman" w:eastAsia="Times New Roman" w:hAnsi="Times New Roman"/>
          <w:sz w:val="16"/>
          <w:szCs w:val="16"/>
          <w:color w:val="auto"/>
        </w:rPr>
      </w:pPr>
    </w:p>
    <w:p>
      <w:pPr>
        <w:ind w:left="-20" w:right="80" w:firstLine="1253"/>
        <w:spacing w:after="0" w:line="254" w:lineRule="auto"/>
        <w:tabs>
          <w:tab w:leader="none" w:pos="142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defend or enforce any Company IP Rights, except for the occurrence of any such grant or impairment that would not individually or in the aggregate reasonably be expected to result in a Company Material Adverse Effect.</w:t>
      </w:r>
    </w:p>
    <w:p>
      <w:pPr>
        <w:spacing w:after="0" w:line="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3.13 </w:t>
      </w:r>
      <w:r>
        <w:rPr>
          <w:rFonts w:ascii="Times New Roman" w:cs="Times New Roman" w:eastAsia="Times New Roman" w:hAnsi="Times New Roman"/>
          <w:sz w:val="16"/>
          <w:szCs w:val="16"/>
          <w:u w:val="single" w:color="auto"/>
          <w:color w:val="auto"/>
        </w:rPr>
        <w:t>Agreements, Contracts and Commitments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20" w:right="480" w:firstLine="1253"/>
        <w:spacing w:after="0" w:line="276" w:lineRule="auto"/>
        <w:tabs>
          <w:tab w:leader="none" w:pos="144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3.13(a)</w:t>
      </w:r>
      <w:r>
        <w:rPr>
          <w:rFonts w:ascii="Times New Roman" w:cs="Times New Roman" w:eastAsia="Times New Roman" w:hAnsi="Times New Roman"/>
          <w:sz w:val="16"/>
          <w:szCs w:val="16"/>
          <w:color w:val="auto"/>
        </w:rPr>
        <w:t xml:space="preserve"> of the Company Disclosure Schedule lists the following Company Contracts in effect as of the date of this Agreement (each, a “</w:t>
      </w:r>
      <w:r>
        <w:rPr>
          <w:rFonts w:ascii="Times New Roman" w:cs="Times New Roman" w:eastAsia="Times New Roman" w:hAnsi="Times New Roman"/>
          <w:sz w:val="16"/>
          <w:szCs w:val="16"/>
          <w:b w:val="1"/>
          <w:bCs w:val="1"/>
          <w:color w:val="auto"/>
        </w:rPr>
        <w:t>Company Material Contract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Company Material Contracts</w:t>
      </w:r>
      <w:r>
        <w:rPr>
          <w:rFonts w:ascii="Times New Roman" w:cs="Times New Roman" w:eastAsia="Times New Roman" w:hAnsi="Times New Roman"/>
          <w:sz w:val="16"/>
          <w:szCs w:val="16"/>
          <w:color w:val="auto"/>
        </w:rPr>
        <w:t>”):</w:t>
      </w:r>
    </w:p>
    <w:p>
      <w:pPr>
        <w:spacing w:after="0" w:line="49" w:lineRule="exact"/>
        <w:rPr>
          <w:rFonts w:ascii="Times New Roman" w:cs="Times New Roman" w:eastAsia="Times New Roman" w:hAnsi="Times New Roman"/>
          <w:sz w:val="16"/>
          <w:szCs w:val="16"/>
          <w:color w:val="auto"/>
        </w:rPr>
      </w:pPr>
    </w:p>
    <w:p>
      <w:pPr>
        <w:ind w:left="360" w:right="60" w:firstLine="1209"/>
        <w:spacing w:after="0" w:line="254" w:lineRule="auto"/>
        <w:tabs>
          <w:tab w:leader="none" w:pos="1752"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requiring payments by the Company after the date of this Agreement in excess of $250,000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its Subsidiaries on ninety (90) calendar days’ or less notice without liability, except to the extent general principles of wrongful termination Law may limit the Company’s, its Subsidiaries’ or such successor’s ability to terminate employees at will;</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9620"/>
          </w:cols>
          <w:pgMar w:left="1140" w:top="253" w:right="1139" w:bottom="1440" w:gutter="0" w:footer="0" w:header="0"/>
        </w:sectPr>
      </w:pPr>
    </w:p>
    <w:bookmarkStart w:id="51" w:name="page52"/>
    <w:bookmarkEnd w:id="51"/>
    <w:p>
      <w:pPr>
        <w:ind w:left="60" w:right="520" w:firstLine="1209"/>
        <w:spacing w:after="0" w:line="276" w:lineRule="auto"/>
        <w:tabs>
          <w:tab w:leader="none" w:pos="149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each Company Contract relating to any agreement of holding harmless, indemnification, defending, reimbursing or guaranty not entered into in the Ordinary Course of Business;</w:t>
      </w:r>
    </w:p>
    <w:p>
      <w:pPr>
        <w:spacing w:after="0" w:line="49" w:lineRule="exact"/>
        <w:rPr>
          <w:rFonts w:ascii="Times New Roman" w:cs="Times New Roman" w:eastAsia="Times New Roman" w:hAnsi="Times New Roman"/>
          <w:sz w:val="16"/>
          <w:szCs w:val="16"/>
          <w:color w:val="auto"/>
        </w:rPr>
      </w:pPr>
    </w:p>
    <w:p>
      <w:pPr>
        <w:ind w:left="60" w:right="60" w:firstLine="1209"/>
        <w:spacing w:after="0" w:line="254" w:lineRule="auto"/>
        <w:tabs>
          <w:tab w:leader="none" w:pos="1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containing (A) any covenant limiting the freedom of the Company, its Subsidiaries or the Surviving Corporation to engage in any line of business or compete with any Person, or limiting the development, manufacture or distribution of the Company’s products or services, (B) any “most-favored nation” arrangement, including any most-favored pricing provision, (C) any exclusivity provision, (D) any non-solicitation provision, (E) any right of first refusal, right of first negotiation or similar right or (F) any grant of any option to any Intellectual Property rights;</w:t>
      </w:r>
    </w:p>
    <w:p>
      <w:pPr>
        <w:spacing w:after="0" w:line="67" w:lineRule="exact"/>
        <w:rPr>
          <w:rFonts w:ascii="Times New Roman" w:cs="Times New Roman" w:eastAsia="Times New Roman" w:hAnsi="Times New Roman"/>
          <w:sz w:val="16"/>
          <w:szCs w:val="16"/>
          <w:color w:val="auto"/>
        </w:rPr>
      </w:pPr>
    </w:p>
    <w:p>
      <w:pPr>
        <w:ind w:left="1540" w:hanging="271"/>
        <w:spacing w:after="0"/>
        <w:tabs>
          <w:tab w:leader="none" w:pos="15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Company Contract required to be set forth in </w:t>
      </w:r>
      <w:r>
        <w:rPr>
          <w:rFonts w:ascii="Times New Roman" w:cs="Times New Roman" w:eastAsia="Times New Roman" w:hAnsi="Times New Roman"/>
          <w:sz w:val="16"/>
          <w:szCs w:val="16"/>
          <w:u w:val="single" w:color="auto"/>
          <w:color w:val="auto"/>
        </w:rPr>
        <w:t>Sections 3.12(b)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3.12(c)</w:t>
      </w:r>
      <w:r>
        <w:rPr>
          <w:rFonts w:ascii="Times New Roman" w:cs="Times New Roman" w:eastAsia="Times New Roman" w:hAnsi="Times New Roman"/>
          <w:sz w:val="16"/>
          <w:szCs w:val="16"/>
          <w:color w:val="auto"/>
        </w:rPr>
        <w:t xml:space="preserve"> of the Company Disclosure Schedule;</w:t>
      </w:r>
    </w:p>
    <w:p>
      <w:pPr>
        <w:spacing w:after="0" w:line="99" w:lineRule="exact"/>
        <w:rPr>
          <w:rFonts w:ascii="Times New Roman" w:cs="Times New Roman" w:eastAsia="Times New Roman" w:hAnsi="Times New Roman"/>
          <w:sz w:val="16"/>
          <w:szCs w:val="16"/>
          <w:color w:val="auto"/>
        </w:rPr>
      </w:pPr>
    </w:p>
    <w:p>
      <w:pPr>
        <w:ind w:left="60" w:right="100" w:firstLine="1209"/>
        <w:spacing w:after="0" w:line="276" w:lineRule="auto"/>
        <w:tabs>
          <w:tab w:leader="none" w:pos="148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relating to capital expenditures and requiring payments after the date of this Agreement in excess of $250,000 pursuant to its express terms and not cancelable without penalty;</w:t>
      </w:r>
    </w:p>
    <w:p>
      <w:pPr>
        <w:spacing w:after="0" w:line="49" w:lineRule="exact"/>
        <w:rPr>
          <w:rFonts w:ascii="Times New Roman" w:cs="Times New Roman" w:eastAsia="Times New Roman" w:hAnsi="Times New Roman"/>
          <w:sz w:val="16"/>
          <w:szCs w:val="16"/>
          <w:color w:val="auto"/>
        </w:rPr>
      </w:pPr>
    </w:p>
    <w:p>
      <w:pPr>
        <w:ind w:left="1540" w:hanging="271"/>
        <w:spacing w:after="0"/>
        <w:tabs>
          <w:tab w:leader="none" w:pos="1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Contract relating to the disposition or acquisition of material assets or any ownership interest in any Entity;</w:t>
      </w:r>
    </w:p>
    <w:p>
      <w:pPr>
        <w:spacing w:after="0" w:line="111" w:lineRule="exact"/>
        <w:rPr>
          <w:rFonts w:ascii="Times New Roman" w:cs="Times New Roman" w:eastAsia="Times New Roman" w:hAnsi="Times New Roman"/>
          <w:sz w:val="15"/>
          <w:szCs w:val="15"/>
          <w:color w:val="auto"/>
        </w:rPr>
      </w:pPr>
    </w:p>
    <w:p>
      <w:pPr>
        <w:ind w:left="60" w:right="60" w:firstLine="1209"/>
        <w:spacing w:after="0" w:line="256" w:lineRule="auto"/>
        <w:tabs>
          <w:tab w:leader="none" w:pos="157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relating to any mortgages, indentures, loans, notes or credit agreements, security agreements or other agreements or instruments relating to the borrowing of money or extension of credit in excess of $250,000, creating any Encumbrance with respect to any Company IP Right or creating any material Encumbrances with respect to any other assets of the Company or any of its Subsidiaries or any loans or debt obligations with officers or directors of the Company;</w:t>
      </w:r>
    </w:p>
    <w:p>
      <w:pPr>
        <w:spacing w:after="0" w:line="66" w:lineRule="exact"/>
        <w:rPr>
          <w:rFonts w:ascii="Times New Roman" w:cs="Times New Roman" w:eastAsia="Times New Roman" w:hAnsi="Times New Roman"/>
          <w:sz w:val="16"/>
          <w:szCs w:val="16"/>
          <w:color w:val="auto"/>
        </w:rPr>
      </w:pPr>
    </w:p>
    <w:p>
      <w:pPr>
        <w:ind w:left="60" w:right="20" w:firstLine="1209"/>
        <w:spacing w:after="0" w:line="269" w:lineRule="auto"/>
        <w:tabs>
          <w:tab w:leader="none" w:pos="161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collaboration, cooperation, development or other agreement currently in force under which the Company has continuing obligations to research,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57" w:lineRule="exact"/>
        <w:rPr>
          <w:rFonts w:ascii="Times New Roman" w:cs="Times New Roman" w:eastAsia="Times New Roman" w:hAnsi="Times New Roman"/>
          <w:sz w:val="15"/>
          <w:szCs w:val="15"/>
          <w:color w:val="auto"/>
        </w:rPr>
      </w:pPr>
    </w:p>
    <w:p>
      <w:pPr>
        <w:ind w:left="60" w:right="440" w:firstLine="1209"/>
        <w:spacing w:after="0" w:line="276" w:lineRule="auto"/>
        <w:tabs>
          <w:tab w:leader="none" w:pos="153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with any Person, including any financial advisor, broker, finder, investment banker or other Person, providing advisory services to the Company in connection with the Contemplated Transactions;</w:t>
      </w:r>
    </w:p>
    <w:p>
      <w:pPr>
        <w:spacing w:after="0" w:line="8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9280"/>
          </w:cols>
          <w:pgMar w:left="1440" w:top="253" w:right="1179" w:bottom="1440" w:gutter="0" w:footer="0" w:header="0"/>
        </w:sectPr>
      </w:pPr>
    </w:p>
    <w:bookmarkStart w:id="52" w:name="page53"/>
    <w:bookmarkEnd w:id="52"/>
    <w:p>
      <w:pPr>
        <w:ind w:left="1780" w:hanging="231"/>
        <w:spacing w:after="0"/>
        <w:tabs>
          <w:tab w:leader="none" w:pos="178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each Company Real Estate Lease;</w:t>
      </w:r>
    </w:p>
    <w:p>
      <w:pPr>
        <w:spacing w:after="0" w:line="99" w:lineRule="exact"/>
        <w:rPr>
          <w:rFonts w:ascii="Times New Roman" w:cs="Times New Roman" w:eastAsia="Times New Roman" w:hAnsi="Times New Roman"/>
          <w:sz w:val="16"/>
          <w:szCs w:val="16"/>
          <w:color w:val="auto"/>
        </w:rPr>
      </w:pPr>
    </w:p>
    <w:p>
      <w:pPr>
        <w:ind w:left="340" w:right="20" w:firstLine="1209"/>
        <w:spacing w:after="0" w:line="276" w:lineRule="auto"/>
        <w:tabs>
          <w:tab w:leader="none" w:pos="1811"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that would be a material contract as defined in Item 601(b)(10) of Regulation S-K as promulgated under the Securities Act if the Company were subject to such regulation;</w:t>
      </w:r>
    </w:p>
    <w:p>
      <w:pPr>
        <w:spacing w:after="0" w:line="49" w:lineRule="exact"/>
        <w:rPr>
          <w:rFonts w:ascii="Times New Roman" w:cs="Times New Roman" w:eastAsia="Times New Roman" w:hAnsi="Times New Roman"/>
          <w:sz w:val="16"/>
          <w:szCs w:val="16"/>
          <w:color w:val="auto"/>
        </w:rPr>
      </w:pPr>
    </w:p>
    <w:p>
      <w:pPr>
        <w:ind w:left="340" w:right="460" w:firstLine="1209"/>
        <w:spacing w:after="0" w:line="276" w:lineRule="auto"/>
        <w:tabs>
          <w:tab w:leader="none" w:pos="1855"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under which a third party would be entitled to receive a license or have any other rights in Intellectual Property of the Company, Gem or any of their Subsidiaries at the time of or immediately after the Effective Time;</w:t>
      </w:r>
    </w:p>
    <w:p>
      <w:pPr>
        <w:spacing w:after="0" w:line="49" w:lineRule="exact"/>
        <w:rPr>
          <w:rFonts w:ascii="Times New Roman" w:cs="Times New Roman" w:eastAsia="Times New Roman" w:hAnsi="Times New Roman"/>
          <w:sz w:val="16"/>
          <w:szCs w:val="16"/>
          <w:color w:val="auto"/>
        </w:rPr>
      </w:pPr>
    </w:p>
    <w:p>
      <w:pPr>
        <w:ind w:left="340" w:right="120" w:firstLine="1209"/>
        <w:spacing w:after="0" w:line="276" w:lineRule="auto"/>
        <w:tabs>
          <w:tab w:leader="none" w:pos="1899"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under which the consequences of a default or termination would reasonably be likely to have a Company Material Adverse Effect;</w:t>
      </w:r>
    </w:p>
    <w:p>
      <w:pPr>
        <w:spacing w:after="0" w:line="49" w:lineRule="exact"/>
        <w:rPr>
          <w:rFonts w:ascii="Times New Roman" w:cs="Times New Roman" w:eastAsia="Times New Roman" w:hAnsi="Times New Roman"/>
          <w:sz w:val="16"/>
          <w:szCs w:val="16"/>
          <w:color w:val="auto"/>
        </w:rPr>
      </w:pPr>
    </w:p>
    <w:p>
      <w:pPr>
        <w:ind w:left="340" w:right="180" w:firstLine="1209"/>
        <w:spacing w:after="0" w:line="276" w:lineRule="auto"/>
        <w:tabs>
          <w:tab w:leader="none" w:pos="189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plan, program, or policy providing for severance, termination compensation, retention or stay pay, change in control payments, or transaction-based bonuses;</w:t>
      </w:r>
    </w:p>
    <w:p>
      <w:pPr>
        <w:spacing w:after="0" w:line="49" w:lineRule="exact"/>
        <w:rPr>
          <w:rFonts w:ascii="Times New Roman" w:cs="Times New Roman" w:eastAsia="Times New Roman" w:hAnsi="Times New Roman"/>
          <w:sz w:val="16"/>
          <w:szCs w:val="16"/>
          <w:color w:val="auto"/>
        </w:rPr>
      </w:pPr>
    </w:p>
    <w:p>
      <w:pPr>
        <w:ind w:left="340" w:right="580" w:firstLine="1209"/>
        <w:spacing w:after="0" w:line="261" w:lineRule="auto"/>
        <w:tabs>
          <w:tab w:leader="none" w:pos="1846"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settlement Company Contract or settlement-related Company Contract (including any Company Contract in connection with which any employment-related claim has been settled) under which either party to the settlement Company Contract or settlement-related Company Contract has continuing obligations;</w:t>
      </w:r>
    </w:p>
    <w:p>
      <w:pPr>
        <w:spacing w:after="0" w:line="62" w:lineRule="exact"/>
        <w:rPr>
          <w:rFonts w:ascii="Times New Roman" w:cs="Times New Roman" w:eastAsia="Times New Roman" w:hAnsi="Times New Roman"/>
          <w:sz w:val="16"/>
          <w:szCs w:val="16"/>
          <w:color w:val="auto"/>
        </w:rPr>
      </w:pPr>
    </w:p>
    <w:p>
      <w:pPr>
        <w:ind w:left="340" w:right="180" w:firstLine="1209"/>
        <w:spacing w:after="0" w:line="276" w:lineRule="auto"/>
        <w:tabs>
          <w:tab w:leader="none" w:pos="189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dealer, distribution, joint marketing, joint venture, joint development, partnership, strategic alliance, collaboration, development agreement or outsourcing arrangement or other similar Company Contract;</w:t>
      </w:r>
    </w:p>
    <w:p>
      <w:pPr>
        <w:spacing w:after="0" w:line="49" w:lineRule="exact"/>
        <w:rPr>
          <w:rFonts w:ascii="Times New Roman" w:cs="Times New Roman" w:eastAsia="Times New Roman" w:hAnsi="Times New Roman"/>
          <w:sz w:val="16"/>
          <w:szCs w:val="16"/>
          <w:color w:val="auto"/>
        </w:rPr>
      </w:pPr>
    </w:p>
    <w:p>
      <w:pPr>
        <w:ind w:left="340" w:right="40" w:firstLine="1209"/>
        <w:spacing w:after="0" w:line="276" w:lineRule="auto"/>
        <w:tabs>
          <w:tab w:leader="none" w:pos="1934"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Contract which would give rise to or otherwise result in proxy statement disclosure pursuant to Item 404 of Regulation S-K (assuming the Company was subject to the requirements of the Exchange Act; or</w:t>
      </w:r>
    </w:p>
    <w:p>
      <w:pPr>
        <w:spacing w:after="0" w:line="49" w:lineRule="exact"/>
        <w:rPr>
          <w:rFonts w:ascii="Times New Roman" w:cs="Times New Roman" w:eastAsia="Times New Roman" w:hAnsi="Times New Roman"/>
          <w:sz w:val="16"/>
          <w:szCs w:val="16"/>
          <w:color w:val="auto"/>
        </w:rPr>
      </w:pPr>
    </w:p>
    <w:p>
      <w:pPr>
        <w:ind w:left="340" w:firstLine="1209"/>
        <w:spacing w:after="0" w:line="256" w:lineRule="auto"/>
        <w:tabs>
          <w:tab w:leader="none" w:pos="1978"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Company Contract (A) which involves payment or receipt by the Company or its Subsidiaries after the date of this Agreement under any such agreement, contract or commitment of more than $250,000 in the aggregate, or obligations after the date of this Agreement in excess of $250,000 in the aggregate or (B) that is material to the business or operations of the Company and its Subsidiaries, taken as a whole.</w:t>
      </w:r>
    </w:p>
    <w:p>
      <w:pPr>
        <w:spacing w:after="0" w:line="66" w:lineRule="exact"/>
        <w:rPr>
          <w:rFonts w:ascii="Times New Roman" w:cs="Times New Roman" w:eastAsia="Times New Roman" w:hAnsi="Times New Roman"/>
          <w:sz w:val="16"/>
          <w:szCs w:val="16"/>
          <w:color w:val="auto"/>
        </w:rPr>
      </w:pPr>
    </w:p>
    <w:p>
      <w:pPr>
        <w:ind w:left="-40" w:right="100" w:firstLine="1253"/>
        <w:spacing w:after="0" w:line="251" w:lineRule="auto"/>
        <w:tabs>
          <w:tab w:leader="none" w:pos="143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delivered or made available to Gem accurate and complete copies of all Company Material Contracts, including all amendments thereto. There are no Company Material Contracts that are not in written form. Neither the Company nor any of its Subsidiaries has,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and its Subsidiaries, as of the date of this Agreement, each Company Material Contract is valid, binding,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9560"/>
          </w:cols>
          <w:pgMar w:left="1160" w:top="253" w:right="1179" w:bottom="1440" w:gutter="0" w:footer="0" w:header="0"/>
        </w:sectPr>
      </w:pPr>
    </w:p>
    <w:bookmarkStart w:id="53" w:name="page54"/>
    <w:bookmarkEnd w:id="53"/>
    <w:p>
      <w:pPr>
        <w:ind w:right="10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3.14 </w:t>
      </w:r>
      <w:r>
        <w:rPr>
          <w:rFonts w:ascii="Times New Roman" w:cs="Times New Roman" w:eastAsia="Times New Roman" w:hAnsi="Times New Roman"/>
          <w:sz w:val="16"/>
          <w:szCs w:val="16"/>
          <w:u w:val="single" w:color="auto"/>
          <w:color w:val="auto"/>
        </w:rPr>
        <w:t>Compliance; Permits; Restrictions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firstLine="1253"/>
        <w:spacing w:after="0" w:line="251" w:lineRule="auto"/>
        <w:tabs>
          <w:tab w:leader="none" w:pos="146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are, and since January 1, 2019 have been, in compliance in all material respects with all applicable Laws. No investigation, claim, suit, proceeding, audit, Order, or other action by any Governmental Authority is pending or, to the Knowledge of the Company, threatened against the Company or any of its Subsidiaries. There is no agreement or Order binding upon the Company or any of its Subsidiaries which (i) has or would reasonably be expected to have the effect of prohibiting or materially impairing any business practice of the Company or any of its Subsidiaries, any acquisition of material property by the Company or any of its Subsidiaries or the conduct of business by the Company or any of its Subsidiaries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69" w:lineRule="exact"/>
        <w:rPr>
          <w:rFonts w:ascii="Times New Roman" w:cs="Times New Roman" w:eastAsia="Times New Roman" w:hAnsi="Times New Roman"/>
          <w:sz w:val="16"/>
          <w:szCs w:val="16"/>
          <w:color w:val="auto"/>
        </w:rPr>
      </w:pPr>
    </w:p>
    <w:p>
      <w:pPr>
        <w:ind w:right="60" w:firstLine="1253"/>
        <w:spacing w:after="0" w:line="251" w:lineRule="auto"/>
        <w:tabs>
          <w:tab w:leader="none" w:pos="147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hold all required Governmental Authorizations which are material to the operation of the business of the Company and its Subsidiaries as currently conducted (the “</w:t>
      </w:r>
      <w:r>
        <w:rPr>
          <w:rFonts w:ascii="Times New Roman" w:cs="Times New Roman" w:eastAsia="Times New Roman" w:hAnsi="Times New Roman"/>
          <w:sz w:val="16"/>
          <w:szCs w:val="16"/>
          <w:b w:val="1"/>
          <w:bCs w:val="1"/>
          <w:color w:val="auto"/>
        </w:rPr>
        <w:t>Company Permits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3.14(b)</w:t>
      </w:r>
      <w:r>
        <w:rPr>
          <w:rFonts w:ascii="Times New Roman" w:cs="Times New Roman" w:eastAsia="Times New Roman" w:hAnsi="Times New Roman"/>
          <w:sz w:val="16"/>
          <w:szCs w:val="16"/>
          <w:color w:val="auto"/>
        </w:rPr>
        <w:t xml:space="preserve"> of the Company Disclosure Schedule identifies each Company Permit. Each of the Company and its Subsidiaries is in material compliance with the terms of the Company Permits. No Legal Proceeding is pending or, to the Knowledge of the Company, threatened in writing,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and its Subsidiaries as of the date of this Agreement and immediately prior to the Effective Time.</w:t>
      </w:r>
    </w:p>
    <w:p>
      <w:pPr>
        <w:spacing w:after="0" w:line="72" w:lineRule="exact"/>
        <w:rPr>
          <w:rFonts w:ascii="Times New Roman" w:cs="Times New Roman" w:eastAsia="Times New Roman" w:hAnsi="Times New Roman"/>
          <w:sz w:val="16"/>
          <w:szCs w:val="16"/>
          <w:color w:val="auto"/>
        </w:rPr>
      </w:pPr>
    </w:p>
    <w:p>
      <w:pPr>
        <w:ind w:right="60" w:firstLine="1253"/>
        <w:spacing w:after="0" w:line="275" w:lineRule="auto"/>
        <w:tabs>
          <w:tab w:leader="none" w:pos="1469"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Legal Proceedings pending or, to the Knowledge of the Company, threatened with respect to an alleged material violation by the Company or any of its Subsidiaries of the Federal Food, Drug, and Cosmetic Act (“</w:t>
      </w:r>
      <w:r>
        <w:rPr>
          <w:rFonts w:ascii="Times New Roman" w:cs="Times New Roman" w:eastAsia="Times New Roman" w:hAnsi="Times New Roman"/>
          <w:sz w:val="15"/>
          <w:szCs w:val="15"/>
          <w:b w:val="1"/>
          <w:bCs w:val="1"/>
          <w:color w:val="auto"/>
        </w:rPr>
        <w:t>FDCA</w:t>
      </w:r>
      <w:r>
        <w:rPr>
          <w:rFonts w:ascii="Times New Roman" w:cs="Times New Roman" w:eastAsia="Times New Roman" w:hAnsi="Times New Roman"/>
          <w:sz w:val="15"/>
          <w:szCs w:val="15"/>
          <w:color w:val="auto"/>
        </w:rPr>
        <w:t>”), the Public Health Service Act (“</w:t>
      </w:r>
      <w:r>
        <w:rPr>
          <w:rFonts w:ascii="Times New Roman" w:cs="Times New Roman" w:eastAsia="Times New Roman" w:hAnsi="Times New Roman"/>
          <w:sz w:val="15"/>
          <w:szCs w:val="15"/>
          <w:b w:val="1"/>
          <w:bCs w:val="1"/>
          <w:color w:val="auto"/>
        </w:rPr>
        <w:t>PHSA</w:t>
      </w:r>
      <w:r>
        <w:rPr>
          <w:rFonts w:ascii="Times New Roman" w:cs="Times New Roman" w:eastAsia="Times New Roman" w:hAnsi="Times New Roman"/>
          <w:sz w:val="15"/>
          <w:szCs w:val="15"/>
          <w:color w:val="auto"/>
        </w:rPr>
        <w:t>”), the U.S. Food and Drug Administration (“</w:t>
      </w:r>
      <w:r>
        <w:rPr>
          <w:rFonts w:ascii="Times New Roman" w:cs="Times New Roman" w:eastAsia="Times New Roman" w:hAnsi="Times New Roman"/>
          <w:sz w:val="15"/>
          <w:szCs w:val="15"/>
          <w:b w:val="1"/>
          <w:bCs w:val="1"/>
          <w:color w:val="auto"/>
        </w:rPr>
        <w:t>FDA</w:t>
      </w:r>
      <w:r>
        <w:rPr>
          <w:rFonts w:ascii="Times New Roman" w:cs="Times New Roman" w:eastAsia="Times New Roman" w:hAnsi="Times New Roman"/>
          <w:sz w:val="15"/>
          <w:szCs w:val="15"/>
          <w:color w:val="auto"/>
        </w:rPr>
        <w:t>”) regulations adopted thereunder, the Controlled Substances Act or any other similar Law promulgated by the FDA or other comparable Governmental Authority responsible for regulation of the development, testing, manufacturing, processing, storage, labeling, sale, marketing, advertising, distribution and importation or exportation of drug products (“</w:t>
      </w:r>
      <w:r>
        <w:rPr>
          <w:rFonts w:ascii="Times New Roman" w:cs="Times New Roman" w:eastAsia="Times New Roman" w:hAnsi="Times New Roman"/>
          <w:sz w:val="15"/>
          <w:szCs w:val="15"/>
          <w:b w:val="1"/>
          <w:bCs w:val="1"/>
          <w:color w:val="auto"/>
        </w:rPr>
        <w:t>Drug Regulatory Agency</w:t>
      </w:r>
      <w:r>
        <w:rPr>
          <w:rFonts w:ascii="Times New Roman" w:cs="Times New Roman" w:eastAsia="Times New Roman" w:hAnsi="Times New Roman"/>
          <w:sz w:val="15"/>
          <w:szCs w:val="15"/>
          <w:color w:val="auto"/>
        </w:rPr>
        <w:t>”).</w:t>
      </w:r>
    </w:p>
    <w:p>
      <w:pPr>
        <w:spacing w:after="0" w:line="52" w:lineRule="exact"/>
        <w:rPr>
          <w:rFonts w:ascii="Times New Roman" w:cs="Times New Roman" w:eastAsia="Times New Roman" w:hAnsi="Times New Roman"/>
          <w:sz w:val="15"/>
          <w:szCs w:val="15"/>
          <w:color w:val="auto"/>
        </w:rPr>
      </w:pPr>
    </w:p>
    <w:p>
      <w:pPr>
        <w:ind w:right="80" w:firstLine="1253"/>
        <w:spacing w:after="0" w:line="252" w:lineRule="auto"/>
        <w:tabs>
          <w:tab w:leader="none" w:pos="147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holds all required Governmental Authorizations issuable by any Drug Regulatory Agency necessary for the conduct of the business of the Company or such Subsidiary as currently conducted, and the development, testing, manufacturing, processing, storage, labeling, sale, marketing, advertising, distribution and importation or exportation, as currently conducted, of any of its products or product candidates (the “</w:t>
      </w:r>
      <w:r>
        <w:rPr>
          <w:rFonts w:ascii="Times New Roman" w:cs="Times New Roman" w:eastAsia="Times New Roman" w:hAnsi="Times New Roman"/>
          <w:sz w:val="16"/>
          <w:szCs w:val="16"/>
          <w:b w:val="1"/>
          <w:bCs w:val="1"/>
          <w:color w:val="auto"/>
        </w:rPr>
        <w:t>Company Product Candidates</w:t>
      </w:r>
      <w:r>
        <w:rPr>
          <w:rFonts w:ascii="Times New Roman" w:cs="Times New Roman" w:eastAsia="Times New Roman" w:hAnsi="Times New Roman"/>
          <w:sz w:val="16"/>
          <w:szCs w:val="16"/>
          <w:color w:val="auto"/>
        </w:rPr>
        <w:t>”) (collectively, the “</w:t>
      </w:r>
      <w:r>
        <w:rPr>
          <w:rFonts w:ascii="Times New Roman" w:cs="Times New Roman" w:eastAsia="Times New Roman" w:hAnsi="Times New Roman"/>
          <w:sz w:val="16"/>
          <w:szCs w:val="16"/>
          <w:b w:val="1"/>
          <w:bCs w:val="1"/>
          <w:color w:val="auto"/>
        </w:rPr>
        <w:t>Company Regulatory Permits</w:t>
      </w:r>
      <w:r>
        <w:rPr>
          <w:rFonts w:ascii="Times New Roman" w:cs="Times New Roman" w:eastAsia="Times New Roman" w:hAnsi="Times New Roman"/>
          <w:sz w:val="16"/>
          <w:szCs w:val="16"/>
          <w:color w:val="auto"/>
        </w:rPr>
        <w:t>”) and no such Company Regulatory Permit has been (i) revoked, withdrawn, suspended, cancelled or terminated or (ii) modified in any adverse manner, other than immaterial adverse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9620"/>
          </w:cols>
          <w:pgMar w:left="1120" w:top="253" w:right="1159" w:bottom="1440" w:gutter="0" w:footer="0" w:header="0"/>
        </w:sectPr>
      </w:pPr>
    </w:p>
    <w:bookmarkStart w:id="54" w:name="page55"/>
    <w:bookmarkEnd w:id="54"/>
    <w:p>
      <w:pPr>
        <w:ind w:right="60"/>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modifications. The Company and each of its Subsidiaries have timely maintained and are in compliance in all material respects with the Company Regulatory Permits and have not, since January 1, 2019,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Gem all information requested by Gem in the Company’s or its Subsidiaries’ possession or control relating to the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is accurate and complete in all material respects.</w:t>
      </w:r>
    </w:p>
    <w:p>
      <w:pPr>
        <w:spacing w:after="0" w:line="76" w:lineRule="exact"/>
        <w:rPr>
          <w:sz w:val="20"/>
          <w:szCs w:val="20"/>
          <w:color w:val="auto"/>
        </w:rPr>
      </w:pPr>
    </w:p>
    <w:p>
      <w:pPr>
        <w:ind w:firstLine="1253"/>
        <w:spacing w:after="0" w:line="249" w:lineRule="auto"/>
        <w:tabs>
          <w:tab w:leader="none" w:pos="146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clinical, pre-clinical and other studies and tests conducted by or on behalf of, or sponsored by, the Company or its Subsidiaries, or in which the Company or its Subsidiaries or their respective current products or product candidates, including the Company Product Candidates, have participated, were and, if still pending, are being conducted in all material respects in accordance with standard medical and scientific research procedures, in material compliance with the applicable protocols, and in compliance in all material respects with the applicable regulations of the Drug Regulatory Agencies and other applicable Law, including 21 C.F.R. Parts 50, 54, 56, 58 and 312. Neither the Company nor any of its Subsidiaries has received any written notices, correspondence, or other communications from any Drug Regulatory Agency requiring, or to the Knowledge of the Company threatening to initiate, any action to place a clinical hold order on, or otherwise terminate, delay, or suspend any clinical studies conducted by or on behalf of, or sponsored by, the Company or any of its Subsidiaries or in which the Company or any of its Subsidiaries or their respective current products or product candidates, including the Company Product Candidates, have participated. Further, no clinical investigator, researcher, or clinical staff participating in any clinical study conducted by or, to the Knowledge of the Company, on behalf of the Company or its Subsidiaries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74" w:lineRule="exact"/>
        <w:rPr>
          <w:rFonts w:ascii="Times New Roman" w:cs="Times New Roman" w:eastAsia="Times New Roman" w:hAnsi="Times New Roman"/>
          <w:sz w:val="16"/>
          <w:szCs w:val="16"/>
          <w:color w:val="auto"/>
        </w:rPr>
      </w:pPr>
    </w:p>
    <w:p>
      <w:pPr>
        <w:ind w:firstLine="1253"/>
        <w:spacing w:after="0" w:line="271" w:lineRule="auto"/>
        <w:tabs>
          <w:tab w:leader="none" w:pos="1451"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and to the Knowledge of the Company, no contract manufacturer with respect to any Company Product Candidate, is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neither the Company nor any of its Subsidiaries and no contract manufacturer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any of its Subsidiaries, or any contract manufacturer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9640"/>
          </w:cols>
          <w:pgMar w:left="1120" w:top="253" w:right="1139" w:bottom="1440" w:gutter="0" w:footer="0" w:header="0"/>
        </w:sectPr>
      </w:pPr>
    </w:p>
    <w:bookmarkStart w:id="55" w:name="page56"/>
    <w:bookmarkEnd w:id="55"/>
    <w:p>
      <w:pPr>
        <w:ind w:right="8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with respect to any Company Product Candidate, or any of their respective officers, directors, employees or agents has been convicted of any crime or engaged in any conduct that could result in a debarment or exclusion under (i) 21 U.S.C. Section 335a or (ii) any similar applicable Law, or is or has ever been debarred or excluded. To the Knowledge of the Company, no debarment or exclusionary claims, actions, proceedings or investigations in respect of their business or products are pending or threatened against the Company, any of its Subsidiaries, and to the Knowledge of the Company, any contract manufacturer with respect to any Company Product Candidate, or any of their respective officers, employees or agents.</w:t>
      </w:r>
    </w:p>
    <w:p>
      <w:pPr>
        <w:spacing w:after="0" w:line="67" w:lineRule="exact"/>
        <w:rPr>
          <w:sz w:val="20"/>
          <w:szCs w:val="20"/>
          <w:color w:val="auto"/>
        </w:rPr>
      </w:pPr>
    </w:p>
    <w:p>
      <w:pPr>
        <w:ind w:firstLine="1253"/>
        <w:spacing w:after="0" w:line="254" w:lineRule="auto"/>
        <w:tabs>
          <w:tab w:leader="none" w:pos="147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manufacturing operations conducted by, or to the Knowledge of the Company, for the benefit of, the Company or its Subsidiaries in connection with any Company Product Candidate, since January 1, 2019, have been and are being conducted in compliance in all material respects with applicable Laws, including the FDA’s standards for current good manufacturing practices, including applicable requirements contained in 21 C.F.R. Parts 210, 211, 600-680, and 1271, and the respective counterparts thereof promulgated by Governmental Authorities in countries outside the United States.</w:t>
      </w:r>
    </w:p>
    <w:p>
      <w:pPr>
        <w:spacing w:after="0" w:line="67" w:lineRule="exact"/>
        <w:rPr>
          <w:rFonts w:ascii="Times New Roman" w:cs="Times New Roman" w:eastAsia="Times New Roman" w:hAnsi="Times New Roman"/>
          <w:sz w:val="16"/>
          <w:szCs w:val="16"/>
          <w:color w:val="auto"/>
        </w:rPr>
      </w:pPr>
    </w:p>
    <w:p>
      <w:pPr>
        <w:ind w:right="20" w:firstLine="1253"/>
        <w:spacing w:after="0" w:line="252" w:lineRule="auto"/>
        <w:tabs>
          <w:tab w:leader="none" w:pos="147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manufacturing site owned by the Company or its Subsidiaries, and to the Knowledge of the Company, no manufacturing site of a contract manufacturer, with respect to any Company Product Candidate, (i) is subject to a Drug Regulatory Agency shutdown or import or export prohibition or (ii) has received any Form FDA 483, notice of violation, warning letter, untitled letter, or similar correspondence or notice from the FDA or other Governmental Authority alleging or asserting noncompliance with any applicable Law, in each case, that have not been complied with or closed to the satisfaction of the relevant Governmental Authority, and, to the Knowledge of the Company, neither the FDA nor any other Governmental Authority is considering such action.</w:t>
      </w:r>
    </w:p>
    <w:p>
      <w:pPr>
        <w:spacing w:after="0" w:line="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3.15 </w:t>
      </w:r>
      <w:r>
        <w:rPr>
          <w:rFonts w:ascii="Times New Roman" w:cs="Times New Roman" w:eastAsia="Times New Roman" w:hAnsi="Times New Roman"/>
          <w:sz w:val="16"/>
          <w:szCs w:val="16"/>
          <w:u w:val="single" w:color="auto"/>
          <w:color w:val="auto"/>
        </w:rPr>
        <w:t>Legal Proceedings; Orders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60" w:firstLine="1253"/>
        <w:spacing w:after="0" w:line="256" w:lineRule="auto"/>
        <w:tabs>
          <w:tab w:leader="none" w:pos="146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pending Legal Proceeding and, to the Knowledge of the Company, no Person has threatened in writing to commence any Legal Proceeding: (i) that involves the Company or any of its Subsidiaries, any Company Associate (in his or her capacity as such) or any of the material assets owned or used by the Company or its Subsidiaries or (ii) that challenges, or that may have the effect of preventing, delaying, making illegal or otherwise interfering with, the Contemplated Transactions.</w:t>
      </w:r>
    </w:p>
    <w:p>
      <w:pPr>
        <w:spacing w:after="0" w:line="66" w:lineRule="exact"/>
        <w:rPr>
          <w:rFonts w:ascii="Times New Roman" w:cs="Times New Roman" w:eastAsia="Times New Roman" w:hAnsi="Times New Roman"/>
          <w:sz w:val="16"/>
          <w:szCs w:val="16"/>
          <w:color w:val="auto"/>
        </w:rPr>
      </w:pPr>
    </w:p>
    <w:p>
      <w:pPr>
        <w:jc w:val="both"/>
        <w:ind w:right="80" w:firstLine="1253"/>
        <w:spacing w:after="0" w:line="256" w:lineRule="auto"/>
        <w:tabs>
          <w:tab w:leader="none" w:pos="1478"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Order to which the Company or any of its Subsidiaries, or any of the material assets owned or used by the Company or any of its Subsidiaries, is subject. To the Knowledge of the Company, no officer or other Key Employee of the Company or any of its Subsidiaries is subject to any Order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9640"/>
          </w:cols>
          <w:pgMar w:left="1120" w:top="253" w:right="1139" w:bottom="1440" w:gutter="0" w:footer="0" w:header="0"/>
        </w:sectPr>
      </w:pPr>
    </w:p>
    <w:bookmarkStart w:id="56" w:name="page57"/>
    <w:bookmarkEnd w:id="56"/>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3.16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00" w:firstLine="1253"/>
        <w:spacing w:after="0" w:line="256" w:lineRule="auto"/>
        <w:tabs>
          <w:tab w:leader="none" w:pos="146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has timely filed all federal income Tax Returns and other material Tax Returns that it was required to file under applicable Law. All such Tax Returns are true, correct and complete in all material respects and have been prepared in material compliance with all applicable Laws. No written claim has ever been made by a Governmental Authority in a jurisdiction where the Company or any of its Subsidiaries does not file Tax Returns that the Company or any such Subsidiary is subject to taxation by that jurisdiction.</w:t>
      </w:r>
    </w:p>
    <w:p>
      <w:pPr>
        <w:spacing w:after="0" w:line="66" w:lineRule="exact"/>
        <w:rPr>
          <w:rFonts w:ascii="Times New Roman" w:cs="Times New Roman" w:eastAsia="Times New Roman" w:hAnsi="Times New Roman"/>
          <w:sz w:val="16"/>
          <w:szCs w:val="16"/>
          <w:color w:val="auto"/>
        </w:rPr>
      </w:pPr>
    </w:p>
    <w:p>
      <w:pPr>
        <w:jc w:val="both"/>
        <w:ind w:right="120" w:firstLine="1253"/>
        <w:spacing w:after="0" w:line="261" w:lineRule="auto"/>
        <w:tabs>
          <w:tab w:leader="none" w:pos="147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material Taxes due and owing by the Company and each of its Subsidiaries (whether or not shown on any Tax Return) have been paid. Since the date of the Company Unaudited Interim Balance Sheet, neither the Company nor any of its Subsidiaries has incurred any material Liability for Taxes outside the Ordinary Course of Business or otherwise inconsistent with past custom and practice.</w:t>
      </w:r>
    </w:p>
    <w:p>
      <w:pPr>
        <w:spacing w:after="0" w:line="62" w:lineRule="exact"/>
        <w:rPr>
          <w:rFonts w:ascii="Times New Roman" w:cs="Times New Roman" w:eastAsia="Times New Roman" w:hAnsi="Times New Roman"/>
          <w:sz w:val="16"/>
          <w:szCs w:val="16"/>
          <w:color w:val="auto"/>
        </w:rPr>
      </w:pPr>
    </w:p>
    <w:p>
      <w:pPr>
        <w:ind w:right="20" w:firstLine="1253"/>
        <w:spacing w:after="0" w:line="276" w:lineRule="auto"/>
        <w:tabs>
          <w:tab w:leader="none" w:pos="146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Subsidiaries has withheld and paid all material Taxes required to have been withheld and paid by it in connection with any amounts paid or owing to any employee, independent contractor, creditor, stockholder, or other third party.</w:t>
      </w:r>
    </w:p>
    <w:p>
      <w:pPr>
        <w:spacing w:after="0" w:line="49"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Encumbrances for Taxes (other than Permitted Encumbrances) upon any of the assets of the Company or any of its</w:t>
      </w:r>
    </w:p>
    <w:p>
      <w:pPr>
        <w:spacing w:after="0" w:line="3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Subsidiaries.</w:t>
      </w:r>
    </w:p>
    <w:p>
      <w:pPr>
        <w:spacing w:after="0" w:line="82" w:lineRule="exact"/>
        <w:rPr>
          <w:rFonts w:ascii="Times New Roman" w:cs="Times New Roman" w:eastAsia="Times New Roman" w:hAnsi="Times New Roman"/>
          <w:sz w:val="15"/>
          <w:szCs w:val="15"/>
          <w:color w:val="auto"/>
        </w:rPr>
      </w:pPr>
    </w:p>
    <w:p>
      <w:pPr>
        <w:ind w:firstLine="1253"/>
        <w:spacing w:after="0" w:line="254" w:lineRule="auto"/>
        <w:tabs>
          <w:tab w:leader="none" w:pos="146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deficiencies for Taxes with respect to the Company or any of its Subsidiaries have been claimed, proposed or assessed by any Governmental Authority in writing that have not been resolved or settled in full. There are no pending (or, based on written notice, threatened) audits, assessments or other actions for or relating to any liability in respect of Taxes of the Company or any of its Subsidiaries. Neither the Company nor any of its Subsidiaries (or any of their predecessors) has waived any statute of limitations in respect of Taxes or agreed to any extension of time with respect to a Tax assessment or deficiency, which waiver or extension is currently in effect.</w:t>
      </w:r>
    </w:p>
    <w:p>
      <w:pPr>
        <w:spacing w:after="0" w:line="67" w:lineRule="exact"/>
        <w:rPr>
          <w:rFonts w:ascii="Times New Roman" w:cs="Times New Roman" w:eastAsia="Times New Roman" w:hAnsi="Times New Roman"/>
          <w:sz w:val="16"/>
          <w:szCs w:val="16"/>
          <w:color w:val="auto"/>
        </w:rPr>
      </w:pPr>
    </w:p>
    <w:p>
      <w:pPr>
        <w:ind w:right="340" w:firstLine="1253"/>
        <w:spacing w:after="0" w:line="276" w:lineRule="auto"/>
        <w:tabs>
          <w:tab w:leader="none" w:pos="145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been a United States real property holding corporation within the meaning of Section 897(c)(2) of the Code during the applicable period specified in Section 897(c)(l)(A)(ii) of the Code.</w:t>
      </w:r>
    </w:p>
    <w:p>
      <w:pPr>
        <w:spacing w:after="0" w:line="49" w:lineRule="exact"/>
        <w:rPr>
          <w:rFonts w:ascii="Times New Roman" w:cs="Times New Roman" w:eastAsia="Times New Roman" w:hAnsi="Times New Roman"/>
          <w:sz w:val="16"/>
          <w:szCs w:val="16"/>
          <w:color w:val="auto"/>
        </w:rPr>
      </w:pPr>
    </w:p>
    <w:p>
      <w:pPr>
        <w:jc w:val="both"/>
        <w:ind w:right="260" w:firstLine="1253"/>
        <w:spacing w:after="0" w:line="261" w:lineRule="auto"/>
        <w:tabs>
          <w:tab w:leader="none" w:pos="147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a party to any Tax allocation, Tax sharing or similar agreement (including indemnity arrangements), other than customary indemnification provisions in commercial contracts not primarily related to Taxes entered into in the Ordinary Course of Business, including with vendors, customers, lenders, or landlords.</w:t>
      </w:r>
    </w:p>
    <w:p>
      <w:pPr>
        <w:spacing w:after="0" w:line="62" w:lineRule="exact"/>
        <w:rPr>
          <w:rFonts w:ascii="Times New Roman" w:cs="Times New Roman" w:eastAsia="Times New Roman" w:hAnsi="Times New Roman"/>
          <w:sz w:val="16"/>
          <w:szCs w:val="16"/>
          <w:color w:val="auto"/>
        </w:rPr>
      </w:pPr>
    </w:p>
    <w:p>
      <w:pPr>
        <w:jc w:val="both"/>
        <w:ind w:right="40" w:firstLine="1253"/>
        <w:spacing w:after="0" w:line="256" w:lineRule="auto"/>
        <w:tabs>
          <w:tab w:leader="none" w:pos="147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ever been a member of an affiliated group filing a consolidated U.S. federal income Tax Return (other than a group the common parent of which is the Company). Neither the Company nor any of its Subsidiaries has any material Liability for the Taxes of any Person (other than the Company and any of its Subsidiaries) under Treasury Regulations Section 1.1502-6 (or any similar provision of state, local, or foreign Law) or as a transferee or successor.</w:t>
      </w:r>
    </w:p>
    <w:p>
      <w:pPr>
        <w:spacing w:after="0" w:line="66" w:lineRule="exact"/>
        <w:rPr>
          <w:rFonts w:ascii="Times New Roman" w:cs="Times New Roman" w:eastAsia="Times New Roman" w:hAnsi="Times New Roman"/>
          <w:sz w:val="16"/>
          <w:szCs w:val="16"/>
          <w:color w:val="auto"/>
        </w:rPr>
      </w:pPr>
    </w:p>
    <w:p>
      <w:pPr>
        <w:ind w:right="460" w:firstLine="1253"/>
        <w:spacing w:after="0" w:line="276" w:lineRule="auto"/>
        <w:tabs>
          <w:tab w:leader="none" w:pos="1443"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distributed stock of another Person, or has had its stock distributed by another Person, in a transaction that was purported or intended to be governed in whole or in part by Section 355 of the Code.</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9620"/>
          </w:cols>
          <w:pgMar w:left="1120" w:top="253" w:right="1159" w:bottom="1440" w:gutter="0" w:footer="0" w:header="0"/>
        </w:sectPr>
      </w:pPr>
    </w:p>
    <w:bookmarkStart w:id="57" w:name="page58"/>
    <w:bookmarkEnd w:id="57"/>
    <w:p>
      <w:pPr>
        <w:ind w:left="1" w:right="120" w:firstLine="1253"/>
        <w:spacing w:after="0" w:line="276" w:lineRule="auto"/>
        <w:tabs>
          <w:tab w:leader="none" w:pos="1444"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Neither the Company nor any of its Subsidiaries has entered into any transaction identified as a “listed transaction” for purposes of Treasury Regulations Sections 1.6011-4(b)(2) or 301.6111-2(b)(2) or any analogous provision of state or local Law.</w:t>
      </w:r>
    </w:p>
    <w:p>
      <w:pPr>
        <w:spacing w:after="0" w:line="49" w:lineRule="exact"/>
        <w:rPr>
          <w:rFonts w:ascii="Times New Roman" w:cs="Times New Roman" w:eastAsia="Times New Roman" w:hAnsi="Times New Roman"/>
          <w:sz w:val="16"/>
          <w:szCs w:val="16"/>
          <w:color w:val="auto"/>
        </w:rPr>
      </w:pPr>
    </w:p>
    <w:p>
      <w:pPr>
        <w:ind w:left="1" w:firstLine="1253"/>
        <w:spacing w:after="0" w:line="276" w:lineRule="auto"/>
        <w:tabs>
          <w:tab w:leader="none" w:pos="1479"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3.16(k)</w:t>
      </w:r>
      <w:r>
        <w:rPr>
          <w:rFonts w:ascii="Times New Roman" w:cs="Times New Roman" w:eastAsia="Times New Roman" w:hAnsi="Times New Roman"/>
          <w:sz w:val="16"/>
          <w:szCs w:val="16"/>
          <w:color w:val="auto"/>
        </w:rPr>
        <w:t xml:space="preserve"> of the Company Disclosure Schedule sets forth the entity classification of each of the Company’s Subsidiaries for U.S. federal income tax purposes under Section 7701 of the Code.</w:t>
      </w:r>
    </w:p>
    <w:p>
      <w:pPr>
        <w:spacing w:after="0" w:line="49" w:lineRule="exact"/>
        <w:rPr>
          <w:rFonts w:ascii="Times New Roman" w:cs="Times New Roman" w:eastAsia="Times New Roman" w:hAnsi="Times New Roman"/>
          <w:sz w:val="16"/>
          <w:szCs w:val="16"/>
          <w:color w:val="auto"/>
        </w:rPr>
      </w:pPr>
    </w:p>
    <w:p>
      <w:pPr>
        <w:ind w:left="1" w:right="200" w:firstLine="1253"/>
        <w:spacing w:after="0" w:line="261" w:lineRule="auto"/>
        <w:tabs>
          <w:tab w:leader="none" w:pos="1444"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aware of any facts, or has knowingly taken or agreed to take or refrain from taking any action, in each case, that would reasonably be expected to prevent or impede the Merger from qualifying as a “reorganization” within the meaning of Section 368(a) of the Code.</w:t>
      </w:r>
    </w:p>
    <w:p>
      <w:pPr>
        <w:spacing w:after="0" w:line="62" w:lineRule="exact"/>
        <w:rPr>
          <w:rFonts w:ascii="Times New Roman" w:cs="Times New Roman" w:eastAsia="Times New Roman" w:hAnsi="Times New Roman"/>
          <w:sz w:val="16"/>
          <w:szCs w:val="16"/>
          <w:color w:val="auto"/>
        </w:rPr>
      </w:pPr>
    </w:p>
    <w:p>
      <w:pPr>
        <w:ind w:left="1" w:right="80" w:firstLine="1253"/>
        <w:spacing w:after="0" w:line="261" w:lineRule="auto"/>
        <w:tabs>
          <w:tab w:leader="none" w:pos="1523"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outstanding power of attorney from the Company or any of its Subsidiaries authorizing anyone to act on behalf of the Company or any of its Subsidiaries in connection with any Tax, Tax Return or action relating to any Tax or Tax Return of the Company or any of its Subsidiaries.</w:t>
      </w:r>
    </w:p>
    <w:p>
      <w:pPr>
        <w:spacing w:after="0" w:line="62" w:lineRule="exact"/>
        <w:rPr>
          <w:rFonts w:ascii="Times New Roman" w:cs="Times New Roman" w:eastAsia="Times New Roman" w:hAnsi="Times New Roman"/>
          <w:sz w:val="16"/>
          <w:szCs w:val="16"/>
          <w:color w:val="auto"/>
        </w:rPr>
      </w:pPr>
    </w:p>
    <w:p>
      <w:pPr>
        <w:ind w:left="1" w:firstLine="1253"/>
        <w:spacing w:after="0" w:line="269" w:lineRule="auto"/>
        <w:tabs>
          <w:tab w:leader="none" w:pos="1479"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its Subsidiaries will be required to include any material item of income in, or exclude any material item of deduction from,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received outside the Ordinary Course of Business,</w:t>
      </w:r>
    </w:p>
    <w:p>
      <w:pPr>
        <w:ind w:left="1" w:right="40" w:hanging="1"/>
        <w:spacing w:after="0" w:line="249" w:lineRule="auto"/>
        <w:tabs>
          <w:tab w:leader="none" w:pos="26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intercompany item under Treasury Regulations Section 1.1502-13 or an excess loss account under Treasury Regulations Section 1.1502-19, (v) a change in the accounting method of the Company pursuant to Section 481 of the Code or any similar provision of state, local or non-U.S. income Tax Law or the use of a method of accounting with respect to any transaction that occurred on or before the Closing Date; or (vi) any inclusion under Section 965 of the Code.</w:t>
      </w:r>
    </w:p>
    <w:p>
      <w:pPr>
        <w:spacing w:after="0" w:line="70" w:lineRule="exact"/>
        <w:rPr>
          <w:rFonts w:ascii="Times New Roman" w:cs="Times New Roman" w:eastAsia="Times New Roman" w:hAnsi="Times New Roman"/>
          <w:sz w:val="16"/>
          <w:szCs w:val="16"/>
          <w:color w:val="auto"/>
        </w:rPr>
      </w:pPr>
    </w:p>
    <w:p>
      <w:pPr>
        <w:ind w:left="1481" w:hanging="227"/>
        <w:spacing w:after="0"/>
        <w:tabs>
          <w:tab w:leader="none" w:pos="1481"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an investment company as defined in Section 368(a)(2)(F)(iii) and (iv) of the Code.</w:t>
      </w:r>
    </w:p>
    <w:p>
      <w:pPr>
        <w:spacing w:after="0" w:line="100"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3.17 </w:t>
      </w:r>
      <w:r>
        <w:rPr>
          <w:rFonts w:ascii="Times New Roman" w:cs="Times New Roman" w:eastAsia="Times New Roman" w:hAnsi="Times New Roman"/>
          <w:sz w:val="16"/>
          <w:szCs w:val="16"/>
          <w:u w:val="single" w:color="auto"/>
          <w:color w:val="auto"/>
        </w:rPr>
        <w:t>Employee and Labor Matters; Benefit Plans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right="40" w:firstLine="1253"/>
        <w:spacing w:after="0" w:line="256" w:lineRule="auto"/>
        <w:tabs>
          <w:tab w:leader="none" w:pos="147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employment of each of the Company’s and any of its Subsidiaries’ employees is terminable by the Company or the applicable Subsidiary at will, subject to any notice provisions of applicable employment agreements. The Company has made available to Gem accurate and complete copies of all employee manuals and handbooks, disclosure materials, policy statements and other materials relating to the employment of Company Associates to the extent currently effective and material.</w:t>
      </w:r>
    </w:p>
    <w:p>
      <w:pPr>
        <w:spacing w:after="0" w:line="66" w:lineRule="exact"/>
        <w:rPr>
          <w:rFonts w:ascii="Times New Roman" w:cs="Times New Roman" w:eastAsia="Times New Roman" w:hAnsi="Times New Roman"/>
          <w:sz w:val="16"/>
          <w:szCs w:val="16"/>
          <w:color w:val="auto"/>
        </w:rPr>
      </w:pPr>
    </w:p>
    <w:p>
      <w:pPr>
        <w:ind w:left="1" w:right="60" w:firstLine="1253"/>
        <w:spacing w:after="0" w:line="261" w:lineRule="auto"/>
        <w:tabs>
          <w:tab w:leader="none" w:pos="147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a party to, bound by, or has a duty to bargain under, any collective bargaining agreement or other Contract with a labor organization representing any of its employees, and there are no labor organizations representing or, to the Knowledge of the Company, purporting to represent or seeking to represent any employees of the Company or its Subsidiaries.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9641"/>
          </w:cols>
          <w:pgMar w:left="1119" w:top="253" w:right="1139" w:bottom="1440" w:gutter="0" w:footer="0" w:header="0"/>
        </w:sectPr>
      </w:pPr>
    </w:p>
    <w:bookmarkStart w:id="58" w:name="page59"/>
    <w:bookmarkEnd w:id="58"/>
    <w:p>
      <w:pPr>
        <w:ind w:left="1460" w:hanging="207"/>
        <w:spacing w:after="0"/>
        <w:tabs>
          <w:tab w:leader="none" w:pos="14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Section 3.17(c)</w:t>
      </w:r>
      <w:r>
        <w:rPr>
          <w:rFonts w:ascii="Times New Roman" w:cs="Times New Roman" w:eastAsia="Times New Roman" w:hAnsi="Times New Roman"/>
          <w:sz w:val="16"/>
          <w:szCs w:val="16"/>
          <w:color w:val="auto"/>
        </w:rPr>
        <w:t xml:space="preserve"> of the Company Disclosure Schedule lists all Company Employee Plans.</w:t>
      </w:r>
    </w:p>
    <w:p>
      <w:pPr>
        <w:spacing w:after="0" w:line="99" w:lineRule="exact"/>
        <w:rPr>
          <w:rFonts w:ascii="Times New Roman" w:cs="Times New Roman" w:eastAsia="Times New Roman" w:hAnsi="Times New Roman"/>
          <w:sz w:val="16"/>
          <w:szCs w:val="16"/>
          <w:color w:val="auto"/>
        </w:rPr>
      </w:pPr>
    </w:p>
    <w:p>
      <w:pPr>
        <w:ind w:right="20" w:firstLine="1253"/>
        <w:spacing w:after="0" w:line="252" w:lineRule="auto"/>
        <w:tabs>
          <w:tab w:leader="none" w:pos="147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Employee Plan that is intended to qualify under Section 401(a) of the Code has received a favorable determination or opinion letter with respect to such qualified status from the IRS or may rely on an opinion letter issued by the IRS with respect to a prototype plan adopted in accordance with the requirements for such reliance, or has time remaining for application to the IRS for a determination of the qualified status of such Employee Plan for any period for which such Employee Plan would not otherwise be covered by an IRS determination. To the Knowledge of the Company, nothing has occurred that would reasonably be expected to adversely affect the qualified status of any such Company Employee Plan or require corrective action to the IRS or Employee Plan Compliance Resolution System to maintain such qualification.</w:t>
      </w:r>
    </w:p>
    <w:p>
      <w:pPr>
        <w:spacing w:after="0" w:line="70" w:lineRule="exact"/>
        <w:rPr>
          <w:rFonts w:ascii="Times New Roman" w:cs="Times New Roman" w:eastAsia="Times New Roman" w:hAnsi="Times New Roman"/>
          <w:sz w:val="16"/>
          <w:szCs w:val="16"/>
          <w:color w:val="auto"/>
        </w:rPr>
      </w:pPr>
    </w:p>
    <w:p>
      <w:pPr>
        <w:ind w:right="80" w:firstLine="1253"/>
        <w:spacing w:after="0" w:line="254" w:lineRule="auto"/>
        <w:tabs>
          <w:tab w:leader="none" w:pos="1469"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Employee Plan has been established, operated and administered in compliance, in all material respects, with its terms and all applicable Law, including without limitation, the Code, ERISA, and the Affordable Care Act. No Legal Proceeding (other than those relating to routine claims for benefits) is pending or, 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w:t>
      </w:r>
    </w:p>
    <w:p>
      <w:pPr>
        <w:spacing w:after="0" w:line="67" w:lineRule="exact"/>
        <w:rPr>
          <w:rFonts w:ascii="Times New Roman" w:cs="Times New Roman" w:eastAsia="Times New Roman" w:hAnsi="Times New Roman"/>
          <w:sz w:val="16"/>
          <w:szCs w:val="16"/>
          <w:color w:val="auto"/>
        </w:rPr>
      </w:pPr>
    </w:p>
    <w:p>
      <w:pPr>
        <w:ind w:right="20" w:firstLine="1253"/>
        <w:spacing w:after="0" w:line="254" w:lineRule="auto"/>
        <w:tabs>
          <w:tab w:leader="none" w:pos="145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ERISA Affiliates has ever maintained, contributed to, or been required to contribute to or had any liability or obligation (including on account of any ERISA Affiliate) with respect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 that has not been paid in full.</w:t>
      </w:r>
    </w:p>
    <w:p>
      <w:pPr>
        <w:spacing w:after="0" w:line="67" w:lineRule="exact"/>
        <w:rPr>
          <w:rFonts w:ascii="Times New Roman" w:cs="Times New Roman" w:eastAsia="Times New Roman" w:hAnsi="Times New Roman"/>
          <w:sz w:val="16"/>
          <w:szCs w:val="16"/>
          <w:color w:val="auto"/>
        </w:rPr>
      </w:pPr>
    </w:p>
    <w:p>
      <w:pPr>
        <w:ind w:firstLine="1253"/>
        <w:spacing w:after="0" w:line="256" w:lineRule="auto"/>
        <w:tabs>
          <w:tab w:leader="none" w:pos="147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for as listed on </w:t>
      </w:r>
      <w:r>
        <w:rPr>
          <w:rFonts w:ascii="Times New Roman" w:cs="Times New Roman" w:eastAsia="Times New Roman" w:hAnsi="Times New Roman"/>
          <w:sz w:val="16"/>
          <w:szCs w:val="16"/>
          <w:u w:val="single" w:color="auto"/>
          <w:color w:val="auto"/>
        </w:rPr>
        <w:t>Section 3.17(g)</w:t>
      </w:r>
      <w:r>
        <w:rPr>
          <w:rFonts w:ascii="Times New Roman" w:cs="Times New Roman" w:eastAsia="Times New Roman" w:hAnsi="Times New Roman"/>
          <w:sz w:val="16"/>
          <w:szCs w:val="16"/>
          <w:color w:val="auto"/>
        </w:rPr>
        <w:t xml:space="preserve"> of the Company Disclosure Schedule, no Company Employee Plan provides health care or any other non-pension benefits to any service provider beyond termination of service or retirement (other than as required by Part 6 of Subtitle B of Title I of ERISA or similar state Law or as cash severance). No Company Employee Plan provides major medical health or long-term disability benefits that are not fully insured through an insurance contract.</w:t>
      </w:r>
    </w:p>
    <w:p>
      <w:pPr>
        <w:spacing w:after="0" w:line="66"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Employee Plan is subject to any Law of a foreign jurisdiction outside of the United States.</w:t>
      </w:r>
    </w:p>
    <w:p>
      <w:pPr>
        <w:spacing w:after="0" w:line="99" w:lineRule="exact"/>
        <w:rPr>
          <w:rFonts w:ascii="Times New Roman" w:cs="Times New Roman" w:eastAsia="Times New Roman" w:hAnsi="Times New Roman"/>
          <w:sz w:val="16"/>
          <w:szCs w:val="16"/>
          <w:color w:val="auto"/>
        </w:rPr>
      </w:pPr>
    </w:p>
    <w:p>
      <w:pPr>
        <w:ind w:right="40" w:firstLine="1253"/>
        <w:spacing w:after="0" w:line="256" w:lineRule="auto"/>
        <w:tabs>
          <w:tab w:leader="none" w:pos="144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Employee Plan that constitutes in any part a “nonqualified deferred compensation plan” (as such term is defined under Section 409A(d)(1) of the Code and the guidance thereunder) has been operated and maintained in all material respects in operational and documentary compliance with the requirements of Section 409A of the Code and the applicable guidance thereunder. No payment to be made under any Company Employee Plan is, or to the Knowledge of the Company, will be subject to the penalties of Section 409A(a)(1) of the Code.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9640"/>
          </w:cols>
          <w:pgMar w:left="1120" w:top="253" w:right="1139" w:bottom="1440" w:gutter="0" w:footer="0" w:header="0"/>
        </w:sectPr>
      </w:pPr>
    </w:p>
    <w:bookmarkStart w:id="59" w:name="page60"/>
    <w:bookmarkEnd w:id="59"/>
    <w:p>
      <w:pPr>
        <w:jc w:val="both"/>
        <w:ind w:right="20" w:firstLine="1253"/>
        <w:spacing w:after="0" w:line="261" w:lineRule="auto"/>
        <w:tabs>
          <w:tab w:leader="none" w:pos="144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Any transfer of property by the Company or any of its Subsidiaries which was subject to a substantial risk of forfeiture and which would otherwise have been subject to taxation under Section 83(a) of the Code is covered by a valid and timely filed election under Section 83(b) of the Code, and a copy of such election has been provided to the Company.</w:t>
      </w:r>
    </w:p>
    <w:p>
      <w:pPr>
        <w:spacing w:after="0" w:line="62" w:lineRule="exact"/>
        <w:rPr>
          <w:rFonts w:ascii="Times New Roman" w:cs="Times New Roman" w:eastAsia="Times New Roman" w:hAnsi="Times New Roman"/>
          <w:sz w:val="16"/>
          <w:szCs w:val="16"/>
          <w:color w:val="auto"/>
        </w:rPr>
      </w:pPr>
    </w:p>
    <w:p>
      <w:pPr>
        <w:ind w:right="20" w:firstLine="1253"/>
        <w:spacing w:after="0" w:line="267" w:lineRule="auto"/>
        <w:tabs>
          <w:tab w:leader="none" w:pos="1478"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each of its Subsidiaries is and has since January 1, 2019 been in material compliance with all applicable federal, state and local laws, rules and regulations respecting employment, employment practices, terms and conditions of employment, worker classification, and tax withholding. prohibited discrimination, equal employment, fair employment practices, meal and rest periods, immigration status, employee safety and health, wages (including overtime wages), compensation, and hours of work, and in each case, with respect to the employees of the Company and its Subsidiaries: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To the Knowledge of the Company or any of its Subsidiaries, there are no pending or threatened or reasonably anticipated claims or actions against the Company, any of its Subsidiaries, any Company trustee or any trustee of any Subsidiary under any workers’ compensation policy or long-term disability policy that would or would be reasonably expected to result in a material liability to the Company. Neither the Company nor any Subsidiary thereof is a party to a conciliation agreement, consent decree or other agreement or Order with any federal, state, or local agency or Governmental Authority with respect to employment practices.</w:t>
      </w:r>
    </w:p>
    <w:p>
      <w:pPr>
        <w:spacing w:after="0" w:line="59" w:lineRule="exact"/>
        <w:rPr>
          <w:rFonts w:ascii="Times New Roman" w:cs="Times New Roman" w:eastAsia="Times New Roman" w:hAnsi="Times New Roman"/>
          <w:sz w:val="15"/>
          <w:szCs w:val="15"/>
          <w:color w:val="auto"/>
        </w:rPr>
      </w:pPr>
    </w:p>
    <w:p>
      <w:pPr>
        <w:ind w:firstLine="1253"/>
        <w:spacing w:after="0" w:line="252" w:lineRule="auto"/>
        <w:tabs>
          <w:tab w:leader="none" w:pos="144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has any material liability with respect to any misclassification since January 1, 2019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the WARN Act or any similar state or local law that remains unsatisfied.</w:t>
      </w:r>
    </w:p>
    <w:p>
      <w:pPr>
        <w:spacing w:after="0" w:line="70" w:lineRule="exact"/>
        <w:rPr>
          <w:rFonts w:ascii="Times New Roman" w:cs="Times New Roman" w:eastAsia="Times New Roman" w:hAnsi="Times New Roman"/>
          <w:sz w:val="16"/>
          <w:szCs w:val="16"/>
          <w:color w:val="auto"/>
        </w:rPr>
      </w:pPr>
    </w:p>
    <w:p>
      <w:pPr>
        <w:ind w:right="60" w:firstLine="1253"/>
        <w:spacing w:after="0" w:line="254" w:lineRule="auto"/>
        <w:tabs>
          <w:tab w:leader="none" w:pos="1522"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never been, nor has there been any threat of, any strike, slowdown, work stoppage, lockout, job action, union, organizing activity, question concerning representation or any similar activity or dispute, affecting the Company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67" w:lineRule="exact"/>
        <w:rPr>
          <w:rFonts w:ascii="Times New Roman" w:cs="Times New Roman" w:eastAsia="Times New Roman" w:hAnsi="Times New Roman"/>
          <w:sz w:val="16"/>
          <w:szCs w:val="16"/>
          <w:color w:val="auto"/>
        </w:rPr>
      </w:pPr>
    </w:p>
    <w:p>
      <w:pPr>
        <w:ind w:firstLine="1253"/>
        <w:spacing w:after="0" w:line="261" w:lineRule="auto"/>
        <w:tabs>
          <w:tab w:leader="none" w:pos="147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is, nor has the Company or any of its Subsidiaries been, engaged in any unfair labor practice within the meaning of the National Labor Relations Act. There is no Legal Proceeding, claim, labor dispute or grievance pending or, to the Knowledge of the Company or any of its Subsidiaries, threatened or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9640"/>
          </w:cols>
          <w:pgMar w:left="1120" w:top="253" w:right="1139" w:bottom="1440" w:gutter="0" w:footer="0" w:header="0"/>
        </w:sectPr>
      </w:pPr>
    </w:p>
    <w:bookmarkStart w:id="60" w:name="page61"/>
    <w:bookmarkEnd w:id="60"/>
    <w:p>
      <w:pPr>
        <w:ind w:right="140"/>
        <w:spacing w:after="0" w:line="28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reasonably anticipated relating to any employment contract, employment termination, privacy right, labor dispute, wages and hours, leave of absence, plant closing notification, workers’ compensation policy, long-term disability policy, harassment, retaliation, immigration, employment statute or regulation, safety or discrimination matter involving any Company Associate, including charges of unfair labor practices or discrimination complaints.</w:t>
      </w:r>
    </w:p>
    <w:p>
      <w:pPr>
        <w:spacing w:after="0" w:line="46" w:lineRule="exact"/>
        <w:rPr>
          <w:sz w:val="20"/>
          <w:szCs w:val="20"/>
          <w:color w:val="auto"/>
        </w:rPr>
      </w:pPr>
    </w:p>
    <w:p>
      <w:pPr>
        <w:ind w:left="1480" w:hanging="227"/>
        <w:spacing w:after="0"/>
        <w:tabs>
          <w:tab w:leader="none" w:pos="14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Company Employee Plan provides for any tax “gross-up” or similar “make-whole” payments.</w:t>
      </w:r>
    </w:p>
    <w:p>
      <w:pPr>
        <w:spacing w:after="0" w:line="99" w:lineRule="exact"/>
        <w:rPr>
          <w:rFonts w:ascii="Times New Roman" w:cs="Times New Roman" w:eastAsia="Times New Roman" w:hAnsi="Times New Roman"/>
          <w:sz w:val="16"/>
          <w:szCs w:val="16"/>
          <w:color w:val="auto"/>
        </w:rPr>
      </w:pPr>
    </w:p>
    <w:p>
      <w:pPr>
        <w:ind w:firstLine="1253"/>
        <w:spacing w:after="0" w:line="271" w:lineRule="auto"/>
        <w:tabs>
          <w:tab w:leader="none" w:pos="1478"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set forth on Section 3.17(p) of the Company Disclosure Schedule, none of the execution and delivery of this Agreement, the shareholder approval of this Agreement, or the consummation of the transactions contemplated hereby could (either alone or in conjunction with any other event) (i) result in, or cause the accelerated vesting payment, funding or delivery of, or increase the amount or value of, any payment or benefit to any employee, officer, director or other service provider of the Company or any of its Subsidiaries; (ii) further restrict any rights of the Company to amend or terminate any Company Employee Plan; (iii) result in the forgiveness of any indebtedness of any employee, officer, director or other service provider of the Company or any of its Subsidiaries to the Company or its Subsidiaries or (iv) result in any “parachute payment” as defined in Section 280G(b)(2) of the Code (whether or not such payment is considered to be reasonable compensation for services rendered).</w:t>
      </w:r>
    </w:p>
    <w:p>
      <w:pPr>
        <w:spacing w:after="0" w:line="56" w:lineRule="exact"/>
        <w:rPr>
          <w:sz w:val="20"/>
          <w:szCs w:val="20"/>
          <w:color w:val="auto"/>
        </w:rPr>
      </w:pPr>
    </w:p>
    <w:p>
      <w:pPr>
        <w:ind w:right="60" w:firstLine="869"/>
        <w:spacing w:after="0" w:line="249" w:lineRule="auto"/>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Since January 1, 2019, the Company and each of its Subsidiaries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Neither the Company nor any of its Subsidiaries has received since January 1, 2019, any written notice or other communication (in writing or otherwise), whether from a Governmental Authority, citizens group, employee or otherwise, that alleges that the Company or any of its Subsidiaries is not in compliance with any Environmental Law and, to the Knowledge of the Company, there are no circumstances that may prevent or interfere with the Company’s or any of its Subsidiaries’ compliance with any Environmental Law in the future, except where such failure to comply would not reasonably be expected to have a Company Material Adverse Effect. To the Knowledge of the Company: (i) no current or prior owner of any property leased or controlled by the Company or any of its Subsidiaries has received since January 1, 2019, any written notice or other communication relating to property owned or leased at any time by the Company or any of its Subsidiaries, whether from a Governmental Authority, citizens group, employee or otherwise, that alleges that such current or prior owner or the Company or any of its Subsidiaries is not in compliance with or violated any Environmental Law relating to such property and (ii) neither the Company nor any of its Subsidiaries has any material liability under any Environmental Law.</w:t>
      </w:r>
    </w:p>
    <w:p>
      <w:pPr>
        <w:spacing w:after="0" w:line="73" w:lineRule="exact"/>
        <w:rPr>
          <w:sz w:val="20"/>
          <w:szCs w:val="20"/>
          <w:color w:val="auto"/>
        </w:rPr>
      </w:pPr>
    </w:p>
    <w:p>
      <w:pPr>
        <w:ind w:right="20" w:firstLine="869"/>
        <w:spacing w:after="0" w:line="254" w:lineRule="auto"/>
        <w:rPr>
          <w:sz w:val="20"/>
          <w:szCs w:val="20"/>
          <w:color w:val="auto"/>
        </w:rPr>
      </w:pPr>
      <w:r>
        <w:rPr>
          <w:rFonts w:ascii="Times New Roman" w:cs="Times New Roman" w:eastAsia="Times New Roman" w:hAnsi="Times New Roman"/>
          <w:sz w:val="16"/>
          <w:szCs w:val="16"/>
          <w:color w:val="auto"/>
        </w:rPr>
        <w:t xml:space="preserve">3.19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has delivered to Gem accurate and complete copies of all material insurance policies and all material self-insurance programs and arrangements relating to the business, assets, liabilities and operations of the Company and each of its Subsidiaries. Each of such insurance policies is in full force and effect and the Company and each of its Subsidiaries are in compliance in all material respects with the terms thereof. Other than customary end of policy notifications from insurance carriers, since January 1, 2019, neither the Company nor any of its Subsidiaries has received any notice or other communication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9640"/>
          </w:cols>
          <w:pgMar w:left="1120" w:top="253" w:right="1139" w:bottom="1440" w:gutter="0" w:footer="0" w:header="0"/>
        </w:sectPr>
      </w:pPr>
    </w:p>
    <w:bookmarkStart w:id="61" w:name="page62"/>
    <w:bookmarkEnd w:id="61"/>
    <w:p>
      <w:pPr>
        <w:ind w:right="8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regarding any actual or possible: (i) cancellation or invalidation of any insurance policy or (ii) refusal or denial of any coverage, reservation of rights or rejection of any material claim under any insurance policy. The Company and each of its Subsidiaries have provided timely written notice to the appropriate insurance carrier(s) of each Legal Proceeding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w:t>
      </w:r>
    </w:p>
    <w:p>
      <w:pPr>
        <w:spacing w:after="0" w:line="67" w:lineRule="exact"/>
        <w:rPr>
          <w:sz w:val="20"/>
          <w:szCs w:val="20"/>
          <w:color w:val="auto"/>
        </w:rPr>
      </w:pPr>
    </w:p>
    <w:p>
      <w:pPr>
        <w:ind w:right="340" w:firstLine="869"/>
        <w:spacing w:after="0" w:line="261" w:lineRule="auto"/>
        <w:rPr>
          <w:sz w:val="20"/>
          <w:szCs w:val="20"/>
          <w:color w:val="auto"/>
        </w:rPr>
      </w:pPr>
      <w:r>
        <w:rPr>
          <w:rFonts w:ascii="Times New Roman" w:cs="Times New Roman" w:eastAsia="Times New Roman" w:hAnsi="Times New Roman"/>
          <w:sz w:val="16"/>
          <w:szCs w:val="16"/>
          <w:color w:val="auto"/>
        </w:rPr>
        <w:t xml:space="preserve">3.20 </w:t>
      </w:r>
      <w:r>
        <w:rPr>
          <w:rFonts w:ascii="Times New Roman" w:cs="Times New Roman" w:eastAsia="Times New Roman" w:hAnsi="Times New Roman"/>
          <w:sz w:val="16"/>
          <w:szCs w:val="16"/>
          <w:u w:val="single" w:color="auto"/>
          <w:color w:val="auto"/>
        </w:rPr>
        <w:t>No Financial Advisors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Section 3.20</w:t>
      </w:r>
      <w:r>
        <w:rPr>
          <w:rFonts w:ascii="Times New Roman" w:cs="Times New Roman" w:eastAsia="Times New Roman" w:hAnsi="Times New Roman"/>
          <w:sz w:val="16"/>
          <w:szCs w:val="16"/>
          <w:color w:val="auto"/>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62" w:lineRule="exact"/>
        <w:rPr>
          <w:sz w:val="20"/>
          <w:szCs w:val="20"/>
          <w:color w:val="auto"/>
        </w:rPr>
      </w:pPr>
    </w:p>
    <w:p>
      <w:pPr>
        <w:ind w:firstLine="869"/>
        <w:spacing w:after="0" w:line="272" w:lineRule="auto"/>
        <w:rPr>
          <w:sz w:val="20"/>
          <w:szCs w:val="20"/>
          <w:color w:val="auto"/>
        </w:rPr>
      </w:pPr>
      <w:r>
        <w:rPr>
          <w:rFonts w:ascii="Times New Roman" w:cs="Times New Roman" w:eastAsia="Times New Roman" w:hAnsi="Times New Roman"/>
          <w:sz w:val="15"/>
          <w:szCs w:val="15"/>
          <w:color w:val="auto"/>
        </w:rPr>
        <w:t xml:space="preserve">3.21 </w:t>
      </w:r>
      <w:r>
        <w:rPr>
          <w:rFonts w:ascii="Times New Roman" w:cs="Times New Roman" w:eastAsia="Times New Roman" w:hAnsi="Times New Roman"/>
          <w:sz w:val="15"/>
          <w:szCs w:val="15"/>
          <w:u w:val="single" w:color="auto"/>
          <w:color w:val="auto"/>
        </w:rPr>
        <w:t>Transactions with Affiliates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3.21</w:t>
      </w:r>
      <w:r>
        <w:rPr>
          <w:rFonts w:ascii="Times New Roman" w:cs="Times New Roman" w:eastAsia="Times New Roman" w:hAnsi="Times New Roman"/>
          <w:sz w:val="15"/>
          <w:szCs w:val="15"/>
          <w:color w:val="auto"/>
        </w:rPr>
        <w:t xml:space="preserve"> of the Company Disclosure Schedule describes any material transactions or relationships, since January 1, 2019, between, on one hand, the Company or any of its Subsidiaries and, on the other hand, any (a) executive officer or director of the Company or any of its Subsidiaries or any of such executive officer’s or director’s immediate family members, (b) owner of more than five percent (5%) of the voting power of the outstanding Company Capital Stock or (c) to the Knowledge of the Company, any “related person” (within the meaning of Item 404 of Regulation S-K under the Securities Act) of any such officer, director or owner (other than the Company or its Subsidiaries) in the case of each of (a), (b) or (c) that is of the type that would be required to be disclosed under Item 404 of Regulation S-K under the Securities Act.</w:t>
      </w:r>
    </w:p>
    <w:p>
      <w:pPr>
        <w:spacing w:after="0" w:line="57" w:lineRule="exact"/>
        <w:rPr>
          <w:sz w:val="20"/>
          <w:szCs w:val="20"/>
          <w:color w:val="auto"/>
        </w:rPr>
      </w:pPr>
    </w:p>
    <w:p>
      <w:pPr>
        <w:ind w:right="40" w:firstLine="869"/>
        <w:spacing w:after="0" w:line="249" w:lineRule="auto"/>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auto"/>
        </w:rPr>
        <w:t>Privacy and Data Security</w:t>
      </w:r>
      <w:r>
        <w:rPr>
          <w:rFonts w:ascii="Times New Roman" w:cs="Times New Roman" w:eastAsia="Times New Roman" w:hAnsi="Times New Roman"/>
          <w:sz w:val="16"/>
          <w:szCs w:val="16"/>
          <w:color w:val="auto"/>
        </w:rPr>
        <w:t>. The Company has complied with all applicable Privacy Laws and the applicable terms of any Company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for such non-compliance as has not had, and would not reasonably be expected to have, individually or in the aggregate, a Company Material Adverse Effect. To the Knowledge of the Company, the Company has implemented and maintains reasonable written policies and procedures, satisfying the requirements of applicable Privacy Laws, concerning the privacy, security, collection and use of Personal Information (the “</w:t>
      </w:r>
      <w:r>
        <w:rPr>
          <w:rFonts w:ascii="Times New Roman" w:cs="Times New Roman" w:eastAsia="Times New Roman" w:hAnsi="Times New Roman"/>
          <w:sz w:val="16"/>
          <w:szCs w:val="16"/>
          <w:b w:val="1"/>
          <w:bCs w:val="1"/>
          <w:color w:val="auto"/>
        </w:rPr>
        <w:t>Privacy Policies</w:t>
      </w:r>
      <w:r>
        <w:rPr>
          <w:rFonts w:ascii="Times New Roman" w:cs="Times New Roman" w:eastAsia="Times New Roman" w:hAnsi="Times New Roman"/>
          <w:sz w:val="16"/>
          <w:szCs w:val="16"/>
          <w:color w:val="auto"/>
        </w:rPr>
        <w:t>”) and has complied with the same, except for such non-compliance as has not to the Knowledge of the Company had, and would not reasonably be expected to have, individually or in the aggregate, a Company Material Adverse Effect. To the Knowledge of the Company, as of the date hereof, no claims have been asserted or threatened against the Company by any Person alleging a violation of Privacy Laws, Privacy Policies and/or the applicable terms of any Company Contracts relating to privacy, security, collection or use of Personal Information of any individuals. There have been no data security incidents, personal data breaches or other adverse events or incidents related to Personal Information or Company data in the custody or control of the Company or any service provider acting on behalf of the Company, in each case where such incident, breach or event would result in a notification obligation to any Person under applicable law or pursuant to the terms of any Company Contract.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9640"/>
          </w:cols>
          <w:pgMar w:left="1120" w:top="253" w:right="1139" w:bottom="1440" w:gutter="0" w:footer="0" w:header="0"/>
        </w:sectPr>
      </w:pPr>
    </w:p>
    <w:bookmarkStart w:id="62" w:name="page63"/>
    <w:bookmarkEnd w:id="62"/>
    <w:p>
      <w:pPr>
        <w:ind w:firstLine="869"/>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3.23 </w:t>
      </w:r>
      <w:r>
        <w:rPr>
          <w:rFonts w:ascii="Times New Roman" w:cs="Times New Roman" w:eastAsia="Times New Roman" w:hAnsi="Times New Roman"/>
          <w:sz w:val="16"/>
          <w:szCs w:val="16"/>
          <w:u w:val="single" w:color="auto"/>
          <w:color w:val="auto"/>
        </w:rPr>
        <w:t>Subscription Agreement</w:t>
      </w:r>
      <w:r>
        <w:rPr>
          <w:rFonts w:ascii="Times New Roman" w:cs="Times New Roman" w:eastAsia="Times New Roman" w:hAnsi="Times New Roman"/>
          <w:sz w:val="16"/>
          <w:szCs w:val="16"/>
          <w:color w:val="auto"/>
        </w:rPr>
        <w:t>. The Subscription Agreement has not been amended or modified in any manner prior to the date of this Agreement. Neither the Company nor, to the Knowledge of the Company, any of its Affiliates has entered into any agreement, side letter or other arrangement relating to the Company Pre-Closing Financing other than as set forth in the Subscription Agreement. The respective obligations and agreements contained in the Subscription Agreement have not been withdrawn or rescinded in any respect. The Subscription Agreement is in full force and effect and represents a valid, binding and enforceable obligation of the Company and, to the Knowledge of the Company, of each party thereto, subject to the Enforceability Exceptions. No event has occurred which, with or without notice, lapse of time or both, would constitute a breach or default on the part of the Company or, to the Knowledge of the Company, any other party thereto, under the Subscription Agreement. To the Knowledge of the Company, no party thereto will be unable to satisfy on a timely basis any term of the Subscription Agreement. There are no conditions precedent related to the consummation of the Company Pre-Closing Financing contemplated by the Subscription Agreement, other than the satisfaction or waiver of the conditions expressly set forth in Section 6 of the Subscription Agreement.</w:t>
      </w:r>
    </w:p>
    <w:p>
      <w:pPr>
        <w:spacing w:after="0" w:line="70" w:lineRule="exact"/>
        <w:rPr>
          <w:sz w:val="20"/>
          <w:szCs w:val="20"/>
          <w:color w:val="auto"/>
        </w:rPr>
      </w:pPr>
    </w:p>
    <w:p>
      <w:pPr>
        <w:ind w:right="60" w:firstLine="869"/>
        <w:spacing w:after="0" w:line="252" w:lineRule="auto"/>
        <w:rPr>
          <w:sz w:val="20"/>
          <w:szCs w:val="20"/>
          <w:color w:val="auto"/>
        </w:rPr>
      </w:pPr>
      <w:r>
        <w:rPr>
          <w:rFonts w:ascii="Times New Roman" w:cs="Times New Roman" w:eastAsia="Times New Roman" w:hAnsi="Times New Roman"/>
          <w:sz w:val="16"/>
          <w:szCs w:val="16"/>
          <w:color w:val="auto"/>
        </w:rPr>
        <w:t xml:space="preserve">3.24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 xml:space="preserve">. The Company hereby acknowledges and agrees that, except for the representations and warranties contained in this Agreement, neither Gem nor any other person on behalf of Gem makes any express or implied representation or warranty with respect to Gem or with respect to any other information provided to the Company, any of its Subsidiaries or stockholders or any of their respective Affiliates in connection with the Contemplated Transactions, and (subject to the express representations and warranties of Gem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(in each case as qualified and limited by the Gem Disclosure Schedule)) none of the Company, its Subsidiaries or any of their respective Representatives or stockholders, has relied on any such information (including the accuracy or completeness thereof).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Representations and Warranties of Gem and Merger Sub</w:t>
      </w:r>
      <w:r>
        <w:rPr>
          <w:rFonts w:ascii="Times New Roman" w:cs="Times New Roman" w:eastAsia="Times New Roman" w:hAnsi="Times New Roman"/>
          <w:sz w:val="16"/>
          <w:szCs w:val="16"/>
          <w:color w:val="auto"/>
        </w:rPr>
        <w:t>.</w:t>
      </w:r>
    </w:p>
    <w:p>
      <w:pPr>
        <w:spacing w:after="0" w:line="98" w:lineRule="exact"/>
        <w:rPr>
          <w:sz w:val="20"/>
          <w:szCs w:val="20"/>
          <w:color w:val="auto"/>
        </w:rPr>
      </w:pPr>
    </w:p>
    <w:p>
      <w:pPr>
        <w:ind w:right="120" w:firstLine="386"/>
        <w:spacing w:after="0" w:line="253" w:lineRule="auto"/>
        <w:rPr>
          <w:sz w:val="20"/>
          <w:szCs w:val="20"/>
          <w:color w:val="auto"/>
        </w:rPr>
      </w:pPr>
      <w:r>
        <w:rPr>
          <w:rFonts w:ascii="Times New Roman" w:cs="Times New Roman" w:eastAsia="Times New Roman" w:hAnsi="Times New Roman"/>
          <w:sz w:val="16"/>
          <w:szCs w:val="16"/>
          <w:color w:val="auto"/>
        </w:rPr>
        <w:t>Except (i) as set forth in the written disclosure schedule delivered by Gem to the Company (the “</w:t>
      </w:r>
      <w:r>
        <w:rPr>
          <w:rFonts w:ascii="Times New Roman" w:cs="Times New Roman" w:eastAsia="Times New Roman" w:hAnsi="Times New Roman"/>
          <w:sz w:val="16"/>
          <w:szCs w:val="16"/>
          <w:b w:val="1"/>
          <w:bCs w:val="1"/>
          <w:color w:val="auto"/>
        </w:rPr>
        <w:t>Gem Disclosure Schedule</w:t>
      </w:r>
      <w:r>
        <w:rPr>
          <w:rFonts w:ascii="Times New Roman" w:cs="Times New Roman" w:eastAsia="Times New Roman" w:hAnsi="Times New Roman"/>
          <w:sz w:val="16"/>
          <w:szCs w:val="16"/>
          <w:color w:val="auto"/>
        </w:rPr>
        <w:t>”) or (ii) as disclosed in the Gem SEC Documents filed or furnished with the SEC on or before the day that is one (1) Business Day prior to the date of this Agreement (but excluding any disclosures contained under the heading “Risk Factors” and any disclosure of risks included in any “forward-looking statements” disclaimer or in any other section to the extent they are cautionary, predictive or forward-looking in nature), it being understood that any matter disclosed in the Gem SEC Documents shall not be deemed disclosed for purposes of Sections 4.1(a), 4.1(b) or 4.3, Gem and Merger Sub represent and warrant to the Company as follows:</w:t>
      </w:r>
    </w:p>
    <w:p>
      <w:pPr>
        <w:spacing w:after="0" w:line="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Due Organization; Subsidiaries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60" w:firstLine="1253"/>
        <w:spacing w:after="0" w:line="252" w:lineRule="auto"/>
        <w:tabs>
          <w:tab w:leader="none" w:pos="146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Gem and its Subsidiaries (including Merger Sub) is a corporation duly incorporated,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 All of Gem’s Subsidiaries are wholly owned by Gem.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9640"/>
          </w:cols>
          <w:pgMar w:left="1120" w:top="253" w:right="1139" w:bottom="1440" w:gutter="0" w:footer="0" w:header="0"/>
        </w:sectPr>
      </w:pPr>
    </w:p>
    <w:bookmarkStart w:id="63" w:name="page64"/>
    <w:bookmarkEnd w:id="63"/>
    <w:p>
      <w:pPr>
        <w:ind w:left="1" w:right="140" w:firstLine="1253"/>
        <w:spacing w:after="0" w:line="256" w:lineRule="auto"/>
        <w:tabs>
          <w:tab w:leader="none" w:pos="147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Each of Gem and its Subsidiaries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Gem Material Adverse Effect.</w:t>
      </w:r>
    </w:p>
    <w:p>
      <w:pPr>
        <w:spacing w:after="0" w:line="66" w:lineRule="exact"/>
        <w:rPr>
          <w:rFonts w:ascii="Times New Roman" w:cs="Times New Roman" w:eastAsia="Times New Roman" w:hAnsi="Times New Roman"/>
          <w:sz w:val="16"/>
          <w:szCs w:val="16"/>
          <w:color w:val="auto"/>
        </w:rPr>
      </w:pPr>
    </w:p>
    <w:p>
      <w:pPr>
        <w:ind w:left="1" w:right="80" w:firstLine="1253"/>
        <w:spacing w:after="0" w:line="252" w:lineRule="auto"/>
        <w:tabs>
          <w:tab w:leader="none" w:pos="147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on Section 4.1(c) of the Gem Disclosure Schedule, Gem has no Subsidiaries other than Merger Sub and Gem does not own any capital stock of, or any equity ownership or profit sharing interest of any nature in, or control directly or indirectly, any other Entity other than Merger Sub. Gem is not and has not otherwise been, directly or indirectly, a party to, member of or participant in any partnership, joint venture or similar business entity. Gem has not agreed and is not obligated to make, nor is Gem bound by any Contract under which it may become obligated to make, any future investment in or capital contribution to any other Entity. Gem has not, at any time, been a general partner of, and has not otherwise been liable for any of the debts or other obligations of, any general partnership, limited partnership or other Entity.</w:t>
      </w:r>
    </w:p>
    <w:p>
      <w:pPr>
        <w:spacing w:after="0" w:line="69"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Gem has delivered to the Company accurate and complete copies of Gem’s Organizational Documents.</w:t>
      </w:r>
    </w:p>
    <w:p>
      <w:pPr>
        <w:spacing w:after="0" w:line="2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Gem is not in breach or violation of its Organizational Documents in any material respect.</w:t>
      </w:r>
    </w:p>
    <w:p>
      <w:pPr>
        <w:spacing w:after="0" w:line="83" w:lineRule="exact"/>
        <w:rPr>
          <w:sz w:val="20"/>
          <w:szCs w:val="20"/>
          <w:color w:val="auto"/>
        </w:rPr>
      </w:pPr>
    </w:p>
    <w:p>
      <w:pPr>
        <w:ind w:left="1" w:firstLine="869"/>
        <w:spacing w:after="0" w:line="266" w:lineRule="auto"/>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u w:val="single" w:color="auto"/>
          <w:color w:val="auto"/>
        </w:rPr>
        <w:t>Authority; Binding Nature of Agreement</w:t>
      </w:r>
      <w:r>
        <w:rPr>
          <w:rFonts w:ascii="Times New Roman" w:cs="Times New Roman" w:eastAsia="Times New Roman" w:hAnsi="Times New Roman"/>
          <w:sz w:val="15"/>
          <w:szCs w:val="15"/>
          <w:color w:val="auto"/>
        </w:rPr>
        <w:t>. Each of Gem and Merger Sub has all necessary corporate power and authority to enter into and to perform its obligations under this Agreement and to consummate the Contemplated Transactions. The Gem Board has: (a) determined that the Contemplated Transactions are fair to, advisable and in the best interests of Gem and its stockholders, (b) approved and declared advisable this Agreement and the Contemplated Transactions, including the issuance of shares of Gem Common Stock to the stockholders of the Company pursuant to the terms of this Agreement (c) determined to recommend, upon the terms and subject to the conditions set forth in this Agreement, that the stockholders of Gem vote to approve this Agreement and the Contemplated Transactions, including the issuance of shares of Gem Common Stock to the stockholders of the Company pursuant to the terms of this Agreement, (d) determined that an amendment to Gem’s certificate of incorporation to effect the Nasdaq Reverse Split and the other amendments contemplated by Section 2.4(c) is advisable and in the best interests of Gem and its stockholders and</w:t>
      </w:r>
    </w:p>
    <w:p>
      <w:pPr>
        <w:spacing w:after="0" w:line="2" w:lineRule="exact"/>
        <w:rPr>
          <w:sz w:val="20"/>
          <w:szCs w:val="20"/>
          <w:color w:val="auto"/>
        </w:rPr>
      </w:pPr>
    </w:p>
    <w:p>
      <w:pPr>
        <w:ind w:left="1" w:right="40" w:hanging="1"/>
        <w:spacing w:after="0" w:line="247" w:lineRule="auto"/>
        <w:tabs>
          <w:tab w:leader="none" w:pos="21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determined to recommend that the stockholders of Gem vote to approve an amendment to Gem’s certificate of incorporation to effect the Nasdaq Reverse Split and to make the other amendments provided in Section 2.4. The Merger Sub Board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Gem and Merger Sub and, assuming the due authorization, execution and delivery by the Company, constitutes the legal, valid and binding obligation of Gem and Merger Sub, enforceable against each of Gem and Merger Sub in accordance with its terms, subject to the Enforceability Exceptions.</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9641"/>
          </w:cols>
          <w:pgMar w:left="1119" w:top="253" w:right="1139" w:bottom="1440" w:gutter="0" w:footer="0" w:header="0"/>
        </w:sectPr>
      </w:pPr>
    </w:p>
    <w:bookmarkStart w:id="64" w:name="page65"/>
    <w:bookmarkEnd w:id="64"/>
    <w:p>
      <w:pPr>
        <w:ind w:firstLine="869"/>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4.4 </w:t>
      </w:r>
      <w:r>
        <w:rPr>
          <w:rFonts w:ascii="Times New Roman" w:cs="Times New Roman" w:eastAsia="Times New Roman" w:hAnsi="Times New Roman"/>
          <w:sz w:val="16"/>
          <w:szCs w:val="16"/>
          <w:u w:val="single" w:color="auto"/>
          <w:color w:val="auto"/>
        </w:rPr>
        <w:t>Vote Required</w:t>
      </w:r>
      <w:r>
        <w:rPr>
          <w:rFonts w:ascii="Times New Roman" w:cs="Times New Roman" w:eastAsia="Times New Roman" w:hAnsi="Times New Roman"/>
          <w:sz w:val="16"/>
          <w:szCs w:val="16"/>
          <w:color w:val="auto"/>
        </w:rPr>
        <w:t>. The affirmative vote of a majority of (a) the votes cast at the Gem Stockholder Meeting (at which a quorum is present) is the only vote of the holders of any class or series of Gem’s capital stock necessary to approve this Agreement, and the Contemplated Transactions, including the issuance of the shares of Gem Common Stock to the stockholders of the Company in the Merger pursuant to the terms of this Agreement and (b) the outstanding shares of Gem Common Stock entitled to vote thereon is the only vote of the holders of any class or series of Gem’s capital stock necessary to approve an amendment to Gem’s certificate of incorporation to effect the Nasdaq Reverse Split and the other amendments provided in Section 2.4 (collectively, the “</w:t>
      </w:r>
      <w:r>
        <w:rPr>
          <w:rFonts w:ascii="Times New Roman" w:cs="Times New Roman" w:eastAsia="Times New Roman" w:hAnsi="Times New Roman"/>
          <w:sz w:val="16"/>
          <w:szCs w:val="16"/>
          <w:b w:val="1"/>
          <w:bCs w:val="1"/>
          <w:color w:val="auto"/>
        </w:rPr>
        <w:t>Required Gem Stockholder Vote</w:t>
      </w:r>
      <w:r>
        <w:rPr>
          <w:rFonts w:ascii="Times New Roman" w:cs="Times New Roman" w:eastAsia="Times New Roman" w:hAnsi="Times New Roman"/>
          <w:sz w:val="16"/>
          <w:szCs w:val="16"/>
          <w:color w:val="auto"/>
        </w:rPr>
        <w:t>”).</w:t>
      </w:r>
    </w:p>
    <w:p>
      <w:pPr>
        <w:spacing w:after="0" w:line="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Non-Contravention; Consents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240" w:firstLine="1253"/>
        <w:spacing w:after="0" w:line="286" w:lineRule="auto"/>
        <w:tabs>
          <w:tab w:leader="none" w:pos="146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compliance with, obtaining the Required Gem Stockholder Vote and the filing of the Certificate of Merger with the Secretary of State of the State of Delaware pursuant to the DGCL, neither (x) the execution, delivery or performance of this Agreement by Gem or Merger Sub, nor (y) the consummation of the Contemplated Transactions, will directly or indirectly (with or without notice or lapse of time):</w:t>
      </w:r>
    </w:p>
    <w:p>
      <w:pPr>
        <w:spacing w:after="0" w:line="45" w:lineRule="exact"/>
        <w:rPr>
          <w:rFonts w:ascii="Times New Roman" w:cs="Times New Roman" w:eastAsia="Times New Roman" w:hAnsi="Times New Roman"/>
          <w:sz w:val="15"/>
          <w:szCs w:val="15"/>
          <w:color w:val="auto"/>
        </w:rPr>
      </w:pPr>
    </w:p>
    <w:p>
      <w:pPr>
        <w:ind w:left="1780" w:hanging="191"/>
        <w:spacing w:after="0"/>
        <w:tabs>
          <w:tab w:leader="none" w:pos="178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violation of any of the provisions of the Organizational Documents of Gem or its</w:t>
      </w:r>
    </w:p>
    <w:p>
      <w:pPr>
        <w:spacing w:after="0" w:line="22"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82" w:lineRule="exact"/>
        <w:rPr>
          <w:rFonts w:ascii="Times New Roman" w:cs="Times New Roman" w:eastAsia="Times New Roman" w:hAnsi="Times New Roman"/>
          <w:sz w:val="16"/>
          <w:szCs w:val="16"/>
          <w:color w:val="auto"/>
        </w:rPr>
      </w:pPr>
    </w:p>
    <w:p>
      <w:pPr>
        <w:ind w:left="380" w:right="140" w:firstLine="1209"/>
        <w:spacing w:after="0" w:line="261" w:lineRule="auto"/>
        <w:tabs>
          <w:tab w:leader="none" w:pos="1816"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material violation of, or give any Governmental Authority or other Person the right to challenge the Contemplated Transactions or to exercise any remedy or obtain any relief under, any Law or any Order to which Gem or its Subsidiaries or any of the assets owned or used by Gem or its Subsidiaries, is subject;</w:t>
      </w:r>
    </w:p>
    <w:p>
      <w:pPr>
        <w:spacing w:after="0" w:line="62" w:lineRule="exact"/>
        <w:rPr>
          <w:rFonts w:ascii="Times New Roman" w:cs="Times New Roman" w:eastAsia="Times New Roman" w:hAnsi="Times New Roman"/>
          <w:sz w:val="16"/>
          <w:szCs w:val="16"/>
          <w:color w:val="auto"/>
        </w:rPr>
      </w:pPr>
    </w:p>
    <w:p>
      <w:pPr>
        <w:ind w:left="380" w:right="60" w:firstLine="1209"/>
        <w:spacing w:after="0" w:line="261" w:lineRule="auto"/>
        <w:tabs>
          <w:tab w:leader="none" w:pos="1860"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material violation of any of the terms or requirements of, or give any Governmental Authority the right to revoke, withdraw, suspend, cancel, terminate or modify, any Governmental Authorization that is held by Gem or its Subsidiaries or that otherwise relates to the business of Gem, or any of the assets owned, leased or used by Gem;</w:t>
      </w:r>
    </w:p>
    <w:p>
      <w:pPr>
        <w:spacing w:after="0" w:line="62" w:lineRule="exact"/>
        <w:rPr>
          <w:rFonts w:ascii="Times New Roman" w:cs="Times New Roman" w:eastAsia="Times New Roman" w:hAnsi="Times New Roman"/>
          <w:sz w:val="16"/>
          <w:szCs w:val="16"/>
          <w:color w:val="auto"/>
        </w:rPr>
      </w:pPr>
    </w:p>
    <w:p>
      <w:pPr>
        <w:ind w:left="380" w:right="140" w:firstLine="1209"/>
        <w:spacing w:after="0" w:line="254" w:lineRule="auto"/>
        <w:tabs>
          <w:tab w:leader="none" w:pos="1851"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contravene, conflict with or result in a violation or breach of, or result in a default under, any provision of any Gem Material Contract, or give any Person the right to: (A) declare a default or exercise any remedy under any Gem Material Contract, (B) any material payment, rebate, chargeback, penalty or change in delivery schedule under any such Gem Material Contract, (C) accelerate the maturity or performance of any Gem Material Contract or (D) cancel, terminate or modify any term of any Gem Material Contract, except in the case of any non-material breach, default, penalty or modification; or</w:t>
      </w:r>
    </w:p>
    <w:p>
      <w:pPr>
        <w:spacing w:after="0" w:line="67" w:lineRule="exact"/>
        <w:rPr>
          <w:rFonts w:ascii="Times New Roman" w:cs="Times New Roman" w:eastAsia="Times New Roman" w:hAnsi="Times New Roman"/>
          <w:sz w:val="16"/>
          <w:szCs w:val="16"/>
          <w:color w:val="auto"/>
        </w:rPr>
      </w:pPr>
    </w:p>
    <w:p>
      <w:pPr>
        <w:ind w:left="380" w:right="340" w:firstLine="1209"/>
        <w:spacing w:after="0" w:line="276" w:lineRule="auto"/>
        <w:tabs>
          <w:tab w:leader="none" w:pos="1808"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the imposition or creation of any Encumbrance upon or with respect to any asset owned or used by Gem or its Subsidiaries (except for Permitted Encumbrances).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9640"/>
          </w:cols>
          <w:pgMar w:left="1120" w:top="253" w:right="1139" w:bottom="1440" w:gutter="0" w:footer="0" w:header="0"/>
        </w:sectPr>
      </w:pPr>
    </w:p>
    <w:bookmarkStart w:id="65" w:name="page66"/>
    <w:bookmarkEnd w:id="65"/>
    <w:p>
      <w:pPr>
        <w:ind w:right="60" w:firstLine="1253"/>
        <w:spacing w:after="0" w:line="252" w:lineRule="auto"/>
        <w:tabs>
          <w:tab w:leader="none" w:pos="1478"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Except for (i) any Consent set forth on Section 4.5 of the Gem Disclosure Schedule under any Gem Material Contract, (ii) the Required Gem Stockholder Vote,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neither Gem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70" w:lineRule="exact"/>
        <w:rPr>
          <w:rFonts w:ascii="Times New Roman" w:cs="Times New Roman" w:eastAsia="Times New Roman" w:hAnsi="Times New Roman"/>
          <w:sz w:val="16"/>
          <w:szCs w:val="16"/>
          <w:color w:val="auto"/>
        </w:rPr>
      </w:pPr>
    </w:p>
    <w:p>
      <w:pPr>
        <w:ind w:firstLine="1253"/>
        <w:spacing w:after="0" w:line="254" w:lineRule="auto"/>
        <w:tabs>
          <w:tab w:leader="none" w:pos="1469"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Gem Board and the Merger Sub Board have taken and will take all actions necessary to ensure that the restrictions applicable to business combinations contained in Section 203 of the DGCL are, and will be, inapplicable to the execution, delivery and performance of this Agreement, each Gem Stockholder Support Agreement and to the consummation of the Contemplated Transactions. No other state takeover statute or similar Law applies or purports to apply to the Merger, this Agreement, any Gem Stockholder Support Agreement or any of the other Contemplated Transactions.</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60" w:firstLine="1253"/>
        <w:spacing w:after="0" w:line="256" w:lineRule="auto"/>
        <w:tabs>
          <w:tab w:leader="none" w:pos="1466"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Gem consists of (i) 250,000,000 shares of Gem Common Stock of which 43,244,453 shares have been issued and are outstanding as of August 8, 2022 (the “</w:t>
      </w:r>
      <w:r>
        <w:rPr>
          <w:rFonts w:ascii="Times New Roman" w:cs="Times New Roman" w:eastAsia="Times New Roman" w:hAnsi="Times New Roman"/>
          <w:sz w:val="16"/>
          <w:szCs w:val="16"/>
          <w:b w:val="1"/>
          <w:bCs w:val="1"/>
          <w:color w:val="auto"/>
        </w:rPr>
        <w:t>Capitalization Date</w:t>
      </w:r>
      <w:r>
        <w:rPr>
          <w:rFonts w:ascii="Times New Roman" w:cs="Times New Roman" w:eastAsia="Times New Roman" w:hAnsi="Times New Roman"/>
          <w:sz w:val="16"/>
          <w:szCs w:val="16"/>
          <w:color w:val="auto"/>
        </w:rPr>
        <w:t>”) and (ii) 10,000,000 shares of preferred stock, par value $0.0001 per share, of which no shares have been issued and are outstanding as of the Capitalization Date. Gem does not hold any shares of its capital stock in its treasury.</w:t>
      </w:r>
    </w:p>
    <w:p>
      <w:pPr>
        <w:spacing w:after="0" w:line="66" w:lineRule="exact"/>
        <w:rPr>
          <w:rFonts w:ascii="Times New Roman" w:cs="Times New Roman" w:eastAsia="Times New Roman" w:hAnsi="Times New Roman"/>
          <w:sz w:val="16"/>
          <w:szCs w:val="16"/>
          <w:color w:val="auto"/>
        </w:rPr>
      </w:pPr>
    </w:p>
    <w:p>
      <w:pPr>
        <w:ind w:right="20" w:firstLine="1253"/>
        <w:spacing w:after="0" w:line="250" w:lineRule="auto"/>
        <w:tabs>
          <w:tab w:leader="none" w:pos="147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outstanding shares of Gem Common Stock have been duly authorized and validly issued, and are fully paid and nonassessable and are free of any Encumbrances. None of the outstanding shares of Gem Common Stock is entitled or subject to any preemptive right, right of participation, right of maintenance or any similar right. None of the outstanding shares of Gem Common Stock is subject to any right of first refusal in favor of Gem. Except as contemplated herein, there is no Gem Contract relating to the voting or registration of, or restricting any Person from purchasing, selling, pledging or otherwise disposing of (or granting any option or similar right with respect to), any shares of Gem Common Stock. Gem is not under any obligation, nor is Gem bound by any Contract pursuant to which it may become obligated, to repurchase, redeem or otherwise acquire any outstanding shares of Gem Common Stock or other securities. Section 4.6(b) of the Gem Disclosure Schedule accurately and completely describes all repurchase rights held by Gem with respect to shares of Gem Common Stock (including shares issued pursuant to the exercise of stock options) and specifies which of those repurchase rights are currently exercisable.</w:t>
      </w:r>
    </w:p>
    <w:p>
      <w:pPr>
        <w:spacing w:after="0" w:line="70" w:lineRule="exact"/>
        <w:rPr>
          <w:rFonts w:ascii="Times New Roman" w:cs="Times New Roman" w:eastAsia="Times New Roman" w:hAnsi="Times New Roman"/>
          <w:sz w:val="16"/>
          <w:szCs w:val="16"/>
          <w:color w:val="auto"/>
        </w:rPr>
      </w:pPr>
    </w:p>
    <w:p>
      <w:pPr>
        <w:ind w:left="1460" w:hanging="207"/>
        <w:spacing w:after="0"/>
        <w:tabs>
          <w:tab w:leader="none" w:pos="14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Gem Stock Plans and the Gem 2021 Employee Stock Purchase Plan (the “</w:t>
      </w:r>
      <w:r>
        <w:rPr>
          <w:rFonts w:ascii="Times New Roman" w:cs="Times New Roman" w:eastAsia="Times New Roman" w:hAnsi="Times New Roman"/>
          <w:sz w:val="16"/>
          <w:szCs w:val="16"/>
          <w:b w:val="1"/>
          <w:bCs w:val="1"/>
          <w:color w:val="auto"/>
        </w:rPr>
        <w:t>Gem ESPP</w:t>
      </w:r>
      <w:r>
        <w:rPr>
          <w:rFonts w:ascii="Times New Roman" w:cs="Times New Roman" w:eastAsia="Times New Roman" w:hAnsi="Times New Roman"/>
          <w:sz w:val="16"/>
          <w:szCs w:val="16"/>
          <w:color w:val="auto"/>
        </w:rPr>
        <w:t>”) or as set forth on</w:t>
      </w:r>
    </w:p>
    <w:p>
      <w:pPr>
        <w:spacing w:after="0" w:line="2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5"/>
          <w:szCs w:val="15"/>
          <w:color w:val="auto"/>
        </w:rPr>
        <w:t>Section 4.6(c) of the Gem Disclosure Schedule, Gem does not have any stock option plan or any other plan, program, agreement or arrangement providing for any equity-based compensation for any Person. As of the date of this Agreement, (i) there are no equity awards currently outstanding under the 2015 Employee, Director and Consultant Stock Option Plan and such plan was terminated as of February 5, 2021, (ii) Gem has reserved 3,557,726 shares of Gem Common Stock for issuance under the 2017 Stock Option and Grant Plan, of which 1,337,395 shares have been issued and are currently outstanding, and 2,220,331 shares remain available for future issuance, (iii) Gem has reserved 5,992,667 shares of Gem Common Stock for issuance under the 2021 Stock Option and Incentive Plan, of which 2,551,993 shares have been issued and are currently outstanding, and 3,440,674</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9640"/>
          </w:cols>
          <w:pgMar w:left="1120" w:top="253" w:right="1139" w:bottom="1440" w:gutter="0" w:footer="0" w:header="0"/>
        </w:sectPr>
      </w:pPr>
    </w:p>
    <w:bookmarkStart w:id="66" w:name="page67"/>
    <w:bookmarkEnd w:id="66"/>
    <w:p>
      <w:pPr>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shares remain available for future issuance, (iv) Gem has reserved 1,616,895 shares of Gem Common Stock for issuance under the 2021 Inducement Plan, of which 457,487 shares have been issued and are currently outstanding, and 1,159,408 shares remain available for future issuance. As of the date of this Agreement, Gem has reserved 430,551 shares of Gem Common Stock for future issuance pursuant to the Gem ESPP, of which 9,960 have been issued and 420,591 remain available for future issuance. Section 4.6(c) of the Gem Disclosure Schedule sets forth the following information with respect to each Gem Option and Gem RSU outstanding as of the date of this Agreement, as applicable: (i) the name of the holder, (ii) the number of shares of Gem Common Stock subject to such Gem Option or Gem RSU at the time of grant, (iii) the exercise price of any Gem Option, (iv) the date on which such Gem Option or Gem RSU was granted, and (v) the expiration date of such Gem Option (or, if applicable, such Gem RSU). Gem has made available to the Company accurate and complete copies of the Gem Stock Plans, the forms of all award agreements evidencing outstanding equity awards thereunder, any equity award agreements that differ in any material respect from the forms of award agreements and evidence of board and stockholder approval of the Gem Stock Plans and any amendments thereto.</w:t>
      </w:r>
    </w:p>
    <w:p>
      <w:pPr>
        <w:spacing w:after="0" w:line="70" w:lineRule="exact"/>
        <w:rPr>
          <w:sz w:val="20"/>
          <w:szCs w:val="20"/>
          <w:color w:val="auto"/>
        </w:rPr>
      </w:pPr>
    </w:p>
    <w:p>
      <w:pPr>
        <w:ind w:left="1480" w:hanging="227"/>
        <w:spacing w:after="0"/>
        <w:tabs>
          <w:tab w:leader="none" w:pos="148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the outstanding Gem Options and Gem RSUs or as set forth on Section 4.6(d) of the Gem Disclosure Schedule, there</w:t>
      </w:r>
    </w:p>
    <w:p>
      <w:pPr>
        <w:spacing w:after="0" w:line="33" w:lineRule="exact"/>
        <w:rPr>
          <w:rFonts w:ascii="Times New Roman" w:cs="Times New Roman" w:eastAsia="Times New Roman" w:hAnsi="Times New Roman"/>
          <w:sz w:val="15"/>
          <w:szCs w:val="15"/>
          <w:color w:val="auto"/>
        </w:rPr>
      </w:pPr>
    </w:p>
    <w:p>
      <w:pPr>
        <w:ind w:right="40"/>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is no: (i) outstanding subscription, option, call, warrant or right (whether or not currently exercisable) to acquire any shares of the capital stock or other securities of Gem, (ii) outstanding security, instrument or obligation that is or may become convertible into or exchangeable for any shares of the capital stock or other securities of Gem, (iii) stockholder rights plan (or similar plan commonly referred to as a “poison pill”) or Contract under which Gem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Gem. There are no outstanding or authorized stock appreciation, phantom stock, profit participation or other similar rights with respect to Gem.</w:t>
      </w:r>
    </w:p>
    <w:p>
      <w:pPr>
        <w:spacing w:after="0" w:line="76" w:lineRule="exact"/>
        <w:rPr>
          <w:rFonts w:ascii="Times New Roman" w:cs="Times New Roman" w:eastAsia="Times New Roman" w:hAnsi="Times New Roman"/>
          <w:sz w:val="15"/>
          <w:szCs w:val="15"/>
          <w:color w:val="auto"/>
        </w:rPr>
      </w:pPr>
    </w:p>
    <w:p>
      <w:pPr>
        <w:ind w:right="40" w:firstLine="1253"/>
        <w:spacing w:after="0" w:line="310" w:lineRule="auto"/>
        <w:tabs>
          <w:tab w:leader="none" w:pos="1469"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outstanding shares of Gem Common Stock, Gem Options, Gem RSUs and other securities of Gem have been issued and granted in material compliance with (i) all applicable securities laws and other applicable Law and (ii) all requirements set forth in applicable Contracts.</w:t>
      </w:r>
    </w:p>
    <w:p>
      <w:pPr>
        <w:spacing w:after="0" w:line="27" w:lineRule="exact"/>
        <w:rPr>
          <w:rFonts w:ascii="Times New Roman" w:cs="Times New Roman" w:eastAsia="Times New Roman" w:hAnsi="Times New Roman"/>
          <w:sz w:val="15"/>
          <w:szCs w:val="15"/>
          <w:color w:val="auto"/>
        </w:rPr>
      </w:pPr>
    </w:p>
    <w:p>
      <w:pPr>
        <w:ind w:right="220" w:firstLine="1253"/>
        <w:spacing w:after="0" w:line="276" w:lineRule="auto"/>
        <w:tabs>
          <w:tab w:leader="none" w:pos="1451"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Gem Options and Gem RSUs, each grant was made in all material respects in accordance with the terms of the Gem Stock Plan pursuant to which it was granted.</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SEC Filings; Financial Statements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firstLine="1253"/>
        <w:spacing w:after="0" w:line="252" w:lineRule="auto"/>
        <w:tabs>
          <w:tab w:leader="none" w:pos="146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has filed or furnished, as applicable, on a timely basis all forms, statements (whether registration or proxy statements), certifications, reports, schedules, exhibits and other documents required to be filed or furnished by it with the SEC under the Exchange Act or the Securities Act since the Gem Effective Date (the “</w:t>
      </w:r>
      <w:r>
        <w:rPr>
          <w:rFonts w:ascii="Times New Roman" w:cs="Times New Roman" w:eastAsia="Times New Roman" w:hAnsi="Times New Roman"/>
          <w:sz w:val="16"/>
          <w:szCs w:val="16"/>
          <w:b w:val="1"/>
          <w:bCs w:val="1"/>
          <w:color w:val="auto"/>
        </w:rPr>
        <w:t>Gem SEC Documents</w:t>
      </w:r>
      <w:r>
        <w:rPr>
          <w:rFonts w:ascii="Times New Roman" w:cs="Times New Roman" w:eastAsia="Times New Roman" w:hAnsi="Times New Roman"/>
          <w:sz w:val="16"/>
          <w:szCs w:val="16"/>
          <w:color w:val="auto"/>
        </w:rPr>
        <w:t>”). As of the time it was filed with the SEC (or, if amended or superseded by a filing prior to the date of this Agreement, then on the date of such filing), each of the Gem SEC Documents complied in all material respects with the applicable requirements of the Securities Act or the Exchange Act (as the case may be) and, to Gem’s Knowledge, as of the time they were filed, none of the Gem</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9640"/>
          </w:cols>
          <w:pgMar w:left="1120" w:top="253" w:right="1139" w:bottom="1440" w:gutter="0" w:footer="0" w:header="0"/>
        </w:sectPr>
      </w:pPr>
    </w:p>
    <w:bookmarkStart w:id="67" w:name="page68"/>
    <w:bookmarkEnd w:id="67"/>
    <w:p>
      <w:pPr>
        <w:ind w:left="1" w:right="4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 Documents contained any untrue statement of a material fact or omitted to state a material fact required to be stated therein or necessary in order to make the statements therein, in light of the circumstances under which they were made, not misleading. As used in this </w:t>
      </w:r>
      <w:r>
        <w:rPr>
          <w:rFonts w:ascii="Times New Roman" w:cs="Times New Roman" w:eastAsia="Times New Roman" w:hAnsi="Times New Roman"/>
          <w:sz w:val="16"/>
          <w:szCs w:val="16"/>
          <w:u w:val="single" w:color="auto"/>
          <w:color w:val="auto"/>
        </w:rPr>
        <w:t>Section 4.7</w:t>
      </w:r>
      <w:r>
        <w:rPr>
          <w:rFonts w:ascii="Times New Roman" w:cs="Times New Roman" w:eastAsia="Times New Roman" w:hAnsi="Times New Roman"/>
          <w:sz w:val="16"/>
          <w:szCs w:val="16"/>
          <w:color w:val="auto"/>
        </w:rPr>
        <w:t>, the term “file” and variations thereof shall be broadly construed to include any manner in which a document or information is furnished, supplied or otherwise made available to the SEC.</w:t>
      </w:r>
    </w:p>
    <w:p>
      <w:pPr>
        <w:spacing w:after="0" w:line="66" w:lineRule="exact"/>
        <w:rPr>
          <w:sz w:val="20"/>
          <w:szCs w:val="20"/>
          <w:color w:val="auto"/>
        </w:rPr>
      </w:pPr>
    </w:p>
    <w:p>
      <w:pPr>
        <w:ind w:left="1481" w:hanging="227"/>
        <w:spacing w:after="0"/>
        <w:tabs>
          <w:tab w:leader="none" w:pos="1481"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(including any related notes) contained or incorporated by reference in the Gem SEC Documents:</w:t>
      </w:r>
    </w:p>
    <w:p>
      <w:pPr>
        <w:spacing w:after="0" w:line="22" w:lineRule="exact"/>
        <w:rPr>
          <w:rFonts w:ascii="Times New Roman" w:cs="Times New Roman" w:eastAsia="Times New Roman" w:hAnsi="Times New Roman"/>
          <w:sz w:val="16"/>
          <w:szCs w:val="16"/>
          <w:color w:val="auto"/>
        </w:rPr>
      </w:pPr>
    </w:p>
    <w:p>
      <w:pPr>
        <w:ind w:left="1" w:right="40" w:hanging="1"/>
        <w:spacing w:after="0" w:line="247" w:lineRule="auto"/>
        <w:tabs>
          <w:tab w:leader="none" w:pos="18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Gem as of the respective dates thereof and the results of operations and cash flows of Gem for the periods covered thereby. Other than as expressly disclosed in the Gem SEC Documents filed prior to the date hereof, there has been no material change in Gem’s accounting methods or principles that would be required to be disclosed in Gem’s financial statements in accordance with GAAP. The books of account and other financial records of Gem and its Subsidiaries are true and complete in all material respects.</w:t>
      </w:r>
    </w:p>
    <w:p>
      <w:pPr>
        <w:spacing w:after="0" w:line="76" w:lineRule="exact"/>
        <w:rPr>
          <w:rFonts w:ascii="Times New Roman" w:cs="Times New Roman" w:eastAsia="Times New Roman" w:hAnsi="Times New Roman"/>
          <w:sz w:val="16"/>
          <w:szCs w:val="16"/>
          <w:color w:val="auto"/>
        </w:rPr>
      </w:pPr>
    </w:p>
    <w:p>
      <w:pPr>
        <w:ind w:left="1461" w:hanging="207"/>
        <w:spacing w:after="0"/>
        <w:tabs>
          <w:tab w:leader="none" w:pos="1461"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Gem’s auditor has at all times since the Gem Effective Date been: (i) a registered public accounting firm (as defined in</w:t>
      </w:r>
    </w:p>
    <w:p>
      <w:pPr>
        <w:spacing w:after="0" w:line="22" w:lineRule="exact"/>
        <w:rPr>
          <w:sz w:val="20"/>
          <w:szCs w:val="20"/>
          <w:color w:val="auto"/>
        </w:rPr>
      </w:pPr>
    </w:p>
    <w:p>
      <w:pPr>
        <w:jc w:val="both"/>
        <w:ind w:left="1" w:right="80"/>
        <w:spacing w:after="0" w:line="250" w:lineRule="auto"/>
        <w:rPr>
          <w:sz w:val="20"/>
          <w:szCs w:val="20"/>
          <w:color w:val="auto"/>
        </w:rPr>
      </w:pPr>
      <w:r>
        <w:rPr>
          <w:rFonts w:ascii="Times New Roman" w:cs="Times New Roman" w:eastAsia="Times New Roman" w:hAnsi="Times New Roman"/>
          <w:sz w:val="16"/>
          <w:szCs w:val="16"/>
          <w:color w:val="auto"/>
        </w:rPr>
        <w:t>Section 2(a)(12) of the Sarbanes-Oxley Act), (ii) to the Knowledge of Gem, “independent” with respect to Gem within the meaning of Regulation S-X under the Exchange Act and (iii) to the Knowledge of Gem, in compliance with subsections (g) through (l) of Section 10A of the Exchange Act and the rules and regulations promulgated by the SEC and the Public Company Accounting Oversight Board thereunder.</w:t>
      </w:r>
    </w:p>
    <w:p>
      <w:pPr>
        <w:spacing w:after="0" w:line="70" w:lineRule="exact"/>
        <w:rPr>
          <w:sz w:val="20"/>
          <w:szCs w:val="20"/>
          <w:color w:val="auto"/>
        </w:rPr>
      </w:pPr>
    </w:p>
    <w:p>
      <w:pPr>
        <w:ind w:left="1" w:right="340" w:firstLine="1253"/>
        <w:spacing w:after="0" w:line="276" w:lineRule="auto"/>
        <w:tabs>
          <w:tab w:leader="none" w:pos="1479"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on Section 4.7(f) of the Gem Disclosure Schedule, Gem is in compliance in all material respects with the applicable provisions of the Sarbanes-Oxley Act and the applicable listing and governance rules and regulations of Nasdaq.</w:t>
      </w:r>
    </w:p>
    <w:p>
      <w:pPr>
        <w:spacing w:after="0" w:line="49" w:lineRule="exact"/>
        <w:rPr>
          <w:rFonts w:ascii="Times New Roman" w:cs="Times New Roman" w:eastAsia="Times New Roman" w:hAnsi="Times New Roman"/>
          <w:sz w:val="16"/>
          <w:szCs w:val="16"/>
          <w:color w:val="auto"/>
        </w:rPr>
      </w:pPr>
    </w:p>
    <w:p>
      <w:pPr>
        <w:ind w:left="1" w:right="140" w:firstLine="1253"/>
        <w:spacing w:after="0" w:line="286" w:lineRule="auto"/>
        <w:tabs>
          <w:tab w:leader="none" w:pos="147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have been no formal internal investigations regarding financial reporting or accounting policies and practices discussed with, reviewed by or initiated at the direction of the chief executive officer or chief financial officer of Gem, the Gem Board or any committee thereof, other than ordinary course audits or reviews of accounting policies and practices or internal controls required by the Sarbanes-Oxley Act.</w:t>
      </w:r>
    </w:p>
    <w:p>
      <w:pPr>
        <w:spacing w:after="0" w:line="45" w:lineRule="exact"/>
        <w:rPr>
          <w:rFonts w:ascii="Times New Roman" w:cs="Times New Roman" w:eastAsia="Times New Roman" w:hAnsi="Times New Roman"/>
          <w:sz w:val="15"/>
          <w:szCs w:val="15"/>
          <w:color w:val="auto"/>
        </w:rPr>
      </w:pPr>
    </w:p>
    <w:p>
      <w:pPr>
        <w:ind w:left="1" w:firstLine="1253"/>
        <w:spacing w:after="0" w:line="251" w:lineRule="auto"/>
        <w:tabs>
          <w:tab w:leader="none" w:pos="145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designed to provide reasonable assurance (i) that Gem maintains records that in reasonable detail accurately and fairly reflect Gem’s transactions and dispositions of assets, (ii) that transactions are recorded as necessary to permit preparation of financial statements in accordance with GAAP, (iii) that receipts and expenditures are made only in accordance with authorizations of management and the Gem Board and (iv) regarding prevention or timely detection of the unauthorized acquisition, use or disposition of Gem’s assets that could have 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9641"/>
          </w:cols>
          <w:pgMar w:left="1119" w:top="253" w:right="1139" w:bottom="1440" w:gutter="0" w:footer="0" w:header="0"/>
        </w:sectPr>
      </w:pPr>
    </w:p>
    <w:bookmarkStart w:id="68" w:name="page69"/>
    <w:bookmarkEnd w:id="68"/>
    <w:p>
      <w:pPr>
        <w:jc w:val="both"/>
        <w:ind w:right="8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material effect on Gem’s financial statements. Gem has evaluated the effectiveness of Gem’s internal control over financial reporting and, to the extent required by applicable Law, presented in any applicable Gem SEC Document that is a report on Form 10-K or Form 10-Q (or any amendment thereto) its conclusions about the effectiveness of the internal control over financial reporting as of the end of the period covered by such report or amendment based on such evaluation. Since the Gem Effective Date, Gem has not identified any material weaknesses in the design of operation of Gem’s internal control over financial reporting.</w:t>
      </w:r>
    </w:p>
    <w:p>
      <w:pPr>
        <w:spacing w:after="0" w:line="67" w:lineRule="exact"/>
        <w:rPr>
          <w:sz w:val="20"/>
          <w:szCs w:val="20"/>
          <w:color w:val="auto"/>
        </w:rPr>
      </w:pPr>
    </w:p>
    <w:p>
      <w:pPr>
        <w:ind w:firstLine="1253"/>
        <w:spacing w:after="0" w:line="256" w:lineRule="auto"/>
        <w:tabs>
          <w:tab w:leader="none" w:pos="147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Gem’s “disclosure controls and procedures” (as defined in Rules 13a-15(e) and 15d-15(e) of the Exchange Act) are reasonably designed to ensure that all information (both financial and non-financial) required to be disclosed by Gem in the reports that it files or submits under the Exchange Act is recorded, processed, summarized and reported within the time periods specified in the rules and forms of the SEC, and that all such information is accumulated and communicated to Gem’s management as appropriate.</w:t>
      </w:r>
    </w:p>
    <w:p>
      <w:pPr>
        <w:spacing w:after="0" w:line="64" w:lineRule="exact"/>
        <w:rPr>
          <w:sz w:val="20"/>
          <w:szCs w:val="20"/>
          <w:color w:val="auto"/>
        </w:rPr>
      </w:pPr>
    </w:p>
    <w:p>
      <w:pPr>
        <w:ind w:right="60" w:firstLine="869"/>
        <w:spacing w:after="0" w:line="253"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Absence of Changes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Except as set forth on Section 4.8 of the Gem Disclosure Schedule, between December 31, 2021 and the date of this Agreement, Gem has conducted its business only in the Ordinary Course of Business (except for the execution and performance of this Agreement and the discussions, negotiations and transactions related thereto) and there has not been any (a) Gem Material Adverse Effect or an event or development that would, individually or in the aggregate, reasonably be expected to have a Gem Material Adverse Effect or (b) action, event or occurrence that would have required consent of the Company pursuant to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 xml:space="preserve"> of this Agreement had such action, event or occurrence taken place after the execution and delivery of this Agreement.</w:t>
      </w:r>
    </w:p>
    <w:p>
      <w:pPr>
        <w:spacing w:after="0" w:line="68" w:lineRule="exact"/>
        <w:rPr>
          <w:sz w:val="20"/>
          <w:szCs w:val="20"/>
          <w:color w:val="auto"/>
        </w:rPr>
      </w:pPr>
    </w:p>
    <w:p>
      <w:pPr>
        <w:ind w:right="160" w:firstLine="869"/>
        <w:spacing w:after="0" w:line="252"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Absence of Undisclosed Liabilities</w:t>
      </w:r>
      <w:r>
        <w:rPr>
          <w:rFonts w:ascii="Times New Roman" w:cs="Times New Roman" w:eastAsia="Times New Roman" w:hAnsi="Times New Roman"/>
          <w:sz w:val="16"/>
          <w:szCs w:val="16"/>
          <w:color w:val="auto"/>
        </w:rPr>
        <w:t>. Neither Gem nor any of its Subsidiaries has any Liability of a type required to be reflected or reserved for on a balance sheet prepared in accordance with GAAP, except for: (a) Liabilities disclosed, reflected or reserved against in the Gem Unaudited Interim Balance Sheet, (b) normal and recurring current Liabilities that have been incurred by Gem or its Subsidiaries since the date of the Gem Unaudited Interim Balance Sheet in the Ordinary Course of Business (none of which relates to any breach of contract, breach of warranty, tort, infringement, or violation of Law), (c) Liabilities for performance of obligations of Gem or any of its Subsidiaries under Gem Contracts, and (d) Liabilities described in Section 4.9 of the Gem Disclosure Schedule.</w:t>
      </w:r>
    </w:p>
    <w:p>
      <w:pPr>
        <w:spacing w:after="0" w:line="71" w:lineRule="exact"/>
        <w:rPr>
          <w:sz w:val="20"/>
          <w:szCs w:val="20"/>
          <w:color w:val="auto"/>
        </w:rPr>
      </w:pPr>
    </w:p>
    <w:p>
      <w:pPr>
        <w:ind w:firstLine="869"/>
        <w:spacing w:after="0" w:line="254"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Title to Assets</w:t>
      </w:r>
      <w:r>
        <w:rPr>
          <w:rFonts w:ascii="Times New Roman" w:cs="Times New Roman" w:eastAsia="Times New Roman" w:hAnsi="Times New Roman"/>
          <w:sz w:val="16"/>
          <w:szCs w:val="16"/>
          <w:color w:val="auto"/>
        </w:rPr>
        <w:t>. Each of Gem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Gem Unaudited Interim Balance Sheet and (b) all other assets reflected in the books and records of Gem as being owned by Gem. All of such assets are owned or, in the case of leased assets, leased by Gem or any of its Subsidiaries free and clear of any Encumbrances, other than Permitted Encumbrances.</w:t>
      </w:r>
    </w:p>
    <w:p>
      <w:pPr>
        <w:spacing w:after="0" w:line="67" w:lineRule="exact"/>
        <w:rPr>
          <w:sz w:val="20"/>
          <w:szCs w:val="20"/>
          <w:color w:val="auto"/>
        </w:rPr>
      </w:pPr>
    </w:p>
    <w:p>
      <w:pPr>
        <w:ind w:right="20" w:firstLine="869"/>
        <w:spacing w:after="0" w:line="254"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Real Property; Leasehold</w:t>
      </w:r>
      <w:r>
        <w:rPr>
          <w:rFonts w:ascii="Times New Roman" w:cs="Times New Roman" w:eastAsia="Times New Roman" w:hAnsi="Times New Roman"/>
          <w:sz w:val="16"/>
          <w:szCs w:val="16"/>
          <w:color w:val="auto"/>
        </w:rPr>
        <w:t>. Neither Gem nor any of its Subsidiaries owns or has ever owned any real property. Gem has made available to the Company (a) an accurate and complete list of all real properties with respect to which Gem directly or indirectly holds a valid leasehold interest as well as any other real estate that is in the possession of or leased by Gem or any of its Subsidiaries and (b) copies of all leases under which any such real property is possessed (the “</w:t>
      </w:r>
      <w:r>
        <w:rPr>
          <w:rFonts w:ascii="Times New Roman" w:cs="Times New Roman" w:eastAsia="Times New Roman" w:hAnsi="Times New Roman"/>
          <w:sz w:val="16"/>
          <w:szCs w:val="16"/>
          <w:b w:val="1"/>
          <w:bCs w:val="1"/>
          <w:color w:val="auto"/>
        </w:rPr>
        <w:t>Gem Real Estate Leases</w:t>
      </w:r>
      <w:r>
        <w:rPr>
          <w:rFonts w:ascii="Times New Roman" w:cs="Times New Roman" w:eastAsia="Times New Roman" w:hAnsi="Times New Roman"/>
          <w:sz w:val="16"/>
          <w:szCs w:val="16"/>
          <w:color w:val="auto"/>
        </w:rPr>
        <w:t>”), each of which is in full force and effect, with no existing material default thereunder.</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9580"/>
          </w:cols>
          <w:pgMar w:left="1120" w:top="253" w:right="1199" w:bottom="1440" w:gutter="0" w:footer="0" w:header="0"/>
        </w:sectPr>
      </w:pPr>
    </w:p>
    <w:bookmarkStart w:id="69" w:name="page70"/>
    <w:bookmarkEnd w:id="69"/>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4.12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20" w:firstLine="1253"/>
        <w:spacing w:after="0" w:line="256" w:lineRule="auto"/>
        <w:tabs>
          <w:tab w:leader="none" w:pos="146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4.12(a) of the Gem Disclosure Schedule is an accurate and complete listing of all Gem Registered IP, in each case enumerating specifically the applicable filing or registration number, title, jurisdiction in which filing was made or from which registration issued, date of filing or issuance, and names of all current registered owners(s), as applicable, or in the case of domain names or social media accounts, the URL or social media account, the registrar or social media company and the date on which such URL or social media account expires (if any).</w:t>
      </w:r>
    </w:p>
    <w:p>
      <w:pPr>
        <w:spacing w:after="0" w:line="66" w:lineRule="exact"/>
        <w:rPr>
          <w:rFonts w:ascii="Times New Roman" w:cs="Times New Roman" w:eastAsia="Times New Roman" w:hAnsi="Times New Roman"/>
          <w:sz w:val="16"/>
          <w:szCs w:val="16"/>
          <w:color w:val="auto"/>
        </w:rPr>
      </w:pPr>
    </w:p>
    <w:p>
      <w:pPr>
        <w:ind w:right="60" w:firstLine="1253"/>
        <w:spacing w:after="0" w:line="251" w:lineRule="auto"/>
        <w:tabs>
          <w:tab w:leader="none" w:pos="147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4.12(b) of the Gem Disclosure Schedule accurately sets forth (i) all material Gem Contracts pursuant to which Gem IP Rights are licensed to Gem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Gem products or services, (B) any Intellectual Property licensed on a non-exclusive basis ancillary to the purchase or use of equipment, reagents or other materials, (C) any confidential information provided under confidentiality agreements and (D) agreements between Gem and its employees in Gem’s standard form thereof), (ii) the corresponding Company Contract pursuant to which such Company IP Rights are licensed to the Company or any of its Subsidiaries and (iii) whether the license or licenses granted to Gem are exclusive or non-exclusive.</w:t>
      </w:r>
    </w:p>
    <w:p>
      <w:pPr>
        <w:spacing w:after="0" w:line="69" w:lineRule="exact"/>
        <w:rPr>
          <w:rFonts w:ascii="Times New Roman" w:cs="Times New Roman" w:eastAsia="Times New Roman" w:hAnsi="Times New Roman"/>
          <w:sz w:val="16"/>
          <w:szCs w:val="16"/>
          <w:color w:val="auto"/>
        </w:rPr>
      </w:pPr>
    </w:p>
    <w:p>
      <w:pPr>
        <w:ind w:firstLine="1253"/>
        <w:spacing w:after="0" w:line="254" w:lineRule="auto"/>
        <w:tabs>
          <w:tab w:leader="none" w:pos="146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4.12(c) of the Gem Disclosure Schedule accurately sets forth each Gem Contract pursuant to which any Person has been granted any license or covenant not to sue under, or otherwise has received or acquired any right (whether or not currently exercisable) or interest in, any Gem IP Rights (other than (i) any confidential information provided under confidentiality agreements and (ii) any Gem IP Rights non-exclusively licensed to academic collaborators, suppliers or service providers for the sole purpose of enabling such academic collaborator, supplier or service providers to provide services for Gem’s benefit).</w:t>
      </w:r>
    </w:p>
    <w:p>
      <w:pPr>
        <w:spacing w:after="0" w:line="67"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Gem has delivered, or made available to the Company, a complete and accurate copy of all material Gem IP Rights Agreements.</w:t>
      </w:r>
    </w:p>
    <w:p>
      <w:pPr>
        <w:spacing w:after="0" w:line="111" w:lineRule="exact"/>
        <w:rPr>
          <w:rFonts w:ascii="Times New Roman" w:cs="Times New Roman" w:eastAsia="Times New Roman" w:hAnsi="Times New Roman"/>
          <w:sz w:val="15"/>
          <w:szCs w:val="15"/>
          <w:color w:val="auto"/>
        </w:rPr>
      </w:pPr>
    </w:p>
    <w:p>
      <w:pPr>
        <w:ind w:right="120" w:firstLine="1253"/>
        <w:spacing w:after="0" w:line="252" w:lineRule="auto"/>
        <w:tabs>
          <w:tab w:leader="none" w:pos="146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manufacture, marketing, license, offering for sale, sale, importation, use or intended use or other disposal of any product or technology as currently licensed or sold or under development by Gem does not violate any license or agreement between Gem any third party and, to the Knowledge of Gem, does not infringe, misappropriate or otherwise violate any Intellectual Property of any other Person, other than any Gem Intellectual Property licensed to Company by any other Person. To the Knowledge of Gem, no third party is infringing, misappropriating or otherwise violating any Intellectual Property owned by Gem within the Gem IP Rights, or breaching any license or agreement with Gem relating to any Gem IP Rights.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9640"/>
          </w:cols>
          <w:pgMar w:left="1120" w:top="253" w:right="1139" w:bottom="1440" w:gutter="0" w:footer="0" w:header="0"/>
        </w:sectPr>
      </w:pPr>
    </w:p>
    <w:bookmarkStart w:id="70" w:name="page71"/>
    <w:bookmarkEnd w:id="70"/>
    <w:p>
      <w:pPr>
        <w:ind w:left="1" w:right="20" w:firstLine="1253"/>
        <w:spacing w:after="0" w:line="251" w:lineRule="auto"/>
        <w:tabs>
          <w:tab w:leader="none" w:pos="145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As of the date of this Agreement, Gem is not a party to any Legal Proceeding (including, but not limited to, opposition, interference or other proceeding in any patent or other government office) contesting the validity, ownership or right to use, sell, offer for sale, license or dispose of any Gem Registered IP. Gem has not received any written notice asserting that any Gem Registered IP or the proposed use, sale, offer for sale, license or disposition of any products, methods, or processes claimed or covered thereunder conflicts with or infringes, misappropriates or otherwise violates the rights of any other Person or that Gem or any of its Subsidiaries have otherwise infringed, misappropriated or otherwise violated any Intellectual Property of any Person. None of the Gem IP Rights is subject to any outstanding Order of or agreement with any Governmental Authority or arbitrator that limits the ability of Gem to exploit any IP Rights.</w:t>
      </w:r>
    </w:p>
    <w:p>
      <w:pPr>
        <w:spacing w:after="0" w:line="72" w:lineRule="exact"/>
        <w:rPr>
          <w:rFonts w:ascii="Times New Roman" w:cs="Times New Roman" w:eastAsia="Times New Roman" w:hAnsi="Times New Roman"/>
          <w:sz w:val="16"/>
          <w:szCs w:val="16"/>
          <w:color w:val="auto"/>
        </w:rPr>
      </w:pPr>
    </w:p>
    <w:p>
      <w:pPr>
        <w:jc w:val="both"/>
        <w:ind w:left="1" w:right="200" w:firstLine="1253"/>
        <w:spacing w:after="0" w:line="286" w:lineRule="auto"/>
        <w:tabs>
          <w:tab w:leader="none" w:pos="1479"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item of Gem IP Rights that is Gem Registered IP is and at all times has been filed and maintained in compliance with all applicable Law and all filings, payments, and other actions required to be made or taken to maintain such item of Gem Registered IP in full force and effect have been made by the applicable deadline. To the Knowledge of Gem, all Gem Registered IP that is issued or granted is valid and enforceable.</w:t>
      </w:r>
    </w:p>
    <w:p>
      <w:pPr>
        <w:spacing w:after="0" w:line="45" w:lineRule="exact"/>
        <w:rPr>
          <w:rFonts w:ascii="Times New Roman" w:cs="Times New Roman" w:eastAsia="Times New Roman" w:hAnsi="Times New Roman"/>
          <w:sz w:val="15"/>
          <w:szCs w:val="15"/>
          <w:color w:val="auto"/>
        </w:rPr>
      </w:pPr>
    </w:p>
    <w:p>
      <w:pPr>
        <w:ind w:left="1" w:right="60" w:firstLine="1253"/>
        <w:spacing w:after="0" w:line="254" w:lineRule="auto"/>
        <w:tabs>
          <w:tab w:leader="none" w:pos="1479"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Gem, no trademark (whether registered or unregistered) or trade name owned, used, or applied for by Gem conflicts or interferes with any trademark (whether registered or unregistered) or trade name owned, used, or applied for by any other Person except as would not have a Gem Material Adverse Effect. None of the goodwill associated with or inherent in any trademark (whether registered or unregistered) in which Gem has or purports to have an ownership interest has been impaired as determined by Gem in accordance with GAAP. Gem has not granted any license under any trademark or trade name owned or purported to be owned by Gem.</w:t>
      </w:r>
    </w:p>
    <w:p>
      <w:pPr>
        <w:spacing w:after="0" w:line="67" w:lineRule="exact"/>
        <w:rPr>
          <w:rFonts w:ascii="Times New Roman" w:cs="Times New Roman" w:eastAsia="Times New Roman" w:hAnsi="Times New Roman"/>
          <w:sz w:val="16"/>
          <w:szCs w:val="16"/>
          <w:color w:val="auto"/>
        </w:rPr>
      </w:pPr>
    </w:p>
    <w:p>
      <w:pPr>
        <w:ind w:left="1" w:firstLine="1253"/>
        <w:spacing w:after="0" w:line="252" w:lineRule="auto"/>
        <w:tabs>
          <w:tab w:leader="none" w:pos="144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may be set forth in the Contracts listed on Section 4.12(b) or 4.12(c) of the Gem Disclosure Schedule or as contained in license, distribution and service agreements entered into in the Ordinary Course of Business by Gem (i) Gem is not bound by any Contract to indemnify, defend, hold harmless, or reimburse any other Person with respect to any Intellectual Property infringement, misappropriation, or similar claim which is material to Gem taken as a whole and (ii) Gem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69" w:lineRule="exact"/>
        <w:rPr>
          <w:sz w:val="20"/>
          <w:szCs w:val="20"/>
          <w:color w:val="auto"/>
        </w:rPr>
      </w:pPr>
    </w:p>
    <w:p>
      <w:pPr>
        <w:ind w:left="1" w:firstLine="869"/>
        <w:spacing w:after="0" w:line="276" w:lineRule="auto"/>
        <w:rPr>
          <w:sz w:val="20"/>
          <w:szCs w:val="20"/>
          <w:color w:val="auto"/>
        </w:rPr>
      </w:pPr>
      <w:r>
        <w:rPr>
          <w:rFonts w:ascii="Times New Roman" w:cs="Times New Roman" w:eastAsia="Times New Roman" w:hAnsi="Times New Roman"/>
          <w:sz w:val="15"/>
          <w:szCs w:val="15"/>
          <w:color w:val="auto"/>
        </w:rPr>
        <w:t xml:space="preserve">4.13 </w:t>
      </w:r>
      <w:r>
        <w:rPr>
          <w:rFonts w:ascii="Times New Roman" w:cs="Times New Roman" w:eastAsia="Times New Roman" w:hAnsi="Times New Roman"/>
          <w:sz w:val="15"/>
          <w:szCs w:val="15"/>
          <w:u w:val="single" w:color="auto"/>
          <w:color w:val="auto"/>
        </w:rPr>
        <w:t>Agreements, Contracts and Commitments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Section 4.13 of the Gem Disclosure Schedule identifies each Gem Contract that is in effect as of the date of this Agreement and is (a) a material contract as defined in Item 601(b)(10) of Regulation S-K as promulgated under the Securities Act,</w:t>
      </w:r>
    </w:p>
    <w:p>
      <w:pPr>
        <w:spacing w:after="0" w:line="1" w:lineRule="exact"/>
        <w:rPr>
          <w:sz w:val="20"/>
          <w:szCs w:val="20"/>
          <w:color w:val="auto"/>
        </w:rPr>
      </w:pPr>
    </w:p>
    <w:p>
      <w:pPr>
        <w:ind w:left="1" w:right="80" w:hanging="1"/>
        <w:spacing w:after="0" w:line="247" w:lineRule="auto"/>
        <w:tabs>
          <w:tab w:leader="none" w:pos="22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 to which Gem is a party or by which any of its assets and properties is currently bound, which require obligations of payment by, or payments to, Gem in excess of $250,000, (c) a Contract that is not terminable with 90 days’ notice or less and without the need to pay any termination fee, (d) a Contract disclosed in or required to be disclosed in Section 4.12(b) or Section 4.12(c) of the Gem Disclosure Schedule, (e) a Contract containing (A) any covenant limiting the freedom of Gem, its Subsidiaries or the Surviving Corporation to engage in any line of business or compete with any Person, or limiting the development, manufacture or distribution of the Gem’s products or services or (B) any grant of any option to any Intellectual Property rights, (f) a Contract with any Person, including any financial advisor, broker, finder, investment banker or other Person, providing advisory services to Gem or its Subsidiaries in connection with the Contemplated Transactions, (g) a Contract under which a third party would be entitled to receive a license or have any other rights in Intellectual Property of the Company,</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9641"/>
          </w:cols>
          <w:pgMar w:left="1119" w:top="253" w:right="1139" w:bottom="1440" w:gutter="0" w:footer="0" w:header="0"/>
        </w:sectPr>
      </w:pPr>
    </w:p>
    <w:bookmarkStart w:id="71" w:name="page72"/>
    <w:bookmarkEnd w:id="71"/>
    <w:p>
      <w:pPr>
        <w:ind w:left="1" w:right="24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Gem or any of their Subsidiaries at the time of or immediately after the Effective Time, (h) a Contract which would give rise to or otherwise result in proxy statement disclosure pursuant to Item 404 of Regulation S-K (assuming the Company was subject to the requirements of the Exchange Act, or</w:t>
      </w:r>
    </w:p>
    <w:p>
      <w:pPr>
        <w:ind w:left="1" w:hanging="1"/>
        <w:spacing w:after="0" w:line="247" w:lineRule="auto"/>
        <w:tabs>
          <w:tab w:leader="none" w:pos="18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Contract, plan, program, or policy providing for severance, termination compensation, retention or stay pay, change in control payments, or transaction-based bonuses. Gem has delivered or made available to the Company accurate and complete copies of all Contracts to which Gem or any of its Subsidiaries is a party or by which it is bound of the type described in clauses (a)-(c) of the immediately preceding sentence (any such Contract, a “</w:t>
      </w:r>
      <w:r>
        <w:rPr>
          <w:rFonts w:ascii="Times New Roman" w:cs="Times New Roman" w:eastAsia="Times New Roman" w:hAnsi="Times New Roman"/>
          <w:sz w:val="16"/>
          <w:szCs w:val="16"/>
          <w:b w:val="1"/>
          <w:bCs w:val="1"/>
          <w:color w:val="auto"/>
        </w:rPr>
        <w:t>Gem Material Contract</w:t>
      </w:r>
      <w:r>
        <w:rPr>
          <w:rFonts w:ascii="Times New Roman" w:cs="Times New Roman" w:eastAsia="Times New Roman" w:hAnsi="Times New Roman"/>
          <w:sz w:val="16"/>
          <w:szCs w:val="16"/>
          <w:color w:val="auto"/>
        </w:rPr>
        <w:t>”), including all amendments thereto. Gem has not nor, to Gem’s Knowledge as of the date of this Agreement, has any other party to a Gem Material Contract, breached, violated or defaulted under, or received notice that it breached, violated or defaulted under, any of the terms or conditions of any Gem Material Contract in such manner as would permit any other party to cancel or terminate any such Gem Material Contract, or would permit any other party to seek damages which would reasonably be expected to have a Gem Material Adverse Effect. As to Gem, as of the date of this Agreement, each Gem Material Contract is valid, binding, enforceable and in full force and effect, subject to the Enforceability Exceptions. No Person is renegotiating, or has a right pursuant to the terms of any Gem Material Contract to change, any material amount paid or payable to Gem under any Gem Material Contract or any other material term or provision of any Gem Material Contract.</w:t>
      </w:r>
    </w:p>
    <w:p>
      <w:pPr>
        <w:spacing w:after="0" w:line="76"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Compliance; Permits; Restrictions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firstLine="1253"/>
        <w:spacing w:after="0" w:line="251" w:lineRule="auto"/>
        <w:tabs>
          <w:tab w:leader="none" w:pos="147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and each of its Subsidiaries is, and since the Gem Effective Date, has been in material compliance with all applicable Laws. No investigation, claim, suit, proceeding, audit, Order, or other action by any Governmental Authority is pending or, to the Knowledge of Gem, threatened against Gem or any of its Subsidiaries. There is no agreement or Order binding upon Gem or any of its Subsidiaries which (i) has or could reasonably be expected to have the effect of prohibiting or materially impairing any business practice of Gem, any acquisition of material property by Gem or any of its Subsidiaries or the conduct of business by Gem or any of its Subsidiaries as currently conducted, (ii) is reasonably likely to have an adverse effect on Gem’s ability to comply with or perform any covenant or obligation under this Agreement or (iii) is reasonably likely to have the effect of preventing, delaying, making illegal or otherwise interfering with the Contemplated Transactions.</w:t>
      </w:r>
    </w:p>
    <w:p>
      <w:pPr>
        <w:spacing w:after="0" w:line="72" w:lineRule="exact"/>
        <w:rPr>
          <w:rFonts w:ascii="Times New Roman" w:cs="Times New Roman" w:eastAsia="Times New Roman" w:hAnsi="Times New Roman"/>
          <w:sz w:val="16"/>
          <w:szCs w:val="16"/>
          <w:color w:val="auto"/>
        </w:rPr>
      </w:pPr>
    </w:p>
    <w:p>
      <w:pPr>
        <w:ind w:left="1" w:right="60" w:firstLine="1253"/>
        <w:spacing w:after="0" w:line="272" w:lineRule="auto"/>
        <w:tabs>
          <w:tab w:leader="none" w:pos="1479"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Gem and its Subsidiaries holds all required Governmental Authorizations that are material to the operation of the business of Gem and Merger Sub as currently conducted (collectively, the “</w:t>
      </w:r>
      <w:r>
        <w:rPr>
          <w:rFonts w:ascii="Times New Roman" w:cs="Times New Roman" w:eastAsia="Times New Roman" w:hAnsi="Times New Roman"/>
          <w:sz w:val="15"/>
          <w:szCs w:val="15"/>
          <w:b w:val="1"/>
          <w:bCs w:val="1"/>
          <w:color w:val="auto"/>
        </w:rPr>
        <w:t>Gem Permits</w:t>
      </w:r>
      <w:r>
        <w:rPr>
          <w:rFonts w:ascii="Times New Roman" w:cs="Times New Roman" w:eastAsia="Times New Roman" w:hAnsi="Times New Roman"/>
          <w:sz w:val="15"/>
          <w:szCs w:val="15"/>
          <w:color w:val="auto"/>
        </w:rPr>
        <w:t>”). Section 4.14(b) of the Gem Disclosure Schedule identifies each Gem Permit. Each of Gem and its Subsidiaries is in material compliance with the terms of the Gem Permits. No Legal Proceeding is pending or, to the Knowledge of Gem, threatened in writing, which seeks to revoke, substantially limit, suspend, or materially modify any Gem Permit. The rights and benefits of each Gem Permit will be available to Gem and Surviving Corporation immediately after the Effective Time on terms substantially identical to those enjoyed by Gem and its Subsidiaries as of the date of this Agreement and immediately prior to the Effective Time.</w:t>
      </w:r>
    </w:p>
    <w:p>
      <w:pPr>
        <w:spacing w:after="0" w:line="57" w:lineRule="exact"/>
        <w:rPr>
          <w:rFonts w:ascii="Times New Roman" w:cs="Times New Roman" w:eastAsia="Times New Roman" w:hAnsi="Times New Roman"/>
          <w:sz w:val="15"/>
          <w:szCs w:val="15"/>
          <w:color w:val="auto"/>
        </w:rPr>
      </w:pPr>
    </w:p>
    <w:p>
      <w:pPr>
        <w:ind w:left="1" w:firstLine="1253"/>
        <w:spacing w:after="0" w:line="261" w:lineRule="auto"/>
        <w:tabs>
          <w:tab w:leader="none" w:pos="147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Legal Proceedings pending or, to the Knowledge of Gem, threatened with respect to an alleged material violation by Gem or any of its Subsidiaries of the FDCA, PHSA, FDA regulations adopted thereunder, the Controlled Substances Act or any other similar Law promulgated by a Drug Regulatory Agency.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9641"/>
          </w:cols>
          <w:pgMar w:left="1119" w:top="253" w:right="1139" w:bottom="1440" w:gutter="0" w:footer="0" w:header="0"/>
        </w:sectPr>
      </w:pPr>
    </w:p>
    <w:bookmarkStart w:id="72" w:name="page73"/>
    <w:bookmarkEnd w:id="72"/>
    <w:p>
      <w:pPr>
        <w:ind w:left="1" w:firstLine="1253"/>
        <w:spacing w:after="0" w:line="264" w:lineRule="auto"/>
        <w:tabs>
          <w:tab w:leader="none" w:pos="1479" w:val="left"/>
        </w:tabs>
        <w:numPr>
          <w:ilvl w:val="1"/>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Each of Gem and its Subsidiaries holds all required Governmental Authorizations issuable by any Drug Regulatory Agency necessary for the conduct of the business of Gem and Merger Sub as currently conducted, and, as applicable, the development, testing, manufacturing, processing, storage, labeling, distribution and importation or exportation, as currently conducted, of any of its product candidates (the “</w:t>
      </w:r>
      <w:r>
        <w:rPr>
          <w:rFonts w:ascii="Times New Roman" w:cs="Times New Roman" w:eastAsia="Times New Roman" w:hAnsi="Times New Roman"/>
          <w:sz w:val="15"/>
          <w:szCs w:val="15"/>
          <w:b w:val="1"/>
          <w:bCs w:val="1"/>
          <w:color w:val="auto"/>
        </w:rPr>
        <w:t>Gem Product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Candidates</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Gem Regulatory Permits</w:t>
      </w:r>
      <w:r>
        <w:rPr>
          <w:rFonts w:ascii="Times New Roman" w:cs="Times New Roman" w:eastAsia="Times New Roman" w:hAnsi="Times New Roman"/>
          <w:sz w:val="15"/>
          <w:szCs w:val="15"/>
          <w:color w:val="auto"/>
        </w:rPr>
        <w:t>”) and no such Gem Regulatory Permit has been (i) revoked, withdrawn, suspended, cancelled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terminated or (ii) modified in any adverse manner other than immaterial adverse modifications. Gem has timely maintained and is in compliance in all material respects with the Gem Regulatory Permits and neither Gem nor or any of its Subsidiaries has, since the Gem Effective Date, received any written notice or other written communication from any Drug Regulatory Agency regarding (A) any material violation of or failure to comply materially with any term or requirement of any Gem Regulatory Permit or (B) any revocation, withdrawal, suspension, cancellation, termination or material modification of any Gem Regulatory Permit. Except for the information and files identified in Section 4.14(d) of the Gem Disclosure Schedule, Gem has made available to the Company all information reasonably requested by the Company in Gem’s or its Subsidiaries’ possession or control relating to the Gem Product Candidates and the development, testing, manufacturing, processing, storage, labeling, distribution and importation or exportation of the Gem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w:t>
      </w:r>
    </w:p>
    <w:p>
      <w:pPr>
        <w:spacing w:after="0" w:line="9" w:lineRule="exact"/>
        <w:rPr>
          <w:rFonts w:ascii="Times New Roman" w:cs="Times New Roman" w:eastAsia="Times New Roman" w:hAnsi="Times New Roman"/>
          <w:sz w:val="15"/>
          <w:szCs w:val="15"/>
          <w:color w:val="auto"/>
        </w:rPr>
      </w:pPr>
    </w:p>
    <w:p>
      <w:pPr>
        <w:ind w:left="1" w:right="180" w:hanging="1"/>
        <w:spacing w:after="0" w:line="253" w:lineRule="auto"/>
        <w:tabs>
          <w:tab w:leader="none" w:pos="224"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similar reports, material study data, notices, letters, filings, correspondence and meeting minutes with any other Governmental Authority. All such information are accurate and complete in all material respects.</w:t>
      </w:r>
    </w:p>
    <w:p>
      <w:pPr>
        <w:spacing w:after="0" w:line="67" w:lineRule="exact"/>
        <w:rPr>
          <w:rFonts w:ascii="Times New Roman" w:cs="Times New Roman" w:eastAsia="Times New Roman" w:hAnsi="Times New Roman"/>
          <w:sz w:val="16"/>
          <w:szCs w:val="16"/>
          <w:color w:val="auto"/>
        </w:rPr>
      </w:pPr>
    </w:p>
    <w:p>
      <w:pPr>
        <w:ind w:left="1" w:right="20" w:firstLine="1253"/>
        <w:spacing w:after="0" w:line="249" w:lineRule="auto"/>
        <w:tabs>
          <w:tab w:leader="none" w:pos="147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clinical, pre-clinical and other studies and tests conducted by or on behalf of, or sponsored by, Gem or its Subsidiaries, in which Gem or its subsidiaries or their respective product candidates, including the Gem Product Candidates, have participated were and, if still pending, are being conducted in all material respects in accordance with standard medical and scientific research procedures, in material compliance with the applicable protocols, and in compliance in all material respects with the applicable regulations of the Drug Regulatory Agencies and other applicable Law, including, without limitation, 21 C.F.R. Parts 50, 54, 56, 58 and 312. Other than as set forth on Section 4.14(e) of the Gem Disclosure Schedule, neither Gem nor any of its Subsidiaries has received any written notices, correspondence, or other communications from any Drug Regulatory Agency requiring or, to the Knowledge of Gem, any action to place a clinical hold order on, or otherwise terminate, delay, or suspend any clinical studies conducted by or on behalf of, or sponsored by, Gem or any of its Subsidiaries or in which Gem or any of its Subsidiaries or its current product candidates, including the Gem Product Candidates, have participated. Further, no clinical investigator, researcher, or clinical staff participating in any clinical study conducted by or, to the Knowledge of Gem, on behalf of Gem has been disqualified from participating in studies involving the Gem Product Candidates, and to the Knowledge of Gem, no such administrative action to disqualify such clinical investigators, researchers or clinical staff has been threatened or is pending.</w:t>
      </w:r>
    </w:p>
    <w:p>
      <w:pPr>
        <w:spacing w:after="0" w:line="74" w:lineRule="exact"/>
        <w:rPr>
          <w:rFonts w:ascii="Times New Roman" w:cs="Times New Roman" w:eastAsia="Times New Roman" w:hAnsi="Times New Roman"/>
          <w:sz w:val="16"/>
          <w:szCs w:val="16"/>
          <w:color w:val="auto"/>
        </w:rPr>
      </w:pPr>
    </w:p>
    <w:p>
      <w:pPr>
        <w:ind w:left="1" w:firstLine="1253"/>
        <w:spacing w:after="0" w:line="256" w:lineRule="auto"/>
        <w:tabs>
          <w:tab w:leader="none" w:pos="1453"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to the Knowledge of Gem, any contract manufacturer with respect to any Gem Product Candidate is the subject of any pending or, to the Knowledge of Gem, threatened investigation in respect of its business or products by the FDA pursuant to its “Fraud, Untrue Statements of Material Facts, Bribery, and Illegal Gratuities” Final Policy set forth in 56 Fed. Reg. 46191 (September 10, 1991) and any amendments thereto. To</w:t>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9621"/>
          </w:cols>
          <w:pgMar w:left="1119" w:top="253" w:right="1159" w:bottom="1440" w:gutter="0" w:footer="0" w:header="0"/>
        </w:sectPr>
      </w:pPr>
    </w:p>
    <w:bookmarkStart w:id="73" w:name="page74"/>
    <w:bookmarkEnd w:id="73"/>
    <w:p>
      <w:pPr>
        <w:ind w:right="6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Knowledge of Gem, Gem and any contract manufacturer with respect to any Gem Product Candidate has not committed any acts, made any statement, or failed to make any statement, in each case in respect of its business or products that would violate FDA’s “Fraud, Untrue Statements of Material Facts, Bribery, and Illegal Gratuities” Final Policy, and any amendments thereto. None of Gem, and, to the Knowledge of Gem, any contract manufacturer with respect to any Gem Product Candidate, or any of their respective officers, directors, employees or agents has been convicted of any crime or engaged in any conduct that could result in a material debarment or exclusion under (i) 21 U.S.C. Section 335a or (ii) any similar applicable Law, or is or has ever been debarred or excluded. To the Knowledge of Gem, no material debarment or exclusionary claims, actions, proceedings or investigations in respect of their business or products are pending or threatened against Gem, and to the Knowledge of Gem, any contract manufacturer with respect to any Gem Product Candidate, or any of its officers, employees or agents.</w:t>
      </w:r>
    </w:p>
    <w:p>
      <w:pPr>
        <w:spacing w:after="0" w:line="69" w:lineRule="exact"/>
        <w:rPr>
          <w:sz w:val="20"/>
          <w:szCs w:val="20"/>
          <w:color w:val="auto"/>
        </w:rPr>
      </w:pPr>
    </w:p>
    <w:p>
      <w:pPr>
        <w:ind w:right="160" w:firstLine="1253"/>
        <w:spacing w:after="0" w:line="256" w:lineRule="auto"/>
        <w:tabs>
          <w:tab w:leader="none" w:pos="147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manufacturing operations conducted by, or to the Knowledge of Gem, for the benefit of, Gem in connection with any Gem Product Candidate, since the Gem Effective Date, have been and are being conducted in compliance in all material respects with applicable Laws, including the FDA’s standards for current good manufacturing practices, including applicable requirements contained in 21 C.F.R. Parts 210 and 211, and the respective counterparts thereof promulgated by Governmental Authorities in countries outside the United States.</w:t>
      </w:r>
    </w:p>
    <w:p>
      <w:pPr>
        <w:spacing w:after="0" w:line="66" w:lineRule="exact"/>
        <w:rPr>
          <w:rFonts w:ascii="Times New Roman" w:cs="Times New Roman" w:eastAsia="Times New Roman" w:hAnsi="Times New Roman"/>
          <w:sz w:val="16"/>
          <w:szCs w:val="16"/>
          <w:color w:val="auto"/>
        </w:rPr>
      </w:pPr>
    </w:p>
    <w:p>
      <w:pPr>
        <w:ind w:firstLine="1253"/>
        <w:spacing w:after="0" w:line="275" w:lineRule="auto"/>
        <w:tabs>
          <w:tab w:leader="none" w:pos="1478"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manufacturing site owned by Gem, and to the Knowledge of Gem, no manufacturing site of a contract manufacturer, with respect to any Gem Product Candidate, (i) is subject to a Drug Regulatory Agency shutdown or import or export prohibition or (ii) has received any Form FDA 483, notice of violation, warning letter, untitled letter, or similar correspondence or notice from the FDA or other Governmental Authority alleging or asserting noncompliance with any applicable Law, in each case, that have not been complied with or closed to the satisfaction of the relevant Governmental Authority, and, to the Knowledge of Gem, neither the FDA nor any other Governmental Authority is considering such action.</w:t>
      </w:r>
    </w:p>
    <w:p>
      <w:pPr>
        <w:spacing w:after="0" w:line="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4.15 </w:t>
      </w:r>
      <w:r>
        <w:rPr>
          <w:rFonts w:ascii="Times New Roman" w:cs="Times New Roman" w:eastAsia="Times New Roman" w:hAnsi="Times New Roman"/>
          <w:sz w:val="16"/>
          <w:szCs w:val="16"/>
          <w:u w:val="single" w:color="auto"/>
          <w:color w:val="auto"/>
        </w:rPr>
        <w:t>Legal Proceedings; Orders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jc w:val="both"/>
        <w:ind w:firstLine="1253"/>
        <w:spacing w:after="0" w:line="256" w:lineRule="auto"/>
        <w:tabs>
          <w:tab w:leader="none" w:pos="146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in Section 4.15 of the Gem Disclosure Schedule, there is no pending Legal Proceeding and, to the Knowledge of Gem, no Person has threatened in writing to commence any Legal Proceeding: (i) that involves Gem or any of its Subsidiaries or any Gem Associate (in his or her capacity as such) or any of the material assets owned or used by Gem or any of its Subsidiaries or (ii) that challenges, or that may have the effect of preventing, delaying, making illegal or otherwise interfering with, the Contemplated Transactions.</w:t>
      </w:r>
    </w:p>
    <w:p>
      <w:pPr>
        <w:spacing w:after="0" w:line="66" w:lineRule="exact"/>
        <w:rPr>
          <w:rFonts w:ascii="Times New Roman" w:cs="Times New Roman" w:eastAsia="Times New Roman" w:hAnsi="Times New Roman"/>
          <w:sz w:val="16"/>
          <w:szCs w:val="16"/>
          <w:color w:val="auto"/>
        </w:rPr>
      </w:pPr>
    </w:p>
    <w:p>
      <w:pPr>
        <w:jc w:val="both"/>
        <w:ind w:right="320" w:firstLine="1253"/>
        <w:spacing w:after="0" w:line="256" w:lineRule="auto"/>
        <w:tabs>
          <w:tab w:leader="none" w:pos="147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Order to which Gem or any of its Subsidiaries, or any of the material assets owned or used by Gem or any of its Subsidiaries is subject. To the Knowledge of Gem, no officer or other Key Employee of Gem or any of its Subsidiaries is subject to any Order that prohibits such officer or employee from engaging in or continuing any conduct, activity or practice relating to the business of Gem or any of its Subsidiaries or to any material assets owned or used by Gem or any of its Subsidiaries.</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9600"/>
          </w:cols>
          <w:pgMar w:left="1120" w:top="253" w:right="1179" w:bottom="1440" w:gutter="0" w:footer="0" w:header="0"/>
        </w:sectPr>
      </w:pPr>
    </w:p>
    <w:bookmarkStart w:id="74" w:name="page75"/>
    <w:bookmarkEnd w:id="74"/>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4.16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240" w:firstLine="1253"/>
        <w:spacing w:after="0" w:line="256" w:lineRule="auto"/>
        <w:tabs>
          <w:tab w:leader="none" w:pos="146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Gem and its Subsidiaries has timely filed all federal income Tax Returns and other material Tax Returns that it was required to file under applicable Law. All such Tax Returns are true, correct and complete in all material respects and have been prepared in material compliance with all applicable Laws. No written claim has ever been made by a Governmental Authority in a jurisdiction where Gem or any of its Subsidiaries does not file Tax Returns that Gem or any such Subsidiary is subject to taxation by that jurisdiction.</w:t>
      </w:r>
    </w:p>
    <w:p>
      <w:pPr>
        <w:spacing w:after="0" w:line="66" w:lineRule="exact"/>
        <w:rPr>
          <w:rFonts w:ascii="Times New Roman" w:cs="Times New Roman" w:eastAsia="Times New Roman" w:hAnsi="Times New Roman"/>
          <w:sz w:val="16"/>
          <w:szCs w:val="16"/>
          <w:color w:val="auto"/>
        </w:rPr>
      </w:pPr>
    </w:p>
    <w:p>
      <w:pPr>
        <w:ind w:right="80" w:firstLine="1253"/>
        <w:spacing w:after="0" w:line="261" w:lineRule="auto"/>
        <w:tabs>
          <w:tab w:leader="none" w:pos="147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material Taxes due and owing by Gem and each of its Subsidiaries (whether or not shown on any Tax Return) have been paid. Since the date of the Gem Unaudited Interim Balance Sheet, neither Gem nor any of its Subsidiaries has incurred any material Liability for Taxes outside the Ordinary Course of Business or otherwise inconsistent with past custom and practice.</w:t>
      </w:r>
    </w:p>
    <w:p>
      <w:pPr>
        <w:spacing w:after="0" w:line="62" w:lineRule="exact"/>
        <w:rPr>
          <w:rFonts w:ascii="Times New Roman" w:cs="Times New Roman" w:eastAsia="Times New Roman" w:hAnsi="Times New Roman"/>
          <w:sz w:val="16"/>
          <w:szCs w:val="16"/>
          <w:color w:val="auto"/>
        </w:rPr>
      </w:pPr>
    </w:p>
    <w:p>
      <w:pPr>
        <w:ind w:right="400" w:firstLine="1253"/>
        <w:spacing w:after="0" w:line="276" w:lineRule="auto"/>
        <w:tabs>
          <w:tab w:leader="none" w:pos="146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Gem and its Subsidiaries has withheld and paid all material Taxes required to have been withheld and paid by it in connection with any amounts paid or owing to any employee, independent contractor, creditor, stockholder, or other third party.</w:t>
      </w:r>
    </w:p>
    <w:p>
      <w:pPr>
        <w:spacing w:after="0" w:line="49"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Encumbrances for Taxes (other than Permitted Encumbrances) upon any of the assets of Gem or any of its</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82" w:lineRule="exact"/>
        <w:rPr>
          <w:rFonts w:ascii="Times New Roman" w:cs="Times New Roman" w:eastAsia="Times New Roman" w:hAnsi="Times New Roman"/>
          <w:sz w:val="16"/>
          <w:szCs w:val="16"/>
          <w:color w:val="auto"/>
        </w:rPr>
      </w:pPr>
    </w:p>
    <w:p>
      <w:pPr>
        <w:ind w:right="20" w:firstLine="1253"/>
        <w:spacing w:after="0" w:line="254" w:lineRule="auto"/>
        <w:tabs>
          <w:tab w:leader="none" w:pos="146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deficiencies for Taxes with respect to Gem or any of its Subsidiaries have been claimed, proposed or assessed by any Governmental Authority in writing that have not been resolved or settled in full. There are no pending (or, based on written notice, threatened) audits, assessments or other actions for or relating to any liability in respect of Taxes of Gem or any of its Subsidiaries. Neither Gem nor any of its Subsidiaries (nor any of their predecessors) has waived any statute of limitations in respect of Taxes or agreed to any extension of time with respect to a Tax assessment or deficiency, which waiver or extension is currently in effect.</w:t>
      </w:r>
    </w:p>
    <w:p>
      <w:pPr>
        <w:spacing w:after="0" w:line="67" w:lineRule="exact"/>
        <w:rPr>
          <w:rFonts w:ascii="Times New Roman" w:cs="Times New Roman" w:eastAsia="Times New Roman" w:hAnsi="Times New Roman"/>
          <w:sz w:val="16"/>
          <w:szCs w:val="16"/>
          <w:color w:val="auto"/>
        </w:rPr>
      </w:pPr>
    </w:p>
    <w:p>
      <w:pPr>
        <w:ind w:right="140" w:firstLine="1253"/>
        <w:spacing w:after="0" w:line="261" w:lineRule="auto"/>
        <w:tabs>
          <w:tab w:leader="none" w:pos="1451"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is a party to any Tax allocation, Tax sharing or similar agreement (including indemnity arrangements), other than customary indemnification provisions in commercial contracts not primarily related to Taxes entered into in the Ordinary Course of Business, including with vendors, customers, lenders and landlords.</w:t>
      </w:r>
    </w:p>
    <w:p>
      <w:pPr>
        <w:spacing w:after="0" w:line="62" w:lineRule="exact"/>
        <w:rPr>
          <w:rFonts w:ascii="Times New Roman" w:cs="Times New Roman" w:eastAsia="Times New Roman" w:hAnsi="Times New Roman"/>
          <w:sz w:val="16"/>
          <w:szCs w:val="16"/>
          <w:color w:val="auto"/>
        </w:rPr>
      </w:pPr>
    </w:p>
    <w:p>
      <w:pPr>
        <w:ind w:firstLine="1253"/>
        <w:spacing w:after="0" w:line="256" w:lineRule="auto"/>
        <w:tabs>
          <w:tab w:leader="none" w:pos="147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has been a member of an affiliated group filing a consolidated U.S. federal income Tax Return (other than a group the common parent of which is Gem). Neither Gem nor any of its Subsidiaries has any material Liability for the Taxes of any Person (other than Gem and any of its Subsidiaries) under Treasury Regulations Section 1.1502-6 (or any similar provision of state, local, or foreign Law) or as a transferee or successor.</w:t>
      </w:r>
    </w:p>
    <w:p>
      <w:pPr>
        <w:spacing w:after="0" w:line="66" w:lineRule="exact"/>
        <w:rPr>
          <w:rFonts w:ascii="Times New Roman" w:cs="Times New Roman" w:eastAsia="Times New Roman" w:hAnsi="Times New Roman"/>
          <w:sz w:val="16"/>
          <w:szCs w:val="16"/>
          <w:color w:val="auto"/>
        </w:rPr>
      </w:pPr>
    </w:p>
    <w:p>
      <w:pPr>
        <w:ind w:firstLine="1253"/>
        <w:spacing w:after="0" w:line="276" w:lineRule="auto"/>
        <w:tabs>
          <w:tab w:leader="none" w:pos="147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has distributed stock of another Person, or had its stock distributed by another Person, in a transaction that was purported or intended to be governed in whole or in part by Section 355 of the Code.</w:t>
      </w:r>
    </w:p>
    <w:p>
      <w:pPr>
        <w:spacing w:after="0" w:line="49" w:lineRule="exact"/>
        <w:rPr>
          <w:rFonts w:ascii="Times New Roman" w:cs="Times New Roman" w:eastAsia="Times New Roman" w:hAnsi="Times New Roman"/>
          <w:sz w:val="16"/>
          <w:szCs w:val="16"/>
          <w:color w:val="auto"/>
        </w:rPr>
      </w:pPr>
    </w:p>
    <w:p>
      <w:pPr>
        <w:ind w:right="460" w:firstLine="1253"/>
        <w:spacing w:after="0" w:line="276" w:lineRule="auto"/>
        <w:tabs>
          <w:tab w:leader="none" w:pos="1443"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has entered into any transaction identified as a “listed transaction” for purposes of Treasury Regulations Sections 1.6011-4(b)(2) or 301.6111-2(b)(2) or any analogous provision of state or local Law.</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9600"/>
          </w:cols>
          <w:pgMar w:left="1120" w:top="253" w:right="1179" w:bottom="1440" w:gutter="0" w:footer="0" w:header="0"/>
        </w:sectPr>
      </w:pPr>
    </w:p>
    <w:bookmarkStart w:id="75" w:name="page76"/>
    <w:bookmarkEnd w:id="75"/>
    <w:p>
      <w:pPr>
        <w:ind w:left="-20" w:right="80" w:firstLine="1253"/>
        <w:spacing w:after="0" w:line="276" w:lineRule="auto"/>
        <w:tabs>
          <w:tab w:leader="none" w:pos="142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Section 4.16(j) of the Gem Disclosure Schedule sets forth the entity classification of each of Gem’s Subsidiaries for U.S. federal income tax purposes under Section 7701 of the Code.</w:t>
      </w:r>
    </w:p>
    <w:p>
      <w:pPr>
        <w:spacing w:after="0" w:line="49" w:lineRule="exact"/>
        <w:rPr>
          <w:rFonts w:ascii="Times New Roman" w:cs="Times New Roman" w:eastAsia="Times New Roman" w:hAnsi="Times New Roman"/>
          <w:sz w:val="16"/>
          <w:szCs w:val="16"/>
          <w:color w:val="auto"/>
        </w:rPr>
      </w:pPr>
    </w:p>
    <w:p>
      <w:pPr>
        <w:ind w:left="-20" w:right="20" w:firstLine="1253"/>
        <w:spacing w:after="0" w:line="261" w:lineRule="auto"/>
        <w:tabs>
          <w:tab w:leader="none" w:pos="1458"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is aware of any facts or has knowingly taken or agreed to take or refrain from taking any action, in each case, that would reasonably be expected to prevent or impede the Merger from qualifying as a “reorganization” within the meaning of Section 368(a) of the Code.</w:t>
      </w:r>
    </w:p>
    <w:p>
      <w:pPr>
        <w:spacing w:after="0" w:line="62" w:lineRule="exact"/>
        <w:rPr>
          <w:rFonts w:ascii="Times New Roman" w:cs="Times New Roman" w:eastAsia="Times New Roman" w:hAnsi="Times New Roman"/>
          <w:sz w:val="16"/>
          <w:szCs w:val="16"/>
          <w:color w:val="auto"/>
        </w:rPr>
      </w:pPr>
    </w:p>
    <w:p>
      <w:pPr>
        <w:ind w:left="-20" w:right="20" w:firstLine="1253"/>
        <w:spacing w:after="0" w:line="276" w:lineRule="auto"/>
        <w:tabs>
          <w:tab w:leader="none" w:pos="142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outstanding power of attorney from Gem or any of its Subsidiaries authorizing anyone to act on behalf of Gem or any of its Subsidiaries in connection with any Tax, Tax Return or action relating to any Tax or Tax Return of Gem or any of its Subsidiaries.</w:t>
      </w:r>
    </w:p>
    <w:p>
      <w:pPr>
        <w:spacing w:after="0" w:line="49" w:lineRule="exact"/>
        <w:rPr>
          <w:rFonts w:ascii="Times New Roman" w:cs="Times New Roman" w:eastAsia="Times New Roman" w:hAnsi="Times New Roman"/>
          <w:sz w:val="16"/>
          <w:szCs w:val="16"/>
          <w:color w:val="auto"/>
        </w:rPr>
      </w:pPr>
    </w:p>
    <w:p>
      <w:pPr>
        <w:ind w:left="-20" w:firstLine="1253"/>
        <w:spacing w:after="0" w:line="251" w:lineRule="auto"/>
        <w:tabs>
          <w:tab w:leader="none" w:pos="1502"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its Subsidiaries will be required to include any material item of income in, or exclude any material item of deduction from,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received outside the Ordinary Course of Business, (iv) an intercompany item under Treasury Regulations Section 1.1502-13 or an excess loss account under Treasury Regulations Section 1.1502-19, (v) a change in the accounting method of Gem pursuant to Section 481 of the Code or any corresponding or similar provision of state, local or non-U.S. income Tax Law or the use of a method of accounting with respect to any transaction that occurred on or before the Closing Date; or (vi) any inclusion under Section 965 of the Code.</w:t>
      </w:r>
    </w:p>
    <w:p>
      <w:pPr>
        <w:spacing w:after="0" w:line="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Employee and Labor Matters; Benefit Plans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20" w:right="140" w:firstLine="1253"/>
        <w:spacing w:after="0" w:line="286" w:lineRule="auto"/>
        <w:tabs>
          <w:tab w:leader="none" w:pos="1449"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employment of Gem’s employees is terminable by Gem at will, subject to any notice provisions of applicable employment agreements. Gem has made available to the Company accurate and complete copies of all employee manuals and handbooks, disclosure materials, policy statements and other materials relating to the employment of Gem Associates to the extent currently effective and material.</w:t>
      </w:r>
    </w:p>
    <w:p>
      <w:pPr>
        <w:spacing w:after="0" w:line="45" w:lineRule="exact"/>
        <w:rPr>
          <w:rFonts w:ascii="Times New Roman" w:cs="Times New Roman" w:eastAsia="Times New Roman" w:hAnsi="Times New Roman"/>
          <w:sz w:val="15"/>
          <w:szCs w:val="15"/>
          <w:color w:val="auto"/>
        </w:rPr>
      </w:pPr>
    </w:p>
    <w:p>
      <w:pPr>
        <w:jc w:val="both"/>
        <w:ind w:left="-20" w:right="320" w:firstLine="1253"/>
        <w:spacing w:after="0" w:line="261" w:lineRule="auto"/>
        <w:tabs>
          <w:tab w:leader="none" w:pos="145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Subsidiaries is a party to, bound by, nor has any duty to bargain under, any collective bargaining agreement or other Contract with a labor organization representing any of its employees, and there are no labor organizations representing or, to the Knowledge of Gem, purporting to represent or seeking to represent any employees of Gem.</w:t>
      </w:r>
    </w:p>
    <w:p>
      <w:pPr>
        <w:spacing w:after="0" w:line="62" w:lineRule="exact"/>
        <w:rPr>
          <w:rFonts w:ascii="Times New Roman" w:cs="Times New Roman" w:eastAsia="Times New Roman" w:hAnsi="Times New Roman"/>
          <w:sz w:val="16"/>
          <w:szCs w:val="16"/>
          <w:color w:val="auto"/>
        </w:rPr>
      </w:pPr>
    </w:p>
    <w:p>
      <w:pPr>
        <w:ind w:left="1440" w:hanging="207"/>
        <w:spacing w:after="0"/>
        <w:tabs>
          <w:tab w:leader="none" w:pos="144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4.17(c) of the Gem Disclosure Schedule lists all material Gem Employee Plans.</w:t>
      </w:r>
    </w:p>
    <w:p>
      <w:pPr>
        <w:spacing w:after="0" w:line="99" w:lineRule="exact"/>
        <w:rPr>
          <w:rFonts w:ascii="Times New Roman" w:cs="Times New Roman" w:eastAsia="Times New Roman" w:hAnsi="Times New Roman"/>
          <w:sz w:val="16"/>
          <w:szCs w:val="16"/>
          <w:color w:val="auto"/>
        </w:rPr>
      </w:pPr>
    </w:p>
    <w:p>
      <w:pPr>
        <w:ind w:left="-20" w:right="20" w:firstLine="1253"/>
        <w:spacing w:after="0" w:line="256" w:lineRule="auto"/>
        <w:tabs>
          <w:tab w:leader="none" w:pos="145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Gem Employee Plan that is intended to be qualified under Section 401(a) of the Code has received a favorable determination or opinion letter with respect to such qualified status from the IRS. To the Knowledge of Gem, nothing has occurred that would reasonably be expected to adversely affect the qualified status of any such Gem Employee Plan or require corrective action to the IRS or Employee Plan Compliance Resolution System to maintain such qualification.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9600"/>
          </w:cols>
          <w:pgMar w:left="1140" w:top="253" w:right="1159" w:bottom="1440" w:gutter="0" w:footer="0" w:header="0"/>
        </w:sectPr>
      </w:pPr>
    </w:p>
    <w:bookmarkStart w:id="76" w:name="page77"/>
    <w:bookmarkEnd w:id="76"/>
    <w:p>
      <w:pPr>
        <w:ind w:left="-20" w:right="80" w:firstLine="1253"/>
        <w:spacing w:after="0" w:line="254" w:lineRule="auto"/>
        <w:tabs>
          <w:tab w:leader="none" w:pos="144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Each Gem Employee Plan has been established, operated and administered in compliance, in all material respects, with its terms all applicable Law, including, without limitation, the Code, ERISA and the Affordable Care Act. No Legal Proceeding (other than those relating to routine claims for benefits) is pending or, to the Knowledge of Gem, threatened with respect to any Gem Employee Plan. All payments and/or contributions required to have been made by Gem with respect to all Gem Employee Plans either have been made or have been accrued in accordance with the terms of the applicable Gem Employee Plan and applicable Law.</w:t>
      </w:r>
    </w:p>
    <w:p>
      <w:pPr>
        <w:spacing w:after="0" w:line="67" w:lineRule="exact"/>
        <w:rPr>
          <w:rFonts w:ascii="Times New Roman" w:cs="Times New Roman" w:eastAsia="Times New Roman" w:hAnsi="Times New Roman"/>
          <w:sz w:val="16"/>
          <w:szCs w:val="16"/>
          <w:color w:val="auto"/>
        </w:rPr>
      </w:pPr>
    </w:p>
    <w:p>
      <w:pPr>
        <w:ind w:left="-20" w:right="60" w:firstLine="1253"/>
        <w:spacing w:after="0" w:line="254" w:lineRule="auto"/>
        <w:tabs>
          <w:tab w:leader="none" w:pos="1431"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Gem nor any of its ERISA Affiliates has ever maintained, contributed to, or been required to contribute to or had any liability or obligation (including on account of any ERISA Affiliate) with respect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Gem nor any of its ERISA Affiliates has ever incurred any liability under Title IV of ERISA that has not been paid in full.</w:t>
      </w:r>
    </w:p>
    <w:p>
      <w:pPr>
        <w:spacing w:after="0" w:line="67" w:lineRule="exact"/>
        <w:rPr>
          <w:rFonts w:ascii="Times New Roman" w:cs="Times New Roman" w:eastAsia="Times New Roman" w:hAnsi="Times New Roman"/>
          <w:sz w:val="16"/>
          <w:szCs w:val="16"/>
          <w:color w:val="auto"/>
        </w:rPr>
      </w:pPr>
    </w:p>
    <w:p>
      <w:pPr>
        <w:ind w:left="-20" w:firstLine="1253"/>
        <w:spacing w:after="0" w:line="261" w:lineRule="auto"/>
        <w:tabs>
          <w:tab w:leader="none" w:pos="145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Gem Employee Plan provides for health care or any other non-pension benefits to any service provider beyond termination of service or retirement (other than as required by Part 6 of Subtitle B of Title I of ERISA or similar state Law or as cash severance). No Gem Employee Plan provides major medical health or long-term disability benefits that are not fully insured through an insurance contract.</w:t>
      </w:r>
    </w:p>
    <w:p>
      <w:pPr>
        <w:spacing w:after="0" w:line="62" w:lineRule="exact"/>
        <w:rPr>
          <w:rFonts w:ascii="Times New Roman" w:cs="Times New Roman" w:eastAsia="Times New Roman" w:hAnsi="Times New Roman"/>
          <w:sz w:val="16"/>
          <w:szCs w:val="16"/>
          <w:color w:val="auto"/>
        </w:rPr>
      </w:pPr>
    </w:p>
    <w:p>
      <w:pPr>
        <w:ind w:left="1460" w:hanging="227"/>
        <w:spacing w:after="0"/>
        <w:tabs>
          <w:tab w:leader="none" w:pos="14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Gem Employee Plan is subject to any law of a foreign jurisdiction outside of the United States.</w:t>
      </w:r>
    </w:p>
    <w:p>
      <w:pPr>
        <w:spacing w:after="0" w:line="99" w:lineRule="exact"/>
        <w:rPr>
          <w:rFonts w:ascii="Times New Roman" w:cs="Times New Roman" w:eastAsia="Times New Roman" w:hAnsi="Times New Roman"/>
          <w:sz w:val="16"/>
          <w:szCs w:val="16"/>
          <w:color w:val="auto"/>
        </w:rPr>
      </w:pPr>
    </w:p>
    <w:p>
      <w:pPr>
        <w:ind w:left="-20" w:right="20" w:firstLine="1253"/>
        <w:spacing w:after="0" w:line="256" w:lineRule="auto"/>
        <w:tabs>
          <w:tab w:leader="none" w:pos="142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Gem Employee Plan that constitutes in any part a “nonqualified deferred compensation plan” (as such term is defined under Section 409A(d)(1) of the Code and the guidance thereunder) has been operated and maintained in all material respects in operational and documentary compliance with the requirements of Section 409A of the Code and the applicable guidance thereunder. No payment to be made under any Gem Employee Plan is or, to the Knowledge of Gem, will be subject to the penalties of Section 409A(a)(1) of the Code.</w:t>
      </w:r>
    </w:p>
    <w:p>
      <w:pPr>
        <w:spacing w:after="0" w:line="66" w:lineRule="exact"/>
        <w:rPr>
          <w:rFonts w:ascii="Times New Roman" w:cs="Times New Roman" w:eastAsia="Times New Roman" w:hAnsi="Times New Roman"/>
          <w:sz w:val="16"/>
          <w:szCs w:val="16"/>
          <w:color w:val="auto"/>
        </w:rPr>
      </w:pPr>
    </w:p>
    <w:p>
      <w:pPr>
        <w:jc w:val="both"/>
        <w:ind w:left="-20" w:right="120" w:firstLine="1253"/>
        <w:spacing w:after="0" w:line="261" w:lineRule="auto"/>
        <w:tabs>
          <w:tab w:leader="none" w:pos="142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transfer of property by Gem or any of its Subsidiaries which was subject to a substantial risk of forfeiture and which would otherwise have been subject to taxation under Section 83(a) of the code is covered by a valid and timely filed election under Section 83(b) of the Code, and a copy of such election has been provided to Gem</w:t>
      </w:r>
    </w:p>
    <w:p>
      <w:pPr>
        <w:spacing w:after="0" w:line="62" w:lineRule="exact"/>
        <w:rPr>
          <w:rFonts w:ascii="Times New Roman" w:cs="Times New Roman" w:eastAsia="Times New Roman" w:hAnsi="Times New Roman"/>
          <w:sz w:val="16"/>
          <w:szCs w:val="16"/>
          <w:color w:val="auto"/>
        </w:rPr>
      </w:pPr>
    </w:p>
    <w:p>
      <w:pPr>
        <w:ind w:left="-20" w:right="120" w:firstLine="1253"/>
        <w:spacing w:after="0" w:line="254" w:lineRule="auto"/>
        <w:tabs>
          <w:tab w:leader="none" w:pos="145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is and since January 1, 2019 has been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Gem: (i) has withheld and reported all material amounts required by law or by agreement to be withheld and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9620"/>
          </w:cols>
          <w:pgMar w:left="1140" w:top="253" w:right="1139" w:bottom="1440" w:gutter="0" w:footer="0" w:header="0"/>
        </w:sectPr>
      </w:pPr>
    </w:p>
    <w:bookmarkStart w:id="77" w:name="page78"/>
    <w:bookmarkEnd w:id="77"/>
    <w:p>
      <w:pPr>
        <w:ind w:right="160"/>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To the Knowledge of Gem, there are no pending or threatened or reasonably anticipated claims or actions against Gem, any Gem trustee or any trustee of any Subsidiary under any workers’ compensation policy or long-term disability policy that would result in a material liability to Gem. Gem is not a party to a conciliation agreement, consent decree or other agreement or Order with any federal, state, or local agency or Governmental Authority with respect to employment practices.</w:t>
      </w:r>
    </w:p>
    <w:p>
      <w:pPr>
        <w:spacing w:after="0" w:line="56" w:lineRule="exact"/>
        <w:rPr>
          <w:sz w:val="20"/>
          <w:szCs w:val="20"/>
          <w:color w:val="auto"/>
        </w:rPr>
      </w:pPr>
    </w:p>
    <w:p>
      <w:pPr>
        <w:ind w:right="60" w:firstLine="1253"/>
        <w:spacing w:after="0" w:line="254" w:lineRule="auto"/>
        <w:tabs>
          <w:tab w:leader="none" w:pos="144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has no material liability with respect to any misclassification since January 1, 2019 of: (i) any Person as an independent contractor rather than as an employee, (ii) any employee leased from another employer or (iii) any employee currently or formerly classified as exempt from overtime wages. Gem has not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the WARN Act or any similar state or local law that remains unsatisfied.</w:t>
      </w:r>
    </w:p>
    <w:p>
      <w:pPr>
        <w:spacing w:after="0" w:line="67" w:lineRule="exact"/>
        <w:rPr>
          <w:rFonts w:ascii="Times New Roman" w:cs="Times New Roman" w:eastAsia="Times New Roman" w:hAnsi="Times New Roman"/>
          <w:sz w:val="16"/>
          <w:szCs w:val="16"/>
          <w:color w:val="auto"/>
        </w:rPr>
      </w:pPr>
    </w:p>
    <w:p>
      <w:pPr>
        <w:ind w:right="180" w:firstLine="1253"/>
        <w:spacing w:after="0" w:line="254" w:lineRule="auto"/>
        <w:tabs>
          <w:tab w:leader="none" w:pos="1522"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never been, nor has there been any threat of, any strike, slowdown, work stoppage, lockout, job action, union, organizing activity, question concerning representation or any similar activity or dispute, affecting Gem.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67" w:lineRule="exact"/>
        <w:rPr>
          <w:rFonts w:ascii="Times New Roman" w:cs="Times New Roman" w:eastAsia="Times New Roman" w:hAnsi="Times New Roman"/>
          <w:sz w:val="16"/>
          <w:szCs w:val="16"/>
          <w:color w:val="auto"/>
        </w:rPr>
      </w:pPr>
    </w:p>
    <w:p>
      <w:pPr>
        <w:ind w:right="40" w:firstLine="1253"/>
        <w:spacing w:after="0" w:line="254" w:lineRule="auto"/>
        <w:tabs>
          <w:tab w:leader="none" w:pos="1478"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is not, nor has Gem been, engaged in any unfair labor practice within the meaning of the National Labor Relations Act. There is no Legal Proceeding, claim, labor dispute or grievance pending or, to the Knowledge of Gem, threatened or reasonably anticipated relating to any employment contract, employment termination, privacy right, labor dispute, wages and hours, leave of absence, plant closing notification, workers’ compensation policy, long-term disability policy, harassment, retaliation, immigration, employment statute or regulation, safety or discrimination matter involving any Gem Associate, including charges of unfair labor practices or discrimination complaints.</w:t>
      </w:r>
    </w:p>
    <w:p>
      <w:pPr>
        <w:spacing w:after="0" w:line="67"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Gem Employee Plan provides for any tax “gross-up” or similar “make-whole” payments.</w:t>
      </w:r>
    </w:p>
    <w:p>
      <w:pPr>
        <w:spacing w:after="0" w:line="99" w:lineRule="exact"/>
        <w:rPr>
          <w:rFonts w:ascii="Times New Roman" w:cs="Times New Roman" w:eastAsia="Times New Roman" w:hAnsi="Times New Roman"/>
          <w:sz w:val="16"/>
          <w:szCs w:val="16"/>
          <w:color w:val="auto"/>
        </w:rPr>
      </w:pPr>
    </w:p>
    <w:p>
      <w:pPr>
        <w:ind w:firstLine="1253"/>
        <w:spacing w:after="0" w:line="251" w:lineRule="auto"/>
        <w:tabs>
          <w:tab w:leader="none" w:pos="1478"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set forth on Section 4.17(p) of the Gem Disclosure Schedule, none of the execution and delivery of this Agreement, the shareholder approval of this Agreement, or the consummation of the transactions contemplated hereby could (either alone or in conjunction with any other event) (i) result in, or cause the accelerated vesting payment, funding or delivery of, or increase the amount or value of, any payment or benefit to any employee, officer, director or other service provider of Gem or any of its Subsidiaries; (ii) further restrict any rights of Gem to amend or terminate any Gem Employee Plan; (iii) result in the forgiveness of any indebtedness of any employee, officer, director or other service provider of Gem or any of its Subsidiaries to Gem or its Subsidiaries or (iv) result in any “parachute payment” as defined in Section 280G(b)(2) of the Code (whether or not such payment is considered to be reasonable compensation for services rendered).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9640"/>
          </w:cols>
          <w:pgMar w:left="1120" w:top="253" w:right="1139" w:bottom="1440" w:gutter="0" w:footer="0" w:header="0"/>
        </w:sectPr>
      </w:pPr>
    </w:p>
    <w:bookmarkStart w:id="78" w:name="page79"/>
    <w:bookmarkEnd w:id="78"/>
    <w:p>
      <w:pPr>
        <w:ind w:left="1" w:firstLine="869"/>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4.18 </w:t>
      </w:r>
      <w:r>
        <w:rPr>
          <w:rFonts w:ascii="Times New Roman" w:cs="Times New Roman" w:eastAsia="Times New Roman" w:hAnsi="Times New Roman"/>
          <w:sz w:val="15"/>
          <w:szCs w:val="15"/>
          <w:u w:val="single" w:color="auto"/>
          <w:color w:val="auto"/>
        </w:rPr>
        <w:t>Environmental Matters</w:t>
      </w:r>
      <w:r>
        <w:rPr>
          <w:rFonts w:ascii="Times New Roman" w:cs="Times New Roman" w:eastAsia="Times New Roman" w:hAnsi="Times New Roman"/>
          <w:sz w:val="15"/>
          <w:szCs w:val="15"/>
          <w:color w:val="auto"/>
        </w:rPr>
        <w:t>. Since the Gem Effective Date, Gem has complied with all applicable Environmental Laws, which compliance includes the possession by Gem of all permits and other Governmental Authorizations required under applicable Environmental Laws and compliance with the terms and conditions thereof, except for any failure to be in compliance that, individually or in the aggregate, would not result in a Gem Material Adverse Effect. Gem has not received since the Gem Effective Date, any written notice or other communication (in writing or otherwise), whether from a Governmental Authority, citizens group, employee or otherwise, that alleges that Gem is not in compliance with any Environmental Law, and, to the Knowledge of Gem, there are no circumstances that may prevent or interfere with Gem’s compliance with any Environmental Law in the future, except where such failure to comply would not reasonably be expected to have a Gem Material Adverse Effect. To the Knowledge of Gem:</w:t>
      </w:r>
    </w:p>
    <w:p>
      <w:pPr>
        <w:spacing w:after="0" w:line="4" w:lineRule="exact"/>
        <w:rPr>
          <w:sz w:val="20"/>
          <w:szCs w:val="20"/>
          <w:color w:val="auto"/>
        </w:rPr>
      </w:pPr>
    </w:p>
    <w:p>
      <w:pPr>
        <w:jc w:val="both"/>
        <w:ind w:left="1" w:right="180" w:hanging="1"/>
        <w:spacing w:after="0" w:line="249" w:lineRule="auto"/>
        <w:tabs>
          <w:tab w:leader="none" w:pos="18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current or prior owner of any property leased or controlled by Gem has received since the Gem Effective Date, any written notice or other communication relating to property owned or leased at any time by Gem, whether from a Governmental Authority, citizens group, employee or otherwise, that alleges that such current or prior owner or Gem is not in compliance with or violated any Environmental Law relating to such property and (ii) Gem has no material liability under any Environmental Law.</w:t>
      </w:r>
    </w:p>
    <w:p>
      <w:pPr>
        <w:spacing w:after="0" w:line="71" w:lineRule="exact"/>
        <w:rPr>
          <w:sz w:val="20"/>
          <w:szCs w:val="20"/>
          <w:color w:val="auto"/>
        </w:rPr>
      </w:pPr>
    </w:p>
    <w:p>
      <w:pPr>
        <w:ind w:left="1" w:right="140" w:firstLine="869"/>
        <w:spacing w:after="0" w:line="251" w:lineRule="auto"/>
        <w:rPr>
          <w:sz w:val="20"/>
          <w:szCs w:val="20"/>
          <w:color w:val="auto"/>
        </w:rPr>
      </w:pPr>
      <w:r>
        <w:rPr>
          <w:rFonts w:ascii="Times New Roman" w:cs="Times New Roman" w:eastAsia="Times New Roman" w:hAnsi="Times New Roman"/>
          <w:sz w:val="16"/>
          <w:szCs w:val="16"/>
          <w:color w:val="auto"/>
        </w:rPr>
        <w:t xml:space="preserve">4.19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Gem has made available to the Company accurate and complete copies of all material insurance policies and all material self-insurance programs and arrangements relating to the business, assets, liabilities and operations of Gem and Merger Sub. Each of such insurance policies is in full force and effect and Gem and Merger Sub are in compliance in all material respects with the terms thereof. Other than customary end of policy notifications from insurance carriers, since the Gem Effective Date, Gem has not received any notice or other communication regarding any actual or possible: (i) cancellation or invalidation of any insurance policy or (ii) refusal or denial of any coverage, reservation of rights or rejection of any material claim under any insurance policy. Each of Gem and Merger Sub has provided timely written notice to the appropriate insurance carrier(s) of each Legal Proceeding pending against Gem for which Gem has insurance coverage, and no such carrier has issued a denial of coverage or a reservation of rights with respect to any such Legal Proceeding, or informed Gem of its intent to do so.</w:t>
      </w:r>
    </w:p>
    <w:p>
      <w:pPr>
        <w:spacing w:after="0" w:line="69" w:lineRule="exact"/>
        <w:rPr>
          <w:sz w:val="20"/>
          <w:szCs w:val="20"/>
          <w:color w:val="auto"/>
        </w:rPr>
      </w:pPr>
    </w:p>
    <w:p>
      <w:pPr>
        <w:ind w:left="1" w:right="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4.20 </w:t>
      </w:r>
      <w:r>
        <w:rPr>
          <w:rFonts w:ascii="Times New Roman" w:cs="Times New Roman" w:eastAsia="Times New Roman" w:hAnsi="Times New Roman"/>
          <w:sz w:val="16"/>
          <w:szCs w:val="16"/>
          <w:u w:val="single" w:color="auto"/>
          <w:color w:val="auto"/>
        </w:rPr>
        <w:t>Transactions with Affiliates</w:t>
      </w:r>
      <w:r>
        <w:rPr>
          <w:rFonts w:ascii="Times New Roman" w:cs="Times New Roman" w:eastAsia="Times New Roman" w:hAnsi="Times New Roman"/>
          <w:sz w:val="16"/>
          <w:szCs w:val="16"/>
          <w:color w:val="auto"/>
        </w:rPr>
        <w:t>. Except as set forth in the Gem SEC Documents filed prior to the date of this Agreement, since the date of Gem’s last annual report on Form 10-K for the year ended December 31, 2021 proxy statement filed in 2021 with the SEC, no event has occurred that would be required to be reported by Gem pursuant to Item 404 of Regulation S-K promulgated by the SEC. Section 4.20 of the Gem Disclosure Schedule identifies each Person who is (or who may be deemed to be) an Affiliate of Gem as of the date of this Agreement.</w:t>
      </w:r>
    </w:p>
    <w:p>
      <w:pPr>
        <w:spacing w:after="0" w:line="66" w:lineRule="exact"/>
        <w:rPr>
          <w:sz w:val="20"/>
          <w:szCs w:val="20"/>
          <w:color w:val="auto"/>
        </w:rPr>
      </w:pPr>
    </w:p>
    <w:p>
      <w:pPr>
        <w:ind w:left="1" w:right="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4.21 </w:t>
      </w:r>
      <w:r>
        <w:rPr>
          <w:rFonts w:ascii="Times New Roman" w:cs="Times New Roman" w:eastAsia="Times New Roman" w:hAnsi="Times New Roman"/>
          <w:sz w:val="16"/>
          <w:szCs w:val="16"/>
          <w:u w:val="single" w:color="auto"/>
          <w:color w:val="auto"/>
        </w:rPr>
        <w:t>No Financial Advisors</w:t>
      </w:r>
      <w:r>
        <w:rPr>
          <w:rFonts w:ascii="Times New Roman" w:cs="Times New Roman" w:eastAsia="Times New Roman" w:hAnsi="Times New Roman"/>
          <w:sz w:val="16"/>
          <w:szCs w:val="16"/>
          <w:color w:val="auto"/>
        </w:rPr>
        <w:t>. Except as set forth on Section 4.21 of the Gem Disclosure Schedule, no broker, finder or investment banker is entitled to any brokerage fee, finder’s fee, opinion fee, success fee, transaction fee or other fee or commission in connection with the Contemplated Transactions based upon arrangements made by or on behalf of Gem.</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9641"/>
          </w:cols>
          <w:pgMar w:left="1119" w:top="253" w:right="1139" w:bottom="1440" w:gutter="0" w:footer="0" w:header="0"/>
        </w:sectPr>
      </w:pPr>
    </w:p>
    <w:bookmarkStart w:id="79" w:name="page80"/>
    <w:bookmarkEnd w:id="79"/>
    <w:p>
      <w:pPr>
        <w:ind w:right="440"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4.22 </w:t>
      </w:r>
      <w:r>
        <w:rPr>
          <w:rFonts w:ascii="Times New Roman" w:cs="Times New Roman" w:eastAsia="Times New Roman" w:hAnsi="Times New Roman"/>
          <w:sz w:val="16"/>
          <w:szCs w:val="16"/>
          <w:u w:val="single" w:color="auto"/>
          <w:color w:val="auto"/>
        </w:rPr>
        <w:t>Valid Issuance</w:t>
      </w:r>
      <w:r>
        <w:rPr>
          <w:rFonts w:ascii="Times New Roman" w:cs="Times New Roman" w:eastAsia="Times New Roman" w:hAnsi="Times New Roman"/>
          <w:sz w:val="16"/>
          <w:szCs w:val="16"/>
          <w:color w:val="auto"/>
        </w:rPr>
        <w:t>. The Gem Common Stock to be issued in the Merger will, when issued in accordance with the provisions of this Agreement, be validly issued, fully paid and nonassessable.</w:t>
      </w:r>
    </w:p>
    <w:p>
      <w:pPr>
        <w:spacing w:after="0" w:line="50"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color w:val="auto"/>
        </w:rPr>
        <w:t xml:space="preserve">4.23 </w:t>
      </w:r>
      <w:r>
        <w:rPr>
          <w:rFonts w:ascii="Times New Roman" w:cs="Times New Roman" w:eastAsia="Times New Roman" w:hAnsi="Times New Roman"/>
          <w:sz w:val="16"/>
          <w:szCs w:val="16"/>
          <w:u w:val="single" w:color="auto"/>
          <w:color w:val="auto"/>
        </w:rPr>
        <w:t>Privacy and Data Security</w:t>
      </w:r>
      <w:r>
        <w:rPr>
          <w:rFonts w:ascii="Times New Roman" w:cs="Times New Roman" w:eastAsia="Times New Roman" w:hAnsi="Times New Roman"/>
          <w:sz w:val="16"/>
          <w:szCs w:val="16"/>
          <w:color w:val="auto"/>
        </w:rPr>
        <w:t>. Gem has complied with all applicable Privacy Laws and the applicable terms of any Gem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Gem in connection with the operation of Gem’s business, except for such non-compliance as has not had, and would not reasonably be expected to have, individually or in the aggregate, a Gem Material Adverse Effect. To the Knowledge of Gem, Gem has implemented and maintains reasonable Privacy Policies and has complied with its Privacy Policies, except for such non-compliance as has not to the Knowledge of the Gem had, and would not reasonably be expected to have, individually or in the aggregate, a Gem Material Adverse Effect. To the Knowledge of Gem, as of the date hereof, no claims have been asserted or threatened against Gem by any Person alleging a violation of Privacy Laws, Privacy Policies and/or the applicable terms of any Gem Contracts relating to privacy, security, collection or use of Personal Information of any individuals. To the Knowledge of Gem, there have been no data security incidents, personal data breaches or other adverse events or incidents related to Personal Information or Gem data in the custody or control of Gem or any service provider acting on behalf of Gem, in each case where such incident, breach or event would result in a notification obligation to any Person under applicable law or pursuant to the terms of any Gem Contract.</w:t>
      </w:r>
    </w:p>
    <w:p>
      <w:pPr>
        <w:spacing w:after="0" w:line="75" w:lineRule="exact"/>
        <w:rPr>
          <w:sz w:val="20"/>
          <w:szCs w:val="20"/>
          <w:color w:val="auto"/>
        </w:rPr>
      </w:pPr>
    </w:p>
    <w:p>
      <w:pPr>
        <w:ind w:right="80" w:firstLine="869"/>
        <w:spacing w:after="0" w:line="251" w:lineRule="auto"/>
        <w:rPr>
          <w:sz w:val="20"/>
          <w:szCs w:val="20"/>
          <w:color w:val="auto"/>
        </w:rPr>
      </w:pPr>
      <w:r>
        <w:rPr>
          <w:rFonts w:ascii="Times New Roman" w:cs="Times New Roman" w:eastAsia="Times New Roman" w:hAnsi="Times New Roman"/>
          <w:sz w:val="16"/>
          <w:szCs w:val="16"/>
          <w:color w:val="auto"/>
        </w:rPr>
        <w:t xml:space="preserve">4.24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 xml:space="preserve">. Gem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Gem, Merger Sub or stockholders or any of their respective Affiliates in connection with the Contemplated Transactions, and (subject to the express representations and warranties of the Company set forth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(in each case as qualified and limited by the Company Disclosure Schedule)) none of Gem, Merger Sub or any of their respective Representatives or stockholders, has relied on any such information (including the accuracy or completeness thereof).</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Certain Covenants of the Parties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Operation of Gem’s Business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20" w:firstLine="1253"/>
        <w:spacing w:after="0" w:line="252" w:lineRule="auto"/>
        <w:tabs>
          <w:tab w:leader="none" w:pos="1469"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expressly contemplated or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and the Effective Time (the “</w:t>
      </w:r>
      <w:r>
        <w:rPr>
          <w:rFonts w:ascii="Times New Roman" w:cs="Times New Roman" w:eastAsia="Times New Roman" w:hAnsi="Times New Roman"/>
          <w:sz w:val="16"/>
          <w:szCs w:val="16"/>
          <w:b w:val="1"/>
          <w:bCs w:val="1"/>
          <w:color w:val="auto"/>
        </w:rPr>
        <w:t>Pre-Closing Period</w:t>
      </w:r>
      <w:r>
        <w:rPr>
          <w:rFonts w:ascii="Times New Roman" w:cs="Times New Roman" w:eastAsia="Times New Roman" w:hAnsi="Times New Roman"/>
          <w:sz w:val="16"/>
          <w:szCs w:val="16"/>
          <w:color w:val="auto"/>
        </w:rPr>
        <w:t>”), Gem shall, and shall cause its Subsidiaries to, use commercially reasonable efforts to conduct its business and operations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Ordinary Course of Business and in material compliance with all applicable Law and the requirements of all Contracts that constitute Gem Material Contracts.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9640"/>
          </w:cols>
          <w:pgMar w:left="1120" w:top="253" w:right="1139" w:bottom="1440" w:gutter="0" w:footer="0" w:header="0"/>
        </w:sectPr>
      </w:pPr>
    </w:p>
    <w:bookmarkStart w:id="80" w:name="page81"/>
    <w:bookmarkEnd w:id="80"/>
    <w:p>
      <w:pPr>
        <w:jc w:val="both"/>
        <w:ind w:left="-20" w:firstLine="1253"/>
        <w:spacing w:after="0" w:line="256" w:lineRule="auto"/>
        <w:tabs>
          <w:tab w:leader="none" w:pos="145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Except (i) as expressly contemplated or permitted by this Agreement, (ii) as set forth in Section 5.1(b) of the Gem Disclosure Schedule, (iii) as required by applicable Law, (iv) in connection with a Gem Asset Disposition, or (v) with the prior written consent of the Company (which consent shall not be unreasonably withheld, delayed or conditioned), at all times during the Pre-Closing Period, Gem shall not and shall cause its Subsidiaries to not:</w:t>
      </w:r>
    </w:p>
    <w:p>
      <w:pPr>
        <w:spacing w:after="0" w:line="66" w:lineRule="exact"/>
        <w:rPr>
          <w:rFonts w:ascii="Times New Roman" w:cs="Times New Roman" w:eastAsia="Times New Roman" w:hAnsi="Times New Roman"/>
          <w:sz w:val="16"/>
          <w:szCs w:val="16"/>
          <w:color w:val="auto"/>
        </w:rPr>
      </w:pPr>
    </w:p>
    <w:p>
      <w:pPr>
        <w:ind w:left="360" w:right="120" w:firstLine="1209"/>
        <w:spacing w:after="0" w:line="252" w:lineRule="auto"/>
        <w:tabs>
          <w:tab w:leader="none" w:pos="1752"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accrue, set aside or pay any dividend or make any other distribution in respect of any shares of its capital stock or repurchase, redeem or otherwise reacquire any shares of its capital stock or other securities (except for shares of Gem Common Stock from terminated employees, directors or consultants of Gem), provided, that, for the avoidance of doubt and notwithstanding anything else in this Agreement to the contrary, Gem may, at any time and from time to time, distribute, dividend, assign or otherwise transfer any cash and/or any of its assets or rights in respect of its existing assets or business, including Contingent Value Rights under the CVR Agreement (collectively, the “</w:t>
      </w:r>
      <w:r>
        <w:rPr>
          <w:rFonts w:ascii="Times New Roman" w:cs="Times New Roman" w:eastAsia="Times New Roman" w:hAnsi="Times New Roman"/>
          <w:sz w:val="16"/>
          <w:szCs w:val="16"/>
          <w:b w:val="1"/>
          <w:bCs w:val="1"/>
          <w:color w:val="auto"/>
        </w:rPr>
        <w:t>Dividends</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left="360" w:right="120" w:firstLine="1209"/>
        <w:spacing w:after="0" w:line="252" w:lineRule="auto"/>
        <w:tabs>
          <w:tab w:leader="none" w:pos="1796"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as required pursuant to the terms of the Gem ESPP in effect as of the date of this Agreement, sell, issue, grant, pledge or otherwise dispose of or encumber or authorize the issuance of: (A) any capital stock or other security (except for Gem Common Stock issued upon the valid exercise or settlement of outstanding Gem Options or Gem RSUs, as applicable and except for any adjustment and/or Dividend made by Gem, as determined by the Gem Board, to any Gem Options, Gem RSUs and other equity interests in connection with the CVRs), (B) any option, warrant or right to acquire any capital stock or any other security or (C) any instrument convertible into or exchangeable for any capital stock or other security;</w:t>
      </w:r>
    </w:p>
    <w:p>
      <w:pPr>
        <w:spacing w:after="0" w:line="70" w:lineRule="exact"/>
        <w:rPr>
          <w:rFonts w:ascii="Times New Roman" w:cs="Times New Roman" w:eastAsia="Times New Roman" w:hAnsi="Times New Roman"/>
          <w:sz w:val="16"/>
          <w:szCs w:val="16"/>
          <w:color w:val="auto"/>
        </w:rPr>
      </w:pPr>
    </w:p>
    <w:p>
      <w:pPr>
        <w:jc w:val="both"/>
        <w:ind w:left="360" w:right="60" w:firstLine="1209"/>
        <w:spacing w:after="0" w:line="286" w:lineRule="auto"/>
        <w:tabs>
          <w:tab w:leader="none" w:pos="1840"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 and the Nasdaq Reverse Split;</w:t>
      </w:r>
    </w:p>
    <w:p>
      <w:pPr>
        <w:spacing w:after="0" w:line="45" w:lineRule="exact"/>
        <w:rPr>
          <w:rFonts w:ascii="Times New Roman" w:cs="Times New Roman" w:eastAsia="Times New Roman" w:hAnsi="Times New Roman"/>
          <w:sz w:val="15"/>
          <w:szCs w:val="15"/>
          <w:color w:val="auto"/>
        </w:rPr>
      </w:pPr>
    </w:p>
    <w:p>
      <w:pPr>
        <w:ind w:left="1840" w:hanging="271"/>
        <w:spacing w:after="0"/>
        <w:tabs>
          <w:tab w:leader="none" w:pos="1840"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form any Subsidiary or acquire any equity interest or other interest in any other Entity or enter into a joint venture with any</w:t>
      </w:r>
    </w:p>
    <w:p>
      <w:pPr>
        <w:spacing w:after="0" w:line="33" w:lineRule="exact"/>
        <w:rPr>
          <w:rFonts w:ascii="Times New Roman" w:cs="Times New Roman" w:eastAsia="Times New Roman" w:hAnsi="Times New Roman"/>
          <w:sz w:val="15"/>
          <w:szCs w:val="15"/>
          <w:color w:val="auto"/>
        </w:rPr>
      </w:pPr>
    </w:p>
    <w:p>
      <w:pPr>
        <w:ind w:left="3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other Entity;</w:t>
      </w:r>
    </w:p>
    <w:p>
      <w:pPr>
        <w:spacing w:after="0" w:line="82" w:lineRule="exact"/>
        <w:rPr>
          <w:rFonts w:ascii="Times New Roman" w:cs="Times New Roman" w:eastAsia="Times New Roman" w:hAnsi="Times New Roman"/>
          <w:sz w:val="15"/>
          <w:szCs w:val="15"/>
          <w:color w:val="auto"/>
        </w:rPr>
      </w:pPr>
    </w:p>
    <w:p>
      <w:pPr>
        <w:ind w:left="1800" w:hanging="231"/>
        <w:spacing w:after="0"/>
        <w:tabs>
          <w:tab w:leader="none" w:pos="180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lend money to any Person, (B) incur or guarantee any indebtedness for borrowed money, or (C) guarantee any debt</w:t>
      </w:r>
    </w:p>
    <w:p>
      <w:pPr>
        <w:spacing w:after="0" w:line="22"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others;</w:t>
      </w:r>
    </w:p>
    <w:p>
      <w:pPr>
        <w:spacing w:after="0" w:line="82" w:lineRule="exact"/>
        <w:rPr>
          <w:rFonts w:ascii="Times New Roman" w:cs="Times New Roman" w:eastAsia="Times New Roman" w:hAnsi="Times New Roman"/>
          <w:sz w:val="16"/>
          <w:szCs w:val="16"/>
          <w:color w:val="auto"/>
        </w:rPr>
      </w:pPr>
    </w:p>
    <w:p>
      <w:pPr>
        <w:ind w:left="360" w:firstLine="1209"/>
        <w:spacing w:after="0" w:line="252" w:lineRule="auto"/>
        <w:tabs>
          <w:tab w:leader="none" w:pos="1831"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(A) adopt, establish or enter into any Gem Employee Plan, (B) cause or permit any Gem Employee Plan to be amended other than as required by law or in order to make amendments for the purposes of Section 409A of the Code, (C) pay any bonus or make any profit-sharing or similar payment to (except with respect to obligations pursuant to any Gem Employee Plan), or increase the amount of the wages, salary, commissions, fringe benefits or other compensation or remuneration payable to, any of its employees, directors or consultants or (D) increase the severance or change of control benefits offered to any current or new employees, directors or consultants;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9600"/>
          </w:cols>
          <w:pgMar w:left="1140" w:top="253" w:right="1159" w:bottom="1440" w:gutter="0" w:footer="0" w:header="0"/>
        </w:sectPr>
      </w:pPr>
    </w:p>
    <w:bookmarkStart w:id="81" w:name="page82"/>
    <w:bookmarkEnd w:id="81"/>
    <w:p>
      <w:pPr>
        <w:ind w:left="1900" w:hanging="311"/>
        <w:spacing w:after="0"/>
        <w:tabs>
          <w:tab w:leader="none" w:pos="19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enter into any material transaction;</w:t>
      </w:r>
    </w:p>
    <w:p>
      <w:pPr>
        <w:spacing w:after="0" w:line="99" w:lineRule="exact"/>
        <w:rPr>
          <w:rFonts w:ascii="Times New Roman" w:cs="Times New Roman" w:eastAsia="Times New Roman" w:hAnsi="Times New Roman"/>
          <w:sz w:val="16"/>
          <w:szCs w:val="16"/>
          <w:color w:val="auto"/>
        </w:rPr>
      </w:pPr>
    </w:p>
    <w:p>
      <w:pPr>
        <w:ind w:left="380" w:right="260" w:firstLine="1209"/>
        <w:spacing w:after="0" w:line="276" w:lineRule="auto"/>
        <w:tabs>
          <w:tab w:leader="none" w:pos="193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any material asset or sell, lease or otherwise irrevocably dispose of any of its assets or properties, or grant any Encumbrance with respect to such assets or properties;</w:t>
      </w:r>
    </w:p>
    <w:p>
      <w:pPr>
        <w:spacing w:after="0" w:line="49" w:lineRule="exact"/>
        <w:rPr>
          <w:rFonts w:ascii="Times New Roman" w:cs="Times New Roman" w:eastAsia="Times New Roman" w:hAnsi="Times New Roman"/>
          <w:sz w:val="16"/>
          <w:szCs w:val="16"/>
          <w:color w:val="auto"/>
        </w:rPr>
      </w:pPr>
    </w:p>
    <w:p>
      <w:pPr>
        <w:ind w:left="380" w:firstLine="1209"/>
        <w:spacing w:after="0" w:line="251" w:lineRule="auto"/>
        <w:tabs>
          <w:tab w:leader="none" w:pos="185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(other than consistent with past practice), change or revoke any material Tax election; file any material amendment to any Tax Return or adopt or change any material accounting method in respect of Taxes; enter into any Tax allocation agreement, Tax sharing agreement or Tax indemnity agreement (other than commercial Contracts entered into in the Ordinary Course of Business the principal subject matter of which is not Taxes);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72" w:lineRule="exact"/>
        <w:rPr>
          <w:rFonts w:ascii="Times New Roman" w:cs="Times New Roman" w:eastAsia="Times New Roman" w:hAnsi="Times New Roman"/>
          <w:sz w:val="16"/>
          <w:szCs w:val="16"/>
          <w:color w:val="auto"/>
        </w:rPr>
      </w:pPr>
    </w:p>
    <w:p>
      <w:pPr>
        <w:ind w:left="380" w:right="40" w:firstLine="1209"/>
        <w:spacing w:after="0" w:line="276" w:lineRule="auto"/>
        <w:tabs>
          <w:tab w:leader="none" w:pos="180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or knowingly fail to take any action, which action or failure to act would reasonably be expected to prevent the Merger from qualifying for the U.S. Tax Treatment;</w:t>
      </w:r>
    </w:p>
    <w:p>
      <w:pPr>
        <w:spacing w:after="0" w:line="49" w:lineRule="exact"/>
        <w:rPr>
          <w:rFonts w:ascii="Times New Roman" w:cs="Times New Roman" w:eastAsia="Times New Roman" w:hAnsi="Times New Roman"/>
          <w:sz w:val="16"/>
          <w:szCs w:val="16"/>
          <w:color w:val="auto"/>
        </w:rPr>
      </w:pPr>
    </w:p>
    <w:p>
      <w:pPr>
        <w:ind w:left="380" w:right="40" w:firstLine="1209"/>
        <w:spacing w:after="0" w:line="276" w:lineRule="auto"/>
        <w:tabs>
          <w:tab w:leader="none" w:pos="185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with respect to the Gem Asset Disposition or in the Ordinary Course of Business, enter into, amend or terminate any Gem Material Contract;</w:t>
      </w:r>
    </w:p>
    <w:p>
      <w:pPr>
        <w:spacing w:after="0" w:line="49" w:lineRule="exact"/>
        <w:rPr>
          <w:rFonts w:ascii="Times New Roman" w:cs="Times New Roman" w:eastAsia="Times New Roman" w:hAnsi="Times New Roman"/>
          <w:sz w:val="16"/>
          <w:szCs w:val="16"/>
          <w:color w:val="auto"/>
        </w:rPr>
      </w:pPr>
    </w:p>
    <w:p>
      <w:pPr>
        <w:ind w:left="380" w:right="420" w:firstLine="1209"/>
        <w:spacing w:after="0" w:line="276" w:lineRule="auto"/>
        <w:tabs>
          <w:tab w:leader="none" w:pos="1895"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or modify in any material respect, or fail to exercise renewal rights with respect to, any material insurance policy other than in the Ordinary Course of Business; or</w:t>
      </w:r>
    </w:p>
    <w:p>
      <w:pPr>
        <w:spacing w:after="0" w:line="49" w:lineRule="exact"/>
        <w:rPr>
          <w:rFonts w:ascii="Times New Roman" w:cs="Times New Roman" w:eastAsia="Times New Roman" w:hAnsi="Times New Roman"/>
          <w:sz w:val="16"/>
          <w:szCs w:val="16"/>
          <w:color w:val="auto"/>
        </w:rPr>
      </w:pPr>
    </w:p>
    <w:p>
      <w:pPr>
        <w:ind w:left="1940" w:hanging="351"/>
        <w:spacing w:after="0"/>
        <w:tabs>
          <w:tab w:leader="none" w:pos="194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resolve or commit to do any of the foregoing.</w:t>
      </w:r>
    </w:p>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color w:val="auto"/>
        </w:rPr>
        <w:t>Nothing contained in this Agreement shall give the Company, directly or indirectly, the right to control or direct the operations of Gem prior to the Effective Time. Prior to the Effective Time, Gem shall exercise, consistent with the terms and conditions of this Agreement, complete unilateral control and supervision over its business operations.</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Operation of the Company’s Business.</w:t>
      </w:r>
    </w:p>
    <w:p>
      <w:pPr>
        <w:spacing w:after="0" w:line="194" w:lineRule="exact"/>
        <w:rPr>
          <w:sz w:val="20"/>
          <w:szCs w:val="20"/>
          <w:color w:val="auto"/>
        </w:rPr>
      </w:pPr>
    </w:p>
    <w:p>
      <w:pPr>
        <w:jc w:val="both"/>
        <w:ind w:right="80" w:firstLine="1253"/>
        <w:spacing w:after="0" w:line="256" w:lineRule="auto"/>
        <w:tabs>
          <w:tab w:leader="none" w:pos="146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expressly contemplated or permitted by this Agreement, as required by applicable Law or unless Gem shall otherwise consent in writing (which consent shall not be unreasonably withheld, delayed or conditioned), during the Pre-Closing Period each of the Company and its Subsidiaries shall use commercially reasonable efforts to conduct its business and operations in the Ordinary Course of Business and in material compliance with all applicable Law and the requirements of all Contracts that constitute Company Material Contracts.</w:t>
      </w:r>
    </w:p>
    <w:p>
      <w:pPr>
        <w:spacing w:after="0" w:line="161" w:lineRule="exact"/>
        <w:rPr>
          <w:rFonts w:ascii="Times New Roman" w:cs="Times New Roman" w:eastAsia="Times New Roman" w:hAnsi="Times New Roman"/>
          <w:sz w:val="16"/>
          <w:szCs w:val="16"/>
          <w:color w:val="auto"/>
        </w:rPr>
      </w:pPr>
    </w:p>
    <w:p>
      <w:pPr>
        <w:ind w:right="120" w:firstLine="1253"/>
        <w:spacing w:after="0" w:line="256" w:lineRule="auto"/>
        <w:tabs>
          <w:tab w:leader="none" w:pos="1478"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(i) as expressly contemplated or permitted by this Agreement, (ii) as set forth in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 xml:space="preserve"> of the Company Disclosure Schedule, (iii) as required by applicable Law or (iv) with the prior written consent of Gem (which consent shall not be unreasonably withheld, delayed or conditioned), at all times during the Pre-Closing Period, the Company shall not, nor shall it cause or permit any of its Subsidiaries to, do any of the following:</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9640"/>
          </w:cols>
          <w:pgMar w:left="1120" w:top="253" w:right="1139" w:bottom="1440" w:gutter="0" w:footer="0" w:header="0"/>
        </w:sectPr>
      </w:pPr>
    </w:p>
    <w:bookmarkStart w:id="82" w:name="page83"/>
    <w:bookmarkEnd w:id="82"/>
    <w:p>
      <w:pPr>
        <w:ind w:left="60" w:right="320" w:firstLine="1209"/>
        <w:spacing w:after="0" w:line="261" w:lineRule="auto"/>
        <w:tabs>
          <w:tab w:leader="none" w:pos="1452"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declare, accrue, set aside or pay any dividend or make any other distribution in respect of any shares of capital stock; or repurchase, redeem or otherwise reacquire any shares of Company Capital Stock or other securities (except for shares of Company Common Stock from terminated employees, directors or consultants of the Company);</w:t>
      </w:r>
    </w:p>
    <w:p>
      <w:pPr>
        <w:spacing w:after="0" w:line="62" w:lineRule="exact"/>
        <w:rPr>
          <w:rFonts w:ascii="Times New Roman" w:cs="Times New Roman" w:eastAsia="Times New Roman" w:hAnsi="Times New Roman"/>
          <w:sz w:val="16"/>
          <w:szCs w:val="16"/>
          <w:color w:val="auto"/>
        </w:rPr>
      </w:pPr>
    </w:p>
    <w:p>
      <w:pPr>
        <w:jc w:val="both"/>
        <w:ind w:left="60" w:right="100" w:firstLine="1209"/>
        <w:spacing w:after="0" w:line="286" w:lineRule="auto"/>
        <w:tabs>
          <w:tab w:leader="none" w:pos="1496"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45" w:lineRule="exact"/>
        <w:rPr>
          <w:rFonts w:ascii="Times New Roman" w:cs="Times New Roman" w:eastAsia="Times New Roman" w:hAnsi="Times New Roman"/>
          <w:sz w:val="15"/>
          <w:szCs w:val="15"/>
          <w:color w:val="auto"/>
        </w:rPr>
      </w:pPr>
    </w:p>
    <w:p>
      <w:pPr>
        <w:ind w:left="60" w:right="120" w:firstLine="1209"/>
        <w:spacing w:after="0" w:line="267" w:lineRule="auto"/>
        <w:tabs>
          <w:tab w:leader="none" w:pos="1540"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as required pursuant to the terms of any Company Employee Plan in effect as of the date of this Agreement or applicable Law and except as contemplated by the Company Preferred Stock Conversion, sell, issue, grant, pledge or otherwise dispose of or encumber or authorize any of the foregoing actions with respect to: (A) any capital stock or other security of the Company or any of its Subsidiaries (except for shares of outstanding Company Common Stock issued upon the valid exercise of Company Options), (B) any option, warrant or right to acquire any capital stock or any other security, other than grants of incentive equity awards to newly hired employees (which shall be in a number and on terms and conditions consistent with the Company’s past practice and granted in accordance with applicable Law) or</w:t>
      </w:r>
    </w:p>
    <w:p>
      <w:pPr>
        <w:spacing w:after="0" w:line="1" w:lineRule="exact"/>
        <w:rPr>
          <w:rFonts w:ascii="Times New Roman" w:cs="Times New Roman" w:eastAsia="Times New Roman" w:hAnsi="Times New Roman"/>
          <w:sz w:val="15"/>
          <w:szCs w:val="15"/>
          <w:color w:val="auto"/>
        </w:rPr>
      </w:pPr>
    </w:p>
    <w:p>
      <w:pPr>
        <w:ind w:left="320" w:hanging="255"/>
        <w:spacing w:after="0"/>
        <w:tabs>
          <w:tab w:leader="none" w:pos="32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instrument convertible into or exchangeable for any capital stock or other security of the Company or any of its Subsidiaries;</w:t>
      </w:r>
    </w:p>
    <w:p>
      <w:pPr>
        <w:spacing w:after="0" w:line="82" w:lineRule="exact"/>
        <w:rPr>
          <w:rFonts w:ascii="Times New Roman" w:cs="Times New Roman" w:eastAsia="Times New Roman" w:hAnsi="Times New Roman"/>
          <w:sz w:val="16"/>
          <w:szCs w:val="16"/>
          <w:color w:val="auto"/>
        </w:rPr>
      </w:pPr>
    </w:p>
    <w:p>
      <w:pPr>
        <w:ind w:left="1540" w:hanging="271"/>
        <w:spacing w:after="0"/>
        <w:tabs>
          <w:tab w:leader="none" w:pos="154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form any Subsidiary or acquire any equity interest or other interest in any other Entity or enter into a joint venture with any</w:t>
      </w:r>
    </w:p>
    <w:p>
      <w:pPr>
        <w:spacing w:after="0" w:line="33" w:lineRule="exact"/>
        <w:rPr>
          <w:rFonts w:ascii="Times New Roman" w:cs="Times New Roman" w:eastAsia="Times New Roman" w:hAnsi="Times New Roman"/>
          <w:sz w:val="15"/>
          <w:szCs w:val="15"/>
          <w:color w:val="auto"/>
        </w:rPr>
      </w:pPr>
    </w:p>
    <w:p>
      <w:pPr>
        <w:ind w:left="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other Entity;</w:t>
      </w:r>
    </w:p>
    <w:p>
      <w:pPr>
        <w:spacing w:after="0" w:line="82" w:lineRule="exact"/>
        <w:rPr>
          <w:rFonts w:ascii="Times New Roman" w:cs="Times New Roman" w:eastAsia="Times New Roman" w:hAnsi="Times New Roman"/>
          <w:sz w:val="15"/>
          <w:szCs w:val="15"/>
          <w:color w:val="auto"/>
        </w:rPr>
      </w:pPr>
    </w:p>
    <w:p>
      <w:pPr>
        <w:ind w:left="60" w:right="220" w:firstLine="1209"/>
        <w:spacing w:after="0" w:line="261" w:lineRule="auto"/>
        <w:tabs>
          <w:tab w:leader="none" w:pos="1488"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lend money to any Person, (B) incur or guarantee any indebtedness for borrowed money, other than in the Ordinary Course of Business, (C) guarantee any debt securities of others or (D) make any capital expenditure or commitment in excess of $1,000,000 (to the extent such expenditures are incurred in the Ordinary Course of Business);</w:t>
      </w:r>
    </w:p>
    <w:p>
      <w:pPr>
        <w:spacing w:after="0" w:line="62" w:lineRule="exact"/>
        <w:rPr>
          <w:rFonts w:ascii="Times New Roman" w:cs="Times New Roman" w:eastAsia="Times New Roman" w:hAnsi="Times New Roman"/>
          <w:sz w:val="16"/>
          <w:szCs w:val="16"/>
          <w:color w:val="auto"/>
        </w:rPr>
      </w:pPr>
    </w:p>
    <w:p>
      <w:pPr>
        <w:ind w:left="60" w:firstLine="1209"/>
        <w:spacing w:after="0" w:line="254" w:lineRule="auto"/>
        <w:tabs>
          <w:tab w:leader="none" w:pos="1531"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(A) adopt, establish or enter into any Company Employee Plan, (B) cause or permit any Company Employee Plan to be amended other than as required by Law, (C) pay any bonus or make any profit-sharing or similar payment to (except with respect to obligations pursuant to any Company Employee Plan), or increase the amount of the wages, salary, commissions, fringe benefits or other compensation or remuneration payable to, any of its directors, officers or employees or (D) increase the severance, retention, or change of control benefits offered to any current or new employees, directors or consultants;</w:t>
      </w:r>
    </w:p>
    <w:p>
      <w:pPr>
        <w:spacing w:after="0" w:line="67" w:lineRule="exact"/>
        <w:rPr>
          <w:rFonts w:ascii="Times New Roman" w:cs="Times New Roman" w:eastAsia="Times New Roman" w:hAnsi="Times New Roman"/>
          <w:sz w:val="16"/>
          <w:szCs w:val="16"/>
          <w:color w:val="auto"/>
        </w:rPr>
      </w:pPr>
    </w:p>
    <w:p>
      <w:pPr>
        <w:ind w:left="1580" w:hanging="311"/>
        <w:spacing w:after="0"/>
        <w:tabs>
          <w:tab w:leader="none" w:pos="158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material transaction outside the Ordinary Course of Business;</w:t>
      </w:r>
    </w:p>
    <w:p>
      <w:pPr>
        <w:spacing w:after="0" w:line="13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9320"/>
          </w:cols>
          <w:pgMar w:left="1440" w:top="253" w:right="1139" w:bottom="1440" w:gutter="0" w:footer="0" w:header="0"/>
        </w:sectPr>
      </w:pPr>
    </w:p>
    <w:bookmarkStart w:id="83" w:name="page84"/>
    <w:bookmarkEnd w:id="83"/>
    <w:p>
      <w:pPr>
        <w:ind w:left="340" w:right="220" w:firstLine="1209"/>
        <w:spacing w:after="0" w:line="276" w:lineRule="auto"/>
        <w:tabs>
          <w:tab w:leader="none" w:pos="1899"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acquire any material asset or sell, lease or otherwise irrevocably dispose of any of its assets or properties, or grant any Encumbrance with respect to such assets or properties, except in the Ordinary Course of Business;</w:t>
      </w:r>
    </w:p>
    <w:p>
      <w:pPr>
        <w:spacing w:after="0" w:line="49" w:lineRule="exact"/>
        <w:rPr>
          <w:rFonts w:ascii="Times New Roman" w:cs="Times New Roman" w:eastAsia="Times New Roman" w:hAnsi="Times New Roman"/>
          <w:sz w:val="16"/>
          <w:szCs w:val="16"/>
          <w:color w:val="auto"/>
        </w:rPr>
      </w:pPr>
    </w:p>
    <w:p>
      <w:pPr>
        <w:ind w:left="340" w:right="160" w:firstLine="1209"/>
        <w:spacing w:after="0" w:line="276" w:lineRule="auto"/>
        <w:tabs>
          <w:tab w:leader="none" w:pos="1811"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assign, transfer, license, sublicense or otherwise dispose of any material Company IP Rights (other than pursuant to non-exclusive licenses in the Ordinary Course of Business);</w:t>
      </w:r>
    </w:p>
    <w:p>
      <w:pPr>
        <w:spacing w:after="0" w:line="49" w:lineRule="exact"/>
        <w:rPr>
          <w:rFonts w:ascii="Times New Roman" w:cs="Times New Roman" w:eastAsia="Times New Roman" w:hAnsi="Times New Roman"/>
          <w:sz w:val="16"/>
          <w:szCs w:val="16"/>
          <w:color w:val="auto"/>
        </w:rPr>
      </w:pPr>
    </w:p>
    <w:p>
      <w:pPr>
        <w:ind w:left="340" w:firstLine="1209"/>
        <w:spacing w:after="0" w:line="251" w:lineRule="auto"/>
        <w:tabs>
          <w:tab w:leader="none" w:pos="1768"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(other than consistent with past practice), change or revoke any material Tax election; file any material amendment to any Tax Return or adopt or change any material accounting method in respect of Taxes; enter into any Tax allocation agreement, Tax sharing agreement or Tax indemnity agreement (other than commercial Contracts entered into in the Ordinary Course of Business the principal subject matter of which is not Taxes);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72" w:lineRule="exact"/>
        <w:rPr>
          <w:rFonts w:ascii="Times New Roman" w:cs="Times New Roman" w:eastAsia="Times New Roman" w:hAnsi="Times New Roman"/>
          <w:sz w:val="16"/>
          <w:szCs w:val="16"/>
          <w:color w:val="auto"/>
        </w:rPr>
      </w:pPr>
    </w:p>
    <w:p>
      <w:pPr>
        <w:ind w:left="340" w:right="460" w:firstLine="1209"/>
        <w:spacing w:after="0" w:line="276" w:lineRule="auto"/>
        <w:tabs>
          <w:tab w:leader="none" w:pos="1811"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or knowingly fail to take any action, which action or failure to act would reasonably be expected to prevent the Merger from qualifying for the U.S. Tax Treatment;</w:t>
      </w:r>
    </w:p>
    <w:p>
      <w:pPr>
        <w:spacing w:after="0" w:line="49" w:lineRule="exact"/>
        <w:rPr>
          <w:rFonts w:ascii="Times New Roman" w:cs="Times New Roman" w:eastAsia="Times New Roman" w:hAnsi="Times New Roman"/>
          <w:sz w:val="16"/>
          <w:szCs w:val="16"/>
          <w:color w:val="auto"/>
        </w:rPr>
      </w:pPr>
    </w:p>
    <w:p>
      <w:pPr>
        <w:ind w:left="1860" w:hanging="311"/>
        <w:spacing w:after="0"/>
        <w:tabs>
          <w:tab w:leader="none" w:pos="186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enter into, amend or terminate any Company Material Contract;</w:t>
      </w:r>
    </w:p>
    <w:p>
      <w:pPr>
        <w:spacing w:after="0" w:line="99" w:lineRule="exact"/>
        <w:rPr>
          <w:rFonts w:ascii="Times New Roman" w:cs="Times New Roman" w:eastAsia="Times New Roman" w:hAnsi="Times New Roman"/>
          <w:sz w:val="16"/>
          <w:szCs w:val="16"/>
          <w:color w:val="auto"/>
        </w:rPr>
      </w:pPr>
    </w:p>
    <w:p>
      <w:pPr>
        <w:ind w:left="340" w:right="80" w:firstLine="1209"/>
        <w:spacing w:after="0" w:line="261" w:lineRule="auto"/>
        <w:tabs>
          <w:tab w:leader="none" w:pos="1899"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 or</w:t>
      </w:r>
    </w:p>
    <w:p>
      <w:pPr>
        <w:spacing w:after="0" w:line="62" w:lineRule="exact"/>
        <w:rPr>
          <w:rFonts w:ascii="Times New Roman" w:cs="Times New Roman" w:eastAsia="Times New Roman" w:hAnsi="Times New Roman"/>
          <w:sz w:val="16"/>
          <w:szCs w:val="16"/>
          <w:color w:val="auto"/>
        </w:rPr>
      </w:pPr>
    </w:p>
    <w:p>
      <w:pPr>
        <w:ind w:left="1900" w:hanging="351"/>
        <w:spacing w:after="0"/>
        <w:tabs>
          <w:tab w:leader="none" w:pos="190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resolve or commit to do any of the foregoing.</w:t>
      </w:r>
    </w:p>
    <w:p>
      <w:pPr>
        <w:spacing w:after="0" w:line="194" w:lineRule="exact"/>
        <w:rPr>
          <w:rFonts w:ascii="Times New Roman" w:cs="Times New Roman" w:eastAsia="Times New Roman" w:hAnsi="Times New Roman"/>
          <w:sz w:val="16"/>
          <w:szCs w:val="16"/>
          <w:color w:val="auto"/>
        </w:rPr>
      </w:pPr>
    </w:p>
    <w:p>
      <w:pPr>
        <w:ind w:left="-40" w:right="280" w:firstLine="1253"/>
        <w:spacing w:after="0" w:line="261" w:lineRule="auto"/>
        <w:tabs>
          <w:tab w:leader="none" w:pos="142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contained in this Agreement shall give Gem,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56" w:lineRule="exact"/>
        <w:rPr>
          <w:rFonts w:ascii="Times New Roman" w:cs="Times New Roman" w:eastAsia="Times New Roman" w:hAnsi="Times New Roman"/>
          <w:sz w:val="16"/>
          <w:szCs w:val="16"/>
          <w:color w:val="auto"/>
        </w:rPr>
      </w:pPr>
    </w:p>
    <w:p>
      <w:pPr>
        <w:ind w:left="-40" w:right="200" w:firstLine="1253"/>
        <w:spacing w:after="0" w:line="276" w:lineRule="auto"/>
        <w:tabs>
          <w:tab w:leader="none" w:pos="1438"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agree to any amendment, termination or other modification of the agreement (or any addendum to the agreement) listed on Schedule 8.11 of this Agreement without the prior written consent of Gem.</w:t>
      </w:r>
    </w:p>
    <w:p>
      <w:pPr>
        <w:spacing w:after="0" w:line="1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Access and Investigation.</w:t>
      </w:r>
    </w:p>
    <w:p>
      <w:pPr>
        <w:spacing w:after="0" w:line="194" w:lineRule="exact"/>
        <w:rPr>
          <w:sz w:val="20"/>
          <w:szCs w:val="20"/>
          <w:color w:val="auto"/>
        </w:rPr>
      </w:pPr>
    </w:p>
    <w:p>
      <w:pPr>
        <w:ind w:left="-40" w:right="180" w:firstLine="1253"/>
        <w:spacing w:after="0" w:line="276" w:lineRule="auto"/>
        <w:tabs>
          <w:tab w:leader="none" w:pos="1429"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Confidentiality Agreement, which the Parties agree will continue in full force following the date of this Agreement, during the Pre-Closing Period, upon reasonable notice, Gem, on the one hand, and the Company, on the other hand,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9560"/>
          </w:cols>
          <w:pgMar w:left="1160" w:top="253" w:right="1179" w:bottom="1440" w:gutter="0" w:footer="0" w:header="0"/>
        </w:sectPr>
      </w:pPr>
    </w:p>
    <w:bookmarkStart w:id="84" w:name="page85"/>
    <w:bookmarkEnd w:id="84"/>
    <w:p>
      <w:pPr>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executive officer and other officers and managers of such Party responsible for such Party’s financial statements and the internal controls of such Party to discuss such matters as the other Party may deem reasonably necessary and (d) make available to the other Party copies of any material notice, report or other document filed with or sent to or received from any Governmental Authority in connection with the Contemplated Transactions. Any investigation conducted by either Gem or the Company pursuant to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shall be conducted in such manner as not to interfere unreasonably with the conduct of the business of the other Party.</w:t>
      </w:r>
    </w:p>
    <w:p>
      <w:pPr>
        <w:spacing w:after="0" w:line="171" w:lineRule="exact"/>
        <w:rPr>
          <w:sz w:val="20"/>
          <w:szCs w:val="20"/>
          <w:color w:val="auto"/>
        </w:rPr>
      </w:pPr>
    </w:p>
    <w:p>
      <w:pPr>
        <w:ind w:firstLine="1253"/>
        <w:spacing w:after="0" w:line="250" w:lineRule="auto"/>
        <w:tabs>
          <w:tab w:leader="none" w:pos="1478"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herein to the contrary in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no access or examination contemplated by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shall be permitted to the extent that it would require any Party or its Subsidiaries to (i) waive the attorney-client privilege or attorney work product privilege, (ii) violate any applicable Law or (iii) breach such Party’s confidentiality obligations to a third party as in effect as of the date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and (IV) in the case of subsection (iii) above, upon the other Party’s reasonable request, such Party shall use its reasonable efforts to obtain such third party’s consent to permit such other Party access to such information, subject to appropriate confidentiality protections.</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No Solicitation.</w:t>
      </w:r>
    </w:p>
    <w:p>
      <w:pPr>
        <w:spacing w:after="0" w:line="194" w:lineRule="exact"/>
        <w:rPr>
          <w:sz w:val="20"/>
          <w:szCs w:val="20"/>
          <w:color w:val="auto"/>
        </w:rPr>
      </w:pPr>
    </w:p>
    <w:p>
      <w:pPr>
        <w:ind w:firstLine="1253"/>
        <w:spacing w:after="0" w:line="250" w:lineRule="auto"/>
        <w:tabs>
          <w:tab w:leader="none" w:pos="146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Gem and the Company agrees that, during the Pre-Closing Period, except as set forth in this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neither it nor any of its Subsidiaries shall, nor shall it or any of its Subsidiaries authorize any of its Representatives to, directly or indirectly: (i) solicit, seek,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(other than the Company or Gem)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(v) execute or enter into any letter of intent or any Contract contemplating or otherwise relating to any Acquisition Transaction, or (vi) publicly propose to do any of the foregoing; provided, however, that, notwithstanding anything contained in this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9620"/>
          </w:cols>
          <w:pgMar w:left="1120" w:top="253" w:right="1159" w:bottom="1440" w:gutter="0" w:footer="0" w:header="0"/>
        </w:sectPr>
      </w:pPr>
    </w:p>
    <w:bookmarkStart w:id="85" w:name="page86"/>
    <w:bookmarkEnd w:id="85"/>
    <w:p>
      <w:pPr>
        <w:ind w:left="1" w:right="40"/>
        <w:spacing w:after="0" w:line="268" w:lineRule="auto"/>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Section 5.4</w:t>
      </w:r>
      <w:r>
        <w:rPr>
          <w:rFonts w:ascii="Times New Roman" w:cs="Times New Roman" w:eastAsia="Times New Roman" w:hAnsi="Times New Roman"/>
          <w:sz w:val="15"/>
          <w:szCs w:val="15"/>
          <w:color w:val="auto"/>
        </w:rPr>
        <w:t xml:space="preserve"> and subject to compliance with this </w:t>
      </w:r>
      <w:r>
        <w:rPr>
          <w:rFonts w:ascii="Times New Roman" w:cs="Times New Roman" w:eastAsia="Times New Roman" w:hAnsi="Times New Roman"/>
          <w:sz w:val="15"/>
          <w:szCs w:val="15"/>
          <w:u w:val="single" w:color="auto"/>
          <w:color w:val="auto"/>
        </w:rPr>
        <w:t>Section 5.4</w:t>
      </w:r>
      <w:r>
        <w:rPr>
          <w:rFonts w:ascii="Times New Roman" w:cs="Times New Roman" w:eastAsia="Times New Roman" w:hAnsi="Times New Roman"/>
          <w:sz w:val="15"/>
          <w:szCs w:val="15"/>
          <w:color w:val="auto"/>
        </w:rPr>
        <w:t>, prior to the approval of this Agreement by a Party’s stockholders (i.e., the Required Company Stockholder Vote, in the case of the Company and its Subsidiaries, or the Required Gem Stockholder Vote in the case of Gem),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w:t>
      </w:r>
    </w:p>
    <w:p>
      <w:pPr>
        <w:ind w:left="1" w:hanging="1"/>
        <w:spacing w:after="0" w:line="247" w:lineRule="auto"/>
        <w:tabs>
          <w:tab w:leader="none" w:pos="25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such Party nor any Representative of such Party shall have breached this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(B) the board of directors of such Party concludes in good faith based on the advice of outside legal counsel, that the failure to take such action would constitute a violation of the board of directors’ fiduciary duties under applicable Law, (C) 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 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by such Party, the taking of such action by such Representative shall be deemed to constitute a breach of this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by such Party for purposes of this Agreement.</w:t>
      </w:r>
    </w:p>
    <w:p>
      <w:pPr>
        <w:spacing w:after="0" w:line="170" w:lineRule="exact"/>
        <w:rPr>
          <w:rFonts w:ascii="Times New Roman" w:cs="Times New Roman" w:eastAsia="Times New Roman" w:hAnsi="Times New Roman"/>
          <w:sz w:val="16"/>
          <w:szCs w:val="16"/>
          <w:color w:val="auto"/>
        </w:rPr>
      </w:pPr>
    </w:p>
    <w:p>
      <w:pPr>
        <w:ind w:left="1" w:right="60" w:firstLine="1253"/>
        <w:spacing w:after="0" w:line="252" w:lineRule="auto"/>
        <w:tabs>
          <w:tab w:leader="none" w:pos="1479"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Party or any Representative of such Party receives an Acquisition Proposal or Acquisition Inquiry at any time during the Pre-Closing Period, then such Party shall promptly (and in no event later than twenty-four hours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65" w:lineRule="exact"/>
        <w:rPr>
          <w:rFonts w:ascii="Times New Roman" w:cs="Times New Roman" w:eastAsia="Times New Roman" w:hAnsi="Times New Roman"/>
          <w:sz w:val="16"/>
          <w:szCs w:val="16"/>
          <w:color w:val="auto"/>
        </w:rPr>
      </w:pPr>
    </w:p>
    <w:p>
      <w:pPr>
        <w:ind w:left="1" w:right="100" w:firstLine="1253"/>
        <w:spacing w:after="0" w:line="261" w:lineRule="auto"/>
        <w:tabs>
          <w:tab w:leader="none" w:pos="1470"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w:t>
      </w:r>
    </w:p>
    <w:p>
      <w:pPr>
        <w:spacing w:after="0" w:line="157" w:lineRule="exact"/>
        <w:rPr>
          <w:sz w:val="20"/>
          <w:szCs w:val="20"/>
          <w:color w:val="auto"/>
        </w:rPr>
      </w:pPr>
    </w:p>
    <w:p>
      <w:pPr>
        <w:ind w:left="1" w:right="20" w:firstLine="869"/>
        <w:spacing w:after="0" w:line="252"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Notification of Certain Matters</w:t>
      </w:r>
      <w:r>
        <w:rPr>
          <w:rFonts w:ascii="Times New Roman" w:cs="Times New Roman" w:eastAsia="Times New Roman" w:hAnsi="Times New Roman"/>
          <w:sz w:val="16"/>
          <w:szCs w:val="16"/>
          <w:color w:val="auto"/>
        </w:rPr>
        <w:t>. During the Pre-Closing Period, each of the Company, on the one hand, and Gem,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w:t>
      </w:r>
    </w:p>
    <w:p>
      <w:pPr>
        <w:spacing w:after="0" w:line="1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9601"/>
          </w:cols>
          <w:pgMar w:left="1119" w:top="253" w:right="1179" w:bottom="1440" w:gutter="0" w:footer="0" w:header="0"/>
        </w:sectPr>
      </w:pPr>
    </w:p>
    <w:bookmarkStart w:id="86" w:name="page87"/>
    <w:bookmarkEnd w:id="86"/>
    <w:p>
      <w:pPr>
        <w:ind w:right="10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to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w:t>
      </w:r>
      <w:r>
        <w:rPr>
          <w:rFonts w:ascii="Times New Roman" w:cs="Times New Roman" w:eastAsia="Times New Roman" w:hAnsi="Times New Roman"/>
          <w:sz w:val="16"/>
          <w:szCs w:val="16"/>
          <w:color w:val="auto"/>
        </w:rPr>
        <w:t xml:space="preserve">, as applicable, impossible or materially less likely. No such notice shall be deemed to supplement or amend the Company Disclosure Schedule or the Gem Disclosure Schedule for the purpose of (x) determining the accuracy of any of the representations and warranties made by the Company in this Agreement or (y) determining whether any condition set forth in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8 or 9 has been satisfied. Any failure by either Party to provide notice pursuant to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shall not be deemed to be a breach for purposes of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9.2</w:t>
      </w:r>
      <w:r>
        <w:rPr>
          <w:rFonts w:ascii="Times New Roman" w:cs="Times New Roman" w:eastAsia="Times New Roman" w:hAnsi="Times New Roman"/>
          <w:sz w:val="16"/>
          <w:szCs w:val="16"/>
          <w:color w:val="auto"/>
        </w:rPr>
        <w:t>, as applicable, unless such failure to provide such notice was knowing and intentional.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-266700</wp:posOffset>
            </wp:positionV>
            <wp:extent cx="7493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CVR Arrangements</w:t>
      </w:r>
      <w:r>
        <w:rPr>
          <w:rFonts w:ascii="Times New Roman" w:cs="Times New Roman" w:eastAsia="Times New Roman" w:hAnsi="Times New Roman"/>
          <w:sz w:val="16"/>
          <w:szCs w:val="16"/>
          <w:color w:val="auto"/>
        </w:rPr>
        <w:t>. Prior to the Effective Time, Gem, a Holders’ Representative and a Rights Agent shall execute the CVR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w:t>
      </w:r>
    </w:p>
    <w:p>
      <w:pPr>
        <w:spacing w:after="0" w:line="177" w:lineRule="exact"/>
        <w:rPr>
          <w:sz w:val="20"/>
          <w:szCs w:val="20"/>
          <w:color w:val="auto"/>
        </w:rPr>
      </w:pPr>
    </w:p>
    <w:p>
      <w:pPr>
        <w:ind w:right="80" w:firstLine="869"/>
        <w:spacing w:after="0" w:line="268" w:lineRule="auto"/>
        <w:rPr>
          <w:sz w:val="20"/>
          <w:szCs w:val="20"/>
          <w:color w:val="auto"/>
        </w:rPr>
      </w:pPr>
      <w:r>
        <w:rPr>
          <w:rFonts w:ascii="Times New Roman" w:cs="Times New Roman" w:eastAsia="Times New Roman" w:hAnsi="Times New Roman"/>
          <w:sz w:val="15"/>
          <w:szCs w:val="15"/>
          <w:color w:val="auto"/>
        </w:rPr>
        <w:t xml:space="preserve">5.7 </w:t>
      </w:r>
      <w:r>
        <w:rPr>
          <w:rFonts w:ascii="Times New Roman" w:cs="Times New Roman" w:eastAsia="Times New Roman" w:hAnsi="Times New Roman"/>
          <w:sz w:val="15"/>
          <w:szCs w:val="15"/>
          <w:u w:val="single" w:color="auto"/>
          <w:color w:val="auto"/>
        </w:rPr>
        <w:t>Gem Asset Disposition</w:t>
      </w:r>
      <w:r>
        <w:rPr>
          <w:rFonts w:ascii="Times New Roman" w:cs="Times New Roman" w:eastAsia="Times New Roman" w:hAnsi="Times New Roman"/>
          <w:sz w:val="15"/>
          <w:szCs w:val="15"/>
          <w:color w:val="auto"/>
        </w:rPr>
        <w:t>. The Company and Gem agree that Gem may, without the prior written consent of the Company, sell, assign, license, or otherwise dispose of, in one or more transactions some or all of its non-cash assets at any time prior to or concurrent with the Closing, provided that such sale or disposition is also approved by the Gem Board of Directors or a committee thereof (each a “</w:t>
      </w:r>
      <w:r>
        <w:rPr>
          <w:rFonts w:ascii="Times New Roman" w:cs="Times New Roman" w:eastAsia="Times New Roman" w:hAnsi="Times New Roman"/>
          <w:sz w:val="15"/>
          <w:szCs w:val="15"/>
          <w:b w:val="1"/>
          <w:bCs w:val="1"/>
          <w:color w:val="auto"/>
        </w:rPr>
        <w:t>Gem Asset Disposition</w:t>
      </w:r>
      <w:r>
        <w:rPr>
          <w:rFonts w:ascii="Times New Roman" w:cs="Times New Roman" w:eastAsia="Times New Roman" w:hAnsi="Times New Roman"/>
          <w:sz w:val="15"/>
          <w:szCs w:val="15"/>
          <w:color w:val="auto"/>
        </w:rPr>
        <w:t>”). Notwithstanding the foregoing, Gem may not enter into any agreement with respect to a Gem Asset Disposition that would result in a Material Continuing Obligation without the prior written consent of the Company (not to be unreasonably withheld, conditioned or delayed), provided, however, that in the event that Gem intends to enter into any agreement with respect to a Gem Asset Disposition that would be reasonably likely to result in a material continuing obligation or liability of either Gem or the Company on or after the Closing that is not a Material Continuing Obligation, Gem shall provide the Company with written notice of such Gem Asset Disposition at least ten (10) Business Days prior to the consummation of such Gem Asset Disposition, which notice shall include a summary of the material terms relating to such Gem Asset Disposition (including any potential material continuing obligations or liabilities). Notwithstanding anything in this Agreement to the contrary, for clarity, this Section 5.7 shall not apply to any liability or obligation if such liability or obligation will be a deduction to Gem Net Cash pursuant to the definition thereof.</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Additional Agreements of the Parties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Registration Statement; Proxy Statement</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1253"/>
        <w:spacing w:after="0" w:line="250" w:lineRule="auto"/>
        <w:tabs>
          <w:tab w:leader="none" w:pos="1469"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practicable after the date of this Agreement, (i) Gem shall, in cooperation with the Company, prepare and file with the SEC a proxy statement relating to the Gem Stockholder Meeting to be held in connection with the Merger (together with any amendments thereof or supplements thereto, the “</w:t>
      </w:r>
      <w:r>
        <w:rPr>
          <w:rFonts w:ascii="Times New Roman" w:cs="Times New Roman" w:eastAsia="Times New Roman" w:hAnsi="Times New Roman"/>
          <w:sz w:val="16"/>
          <w:szCs w:val="16"/>
          <w:b w:val="1"/>
          <w:bCs w:val="1"/>
          <w:color w:val="auto"/>
        </w:rPr>
        <w:t>Proxy Statement</w:t>
      </w:r>
      <w:r>
        <w:rPr>
          <w:rFonts w:ascii="Times New Roman" w:cs="Times New Roman" w:eastAsia="Times New Roman" w:hAnsi="Times New Roman"/>
          <w:sz w:val="16"/>
          <w:szCs w:val="16"/>
          <w:color w:val="auto"/>
        </w:rPr>
        <w:t>”) and (ii) Gem, in cooperation with the Company, shall prepare and file with the SEC a registration statement on Form S-4 (the “</w:t>
      </w:r>
      <w:r>
        <w:rPr>
          <w:rFonts w:ascii="Times New Roman" w:cs="Times New Roman" w:eastAsia="Times New Roman" w:hAnsi="Times New Roman"/>
          <w:sz w:val="16"/>
          <w:szCs w:val="16"/>
          <w:b w:val="1"/>
          <w:bCs w:val="1"/>
          <w:color w:val="auto"/>
        </w:rPr>
        <w:t>Form S-4</w:t>
      </w:r>
      <w:r>
        <w:rPr>
          <w:rFonts w:ascii="Times New Roman" w:cs="Times New Roman" w:eastAsia="Times New Roman" w:hAnsi="Times New Roman"/>
          <w:sz w:val="16"/>
          <w:szCs w:val="16"/>
          <w:color w:val="auto"/>
        </w:rPr>
        <w:t>”), in which the Proxy Statement shall be included as a part (the Proxy Statement and the Form S-4, collectively, the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in connection with the registration under the Securities Act of the shares of Gem Common Stock to be issued by virtue of the Merger. Each of Gem and the Company shall use their reasonable best efforts to respond promptly to any comments of the SEC or its staff and to cause the Registration Statement to become effective as promptly as practicable, and shall take all or any action required under any applicable federal, state, securities and other Laws in connection with the issuance of shares of Gem Common Stock pursuant to the Merger. Each of the Parties shall furnish all information concerning itself and their Affiliates, as applicable, to the other Parties as the other Parties may reasonably request in connection with such actions and the preparation of the Registration Statement and Proxy Statement.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9640"/>
          </w:cols>
          <w:pgMar w:left="1120" w:top="253" w:right="1139" w:bottom="1440" w:gutter="0" w:footer="0" w:header="0"/>
        </w:sectPr>
      </w:pPr>
    </w:p>
    <w:bookmarkStart w:id="87" w:name="page88"/>
    <w:bookmarkEnd w:id="87"/>
    <w:p>
      <w:pPr>
        <w:ind w:left="1" w:firstLine="1253"/>
        <w:spacing w:after="0" w:line="250" w:lineRule="auto"/>
        <w:tabs>
          <w:tab w:leader="none" w:pos="1479"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Gem covenants and agrees that the Registration Statement (and the letter to stockholders, notice of meeting and form of proxy included therewith)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or its Subsidiaries to Gem for inclusion in the Registration Statement (including the Company Financials) will not contain any untrue statement of a material fact or omit to state any material fact required to be stated therein or necessary in order to make such information, in light of the circumstances under which they were made, not misleading. Notwithstanding the foregoing, Gem makes no covenant, representation or warranty with respect to statements made in the Registration Statement (and the letter to stockholders, notice of meeting and form of proxy included therewith), if any, based on information provided by the Company or its Subsidiaries or any of their Representatives for inclusion therein.</w:t>
      </w:r>
    </w:p>
    <w:p>
      <w:pPr>
        <w:spacing w:after="0" w:line="167" w:lineRule="exact"/>
        <w:rPr>
          <w:rFonts w:ascii="Times New Roman" w:cs="Times New Roman" w:eastAsia="Times New Roman" w:hAnsi="Times New Roman"/>
          <w:sz w:val="16"/>
          <w:szCs w:val="16"/>
          <w:color w:val="auto"/>
        </w:rPr>
      </w:pPr>
    </w:p>
    <w:p>
      <w:pPr>
        <w:ind w:left="1" w:right="180" w:firstLine="1253"/>
        <w:spacing w:after="0" w:line="275" w:lineRule="auto"/>
        <w:tabs>
          <w:tab w:leader="none" w:pos="1470"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Parties shall cause the Proxy Statement to be mailed to Gem’s stockholders as promptly as practicable after the Registration Statement is declared effective under the Securities Act. If Gem, Merger Sub or the Company become aware of any event or information that, pursuant to the Securities Act or the Exchange Act, should be disclosed in an amendment or supplement to the Registration Statement or Proxy Statement, as the case may be, then such Party, as the case may be, shall promptly inform the other Parties thereof and shall cooperate with such other Parties in filing such amendment or supplement with the SEC and, if appropriate, in mailing such amendment or supplement to the Gem stockholders.</w:t>
      </w:r>
    </w:p>
    <w:p>
      <w:pPr>
        <w:spacing w:after="0" w:line="147" w:lineRule="exact"/>
        <w:rPr>
          <w:rFonts w:ascii="Times New Roman" w:cs="Times New Roman" w:eastAsia="Times New Roman" w:hAnsi="Times New Roman"/>
          <w:sz w:val="15"/>
          <w:szCs w:val="15"/>
          <w:color w:val="auto"/>
        </w:rPr>
      </w:pPr>
    </w:p>
    <w:p>
      <w:pPr>
        <w:ind w:left="1" w:right="100" w:firstLine="1253"/>
        <w:spacing w:after="0" w:line="269" w:lineRule="auto"/>
        <w:tabs>
          <w:tab w:leader="none" w:pos="1479"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reasonably cooperate with Gem and provide, and cause its Representatives to provide, Gem and its Representatives, with all accurate and complete information regarding the Company or its Subsidiaries that is required by Law to be included in the Registration Statement or reasonably requested by Gem to be included in the Registration Statement. Without limiting the foregoing, the Company will use commercially reasonable efforts to cause to be delivered to Gem a letter of the Company’s independent accounting firm, dated no more than two</w:t>
      </w:r>
    </w:p>
    <w:p>
      <w:pPr>
        <w:ind w:left="1" w:right="40" w:hanging="1"/>
        <w:spacing w:after="0" w:line="250" w:lineRule="auto"/>
        <w:tabs>
          <w:tab w:leader="none" w:pos="224"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before the date on which the Registration Statement becomes effective (and reasonably satisfactory in form and substance to Gem), that is customary in scope and substance for letters delivered by independent public accountants in connection with registration statements similar to the Registration Statement.</w:t>
      </w:r>
    </w:p>
    <w:p>
      <w:pPr>
        <w:spacing w:after="0" w:line="164" w:lineRule="exact"/>
        <w:rPr>
          <w:rFonts w:ascii="Times New Roman" w:cs="Times New Roman" w:eastAsia="Times New Roman" w:hAnsi="Times New Roman"/>
          <w:sz w:val="16"/>
          <w:szCs w:val="16"/>
          <w:color w:val="auto"/>
        </w:rPr>
      </w:pPr>
    </w:p>
    <w:p>
      <w:pPr>
        <w:ind w:left="1" w:firstLine="1253"/>
        <w:spacing w:after="0" w:line="250" w:lineRule="auto"/>
        <w:tabs>
          <w:tab w:leader="none" w:pos="1470"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promptly as reasonably practicable following the date of this Agreement the Company will furnish to Gem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cs="Times New Roman" w:eastAsia="Times New Roman" w:hAnsi="Times New Roman"/>
          <w:sz w:val="16"/>
          <w:szCs w:val="16"/>
          <w:b w:val="1"/>
          <w:bCs w:val="1"/>
          <w:color w:val="auto"/>
        </w:rPr>
        <w:t>Company Interim Financial Statements</w:t>
      </w:r>
      <w:r>
        <w:rPr>
          <w:rFonts w:ascii="Times New Roman" w:cs="Times New Roman" w:eastAsia="Times New Roman" w:hAnsi="Times New Roman"/>
          <w:sz w:val="16"/>
          <w:szCs w:val="16"/>
          <w:color w:val="auto"/>
        </w:rPr>
        <w:t>”). The Company Interim Financial Statements for the three and six months ended June 30, 2022 shall be furnished to Gem no later than August 31, 2022.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9641"/>
          </w:cols>
          <w:pgMar w:left="1119" w:top="253" w:right="1139" w:bottom="1440" w:gutter="0" w:footer="0" w:header="0"/>
        </w:sectPr>
      </w:pPr>
    </w:p>
    <w:bookmarkStart w:id="88" w:name="page89"/>
    <w:bookmarkEnd w:id="88"/>
    <w:p>
      <w:pPr>
        <w:ind w:left="86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6.2 </w:t>
      </w:r>
      <w:r>
        <w:rPr>
          <w:rFonts w:ascii="Times New Roman" w:cs="Times New Roman" w:eastAsia="Times New Roman" w:hAnsi="Times New Roman"/>
          <w:sz w:val="16"/>
          <w:szCs w:val="16"/>
          <w:u w:val="single" w:color="auto"/>
          <w:color w:val="auto"/>
        </w:rPr>
        <w:t>Company Stockholder Written Consent.</w:t>
      </w:r>
    </w:p>
    <w:p>
      <w:pPr>
        <w:spacing w:after="0" w:line="100"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(a) Promptly after the Registration Statement has been declared effective under the Securities Act, and in any event no later than</w:t>
      </w:r>
    </w:p>
    <w:p>
      <w:pPr>
        <w:spacing w:after="0" w:line="22" w:lineRule="exact"/>
        <w:rPr>
          <w:sz w:val="20"/>
          <w:szCs w:val="20"/>
          <w:color w:val="auto"/>
        </w:rPr>
      </w:pPr>
    </w:p>
    <w:p>
      <w:pPr>
        <w:ind w:left="1"/>
        <w:spacing w:after="0" w:line="237" w:lineRule="auto"/>
        <w:rPr>
          <w:sz w:val="20"/>
          <w:szCs w:val="20"/>
          <w:color w:val="auto"/>
        </w:rPr>
      </w:pPr>
      <w:r>
        <w:rPr>
          <w:rFonts w:ascii="Times New Roman" w:cs="Times New Roman" w:eastAsia="Times New Roman" w:hAnsi="Times New Roman"/>
          <w:sz w:val="16"/>
          <w:szCs w:val="16"/>
          <w:color w:val="auto"/>
        </w:rPr>
        <w:t>5:00p.m. Eastern Time on the date that is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color w:val="auto"/>
        </w:rPr>
        <w:t>) Business Day after the Registration Statement has been declared effective under the Securities Act,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(including the Merger), (ii) acknowledging that the approval given thereby is irrevocable and that such stockholder is aware of its rights to demand appraisal for its shares pursuant to Section 262 of the DGCL, a copy of which will be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Under no circumstances shall the Company assert that any other approval or consent is necessary by its stockholders to approve this Agreement and the Contemplated Transactions. Promptly following receipt of the duly executed Company Stockholder Written Consent, the Company shall deliver a copy of the duly executed Company Stockholder Written Consent to Parent, accompanied by a certificate signed by the Chief Executive Officer of the Company certifying to the accuracy and completeness of such Company Stockholder Written Consent.</w:t>
      </w:r>
    </w:p>
    <w:p>
      <w:pPr>
        <w:spacing w:after="0" w:line="175" w:lineRule="exact"/>
        <w:rPr>
          <w:sz w:val="20"/>
          <w:szCs w:val="20"/>
          <w:color w:val="auto"/>
        </w:rPr>
      </w:pPr>
    </w:p>
    <w:p>
      <w:pPr>
        <w:ind w:left="1" w:right="140" w:firstLine="1253"/>
        <w:spacing w:after="0" w:line="266" w:lineRule="auto"/>
        <w:tabs>
          <w:tab w:leader="none" w:pos="1479" w:val="left"/>
        </w:tabs>
        <w:numPr>
          <w:ilvl w:val="1"/>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following receipt of the Required Company Stockholder Vote, the Company shall prepare and mail a notice (the “</w:t>
      </w:r>
      <w:r>
        <w:rPr>
          <w:rFonts w:ascii="Times New Roman" w:cs="Times New Roman" w:eastAsia="Times New Roman" w:hAnsi="Times New Roman"/>
          <w:sz w:val="15"/>
          <w:szCs w:val="15"/>
          <w:b w:val="1"/>
          <w:bCs w:val="1"/>
          <w:color w:val="auto"/>
        </w:rPr>
        <w:t>Stockholder Notice</w:t>
      </w:r>
      <w:r>
        <w:rPr>
          <w:rFonts w:ascii="Times New Roman" w:cs="Times New Roman" w:eastAsia="Times New Roman" w:hAnsi="Times New Roman"/>
          <w:sz w:val="15"/>
          <w:szCs w:val="15"/>
          <w:color w:val="auto"/>
        </w:rPr>
        <w:t>”), in accordance with Section 228(e) of the DGCL, to every stockholder of the Company that did not execute the Company Stockholder Written Consent. The Stockholder Notice shall (i) include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w:t>
      </w:r>
    </w:p>
    <w:p>
      <w:pPr>
        <w:spacing w:after="0" w:line="3" w:lineRule="exact"/>
        <w:rPr>
          <w:rFonts w:ascii="Times New Roman" w:cs="Times New Roman" w:eastAsia="Times New Roman" w:hAnsi="Times New Roman"/>
          <w:sz w:val="15"/>
          <w:szCs w:val="15"/>
          <w:color w:val="auto"/>
        </w:rPr>
      </w:pPr>
    </w:p>
    <w:p>
      <w:pPr>
        <w:ind w:left="1" w:hanging="1"/>
        <w:spacing w:after="0" w:line="250" w:lineRule="auto"/>
        <w:tabs>
          <w:tab w:leader="none" w:pos="277"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 a description notice of the availability of appraisal rights of the Company’s stockholders available under Section 262 of the DGCL, along with such other information as is required thereunder and pursuant to applicable Law. All materials (including any amendments thereto) submitted to the stockholders of the Company in accordance with this </w:t>
      </w:r>
      <w:r>
        <w:rPr>
          <w:rFonts w:ascii="Times New Roman" w:cs="Times New Roman" w:eastAsia="Times New Roman" w:hAnsi="Times New Roman"/>
          <w:sz w:val="16"/>
          <w:szCs w:val="16"/>
          <w:u w:val="single" w:color="auto"/>
          <w:color w:val="auto"/>
        </w:rPr>
        <w:t>Section 6.2(b)</w:t>
      </w:r>
      <w:r>
        <w:rPr>
          <w:rFonts w:ascii="Times New Roman" w:cs="Times New Roman" w:eastAsia="Times New Roman" w:hAnsi="Times New Roman"/>
          <w:sz w:val="16"/>
          <w:szCs w:val="16"/>
          <w:color w:val="auto"/>
        </w:rPr>
        <w:t xml:space="preserve"> shall be subject to Gem’s advance review and reasonable approval.</w:t>
      </w:r>
    </w:p>
    <w:p>
      <w:pPr>
        <w:spacing w:after="0" w:line="164" w:lineRule="exact"/>
        <w:rPr>
          <w:rFonts w:ascii="Times New Roman" w:cs="Times New Roman" w:eastAsia="Times New Roman" w:hAnsi="Times New Roman"/>
          <w:sz w:val="16"/>
          <w:szCs w:val="16"/>
          <w:color w:val="auto"/>
        </w:rPr>
      </w:pPr>
    </w:p>
    <w:p>
      <w:pPr>
        <w:ind w:left="1" w:right="120" w:firstLine="1253"/>
        <w:spacing w:after="0" w:line="254" w:lineRule="auto"/>
        <w:tabs>
          <w:tab w:leader="none" w:pos="147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agrees that, subject to </w:t>
      </w:r>
      <w:r>
        <w:rPr>
          <w:rFonts w:ascii="Times New Roman" w:cs="Times New Roman" w:eastAsia="Times New Roman" w:hAnsi="Times New Roman"/>
          <w:sz w:val="16"/>
          <w:szCs w:val="16"/>
          <w:u w:val="single" w:color="auto"/>
          <w:color w:val="auto"/>
        </w:rPr>
        <w:t>Section 6.2(d)</w:t>
      </w:r>
      <w:r>
        <w:rPr>
          <w:rFonts w:ascii="Times New Roman" w:cs="Times New Roman" w:eastAsia="Times New Roman" w:hAnsi="Times New Roman"/>
          <w:sz w:val="16"/>
          <w:szCs w:val="16"/>
          <w:color w:val="auto"/>
        </w:rPr>
        <w:t xml:space="preserve">: (i) the Company Board shall recommend that the Company’s stockholders vote to adopt and approve this Agreement and the Contemplated Transactions and shall use commercially reasonable efforts to solicit such approval within the time set forth in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(the recommendation of the Company Board that the Company’s stockholders vote to adopt and approve this Agreement being referred to as the “</w:t>
      </w:r>
      <w:r>
        <w:rPr>
          <w:rFonts w:ascii="Times New Roman" w:cs="Times New Roman" w:eastAsia="Times New Roman" w:hAnsi="Times New Roman"/>
          <w:sz w:val="16"/>
          <w:szCs w:val="16"/>
          <w:b w:val="1"/>
          <w:bCs w:val="1"/>
          <w:color w:val="auto"/>
        </w:rPr>
        <w:t>Company Board Recommendation</w:t>
      </w:r>
      <w:r>
        <w:rPr>
          <w:rFonts w:ascii="Times New Roman" w:cs="Times New Roman" w:eastAsia="Times New Roman" w:hAnsi="Times New Roman"/>
          <w:sz w:val="16"/>
          <w:szCs w:val="16"/>
          <w:color w:val="auto"/>
        </w:rPr>
        <w:t>”) and (ii) the Company Board Recommendation shall not be withdrawn or modified (and the Company Board shall not publicly</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9621"/>
          </w:cols>
          <w:pgMar w:left="1119" w:top="253" w:right="1159" w:bottom="1440" w:gutter="0" w:footer="0" w:header="0"/>
        </w:sectPr>
      </w:pPr>
    </w:p>
    <w:bookmarkStart w:id="89" w:name="page90"/>
    <w:bookmarkEnd w:id="89"/>
    <w:p>
      <w:pPr>
        <w:jc w:val="both"/>
        <w:ind w:right="2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propose to withdraw or modify the Company Board Recommendation) in a manner adverse to Gem, and no resolution by the Company Board or any committee thereof to withdraw or modify the Company Board Recommendation in a manner adverse to Gem or to adopt, approve or recommend (or publicly propose to adopt, approve or recommend) any Acquisition Proposal shall be adopted or proposed.</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 xml:space="preserve">(d) Notwithstanding anything to the contrary contained in </w:t>
      </w:r>
      <w:r>
        <w:rPr>
          <w:rFonts w:ascii="Times New Roman" w:cs="Times New Roman" w:eastAsia="Times New Roman" w:hAnsi="Times New Roman"/>
          <w:sz w:val="16"/>
          <w:szCs w:val="16"/>
          <w:u w:val="single" w:color="auto"/>
          <w:color w:val="auto"/>
        </w:rPr>
        <w:t>Section 6.2(c)</w:t>
      </w:r>
      <w:r>
        <w:rPr>
          <w:rFonts w:ascii="Times New Roman" w:cs="Times New Roman" w:eastAsia="Times New Roman" w:hAnsi="Times New Roman"/>
          <w:sz w:val="16"/>
          <w:szCs w:val="16"/>
          <w:color w:val="auto"/>
        </w:rPr>
        <w:t xml:space="preserve">, and subject to compliance with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if at any time prior to approval and adoption of this Agreement by the Required Company Stockholder Vote, the Company receives a bona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fide written Superior Offer, the Company Board may withhold, amend, withdraw or modify the Company Board Recommendation (or publicly propose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withhold, amend, withdraw or modify the Company Board Recommendation) in a manner adverse to Gem (collectively, a “</w:t>
      </w:r>
      <w:r>
        <w:rPr>
          <w:rFonts w:ascii="Times New Roman" w:cs="Times New Roman" w:eastAsia="Times New Roman" w:hAnsi="Times New Roman"/>
          <w:sz w:val="16"/>
          <w:szCs w:val="16"/>
          <w:b w:val="1"/>
          <w:bCs w:val="1"/>
          <w:color w:val="auto"/>
        </w:rPr>
        <w:t>Company Board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Adverse Recommendation Change</w:t>
      </w:r>
      <w:r>
        <w:rPr>
          <w:rFonts w:ascii="Times New Roman" w:cs="Times New Roman" w:eastAsia="Times New Roman" w:hAnsi="Times New Roman"/>
          <w:sz w:val="15"/>
          <w:szCs w:val="15"/>
          <w:color w:val="auto"/>
        </w:rPr>
        <w:t>”) if, but only if, following the receipt of and on account of such Superior Offer, (i) the Company Board determines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good faith, based on the advice of its outside legal counsel, that the failure to withhold, amend, withdraw or modify such recommendation would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constitute a violation of the Company Board’s fiduciary duties under applicable Law, (ii) the Company has, and has caused its financial advisors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outside legal counsel to, during the Notice Period (as defined below), negotiate with Gem in good faith to make such adjustments to the terms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conditions of this Agreement so that such Acquisition Proposal ceases to constitute a Superior Offer and (iii) if after Gem shall have delivered to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a written offer to alter the terms or conditions of this Agreement during the Notice Period, the Company Board shall have determined in good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faith, based on the advice of its outside legal counsel, that the failure to withhold, amend, withdraw or modify the Company Board Recommendation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would constitute a violation of the Company Board’s fiduciary duties under applicable Law (after taking into account such alterations of the terms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conditions of this Agreement); provided that (x) Gem receives written notice from the Company confirming that the Company Board has determined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change its recommendation at least four (4) Business Days in advance of the Company Board Adverse Recommendation Change (the “</w:t>
      </w:r>
      <w:r>
        <w:rPr>
          <w:rFonts w:ascii="Times New Roman" w:cs="Times New Roman" w:eastAsia="Times New Roman" w:hAnsi="Times New Roman"/>
          <w:sz w:val="15"/>
          <w:szCs w:val="15"/>
          <w:b w:val="1"/>
          <w:bCs w:val="1"/>
          <w:color w:val="auto"/>
        </w:rPr>
        <w:t>Notice Period</w:t>
      </w:r>
      <w:r>
        <w:rPr>
          <w:rFonts w:ascii="Times New Roman" w:cs="Times New Roman" w:eastAsia="Times New Roman" w:hAnsi="Times New Roman"/>
          <w:sz w:val="15"/>
          <w:szCs w:val="15"/>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notice shall include a description in reasonable detail of the reasons for such Company Board Adverse Recommendation Change, and written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copies of any relevant proposed transaction agreements with any party making a potential Superior Offer, (y) during any Notice Period, Gem shall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entitled to deliver to the Company one or more counterproposals to such Acquisition Proposal and the Company will, and cause its Representatives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negotiate with Gem in good faith (to the extent Gem desires to negotiate) to make such adjustments in the terms and conditions of this Agreement so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the applicable Acquisition Proposal ceases to constitute a Superior Offer and (z) in the event of any material amendment to any Superior Offer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(including any revision in the amount, form or mix of consideration the Company’s stockholders would receive as a result of such potential Superior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Offer), the Company shall be required to provide Gem with notice of such material amendment and the Notice Period shall be extended, if applicable,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ensure that at least two (2) Business Days remain in the Notice Period following such notification during which the parties shall comply again with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requirements of this </w:t>
      </w:r>
      <w:r>
        <w:rPr>
          <w:rFonts w:ascii="Times New Roman" w:cs="Times New Roman" w:eastAsia="Times New Roman" w:hAnsi="Times New Roman"/>
          <w:sz w:val="16"/>
          <w:szCs w:val="16"/>
          <w:u w:val="single" w:color="auto"/>
          <w:color w:val="auto"/>
        </w:rPr>
        <w:t>Section 6.2(d)</w:t>
      </w:r>
      <w:r>
        <w:rPr>
          <w:rFonts w:ascii="Times New Roman" w:cs="Times New Roman" w:eastAsia="Times New Roman" w:hAnsi="Times New Roman"/>
          <w:sz w:val="16"/>
          <w:szCs w:val="16"/>
          <w:color w:val="auto"/>
        </w:rPr>
        <w:t xml:space="preserve"> and the Company Board shall not make a Company Board Adverse Recommendation Change prior to the end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Notice Period as so extended (it being understood that there may be multiple extensions).</w:t>
      </w:r>
    </w:p>
    <w:p>
      <w:pPr>
        <w:spacing w:after="0" w:line="177" w:lineRule="exact"/>
        <w:rPr>
          <w:sz w:val="20"/>
          <w:szCs w:val="20"/>
          <w:color w:val="auto"/>
        </w:rPr>
      </w:pPr>
    </w:p>
    <w:p>
      <w:pPr>
        <w:jc w:val="both"/>
        <w:ind w:right="520" w:firstLine="1253"/>
        <w:spacing w:after="0" w:line="261" w:lineRule="auto"/>
        <w:tabs>
          <w:tab w:leader="none" w:pos="1469"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Company’s obligation to solicit the consent of its stockholders to sign the Company Stockholder Written Consent in accordance with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shall not be limited or otherwise affected by the commencement, disclosure, announcement or submission of any Superior Offer or other Acquisition Proposal, or by any Company Board Adverse Recommendation Change.</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9620"/>
          </w:cols>
          <w:pgMar w:left="1120" w:top="253" w:right="1159" w:bottom="1440" w:gutter="0" w:footer="0" w:header="0"/>
        </w:sectPr>
      </w:pPr>
    </w:p>
    <w:bookmarkStart w:id="90" w:name="page91"/>
    <w:bookmarkEnd w:id="90"/>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6.3 </w:t>
      </w:r>
      <w:r>
        <w:rPr>
          <w:rFonts w:ascii="Times New Roman" w:cs="Times New Roman" w:eastAsia="Times New Roman" w:hAnsi="Times New Roman"/>
          <w:sz w:val="16"/>
          <w:szCs w:val="16"/>
          <w:u w:val="single" w:color="auto"/>
          <w:color w:val="auto"/>
        </w:rPr>
        <w:t>Gem Stockholder Meeting.</w:t>
      </w:r>
    </w:p>
    <w:p>
      <w:pPr>
        <w:spacing w:after="0" w:line="100" w:lineRule="exact"/>
        <w:rPr>
          <w:sz w:val="20"/>
          <w:szCs w:val="20"/>
          <w:color w:val="auto"/>
        </w:rPr>
      </w:pPr>
    </w:p>
    <w:p>
      <w:pPr>
        <w:ind w:firstLine="1253"/>
        <w:spacing w:after="0" w:line="267" w:lineRule="auto"/>
        <w:tabs>
          <w:tab w:leader="none" w:pos="1469"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Gem shall take all action necessary under applicable Law to call, give notice of and hold a meeting of the holders of Gem Common Stock to consider and vote to approve this Agreement and the Contemplated Transactions, including the issuance of the shares of Gem Common Stock to the stockholders of the Company pursuant to the terms of this Agreement, an amendment to Gem’s certificate of incorporation to effect the Nasdaq Reverse Split, and the approval of the Equity Plan Amendments (collectively, the “</w:t>
      </w:r>
      <w:r>
        <w:rPr>
          <w:rFonts w:ascii="Times New Roman" w:cs="Times New Roman" w:eastAsia="Times New Roman" w:hAnsi="Times New Roman"/>
          <w:sz w:val="15"/>
          <w:szCs w:val="15"/>
          <w:b w:val="1"/>
          <w:bCs w:val="1"/>
          <w:color w:val="auto"/>
        </w:rPr>
        <w:t>Gem Stockholder Matters</w:t>
      </w:r>
      <w:r>
        <w:rPr>
          <w:rFonts w:ascii="Times New Roman" w:cs="Times New Roman" w:eastAsia="Times New Roman" w:hAnsi="Times New Roman"/>
          <w:sz w:val="15"/>
          <w:szCs w:val="15"/>
          <w:color w:val="auto"/>
        </w:rPr>
        <w:t>” and such meeting, the “</w:t>
      </w:r>
      <w:r>
        <w:rPr>
          <w:rFonts w:ascii="Times New Roman" w:cs="Times New Roman" w:eastAsia="Times New Roman" w:hAnsi="Times New Roman"/>
          <w:sz w:val="15"/>
          <w:szCs w:val="15"/>
          <w:b w:val="1"/>
          <w:bCs w:val="1"/>
          <w:color w:val="auto"/>
        </w:rPr>
        <w:t>Gem Stockholder Meeting</w:t>
      </w:r>
      <w:r>
        <w:rPr>
          <w:rFonts w:ascii="Times New Roman" w:cs="Times New Roman" w:eastAsia="Times New Roman" w:hAnsi="Times New Roman"/>
          <w:sz w:val="15"/>
          <w:szCs w:val="15"/>
          <w:color w:val="auto"/>
        </w:rPr>
        <w:t>”). The Gem Stockholder Meeting shall be held as promptly as practicable after the Registration Statement is declared effective under the Securities Act, and in any event no later than forty-five (45) days after the effective date of the Registration Statement. Gem shall take reasonable measures to ensure that all proxies solicited in connection with the Gem Stockholder Meeting are solicited in compliance with all applicable Law. Notwithstanding anything to the contrary contained herein, if on the date of the Gem Stockholder Meeting, or a date preceding the date on which the Gem Stockholder Meeting is scheduled, Gem reasonably believes that (i) it will not receive proxies sufficient to obtain the Required Gem Stockholder Vote, whether or not a quorum would be present or (ii) it will not have sufficient shares of Gem Common Stock represented (whether in person or by proxy) to constitute a quorum necessary to conduct the business of the Gem Stockholder Meeting, Gem may postpone or adjourn, or make one or more successive postponements or adjournments of, the Gem Stockholder Meeting as long as the date of the Gem Stockholder Meeting is not postponed or adjourned more than an aggregate of forty (40) days in connection with any postponements or adjournments.</w:t>
      </w:r>
    </w:p>
    <w:p>
      <w:pPr>
        <w:spacing w:after="0" w:line="154" w:lineRule="exact"/>
        <w:rPr>
          <w:rFonts w:ascii="Times New Roman" w:cs="Times New Roman" w:eastAsia="Times New Roman" w:hAnsi="Times New Roman"/>
          <w:sz w:val="15"/>
          <w:szCs w:val="15"/>
          <w:color w:val="auto"/>
        </w:rPr>
      </w:pPr>
    </w:p>
    <w:p>
      <w:pPr>
        <w:ind w:firstLine="1253"/>
        <w:spacing w:after="0" w:line="250" w:lineRule="auto"/>
        <w:tabs>
          <w:tab w:leader="none" w:pos="1478"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agrees that, subject to </w:t>
      </w:r>
      <w:r>
        <w:rPr>
          <w:rFonts w:ascii="Times New Roman" w:cs="Times New Roman" w:eastAsia="Times New Roman" w:hAnsi="Times New Roman"/>
          <w:sz w:val="16"/>
          <w:szCs w:val="16"/>
          <w:u w:val="single" w:color="auto"/>
          <w:color w:val="auto"/>
        </w:rPr>
        <w:t>Section 6.3(c)</w:t>
      </w:r>
      <w:r>
        <w:rPr>
          <w:rFonts w:ascii="Times New Roman" w:cs="Times New Roman" w:eastAsia="Times New Roman" w:hAnsi="Times New Roman"/>
          <w:sz w:val="16"/>
          <w:szCs w:val="16"/>
          <w:color w:val="auto"/>
        </w:rPr>
        <w:t xml:space="preserve">: (i) the Gem Board shall recommend that the holders of Gem Common Stock vote to approve the Gem Stockholder Matters and shall use commercially reasonable efforts to solicit such approval within the timeframe set forth in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above, (ii) the Proxy Statement shall include a statement to the effect that the Gem Board recommends that Gem’s stockholders vote to approve the Gem Stockholder Matters (the recommendation of the Gem Board being referred to as the “</w:t>
      </w:r>
      <w:r>
        <w:rPr>
          <w:rFonts w:ascii="Times New Roman" w:cs="Times New Roman" w:eastAsia="Times New Roman" w:hAnsi="Times New Roman"/>
          <w:sz w:val="16"/>
          <w:szCs w:val="16"/>
          <w:b w:val="1"/>
          <w:bCs w:val="1"/>
          <w:color w:val="auto"/>
        </w:rPr>
        <w:t>Gem Board Recommendation</w:t>
      </w:r>
      <w:r>
        <w:rPr>
          <w:rFonts w:ascii="Times New Roman" w:cs="Times New Roman" w:eastAsia="Times New Roman" w:hAnsi="Times New Roman"/>
          <w:sz w:val="16"/>
          <w:szCs w:val="16"/>
          <w:color w:val="auto"/>
        </w:rPr>
        <w:t>”) and (iii) the Gem Board Recommendation shall not be withheld, amended, withdrawn or modified (and the Gem Board shall not publicly propose to withhold, amend, withdraw or modify the Gem Board Recommendation) in a manner adverse to the Company, and no resolution by the Gem Board or any committee thereof to withdraw or modify the Gem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Times New Roman" w:cs="Times New Roman" w:eastAsia="Times New Roman" w:hAnsi="Times New Roman"/>
          <w:sz w:val="16"/>
          <w:szCs w:val="16"/>
          <w:b w:val="1"/>
          <w:bCs w:val="1"/>
          <w:color w:val="auto"/>
        </w:rPr>
        <w:t>Gem Board Adverse Recommendation Change</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ind w:left="1460" w:hanging="207"/>
        <w:spacing w:after="0"/>
        <w:tabs>
          <w:tab w:leader="none" w:pos="14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contained in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and subject to compliance with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and</w:t>
      </w:r>
    </w:p>
    <w:p>
      <w:pPr>
        <w:spacing w:after="0" w:line="2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if at any time prior to the approval of Gem Stockholder Matters by the Required Gem Stockholder Vote, Gem receives a bona fide written Superior Offer, the Gem Board may make a Gem Board Adverse Recommendation Change if, but only if: in the receipt of and on account of such Superior Offer, (i) the Gem Board determines in good faith, based on the advice of its outside legal counsel, that the failure to make a Gem Board Adverse Recommendation Change would constitute a violation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9600"/>
          </w:cols>
          <w:pgMar w:left="1120" w:top="253" w:right="1179" w:bottom="1440" w:gutter="0" w:footer="0" w:header="0"/>
        </w:sectPr>
      </w:pPr>
    </w:p>
    <w:bookmarkStart w:id="91" w:name="page92"/>
    <w:bookmarkEnd w:id="91"/>
    <w:p>
      <w:pPr>
        <w:ind w:left="1"/>
        <w:spacing w:after="0" w:line="264"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of the Gem Board’s fiduciary duties under applicable Law, (ii) Gem has, and has caused its financial advisors and outside legal counsel to, during the Notice Period, negotiate with Company in good faith to make such adjustments to the terms and conditions of this Agreement so that such Acquisition Proposal ceases to constitute a Superior Offer and (iii) if after the Company shall have delivered to Gem a written offer to alter the terms or conditions of this Agreement during the Notice Period, the Gem Board shall have determined in good faith, based on the advice of its outside legal counsel, that the failure to withhold, amend, withdraw or modify the Gem Board Recommendation would constitute a violation of its fiduciary duties under applicable Law (after taking into account such alterations of the terms and conditions of this Agreement); provided that (1) the Company receives written notice from Gem confirming that the Gem Board has determined to change its recommendation during the Notice Period, which notice shall include a description in reasonable detail of the reasons for such Gem Board Adverse Recommendation Change, and written copies of any relevant proposed transaction agreements with any party making a potential Superior Offer, (2) during any Notice Period, the Company shall be entitled to deliver to Gem one or more counterproposals to such Acquisition Proposal and Gem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price or percentage of the combined company that Gem’s stockholders would receive as a result of such potential Superior Offer), Gem shall be required to provide the Company with notice of such material amendment and the Notice Period shall be extended, if applicable, to ensure that at least two</w:t>
      </w:r>
    </w:p>
    <w:p>
      <w:pPr>
        <w:spacing w:after="0" w:line="10" w:lineRule="exact"/>
        <w:rPr>
          <w:sz w:val="20"/>
          <w:szCs w:val="20"/>
          <w:color w:val="auto"/>
        </w:rPr>
      </w:pPr>
    </w:p>
    <w:p>
      <w:pPr>
        <w:ind w:left="1" w:right="40" w:hanging="1"/>
        <w:spacing w:after="0" w:line="250" w:lineRule="auto"/>
        <w:tabs>
          <w:tab w:leader="none" w:pos="224"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Business Days remain in the Notice Period following such notification during which the parties shall comply again with the requirements of this </w:t>
      </w:r>
      <w:r>
        <w:rPr>
          <w:rFonts w:ascii="Times New Roman" w:cs="Times New Roman" w:eastAsia="Times New Roman" w:hAnsi="Times New Roman"/>
          <w:sz w:val="16"/>
          <w:szCs w:val="16"/>
          <w:u w:val="single" w:color="auto"/>
          <w:color w:val="auto"/>
        </w:rPr>
        <w:t>Section 6.3(c)</w:t>
      </w:r>
      <w:r>
        <w:rPr>
          <w:rFonts w:ascii="Times New Roman" w:cs="Times New Roman" w:eastAsia="Times New Roman" w:hAnsi="Times New Roman"/>
          <w:sz w:val="16"/>
          <w:szCs w:val="16"/>
          <w:color w:val="auto"/>
        </w:rPr>
        <w:t xml:space="preserve"> and the Gem Board shall not make a Gem Board Adverse Recommendation Change prior to the end of such Notice Period as so extended (it being understood that there may be multiple extensions).</w:t>
      </w:r>
    </w:p>
    <w:p>
      <w:pPr>
        <w:spacing w:after="0" w:line="164" w:lineRule="exact"/>
        <w:rPr>
          <w:rFonts w:ascii="Times New Roman" w:cs="Times New Roman" w:eastAsia="Times New Roman" w:hAnsi="Times New Roman"/>
          <w:sz w:val="16"/>
          <w:szCs w:val="16"/>
          <w:color w:val="auto"/>
        </w:rPr>
      </w:pPr>
    </w:p>
    <w:p>
      <w:pPr>
        <w:ind w:left="1" w:right="120" w:firstLine="1253"/>
        <w:spacing w:after="0" w:line="261" w:lineRule="auto"/>
        <w:tabs>
          <w:tab w:leader="none" w:pos="1479"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Gem’s obligation to call, give notice of and hold the Gem Stockholder Meeting in accordance with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shall not be limited or otherwise affected by the commencement, disclosure, announcement or submission of any Superior Offer or Acquisition Proposal, or by any withdrawal or modification of the Gem Board Recommendation.</w:t>
      </w:r>
    </w:p>
    <w:p>
      <w:pPr>
        <w:spacing w:after="0" w:line="156" w:lineRule="exact"/>
        <w:rPr>
          <w:rFonts w:ascii="Times New Roman" w:cs="Times New Roman" w:eastAsia="Times New Roman" w:hAnsi="Times New Roman"/>
          <w:sz w:val="16"/>
          <w:szCs w:val="16"/>
          <w:color w:val="auto"/>
        </w:rPr>
      </w:pPr>
    </w:p>
    <w:p>
      <w:pPr>
        <w:ind w:left="1" w:right="200" w:firstLine="1253"/>
        <w:spacing w:after="0" w:line="254" w:lineRule="auto"/>
        <w:tabs>
          <w:tab w:leader="none" w:pos="147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contained in this Agreement shall prohibit Gem or the Gem Board from complying with Rules 14d-9 and 14e-2(a) promulgated under the Exchange Act; provided however, that any disclosure made by Gem or the Gem Board pursuant to Rules 14d-9 and 14e-2(a) shall be limited to a statement that Gem is unable to take a position with respect to the bidder’s tender offer unless the Gem Board determines in good faith, after consultation with its outside legal counsel, that such statement would constitute a violation of the Gem Board’s fiduciary duties under applicable Law.</w:t>
      </w:r>
    </w:p>
    <w:p>
      <w:pPr>
        <w:spacing w:after="0" w:line="162"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Efforts; Regulatory Approvals.</w:t>
      </w:r>
    </w:p>
    <w:p>
      <w:pPr>
        <w:spacing w:after="0" w:line="100" w:lineRule="exact"/>
        <w:rPr>
          <w:sz w:val="20"/>
          <w:szCs w:val="20"/>
          <w:color w:val="auto"/>
        </w:rPr>
      </w:pPr>
    </w:p>
    <w:p>
      <w:pPr>
        <w:ind w:left="1461" w:hanging="207"/>
        <w:spacing w:after="0"/>
        <w:tabs>
          <w:tab w:leader="none" w:pos="1461"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shall use reasonable best efforts to consummate the Contemplated Transactions. Without limiting the generality of the</w:t>
      </w:r>
    </w:p>
    <w:p>
      <w:pPr>
        <w:spacing w:after="0" w:line="33" w:lineRule="exact"/>
        <w:rPr>
          <w:rFonts w:ascii="Times New Roman" w:cs="Times New Roman" w:eastAsia="Times New Roman" w:hAnsi="Times New Roman"/>
          <w:sz w:val="15"/>
          <w:szCs w:val="15"/>
          <w:color w:val="auto"/>
        </w:rPr>
      </w:pPr>
    </w:p>
    <w:p>
      <w:pPr>
        <w:ind w:left="1" w:right="12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9641"/>
          </w:cols>
          <w:pgMar w:left="1119" w:top="253" w:right="1139" w:bottom="1440" w:gutter="0" w:footer="0" w:header="0"/>
        </w:sectPr>
      </w:pPr>
    </w:p>
    <w:bookmarkStart w:id="92" w:name="page93"/>
    <w:bookmarkEnd w:id="92"/>
    <w:p>
      <w:pPr>
        <w:ind w:left="1" w:firstLine="1253"/>
        <w:spacing w:after="0" w:line="266" w:lineRule="auto"/>
        <w:tabs>
          <w:tab w:leader="none" w:pos="1479"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The Company and Gem shall respond as promptly as is practicable to respond in compliance with: (i) any inquiries or requests received from the Federal Trade Commission or the Department of Justice for additional information or documentation and (ii) any inquiries or requests received from any state attorney general, foreign antitrust or competition authority or other Governmental Authority in connection with antitrust or competition matters. Each of the Parties will promptly notify the other Party of the details of any material communication it receives from any Governmental Authority relating to the matters that are subject to this Agreement, and permit the other Party to review in advance, to the extent permitted by Law, any proposed material communication to any Governmental Entity. Each of the Parties will provide the other Party with advance notice of and, to the extent permitted by such Governmental Entity, give the other party the opportunity to attend and participate in any meeting with the Governmental Entity in respect of any filings, investigations, or other inquiries. Subject to applicable Laws, the Parties will coordinate and cooperate fully and promptly with one another in exchanging such information and providing such assistance as the other Party may reasonably request in connection with the foregoing. Subject to applicable Laws, each of the Parties will provide, or cause to be provided, to the other, copies of all material correspondence, filings, or communications between them or any of their Representatives, on the one hand, and any Governmental Entity or members of its staff, on the other hand, with respect to the Merger.</w:t>
      </w:r>
    </w:p>
    <w:p>
      <w:pPr>
        <w:spacing w:after="0" w:line="160"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u w:val="single" w:color="auto"/>
          <w:color w:val="auto"/>
        </w:rPr>
        <w:t>Company Options.</w:t>
      </w:r>
    </w:p>
    <w:p>
      <w:pPr>
        <w:spacing w:after="0" w:line="194" w:lineRule="exact"/>
        <w:rPr>
          <w:sz w:val="20"/>
          <w:szCs w:val="20"/>
          <w:color w:val="auto"/>
        </w:rPr>
      </w:pPr>
    </w:p>
    <w:p>
      <w:pPr>
        <w:ind w:left="1" w:right="60" w:firstLine="1253"/>
        <w:spacing w:after="0" w:line="265" w:lineRule="auto"/>
        <w:tabs>
          <w:tab w:leader="none" w:pos="1470" w:val="left"/>
        </w:tabs>
        <w:numPr>
          <w:ilvl w:val="1"/>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6.5(c)</w:t>
      </w:r>
      <w:r>
        <w:rPr>
          <w:rFonts w:ascii="Times New Roman" w:cs="Times New Roman" w:eastAsia="Times New Roman" w:hAnsi="Times New Roman"/>
          <w:sz w:val="15"/>
          <w:szCs w:val="15"/>
          <w:color w:val="auto"/>
        </w:rPr>
        <w:t>, at the Effective Time, each Company Option that is outstanding and unexercised immediately prior to the Effective Time and that, following assumption by Gem at the Effective Time, will be eligible to be registered on Form S-8, whether or not vested, shall be assumed and converted into an option to purchase Gem Common Stock (an “</w:t>
      </w:r>
      <w:r>
        <w:rPr>
          <w:rFonts w:ascii="Times New Roman" w:cs="Times New Roman" w:eastAsia="Times New Roman" w:hAnsi="Times New Roman"/>
          <w:sz w:val="15"/>
          <w:szCs w:val="15"/>
          <w:b w:val="1"/>
          <w:bCs w:val="1"/>
          <w:color w:val="auto"/>
        </w:rPr>
        <w:t>Assumed Option</w:t>
      </w:r>
      <w:r>
        <w:rPr>
          <w:rFonts w:ascii="Times New Roman" w:cs="Times New Roman" w:eastAsia="Times New Roman" w:hAnsi="Times New Roman"/>
          <w:sz w:val="15"/>
          <w:szCs w:val="15"/>
          <w:color w:val="auto"/>
        </w:rPr>
        <w:t>”) in a manner consistent with the requirements of Section 409A and, for Company Options qualified under Section 422 of the Code, Section 424 of the Code, and Gem shall assume the Company Plan] All other Company Options shall be cancelled immediately prior to the Effective Time. All rights with respect to Company Common Stock under Company Options assumed by Gem shall thereupon be converted into rights with respect to Gem Common Stock. Accordingly, from and after the Effective Time: (i) each Assumed Option may be exercised solely for shares of Gem Common Stock, (ii) the number of shares of Gem Common Stock subject to each Assumed Option shall be determined by multiplying (A) the number of shares of Company Common Stock that were subject to such Assumed Option, as in effect immediately prior to the Effective Time, by (B) the Exchange Ratio, and rounding the resulting number down to the nearest whole number of shares of Gem Common Stock and (iii) the per share exercise price of each Assumed Option shall be determined by dividing</w:t>
      </w:r>
    </w:p>
    <w:p>
      <w:pPr>
        <w:spacing w:after="0" w:line="4" w:lineRule="exact"/>
        <w:rPr>
          <w:rFonts w:ascii="Times New Roman" w:cs="Times New Roman" w:eastAsia="Times New Roman" w:hAnsi="Times New Roman"/>
          <w:sz w:val="15"/>
          <w:szCs w:val="15"/>
          <w:color w:val="auto"/>
        </w:rPr>
      </w:pPr>
    </w:p>
    <w:p>
      <w:pPr>
        <w:ind w:left="1" w:right="100" w:hanging="1"/>
        <w:spacing w:after="0" w:line="250" w:lineRule="auto"/>
        <w:tabs>
          <w:tab w:leader="none" w:pos="259"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exercise price of such Assumed Option, as in effect immediately prior to the Effective Time, by (B) the Exchange Ratio and rounding the resulting exercise price up to the nearest whole cent. Each Assumed Option shall otherwise continue to be subject to substantially the same terms and conditions (including the</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9621"/>
          </w:cols>
          <w:pgMar w:left="1119" w:top="253" w:right="1159" w:bottom="1440" w:gutter="0" w:footer="0" w:header="0"/>
        </w:sectPr>
      </w:pPr>
    </w:p>
    <w:bookmarkStart w:id="93" w:name="page94"/>
    <w:bookmarkEnd w:id="93"/>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vesting arrangements and other terms and conditions set forth in the Company Plan and the applicable stock option or other agreement) as in effect and applicable to the Assumed Option immediately prior to the Effective Time; provided, however, that: (A) to the extent provided under the terms of a Company Option, each Assumed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Gem Common Stock subsequent to the Effective Time and (B) the Gem Board or a committee thereof shall succeed to the authority and responsibility of the Company Board or any committee thereof with respect to each Assumed Option and the Company Plan.</w:t>
      </w:r>
    </w:p>
    <w:p>
      <w:pPr>
        <w:spacing w:after="0" w:line="165" w:lineRule="exact"/>
        <w:rPr>
          <w:sz w:val="20"/>
          <w:szCs w:val="20"/>
          <w:color w:val="auto"/>
        </w:rPr>
      </w:pPr>
    </w:p>
    <w:p>
      <w:pPr>
        <w:ind w:right="100" w:firstLine="1253"/>
        <w:spacing w:after="0" w:line="276" w:lineRule="auto"/>
        <w:tabs>
          <w:tab w:leader="none" w:pos="147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shall file with the SEC, as soon as reasonably practicable after the Effective Time, a registration statement on Form S-8, if available for use by Gem, relating to the shares of Gem Common Stock issuable with respect to Assumed Options.</w:t>
      </w:r>
    </w:p>
    <w:p>
      <w:pPr>
        <w:spacing w:after="0" w:line="144" w:lineRule="exact"/>
        <w:rPr>
          <w:rFonts w:ascii="Times New Roman" w:cs="Times New Roman" w:eastAsia="Times New Roman" w:hAnsi="Times New Roman"/>
          <w:sz w:val="16"/>
          <w:szCs w:val="16"/>
          <w:color w:val="auto"/>
        </w:rPr>
      </w:pPr>
    </w:p>
    <w:p>
      <w:pPr>
        <w:ind w:firstLine="1253"/>
        <w:spacing w:after="0" w:line="261" w:lineRule="auto"/>
        <w:tabs>
          <w:tab w:leader="none" w:pos="1469"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the Effective Time, the Company shall take all actions that may be necessary (under the Company Plan and otherwise) to effectuate the provisions of this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 xml:space="preserve"> and to ensure that, from and after the Effective Time, holders of Company Options have no rights with respect thereto other than those specifically provided in this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w:t>
      </w:r>
    </w:p>
    <w:p>
      <w:pPr>
        <w:spacing w:after="0" w:line="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6.6 </w:t>
      </w:r>
      <w:r>
        <w:rPr>
          <w:rFonts w:ascii="Times New Roman" w:cs="Times New Roman" w:eastAsia="Times New Roman" w:hAnsi="Times New Roman"/>
          <w:sz w:val="16"/>
          <w:szCs w:val="16"/>
          <w:u w:val="single" w:color="auto"/>
          <w:color w:val="auto"/>
        </w:rPr>
        <w:t>Gem Options and RSUs.</w:t>
      </w:r>
    </w:p>
    <w:p>
      <w:pPr>
        <w:spacing w:after="0" w:line="100" w:lineRule="exact"/>
        <w:rPr>
          <w:sz w:val="20"/>
          <w:szCs w:val="20"/>
          <w:color w:val="auto"/>
        </w:rPr>
      </w:pPr>
    </w:p>
    <w:p>
      <w:pPr>
        <w:ind w:firstLine="1253"/>
        <w:spacing w:after="0" w:line="261" w:lineRule="auto"/>
        <w:tabs>
          <w:tab w:leader="none" w:pos="1469"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the Gem Board shall have adopted appropriate resolutions and taken all other actions to the extent necessary and appropriate to provide that (i) outstanding Gem Options and Gem RSUs shall be treated in accordance with their terms and the terms of any applicable Company Plan and/or (ii) in accordance with the treatment described on Schedule 6.6.</w:t>
      </w:r>
    </w:p>
    <w:p>
      <w:pPr>
        <w:spacing w:after="0" w:line="156" w:lineRule="exact"/>
        <w:rPr>
          <w:rFonts w:ascii="Times New Roman" w:cs="Times New Roman" w:eastAsia="Times New Roman" w:hAnsi="Times New Roman"/>
          <w:sz w:val="16"/>
          <w:szCs w:val="16"/>
          <w:color w:val="auto"/>
        </w:rPr>
      </w:pPr>
    </w:p>
    <w:p>
      <w:pPr>
        <w:ind w:right="60" w:firstLine="1253"/>
        <w:spacing w:after="0" w:line="261" w:lineRule="auto"/>
        <w:tabs>
          <w:tab w:leader="none" w:pos="1478"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the Gem Board shall approve the Equity Plan Amendments, cause the adoption of such Equity Plan Amendments to be included in the Proxy Statement as a matter for approval at the Gem Shareholder Meeting, and recommend to the Gem stockholders the approval of such matters.</w:t>
      </w:r>
    </w:p>
    <w:p>
      <w:pPr>
        <w:spacing w:after="0" w:line="62" w:lineRule="exact"/>
        <w:rPr>
          <w:sz w:val="20"/>
          <w:szCs w:val="20"/>
          <w:color w:val="auto"/>
        </w:rPr>
      </w:pPr>
    </w:p>
    <w:p>
      <w:pPr>
        <w:ind w:firstLine="869"/>
        <w:spacing w:after="0" w:line="271" w:lineRule="auto"/>
        <w:rPr>
          <w:sz w:val="20"/>
          <w:szCs w:val="20"/>
          <w:color w:val="auto"/>
        </w:rPr>
      </w:pPr>
      <w:r>
        <w:rPr>
          <w:rFonts w:ascii="Times New Roman" w:cs="Times New Roman" w:eastAsia="Times New Roman" w:hAnsi="Times New Roman"/>
          <w:sz w:val="15"/>
          <w:szCs w:val="15"/>
          <w:color w:val="auto"/>
        </w:rPr>
        <w:t xml:space="preserve">6.7 </w:t>
      </w:r>
      <w:r>
        <w:rPr>
          <w:rFonts w:ascii="Times New Roman" w:cs="Times New Roman" w:eastAsia="Times New Roman" w:hAnsi="Times New Roman"/>
          <w:sz w:val="15"/>
          <w:szCs w:val="15"/>
          <w:u w:val="single" w:color="auto"/>
          <w:color w:val="auto"/>
        </w:rPr>
        <w:t>Employee Benefits</w:t>
      </w:r>
      <w:r>
        <w:rPr>
          <w:rFonts w:ascii="Times New Roman" w:cs="Times New Roman" w:eastAsia="Times New Roman" w:hAnsi="Times New Roman"/>
          <w:sz w:val="15"/>
          <w:szCs w:val="15"/>
          <w:color w:val="auto"/>
        </w:rPr>
        <w:t>. Gem and the Company shall cause Gem to comply with the terms of any employment, severance, retention, change of control, or similar agreement specified on Section 4.17(c) of the Gem Disclosure Schedule, subject to the provisions of such agreements. Gem or the Company shall make available group health plan coverage satisfying the requirements of COBRA to any employee or former employee of Gem (and their respective dependents) whose “qualifying event” (within the meaning of COBRA) occurred prior to or in connection with the Merger, and Gem or the Company shall otherwise discharge and be responsible for all liabilities related to COBRA. Gem and the Company agree that the Merger shall constitute or be deemed to constitute a “change of control” or “change in control” for purposes of the Gem Employee Plans and any awards issued thereunder and for purposes of any Gem Employee Plan maintained for current or former employees or directors of or independent contractors to Gem.</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9620"/>
          </w:cols>
          <w:pgMar w:left="1120" w:top="253" w:right="1159" w:bottom="1440" w:gutter="0" w:footer="0" w:header="0"/>
        </w:sectPr>
      </w:pPr>
    </w:p>
    <w:bookmarkStart w:id="94" w:name="page95"/>
    <w:bookmarkEnd w:id="94"/>
    <w:p>
      <w:pPr>
        <w:ind w:left="8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6.8 </w:t>
      </w:r>
      <w:r>
        <w:rPr>
          <w:rFonts w:ascii="Times New Roman" w:cs="Times New Roman" w:eastAsia="Times New Roman" w:hAnsi="Times New Roman"/>
          <w:sz w:val="16"/>
          <w:szCs w:val="16"/>
          <w:u w:val="single" w:color="auto"/>
          <w:color w:val="auto"/>
        </w:rPr>
        <w:t>Indemnification of Officers and Directors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40" w:right="40" w:firstLine="1253"/>
        <w:spacing w:after="0" w:line="249" w:lineRule="auto"/>
        <w:tabs>
          <w:tab w:leader="none" w:pos="142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Effective Time through the sixth anniversary of the date on which the Effective Time occurs, each of Gem and the Surviving Corporation shall indemnify and hold harmless each person who is now, or has been at any time prior to the date hereof, or who becomes prior to the Effective Time, a director or officer of Gem or the Company, respectively (the “</w:t>
      </w:r>
      <w:r>
        <w:rPr>
          <w:rFonts w:ascii="Times New Roman" w:cs="Times New Roman" w:eastAsia="Times New Roman" w:hAnsi="Times New Roman"/>
          <w:sz w:val="16"/>
          <w:szCs w:val="16"/>
          <w:b w:val="1"/>
          <w:bCs w:val="1"/>
          <w:color w:val="auto"/>
        </w:rPr>
        <w:t>D&amp;O Indemnified Parties</w:t>
      </w:r>
      <w:r>
        <w:rPr>
          <w:rFonts w:ascii="Times New Roman" w:cs="Times New Roman" w:eastAsia="Times New Roman" w:hAnsi="Times New Roman"/>
          <w:sz w:val="16"/>
          <w:szCs w:val="16"/>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6"/>
          <w:szCs w:val="16"/>
          <w:b w:val="1"/>
          <w:bCs w:val="1"/>
          <w:color w:val="auto"/>
        </w:rPr>
        <w:t>Costs</w:t>
      </w:r>
      <w:r>
        <w:rPr>
          <w:rFonts w:ascii="Times New Roman" w:cs="Times New Roman" w:eastAsia="Times New Roman" w:hAnsi="Times New Roman"/>
          <w:sz w:val="16"/>
          <w:szCs w:val="16"/>
          <w:color w:val="auto"/>
        </w:rPr>
        <w:t>”), incurred in connection with any claim, action, suit, proceeding or investigation, whether civil, criminal, administrative or investigative, arising out of or pertaining to the fact that the D&amp;O Indemnified Party is or was a director or officer of Gem or of the Company, whether asserted or claimed prior to, at or after the Effective Time, in each case, to the fullest extent permitted under the DGCL. Each D&amp;O Indemnified Party will be entitled to advancement of expenses incurred in the defense of any such claim, action, suit, proceeding or investigation from each of Gem and the Surviving Corporation, jointly and severally, upon receipt by Gem or the Surviving Corporation from the D&amp;O Indemnified Party of a request therefor; provided that any such person to whom expenses are advanced provides an undertaking to Gem,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Wilmer Cutler Pickering Hale and Dorr LLP or such other counsel selected by the D&amp;O Indemnified Parties.</w:t>
      </w:r>
    </w:p>
    <w:p>
      <w:pPr>
        <w:spacing w:after="0" w:line="167" w:lineRule="exact"/>
        <w:rPr>
          <w:rFonts w:ascii="Times New Roman" w:cs="Times New Roman" w:eastAsia="Times New Roman" w:hAnsi="Times New Roman"/>
          <w:sz w:val="16"/>
          <w:szCs w:val="16"/>
          <w:color w:val="auto"/>
        </w:rPr>
      </w:pPr>
    </w:p>
    <w:p>
      <w:pPr>
        <w:ind w:left="-40" w:right="100" w:firstLine="1253"/>
        <w:spacing w:after="0" w:line="271" w:lineRule="auto"/>
        <w:tabs>
          <w:tab w:leader="none" w:pos="1438"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the certificate of incorporation and bylaws of Gem with respect to indemnification, advancement of expenses and exculpation of present and former directors and officers of Gem that are presently set forth in the certificate of incorporation and bylaws of Gem shall not be amended, modified or repealed for a period of six years from the Effective Time in a manner that would adversely affect the rights thereunder of individuals who, at or prior to the Effective Time, were officers or directors of Gem, unless such modification is required by applicable Law. The certificate of incorporation and bylaws of the Surviving Corporation shall contain, and Gem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Gem.</w:t>
      </w:r>
    </w:p>
    <w:p>
      <w:pPr>
        <w:spacing w:after="0" w:line="150" w:lineRule="exact"/>
        <w:rPr>
          <w:rFonts w:ascii="Times New Roman" w:cs="Times New Roman" w:eastAsia="Times New Roman" w:hAnsi="Times New Roman"/>
          <w:sz w:val="15"/>
          <w:szCs w:val="15"/>
          <w:color w:val="auto"/>
        </w:rPr>
      </w:pPr>
    </w:p>
    <w:p>
      <w:pPr>
        <w:ind w:left="-40" w:right="140" w:firstLine="1253"/>
        <w:spacing w:after="0" w:line="251" w:lineRule="auto"/>
        <w:tabs>
          <w:tab w:leader="none" w:pos="142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Gem shall fulfill and honor in all respects the obligations of Gem to its D&amp;O Indemnified Parties as of immediately prior to the Closing pursuant to any indemnification provisions under Gem’s Organizational Documents and pursuant to any indemnification agreements between Gem and such D&amp;O Indemnified Parties, with respect to claims arising out of matters occurring at or prior to the Effective Time.</w:t>
      </w:r>
    </w:p>
    <w:p>
      <w:pPr>
        <w:spacing w:after="0" w:line="166" w:lineRule="exact"/>
        <w:rPr>
          <w:rFonts w:ascii="Times New Roman" w:cs="Times New Roman" w:eastAsia="Times New Roman" w:hAnsi="Times New Roman"/>
          <w:sz w:val="16"/>
          <w:szCs w:val="16"/>
          <w:color w:val="auto"/>
        </w:rPr>
      </w:pPr>
    </w:p>
    <w:p>
      <w:pPr>
        <w:jc w:val="both"/>
        <w:ind w:left="-40" w:firstLine="1253"/>
        <w:spacing w:after="0" w:line="256" w:lineRule="auto"/>
        <w:tabs>
          <w:tab w:leader="none" w:pos="143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Effective Time, Gem shall maintain directors’ and officers’ liability insurance policies, with an effective date as of the Closing Date, on commercially available terms and conditions and with coverage limits customary for U.S. public companies similarly situated to Gem. In addition, Gem shall purchase, prior to the Effective Time, a six-year prepaid “D&amp;O tail policy” for the non-cancellable extension of the directors’ and officers’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9580"/>
          </w:cols>
          <w:pgMar w:left="1160" w:top="253" w:right="1159" w:bottom="1440" w:gutter="0" w:footer="0" w:header="0"/>
        </w:sectPr>
      </w:pPr>
    </w:p>
    <w:bookmarkStart w:id="95" w:name="page96"/>
    <w:bookmarkEnd w:id="95"/>
    <w:p>
      <w:pPr>
        <w:ind w:left="1" w:right="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liability coverage of Gem’s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Gem’s existing policies as of the date of this Agreement with respect to any actual or alleged error, misstatement, misleading statement, act, omission, neglect, breach of duty or any matter claimed against a director or officer of Gem by reason of him or her serving in such capacity that existed or occurred at or prior to the Effective Time (including in connection with this Agreement or the Contemplated Transactions or in connection with Gem’s initial public offering of shares of Gem Common Stock).</w:t>
      </w:r>
    </w:p>
    <w:p>
      <w:pPr>
        <w:spacing w:after="0" w:line="165" w:lineRule="exact"/>
        <w:rPr>
          <w:sz w:val="20"/>
          <w:szCs w:val="20"/>
          <w:color w:val="auto"/>
        </w:rPr>
      </w:pPr>
    </w:p>
    <w:p>
      <w:pPr>
        <w:jc w:val="both"/>
        <w:ind w:left="1" w:right="200" w:firstLine="1253"/>
        <w:spacing w:after="0" w:line="261" w:lineRule="auto"/>
        <w:tabs>
          <w:tab w:leader="none" w:pos="147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From and after the Effective Time, Gem and the Surviving Corporation shall pay all expenses, including reasonable attorneys’ fees, that are incurred by the persons referred to in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xml:space="preserve"> in connection with their enforcement of the rights provided to such persons in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w:t>
      </w:r>
    </w:p>
    <w:p>
      <w:pPr>
        <w:spacing w:after="0" w:line="156" w:lineRule="exact"/>
        <w:rPr>
          <w:rFonts w:ascii="Times New Roman" w:cs="Times New Roman" w:eastAsia="Times New Roman" w:hAnsi="Times New Roman"/>
          <w:sz w:val="16"/>
          <w:szCs w:val="16"/>
          <w:color w:val="auto"/>
        </w:rPr>
      </w:pPr>
    </w:p>
    <w:p>
      <w:pPr>
        <w:ind w:left="1" w:firstLine="1253"/>
        <w:spacing w:after="0" w:line="261" w:lineRule="auto"/>
        <w:tabs>
          <w:tab w:leader="none" w:pos="1453"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xml:space="preserve"> are intended to be in addition to the rights otherwise available to the current and former officers and directors of Gem and the Company by Law, charter, statute, bylaw or agreement, and shall operate for the benefit of, and shall be enforceable by, each of the D&amp;O Indemnified Parties, their heirs and their Representatives.</w:t>
      </w:r>
    </w:p>
    <w:p>
      <w:pPr>
        <w:spacing w:after="0" w:line="156" w:lineRule="exact"/>
        <w:rPr>
          <w:rFonts w:ascii="Times New Roman" w:cs="Times New Roman" w:eastAsia="Times New Roman" w:hAnsi="Times New Roman"/>
          <w:sz w:val="16"/>
          <w:szCs w:val="16"/>
          <w:color w:val="auto"/>
        </w:rPr>
      </w:pPr>
    </w:p>
    <w:p>
      <w:pPr>
        <w:ind w:left="1" w:right="80" w:firstLine="1253"/>
        <w:spacing w:after="0" w:line="254" w:lineRule="auto"/>
        <w:tabs>
          <w:tab w:leader="none" w:pos="1479"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Gem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Gem or the Surviving Corporation, as the case may be, shall succeed to the obligations set forth in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xml:space="preserve">. Gem shall cause the Surviving Corporation to perform all of the obligations of the Surviving Corporation under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w:t>
      </w:r>
    </w:p>
    <w:p>
      <w:pPr>
        <w:spacing w:after="0" w:line="256" w:lineRule="exact"/>
        <w:rPr>
          <w:sz w:val="20"/>
          <w:szCs w:val="20"/>
          <w:color w:val="auto"/>
        </w:rPr>
      </w:pPr>
    </w:p>
    <w:p>
      <w:pPr>
        <w:ind w:left="1" w:right="140" w:firstLine="869"/>
        <w:spacing w:after="0" w:line="268" w:lineRule="auto"/>
        <w:rPr>
          <w:sz w:val="20"/>
          <w:szCs w:val="20"/>
          <w:color w:val="auto"/>
        </w:rPr>
      </w:pPr>
      <w:r>
        <w:rPr>
          <w:rFonts w:ascii="Times New Roman" w:cs="Times New Roman" w:eastAsia="Times New Roman" w:hAnsi="Times New Roman"/>
          <w:sz w:val="15"/>
          <w:szCs w:val="15"/>
          <w:color w:val="auto"/>
        </w:rPr>
        <w:t xml:space="preserve">6.9 </w:t>
      </w:r>
      <w:r>
        <w:rPr>
          <w:rFonts w:ascii="Times New Roman" w:cs="Times New Roman" w:eastAsia="Times New Roman" w:hAnsi="Times New Roman"/>
          <w:sz w:val="15"/>
          <w:szCs w:val="15"/>
          <w:u w:val="single" w:color="auto"/>
          <w:color w:val="auto"/>
        </w:rPr>
        <w:t>Disclosure</w:t>
      </w:r>
      <w:r>
        <w:rPr>
          <w:rFonts w:ascii="Times New Roman" w:cs="Times New Roman" w:eastAsia="Times New Roman" w:hAnsi="Times New Roman"/>
          <w:sz w:val="15"/>
          <w:szCs w:val="15"/>
          <w:color w:val="auto"/>
        </w:rPr>
        <w:t>. The Parties shall use their commercially reasonable efforts to agree to the text of a mutually acceptable joint initial press release and Gem’s Form 8-K announcing the execution and delivery of this Agreement.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w:t>
      </w:r>
    </w:p>
    <w:p>
      <w:pPr>
        <w:ind w:left="1" w:right="40" w:hanging="1"/>
        <w:spacing w:after="0" w:line="266" w:lineRule="auto"/>
        <w:tabs>
          <w:tab w:leader="none" w:pos="224"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Gem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Gem in compliance with this </w:t>
      </w:r>
      <w:r>
        <w:rPr>
          <w:rFonts w:ascii="Times New Roman" w:cs="Times New Roman" w:eastAsia="Times New Roman" w:hAnsi="Times New Roman"/>
          <w:sz w:val="15"/>
          <w:szCs w:val="15"/>
          <w:u w:val="single" w:color="auto"/>
          <w:color w:val="auto"/>
        </w:rPr>
        <w:t>Section 6.9</w:t>
      </w:r>
      <w:r>
        <w:rPr>
          <w:rFonts w:ascii="Times New Roman" w:cs="Times New Roman" w:eastAsia="Times New Roman" w:hAnsi="Times New Roman"/>
          <w:sz w:val="15"/>
          <w:szCs w:val="15"/>
          <w:color w:val="auto"/>
        </w:rPr>
        <w:t xml:space="preserve">. Notwithstanding the foregoing, a Party need not consult with any other Parties in connection with such portion of any press release, public statement or filing to be issued or made pursuant to </w:t>
      </w:r>
      <w:r>
        <w:rPr>
          <w:rFonts w:ascii="Times New Roman" w:cs="Times New Roman" w:eastAsia="Times New Roman" w:hAnsi="Times New Roman"/>
          <w:sz w:val="15"/>
          <w:szCs w:val="15"/>
          <w:u w:val="single" w:color="auto"/>
          <w:color w:val="auto"/>
        </w:rPr>
        <w:t>Section 6.3(d)</w:t>
      </w:r>
      <w:r>
        <w:rPr>
          <w:rFonts w:ascii="Times New Roman" w:cs="Times New Roman" w:eastAsia="Times New Roman" w:hAnsi="Times New Roman"/>
          <w:sz w:val="15"/>
          <w:szCs w:val="15"/>
          <w:color w:val="auto"/>
        </w:rPr>
        <w:t xml:space="preserve"> or with respect to any Acquisition Proposal, Gem Board Adverse Recommendation Change or Company Board Adverse Recommendation Change, as applicable, or with respect to Gem only, pursuant to </w:t>
      </w:r>
      <w:r>
        <w:rPr>
          <w:rFonts w:ascii="Times New Roman" w:cs="Times New Roman" w:eastAsia="Times New Roman" w:hAnsi="Times New Roman"/>
          <w:sz w:val="15"/>
          <w:szCs w:val="15"/>
          <w:u w:val="single" w:color="auto"/>
          <w:color w:val="auto"/>
        </w:rPr>
        <w:t>Section 6.3(e)</w:t>
      </w:r>
      <w:r>
        <w:rPr>
          <w:rFonts w:ascii="Times New Roman" w:cs="Times New Roman" w:eastAsia="Times New Roman" w:hAnsi="Times New Roman"/>
          <w:sz w:val="15"/>
          <w:szCs w:val="15"/>
          <w:color w:val="auto"/>
        </w:rPr>
        <w: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9641"/>
          </w:cols>
          <w:pgMar w:left="1119" w:top="253" w:right="1139" w:bottom="1440" w:gutter="0" w:footer="0" w:header="0"/>
        </w:sectPr>
      </w:pPr>
    </w:p>
    <w:bookmarkStart w:id="96" w:name="page97"/>
    <w:bookmarkEnd w:id="96"/>
    <w:p>
      <w:pPr>
        <w:ind w:right="40" w:firstLine="869"/>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6.10 </w:t>
      </w:r>
      <w:r>
        <w:rPr>
          <w:rFonts w:ascii="Times New Roman" w:cs="Times New Roman" w:eastAsia="Times New Roman" w:hAnsi="Times New Roman"/>
          <w:sz w:val="15"/>
          <w:szCs w:val="15"/>
          <w:u w:val="single" w:color="auto"/>
          <w:color w:val="auto"/>
        </w:rPr>
        <w:t>Listing.</w:t>
      </w:r>
      <w:r>
        <w:rPr>
          <w:rFonts w:ascii="Times New Roman" w:cs="Times New Roman" w:eastAsia="Times New Roman" w:hAnsi="Times New Roman"/>
          <w:sz w:val="15"/>
          <w:szCs w:val="15"/>
          <w:color w:val="auto"/>
        </w:rPr>
        <w:t xml:space="preserve"> At or prior to the Effective Time, Gem shall use its commercially reasonable efforts to (a) maintain its existing listing on Nasdaq until the Effective Time and to obtain approval of the listing of the combined corporation on Nasdaq, (b) to the extent required by the rules and regulations of Nasdaq, prepare and submit to Nasdaq a notification form for the listing of the shares of Gem Common Stock to be issued in connection with the Contemplated Transactions and to cause such shares to be approved for listing (c) prepare and timely submit to Nasdaq a notification form of the Nasdaq Reverse Stock Split and to submit a copy of the amendment to Gem’s certificate of incorporation effect the Nasdaq Reverse Split and other amendments contemplated by Section 2.4 certified by the Secretary of State of the State of Delaware, to Nasdaq on the Closing Date; and (d) to the extent required by Nasdaq Marketplace Rule 5110, assist the Company in preparing and filing an initial listing application for the Gem Common Stock on Nasdaq (the “Nasdaq Listing Application”). The Party not filing the Nasdaq Listing Application will cooperate with the other Party as reasonably requested by such filing Party with respect to the Nasdaq Listing Application and promptly furnish to such filing Party all information concerning itself and its stockholders that may be required or reasonably requested in connection with any action contemplated by this </w:t>
      </w:r>
      <w:r>
        <w:rPr>
          <w:rFonts w:ascii="Times New Roman" w:cs="Times New Roman" w:eastAsia="Times New Roman" w:hAnsi="Times New Roman"/>
          <w:sz w:val="15"/>
          <w:szCs w:val="15"/>
          <w:u w:val="single" w:color="auto"/>
          <w:color w:val="auto"/>
        </w:rPr>
        <w:t>Section 6.10</w:t>
      </w:r>
      <w:r>
        <w:rPr>
          <w:rFonts w:ascii="Times New Roman" w:cs="Times New Roman" w:eastAsia="Times New Roman" w:hAnsi="Times New Roman"/>
          <w:sz w:val="15"/>
          <w:szCs w:val="15"/>
          <w:color w:val="auto"/>
        </w:rPr>
        <w:t>.</w:t>
      </w:r>
    </w:p>
    <w:p>
      <w:pPr>
        <w:spacing w:after="0" w:line="2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6.11 </w:t>
      </w:r>
      <w:r>
        <w:rPr>
          <w:rFonts w:ascii="Times New Roman" w:cs="Times New Roman" w:eastAsia="Times New Roman" w:hAnsi="Times New Roman"/>
          <w:sz w:val="16"/>
          <w:szCs w:val="16"/>
          <w:u w:val="single" w:color="auto"/>
          <w:color w:val="auto"/>
        </w:rPr>
        <w:t>Tax Matters.</w:t>
      </w:r>
    </w:p>
    <w:p>
      <w:pPr>
        <w:spacing w:after="0" w:line="100" w:lineRule="exact"/>
        <w:rPr>
          <w:sz w:val="20"/>
          <w:szCs w:val="20"/>
          <w:color w:val="auto"/>
        </w:rPr>
      </w:pPr>
    </w:p>
    <w:p>
      <w:pPr>
        <w:jc w:val="both"/>
        <w:ind w:firstLine="1253"/>
        <w:spacing w:after="0" w:line="261" w:lineRule="auto"/>
        <w:tabs>
          <w:tab w:leader="none" w:pos="1466"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(and shall cause its Affiliates to) provide any information reasonably requested to allow Gem to comply with any information reporting or withholding requirements contained in the Code or other applicable Laws with respect to the transactions contemplated by, or any payment made in connection with, this Agreement.</w:t>
      </w:r>
    </w:p>
    <w:p>
      <w:pPr>
        <w:spacing w:after="0" w:line="156" w:lineRule="exact"/>
        <w:rPr>
          <w:rFonts w:ascii="Times New Roman" w:cs="Times New Roman" w:eastAsia="Times New Roman" w:hAnsi="Times New Roman"/>
          <w:sz w:val="16"/>
          <w:szCs w:val="16"/>
          <w:color w:val="auto"/>
        </w:rPr>
      </w:pPr>
    </w:p>
    <w:p>
      <w:pPr>
        <w:ind w:right="100" w:firstLine="1253"/>
        <w:spacing w:after="0" w:line="252" w:lineRule="auto"/>
        <w:tabs>
          <w:tab w:leader="none" w:pos="1478"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transfer, documentary, sales, use, value added, goods and services, stamp, registration, notarial fees and other similar Taxes and fees (collectively, “</w:t>
      </w:r>
      <w:r>
        <w:rPr>
          <w:rFonts w:ascii="Times New Roman" w:cs="Times New Roman" w:eastAsia="Times New Roman" w:hAnsi="Times New Roman"/>
          <w:sz w:val="16"/>
          <w:szCs w:val="16"/>
          <w:b w:val="1"/>
          <w:bCs w:val="1"/>
          <w:color w:val="auto"/>
        </w:rPr>
        <w:t>Transfer Taxes</w:t>
      </w:r>
      <w:r>
        <w:rPr>
          <w:rFonts w:ascii="Times New Roman" w:cs="Times New Roman" w:eastAsia="Times New Roman" w:hAnsi="Times New Roman"/>
          <w:sz w:val="16"/>
          <w:szCs w:val="16"/>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Gem will, and will cause its Affiliates to, cooperate and join in the execution of any such Tax Returns and other documentation, as applicable. Each Party shall (and shall cause its Affiliates to) provide certificates or forms, and timely execute any Tax Returns, that are necessary or appropriate to establish an exemption for (or reduction in) any Transfer Tax.</w:t>
      </w:r>
    </w:p>
    <w:p>
      <w:pPr>
        <w:spacing w:after="0" w:line="165" w:lineRule="exact"/>
        <w:rPr>
          <w:rFonts w:ascii="Times New Roman" w:cs="Times New Roman" w:eastAsia="Times New Roman" w:hAnsi="Times New Roman"/>
          <w:sz w:val="16"/>
          <w:szCs w:val="16"/>
          <w:color w:val="auto"/>
        </w:rPr>
      </w:pPr>
    </w:p>
    <w:p>
      <w:pPr>
        <w:ind w:firstLine="1253"/>
        <w:spacing w:after="0" w:line="254" w:lineRule="auto"/>
        <w:tabs>
          <w:tab w:leader="none" w:pos="1469"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9600"/>
          </w:cols>
          <w:pgMar w:left="1120" w:top="253" w:right="1179" w:bottom="1440" w:gutter="0" w:footer="0" w:header="0"/>
        </w:sectPr>
      </w:pPr>
    </w:p>
    <w:bookmarkStart w:id="97" w:name="page98"/>
    <w:bookmarkEnd w:id="97"/>
    <w:p>
      <w:pPr>
        <w:ind w:right="240"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6.12 </w:t>
      </w:r>
      <w:r>
        <w:rPr>
          <w:rFonts w:ascii="Times New Roman" w:cs="Times New Roman" w:eastAsia="Times New Roman" w:hAnsi="Times New Roman"/>
          <w:sz w:val="16"/>
          <w:szCs w:val="16"/>
          <w:u w:val="single" w:color="auto"/>
          <w:color w:val="auto"/>
        </w:rPr>
        <w:t>Legends.</w:t>
      </w:r>
      <w:r>
        <w:rPr>
          <w:rFonts w:ascii="Times New Roman" w:cs="Times New Roman" w:eastAsia="Times New Roman" w:hAnsi="Times New Roman"/>
          <w:sz w:val="16"/>
          <w:szCs w:val="16"/>
          <w:color w:val="auto"/>
        </w:rPr>
        <w:t xml:space="preserve"> Gem shall be entitled to place appropriate legends on the book entries and/or certificates evidencing any shares of Gem Common Stock to be received in the Merger by equityholders of the Company who may be considered “affiliates” of Gem for purposes of Rules 144 and 145 under the Securities Act reflecting the restrictions set forth in Rules 144 and</w:t>
      </w:r>
    </w:p>
    <w:p>
      <w:pPr>
        <w:spacing w:after="0" w:line="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 xml:space="preserve">145 and to issue appropriate stop transfer instructions to the transfer agent for Gem Common Stock. </w:t>
      </w:r>
      <w:r>
        <w:rPr>
          <w:rFonts w:ascii="Times New Roman" w:cs="Times New Roman" w:eastAsia="Times New Roman" w:hAnsi="Times New Roman"/>
          <w:sz w:val="16"/>
          <w:szCs w:val="16"/>
          <w:u w:val="single" w:color="auto"/>
          <w:color w:val="auto"/>
        </w:rPr>
        <w:t>Section 6.12</w:t>
      </w:r>
      <w:r>
        <w:rPr>
          <w:rFonts w:ascii="Times New Roman" w:cs="Times New Roman" w:eastAsia="Times New Roman" w:hAnsi="Times New Roman"/>
          <w:sz w:val="16"/>
          <w:szCs w:val="16"/>
          <w:color w:val="auto"/>
        </w:rPr>
        <w:t xml:space="preserve"> of the Company Disclosure Schedule sets forth a list of those persons who are, in the Company’s reasonable judgment, “affiliates” of the Company within the meaning of Rule 145 promulgated under the Securities Act (“Rule 145 Affiliates”). The Company shall notify Gem in writing regarding any change in the identity of its Rule 145 Affiliates prior to the Closing Date. Gem shall be entitled to place appropriate legends on the certificates evidencing any shares of Merger Consideration to be received by Rule 145 Affiliates of the Company in the Merger reflecting the restrictions set forth in Rule 145 promulgated under the Securities Act and to issue appropriate stop transfer instructions to the transfer agent for Gem.</w:t>
      </w:r>
    </w:p>
    <w:p>
      <w:pPr>
        <w:spacing w:after="0" w:line="26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6.13 </w:t>
      </w:r>
      <w:r>
        <w:rPr>
          <w:rFonts w:ascii="Times New Roman" w:cs="Times New Roman" w:eastAsia="Times New Roman" w:hAnsi="Times New Roman"/>
          <w:sz w:val="16"/>
          <w:szCs w:val="16"/>
          <w:u w:val="single" w:color="auto"/>
          <w:color w:val="auto"/>
        </w:rPr>
        <w:t>Directors.</w:t>
      </w:r>
    </w:p>
    <w:p>
      <w:pPr>
        <w:spacing w:after="0" w:line="100" w:lineRule="exact"/>
        <w:rPr>
          <w:sz w:val="20"/>
          <w:szCs w:val="20"/>
          <w:color w:val="auto"/>
        </w:rPr>
      </w:pPr>
    </w:p>
    <w:p>
      <w:pPr>
        <w:ind w:right="20" w:firstLine="1253"/>
        <w:spacing w:after="0" w:line="254" w:lineRule="auto"/>
        <w:tabs>
          <w:tab w:leader="none" w:pos="1469"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successors are duly elected or appointed and qualified in accordance with applicable Law, the Parties shall use reasonable best efforts and take all necessary action so that the Persons listed in Annex C are elected or appointed, as applicable, to the positions of officers and directors of Gem and the Surviving Corporation, as set forth therein, to serve in such positions effective as of the Effective Time. If any Person listed in Annex C is unable or unwilling to serve as officer or director of Gem or the Surviving Corporation, as set forth therein, the Party appointing such Person (as set forth on Annex C) shall designate a successor.</w:t>
      </w:r>
    </w:p>
    <w:p>
      <w:pPr>
        <w:spacing w:after="0" w:line="161" w:lineRule="exact"/>
        <w:rPr>
          <w:rFonts w:ascii="Times New Roman" w:cs="Times New Roman" w:eastAsia="Times New Roman" w:hAnsi="Times New Roman"/>
          <w:sz w:val="16"/>
          <w:szCs w:val="16"/>
          <w:color w:val="auto"/>
        </w:rPr>
      </w:pPr>
    </w:p>
    <w:p>
      <w:pPr>
        <w:ind w:firstLine="1253"/>
        <w:spacing w:after="0" w:line="261" w:lineRule="auto"/>
        <w:tabs>
          <w:tab w:leader="none" w:pos="147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Closing Date, Gem shall enter into customary indemnification agreements reasonably satisfactory to the Company with each individual to be appointed to, or serving on, the board of directors of Gem upon the Closing, which indemnification agreements shall continue to be effective following the Closing.</w:t>
      </w:r>
    </w:p>
    <w:p>
      <w:pPr>
        <w:spacing w:after="0" w:line="251" w:lineRule="exact"/>
        <w:rPr>
          <w:sz w:val="20"/>
          <w:szCs w:val="20"/>
          <w:color w:val="auto"/>
        </w:rPr>
      </w:pPr>
    </w:p>
    <w:p>
      <w:pPr>
        <w:ind w:right="100" w:firstLine="869"/>
        <w:spacing w:after="0" w:line="252" w:lineRule="auto"/>
        <w:rPr>
          <w:sz w:val="20"/>
          <w:szCs w:val="20"/>
          <w:color w:val="auto"/>
        </w:rPr>
      </w:pPr>
      <w:r>
        <w:rPr>
          <w:rFonts w:ascii="Times New Roman" w:cs="Times New Roman" w:eastAsia="Times New Roman" w:hAnsi="Times New Roman"/>
          <w:sz w:val="16"/>
          <w:szCs w:val="16"/>
          <w:color w:val="auto"/>
        </w:rPr>
        <w:t xml:space="preserve">6.14 </w:t>
      </w:r>
      <w:r>
        <w:rPr>
          <w:rFonts w:ascii="Times New Roman" w:cs="Times New Roman" w:eastAsia="Times New Roman" w:hAnsi="Times New Roman"/>
          <w:sz w:val="16"/>
          <w:szCs w:val="16"/>
          <w:u w:val="single" w:color="auto"/>
          <w:color w:val="auto"/>
        </w:rPr>
        <w:t>Termination of Certain Agreements and Rights</w:t>
      </w:r>
      <w:r>
        <w:rPr>
          <w:rFonts w:ascii="Times New Roman" w:cs="Times New Roman" w:eastAsia="Times New Roman" w:hAnsi="Times New Roman"/>
          <w:sz w:val="16"/>
          <w:szCs w:val="16"/>
          <w:color w:val="auto"/>
        </w:rPr>
        <w:t>. The Company shall cause any stockholders agreements, voting agreements, registration rights agreements, co-sale agreements and any other similar Contracts between the Company and any holders of Company Common Stock or Preferred Stock, including any such Contract granting any Person investor rights, rights of first refusal, registration rights or director designation rights but excluding the Form of the Registration Rights Agreement attached to the Subscription Agreement and which is expected to be entered into in connection with the Company Pre-Closing Financing (collectively, the “</w:t>
      </w:r>
      <w:r>
        <w:rPr>
          <w:rFonts w:ascii="Times New Roman" w:cs="Times New Roman" w:eastAsia="Times New Roman" w:hAnsi="Times New Roman"/>
          <w:sz w:val="16"/>
          <w:szCs w:val="16"/>
          <w:b w:val="1"/>
          <w:bCs w:val="1"/>
          <w:color w:val="auto"/>
        </w:rPr>
        <w:t>Investor Agreements</w:t>
      </w:r>
      <w:r>
        <w:rPr>
          <w:rFonts w:ascii="Times New Roman" w:cs="Times New Roman" w:eastAsia="Times New Roman" w:hAnsi="Times New Roman"/>
          <w:sz w:val="16"/>
          <w:szCs w:val="16"/>
          <w:color w:val="auto"/>
        </w:rPr>
        <w:t>”), to be terminated immediately prior to the Effective Time, without any liability being imposed on the part of the Surviving Corporation.</w:t>
      </w:r>
    </w:p>
    <w:p>
      <w:pPr>
        <w:spacing w:after="0" w:line="260" w:lineRule="exact"/>
        <w:rPr>
          <w:sz w:val="20"/>
          <w:szCs w:val="20"/>
          <w:color w:val="auto"/>
        </w:rPr>
      </w:pPr>
    </w:p>
    <w:p>
      <w:pPr>
        <w:ind w:right="240" w:firstLine="869"/>
        <w:spacing w:after="0" w:line="256" w:lineRule="auto"/>
        <w:rPr>
          <w:sz w:val="20"/>
          <w:szCs w:val="20"/>
          <w:color w:val="auto"/>
        </w:rPr>
      </w:pPr>
      <w:r>
        <w:rPr>
          <w:rFonts w:ascii="Times New Roman" w:cs="Times New Roman" w:eastAsia="Times New Roman" w:hAnsi="Times New Roman"/>
          <w:sz w:val="16"/>
          <w:szCs w:val="16"/>
          <w:color w:val="auto"/>
        </w:rPr>
        <w:t xml:space="preserve">6.15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Prior to the Effective Time, Gem shall take all such steps as may be required to cause any acquisitions of Gem Common Stock and any options to purchase Gem Common Stock in connection with the Contemplated Transactions, by each individual who is reasonably expected to become subject to the reporting requirements of Section 16(a) of the Exchange Act with respect to Gem, to be exempt under Rule 16b-3 promulgated under the Exchange Act.</w:t>
      </w:r>
    </w:p>
    <w:p>
      <w:pPr>
        <w:spacing w:after="0" w:line="256" w:lineRule="exact"/>
        <w:rPr>
          <w:sz w:val="20"/>
          <w:szCs w:val="20"/>
          <w:color w:val="auto"/>
        </w:rPr>
      </w:pPr>
    </w:p>
    <w:p>
      <w:pPr>
        <w:ind w:right="120" w:firstLine="869"/>
        <w:spacing w:after="0" w:line="272" w:lineRule="auto"/>
        <w:rPr>
          <w:sz w:val="20"/>
          <w:szCs w:val="20"/>
          <w:color w:val="auto"/>
        </w:rPr>
      </w:pPr>
      <w:r>
        <w:rPr>
          <w:rFonts w:ascii="Times New Roman" w:cs="Times New Roman" w:eastAsia="Times New Roman" w:hAnsi="Times New Roman"/>
          <w:sz w:val="15"/>
          <w:szCs w:val="15"/>
          <w:color w:val="auto"/>
        </w:rPr>
        <w:t xml:space="preserve">6.16 </w:t>
      </w:r>
      <w:r>
        <w:rPr>
          <w:rFonts w:ascii="Times New Roman" w:cs="Times New Roman" w:eastAsia="Times New Roman" w:hAnsi="Times New Roman"/>
          <w:sz w:val="15"/>
          <w:szCs w:val="15"/>
          <w:u w:val="single" w:color="auto"/>
          <w:color w:val="auto"/>
        </w:rPr>
        <w:t>Allocation Certificate</w:t>
      </w:r>
      <w:r>
        <w:rPr>
          <w:rFonts w:ascii="Times New Roman" w:cs="Times New Roman" w:eastAsia="Times New Roman" w:hAnsi="Times New Roman"/>
          <w:sz w:val="15"/>
          <w:szCs w:val="15"/>
          <w:color w:val="auto"/>
        </w:rPr>
        <w:t>. The Company will prepare and deliver to Gem at least ten (10) Business Days prior to the Closing Date a certificate signed by the Chief Financial Officer of the Company in a form reasonably acceptable to Gem setting forth (as of immediately prior to the Effective Time) (a) each holder of Company Capital Stock or Company Options, (b) such holder’s name and address, (c) the number and type of Company Capital Stock held and/or underlying the Company Options as of the Closing Date for each such holder and (d) the number of shares of Gem Common Stock to be issued to such holder, or to underlie any Gem Option to be issued to such holder, pursuant to this Agreement in respect of the Company Capital Stock or Company Options held by such holder as of immediately prior to the Effective Time (the “</w:t>
      </w:r>
      <w:r>
        <w:rPr>
          <w:rFonts w:ascii="Times New Roman" w:cs="Times New Roman" w:eastAsia="Times New Roman" w:hAnsi="Times New Roman"/>
          <w:sz w:val="15"/>
          <w:szCs w:val="15"/>
          <w:b w:val="1"/>
          <w:bCs w:val="1"/>
          <w:color w:val="auto"/>
        </w:rPr>
        <w:t>Allocation Certificate</w:t>
      </w:r>
      <w:r>
        <w:rPr>
          <w:rFonts w:ascii="Times New Roman" w:cs="Times New Roman" w:eastAsia="Times New Roman" w:hAnsi="Times New Roman"/>
          <w:sz w:val="15"/>
          <w:szCs w:val="15"/>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9640"/>
          </w:cols>
          <w:pgMar w:left="1120" w:top="253" w:right="1139" w:bottom="1440" w:gutter="0" w:footer="0" w:header="0"/>
        </w:sectPr>
      </w:pPr>
    </w:p>
    <w:bookmarkStart w:id="98" w:name="page99"/>
    <w:bookmarkEnd w:id="98"/>
    <w:p>
      <w:pPr>
        <w:ind w:right="120"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6.17 </w:t>
      </w:r>
      <w:r>
        <w:rPr>
          <w:rFonts w:ascii="Times New Roman" w:cs="Times New Roman" w:eastAsia="Times New Roman" w:hAnsi="Times New Roman"/>
          <w:sz w:val="16"/>
          <w:szCs w:val="16"/>
          <w:u w:val="single" w:color="auto"/>
          <w:color w:val="auto"/>
        </w:rPr>
        <w:t>Nasdaq Reverse Split</w:t>
      </w:r>
      <w:r>
        <w:rPr>
          <w:rFonts w:ascii="Times New Roman" w:cs="Times New Roman" w:eastAsia="Times New Roman" w:hAnsi="Times New Roman"/>
          <w:sz w:val="16"/>
          <w:szCs w:val="16"/>
          <w:color w:val="auto"/>
        </w:rPr>
        <w:t>. Gem shall submit to Gem’s stockholders at the Gem Stockholder Meeting a proposal to approve and adopt an amendment to Gem’s certificate of incorporation to authorize the Gem Board to effect the Nasdaq Reverse Split.</w:t>
      </w:r>
    </w:p>
    <w:p>
      <w:pPr>
        <w:spacing w:after="0" w:line="239" w:lineRule="exact"/>
        <w:rPr>
          <w:sz w:val="20"/>
          <w:szCs w:val="20"/>
          <w:color w:val="auto"/>
        </w:rPr>
      </w:pPr>
    </w:p>
    <w:p>
      <w:pPr>
        <w:ind w:right="100" w:firstLine="869"/>
        <w:spacing w:after="0" w:line="256" w:lineRule="auto"/>
        <w:rPr>
          <w:sz w:val="20"/>
          <w:szCs w:val="20"/>
          <w:color w:val="auto"/>
        </w:rPr>
      </w:pPr>
      <w:r>
        <w:rPr>
          <w:rFonts w:ascii="Times New Roman" w:cs="Times New Roman" w:eastAsia="Times New Roman" w:hAnsi="Times New Roman"/>
          <w:sz w:val="16"/>
          <w:szCs w:val="16"/>
          <w:color w:val="auto"/>
        </w:rPr>
        <w:t xml:space="preserve">6.18 </w:t>
      </w:r>
      <w:r>
        <w:rPr>
          <w:rFonts w:ascii="Times New Roman" w:cs="Times New Roman" w:eastAsia="Times New Roman" w:hAnsi="Times New Roman"/>
          <w:sz w:val="16"/>
          <w:szCs w:val="16"/>
          <w:u w:val="single" w:color="auto"/>
          <w:color w:val="auto"/>
        </w:rPr>
        <w:t>Takeover Statutes</w:t>
      </w:r>
      <w:r>
        <w:rPr>
          <w:rFonts w:ascii="Times New Roman" w:cs="Times New Roman" w:eastAsia="Times New Roman" w:hAnsi="Times New Roman"/>
          <w:sz w:val="16"/>
          <w:szCs w:val="16"/>
          <w:color w:val="auto"/>
        </w:rPr>
        <w:t>. If any takeover statute is or may become applicable to the Contemplated Transactions, each of the Company, the Company Board, Gem and the Gem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256" w:lineRule="exact"/>
        <w:rPr>
          <w:sz w:val="20"/>
          <w:szCs w:val="20"/>
          <w:color w:val="auto"/>
        </w:rPr>
      </w:pPr>
    </w:p>
    <w:p>
      <w:pPr>
        <w:ind w:firstLine="869"/>
        <w:spacing w:after="0" w:line="252" w:lineRule="auto"/>
        <w:rPr>
          <w:sz w:val="20"/>
          <w:szCs w:val="20"/>
          <w:color w:val="auto"/>
        </w:rPr>
      </w:pPr>
      <w:r>
        <w:rPr>
          <w:rFonts w:ascii="Times New Roman" w:cs="Times New Roman" w:eastAsia="Times New Roman" w:hAnsi="Times New Roman"/>
          <w:sz w:val="16"/>
          <w:szCs w:val="16"/>
          <w:color w:val="auto"/>
        </w:rPr>
        <w:t xml:space="preserve">6.19 </w:t>
      </w:r>
      <w:r>
        <w:rPr>
          <w:rFonts w:ascii="Times New Roman" w:cs="Times New Roman" w:eastAsia="Times New Roman" w:hAnsi="Times New Roman"/>
          <w:sz w:val="16"/>
          <w:szCs w:val="16"/>
          <w:u w:val="single" w:color="auto"/>
          <w:color w:val="auto"/>
        </w:rPr>
        <w:t>Stockholder Litigation</w:t>
      </w:r>
      <w:r>
        <w:rPr>
          <w:rFonts w:ascii="Times New Roman" w:cs="Times New Roman" w:eastAsia="Times New Roman" w:hAnsi="Times New Roman"/>
          <w:sz w:val="16"/>
          <w:szCs w:val="16"/>
          <w:color w:val="auto"/>
        </w:rPr>
        <w:t>. Each Party shall keep the other Party reasonably informed regarding any stockholder litigation against Gem or any of its directors relating to this Agreement or the Contemplated Transactions (“</w:t>
      </w:r>
      <w:r>
        <w:rPr>
          <w:rFonts w:ascii="Times New Roman" w:cs="Times New Roman" w:eastAsia="Times New Roman" w:hAnsi="Times New Roman"/>
          <w:sz w:val="16"/>
          <w:szCs w:val="16"/>
          <w:b w:val="1"/>
          <w:bCs w:val="1"/>
          <w:color w:val="auto"/>
        </w:rPr>
        <w:t>Transaction Litigation</w:t>
      </w:r>
      <w:r>
        <w:rPr>
          <w:rFonts w:ascii="Times New Roman" w:cs="Times New Roman" w:eastAsia="Times New Roman" w:hAnsi="Times New Roman"/>
          <w:sz w:val="16"/>
          <w:szCs w:val="16"/>
          <w:color w:val="auto"/>
        </w:rPr>
        <w:t>”). Prior to the Closing, Gem shall have the right to control the defense and settlement of any litigation related to this Agreement or the Contemplated Transactions, but shall reasonably consult with and permit the Company and its Representatives to participate in consideration to the Company’s advice with respect to Transaction Litigation. Gem shall promptly advise the Company of the initiation of, and shall keep the Company reasonably apprised of any material developments in connection with, any such Transaction Litigation.</w:t>
      </w:r>
    </w:p>
    <w:p>
      <w:pPr>
        <w:spacing w:after="0" w:line="260" w:lineRule="exact"/>
        <w:rPr>
          <w:sz w:val="20"/>
          <w:szCs w:val="20"/>
          <w:color w:val="auto"/>
        </w:rPr>
      </w:pPr>
    </w:p>
    <w:p>
      <w:pPr>
        <w:ind w:right="1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6.20 </w:t>
      </w:r>
      <w:r>
        <w:rPr>
          <w:rFonts w:ascii="Times New Roman" w:cs="Times New Roman" w:eastAsia="Times New Roman" w:hAnsi="Times New Roman"/>
          <w:sz w:val="16"/>
          <w:szCs w:val="16"/>
          <w:u w:val="single" w:color="auto"/>
          <w:color w:val="auto"/>
        </w:rPr>
        <w:t>Gem SEC Documents</w:t>
      </w:r>
      <w:r>
        <w:rPr>
          <w:rFonts w:ascii="Times New Roman" w:cs="Times New Roman" w:eastAsia="Times New Roman" w:hAnsi="Times New Roman"/>
          <w:sz w:val="16"/>
          <w:szCs w:val="16"/>
          <w:color w:val="auto"/>
        </w:rPr>
        <w:t>. From the date of this Agreement until the Effective Time, Gem shall use reasonable best efforts to timely file with the SEC all Gem SEC Documents. As of its filing date, or if amended after the date of this Agreement, as of the date of the last such amendment, each Gem SEC Document filed by Gem with the SEC shall comply in all material respects with the applicable requirements of the Exchange Act and the Securities Act.</w:t>
      </w:r>
    </w:p>
    <w:p>
      <w:pPr>
        <w:spacing w:after="0" w:line="256" w:lineRule="exact"/>
        <w:rPr>
          <w:sz w:val="20"/>
          <w:szCs w:val="20"/>
          <w:color w:val="auto"/>
        </w:rPr>
      </w:pPr>
    </w:p>
    <w:p>
      <w:pPr>
        <w:ind w:right="140" w:firstLine="869"/>
        <w:spacing w:after="0" w:line="276" w:lineRule="auto"/>
        <w:rPr>
          <w:sz w:val="20"/>
          <w:szCs w:val="20"/>
          <w:color w:val="auto"/>
        </w:rPr>
      </w:pPr>
      <w:r>
        <w:rPr>
          <w:rFonts w:ascii="Times New Roman" w:cs="Times New Roman" w:eastAsia="Times New Roman" w:hAnsi="Times New Roman"/>
          <w:sz w:val="16"/>
          <w:szCs w:val="16"/>
          <w:color w:val="auto"/>
        </w:rPr>
        <w:t xml:space="preserve">6.21 </w:t>
      </w:r>
      <w:r>
        <w:rPr>
          <w:rFonts w:ascii="Times New Roman" w:cs="Times New Roman" w:eastAsia="Times New Roman" w:hAnsi="Times New Roman"/>
          <w:sz w:val="16"/>
          <w:szCs w:val="16"/>
          <w:u w:val="single" w:color="auto"/>
          <w:color w:val="auto"/>
        </w:rPr>
        <w:t>Obligations of Merger Sub</w:t>
      </w:r>
      <w:r>
        <w:rPr>
          <w:rFonts w:ascii="Times New Roman" w:cs="Times New Roman" w:eastAsia="Times New Roman" w:hAnsi="Times New Roman"/>
          <w:sz w:val="16"/>
          <w:szCs w:val="16"/>
          <w:color w:val="auto"/>
        </w:rPr>
        <w:t>. Gem will take all action necessary to cause Merger Sub to perform its obligations under this Agreement and to consummate the Merger on the terms and conditions set forth in this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Conditions Precedent to Obligations of Each Party</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251" w:lineRule="exact"/>
        <w:rPr>
          <w:sz w:val="20"/>
          <w:szCs w:val="20"/>
          <w:color w:val="auto"/>
        </w:rPr>
      </w:pPr>
    </w:p>
    <w:p>
      <w:pPr>
        <w:ind w:right="1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Effectiveness of Registration Statement</w:t>
      </w:r>
      <w:r>
        <w:rPr>
          <w:rFonts w:ascii="Times New Roman" w:cs="Times New Roman" w:eastAsia="Times New Roman" w:hAnsi="Times New Roman"/>
          <w:sz w:val="16"/>
          <w:szCs w:val="16"/>
          <w:color w:val="auto"/>
        </w:rPr>
        <w:t>.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9640"/>
          </w:cols>
          <w:pgMar w:left="1120" w:top="253" w:right="1139" w:bottom="1440" w:gutter="0" w:footer="0" w:header="0"/>
        </w:sectPr>
      </w:pPr>
    </w:p>
    <w:bookmarkStart w:id="99" w:name="page100"/>
    <w:bookmarkEnd w:id="99"/>
    <w:p>
      <w:pPr>
        <w:ind w:right="20" w:firstLine="869"/>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7.2 </w:t>
      </w:r>
      <w:r>
        <w:rPr>
          <w:rFonts w:ascii="Times New Roman" w:cs="Times New Roman" w:eastAsia="Times New Roman" w:hAnsi="Times New Roman"/>
          <w:sz w:val="16"/>
          <w:szCs w:val="16"/>
          <w:u w:val="single" w:color="auto"/>
          <w:color w:val="auto"/>
        </w:rPr>
        <w:t>No Restraints</w:t>
      </w:r>
      <w:r>
        <w:rPr>
          <w:rFonts w:ascii="Times New Roman" w:cs="Times New Roman" w:eastAsia="Times New Roman" w:hAnsi="Times New Roman"/>
          <w:sz w:val="16"/>
          <w:szCs w:val="16"/>
          <w:color w:val="auto"/>
        </w:rPr>
        <w:t>. No temporary restraining order, preliminary or permanent injunction or other Order preventing the consummation of the Contemplated Transactions shall</w:t>
      </w:r>
    </w:p>
    <w:p>
      <w:pPr>
        <w:ind w:right="80"/>
        <w:spacing w:after="0" w:line="250" w:lineRule="auto"/>
        <w:rPr>
          <w:sz w:val="20"/>
          <w:szCs w:val="20"/>
          <w:color w:val="auto"/>
        </w:rPr>
      </w:pPr>
      <w:r>
        <w:rPr>
          <w:rFonts w:ascii="Times New Roman" w:cs="Times New Roman" w:eastAsia="Times New Roman" w:hAnsi="Times New Roman"/>
          <w:sz w:val="16"/>
          <w:szCs w:val="16"/>
          <w:color w:val="auto"/>
        </w:rPr>
        <w:t>have been issued by any court of competent jurisdiction or other Governmental Authority of competent jurisdiction and remain in effect, no investigation by a Governmental Authority with respect to the consummation of the Contemplated Transactions is known to be pending, and there shall not be any Law which has the effect of making the consummation of the Contemplated Transactions illegal.</w:t>
      </w:r>
    </w:p>
    <w:p>
      <w:pPr>
        <w:spacing w:after="0" w:line="259" w:lineRule="exact"/>
        <w:rPr>
          <w:sz w:val="20"/>
          <w:szCs w:val="20"/>
          <w:color w:val="auto"/>
        </w:rPr>
      </w:pPr>
    </w:p>
    <w:p>
      <w:pPr>
        <w:ind w:right="100" w:firstLine="869"/>
        <w:spacing w:after="0" w:line="276"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 (a) Gem shall have obtained the Required Gem Stockholder Vote and (b) the Company shall have obtained the Required Company Stockholder Vote.</w:t>
      </w:r>
    </w:p>
    <w:p>
      <w:pPr>
        <w:spacing w:after="0" w:line="239" w:lineRule="exact"/>
        <w:rPr>
          <w:sz w:val="20"/>
          <w:szCs w:val="20"/>
          <w:color w:val="auto"/>
        </w:rPr>
      </w:pPr>
    </w:p>
    <w:p>
      <w:pPr>
        <w:jc w:val="both"/>
        <w:ind w:firstLine="869"/>
        <w:spacing w:after="0" w:line="261"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Listing</w:t>
      </w:r>
      <w:r>
        <w:rPr>
          <w:rFonts w:ascii="Times New Roman" w:cs="Times New Roman" w:eastAsia="Times New Roman" w:hAnsi="Times New Roman"/>
          <w:sz w:val="16"/>
          <w:szCs w:val="16"/>
          <w:color w:val="auto"/>
        </w:rPr>
        <w:t>. The approval of the listing of the additional shares of Gem Common Stock on Nasdaq shall have been obtained and the shares of Gem Common Stock to be issued in the Merger pursuant to this Agreement shall have been approved for listing (subject to official notice of issuance) on Nasdaq.</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u w:val="single" w:color="auto"/>
          <w:color w:val="auto"/>
        </w:rPr>
        <w:t>Additional Conditions Precedent to Obligations of Gem and Merger Sub</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The obligations of Gem and Merger Sub to effect the Merger and otherwise consummate the transactions to be consummated at the Closing are subject to the satisfaction or the written waiver by Gem, at or prior to the Closing, of each of the following conditions:</w:t>
      </w:r>
    </w:p>
    <w:p>
      <w:pPr>
        <w:spacing w:after="0" w:line="239" w:lineRule="exact"/>
        <w:rPr>
          <w:sz w:val="20"/>
          <w:szCs w:val="20"/>
          <w:color w:val="auto"/>
        </w:rPr>
      </w:pPr>
    </w:p>
    <w:p>
      <w:pPr>
        <w:ind w:right="40" w:firstLine="869"/>
        <w:spacing w:after="0" w:line="248"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Accuracy of Representations</w:t>
      </w:r>
      <w:r>
        <w:rPr>
          <w:rFonts w:ascii="Times New Roman" w:cs="Times New Roman" w:eastAsia="Times New Roman" w:hAnsi="Times New Roman"/>
          <w:sz w:val="16"/>
          <w:szCs w:val="16"/>
          <w:color w:val="auto"/>
        </w:rPr>
        <w:t>. The Company Fundamental Representations shall have been accurate and complete in all respects as of the date of this Agreement and shall be accurate and complete on and as of the Closing Date with the same force and effect as if made on and as of such date (except to the extent such representations and warranties are specifically made as of a particular date, in which case such representations and warranties shall be accurate and complete as of such date). The Company Capitalization Representations shall have been accurate and complete in all respects as of the date of this Agreement and shall be accurate and complete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accurate and complete,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accurate and complete as of the date of this Agreement and shall be accurate and complete on and as of the Closing Date with the same force and effect as if made on the Closing Date except (a) in each case, or in the aggregate, where the failure to be so accurate and complete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accurate and complete,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9640"/>
          </w:cols>
          <w:pgMar w:left="1120" w:top="253" w:right="1139" w:bottom="1440" w:gutter="0" w:footer="0" w:header="0"/>
        </w:sectPr>
      </w:pPr>
    </w:p>
    <w:bookmarkStart w:id="100" w:name="page101"/>
    <w:bookmarkEnd w:id="100"/>
    <w:p>
      <w:pPr>
        <w:ind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8.2 </w:t>
      </w:r>
      <w:r>
        <w:rPr>
          <w:rFonts w:ascii="Times New Roman" w:cs="Times New Roman" w:eastAsia="Times New Roman" w:hAnsi="Times New Roman"/>
          <w:sz w:val="16"/>
          <w:szCs w:val="16"/>
          <w:u w:val="single" w:color="auto"/>
          <w:color w:val="auto"/>
        </w:rPr>
        <w:t>Performance of Covenants</w:t>
      </w:r>
      <w:r>
        <w:rPr>
          <w:rFonts w:ascii="Times New Roman" w:cs="Times New Roman" w:eastAsia="Times New Roman" w:hAnsi="Times New Roman"/>
          <w:sz w:val="16"/>
          <w:szCs w:val="16"/>
          <w:color w:val="auto"/>
        </w:rPr>
        <w:t>. The Company shall have performed or complied with in all material respects all agreements and covenants required to be performed or complied with by it under this Agreement at or prior to the Effective Time.</w:t>
      </w:r>
    </w:p>
    <w:p>
      <w:pPr>
        <w:spacing w:after="0" w:line="50" w:lineRule="exact"/>
        <w:rPr>
          <w:sz w:val="20"/>
          <w:szCs w:val="20"/>
          <w:color w:val="auto"/>
        </w:rPr>
      </w:pPr>
    </w:p>
    <w:p>
      <w:pPr>
        <w:ind w:right="40" w:firstLine="869"/>
        <w:spacing w:after="0" w:line="261"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Closing Certificate</w:t>
      </w:r>
      <w:r>
        <w:rPr>
          <w:rFonts w:ascii="Times New Roman" w:cs="Times New Roman" w:eastAsia="Times New Roman" w:hAnsi="Times New Roman"/>
          <w:sz w:val="16"/>
          <w:szCs w:val="16"/>
          <w:color w:val="auto"/>
        </w:rPr>
        <w:t xml:space="preserve">. Gem shall have received a certificate executed by the Chief Executive Officer or Chief Financial Officer of the Company certifying (a) that the conditions set forth in </w:t>
      </w:r>
      <w:r>
        <w:rPr>
          <w:rFonts w:ascii="Times New Roman" w:cs="Times New Roman" w:eastAsia="Times New Roman" w:hAnsi="Times New Roman"/>
          <w:sz w:val="16"/>
          <w:szCs w:val="16"/>
          <w:u w:val="single" w:color="auto"/>
          <w:color w:val="auto"/>
        </w:rPr>
        <w:t>Sections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8.7</w:t>
      </w:r>
      <w:r>
        <w:rPr>
          <w:rFonts w:ascii="Times New Roman" w:cs="Times New Roman" w:eastAsia="Times New Roman" w:hAnsi="Times New Roman"/>
          <w:sz w:val="16"/>
          <w:szCs w:val="16"/>
          <w:color w:val="auto"/>
        </w:rPr>
        <w:t xml:space="preserve"> have been duly satisfied and (b) that the information set forth in the Allocation Certificate delivered by the Company in accordance with </w:t>
      </w:r>
      <w:r>
        <w:rPr>
          <w:rFonts w:ascii="Times New Roman" w:cs="Times New Roman" w:eastAsia="Times New Roman" w:hAnsi="Times New Roman"/>
          <w:sz w:val="16"/>
          <w:szCs w:val="16"/>
          <w:u w:val="single" w:color="auto"/>
          <w:color w:val="auto"/>
        </w:rPr>
        <w:t>Section 6.16</w:t>
      </w:r>
      <w:r>
        <w:rPr>
          <w:rFonts w:ascii="Times New Roman" w:cs="Times New Roman" w:eastAsia="Times New Roman" w:hAnsi="Times New Roman"/>
          <w:sz w:val="16"/>
          <w:szCs w:val="16"/>
          <w:color w:val="auto"/>
        </w:rPr>
        <w:t xml:space="preserve"> is true and accurate in all respects as of the Closing Date.</w:t>
      </w:r>
    </w:p>
    <w:p>
      <w:pPr>
        <w:spacing w:after="0" w:line="62" w:lineRule="exact"/>
        <w:rPr>
          <w:sz w:val="20"/>
          <w:szCs w:val="20"/>
          <w:color w:val="auto"/>
        </w:rPr>
      </w:pPr>
    </w:p>
    <w:p>
      <w:pPr>
        <w:ind w:right="140" w:firstLine="869"/>
        <w:spacing w:after="0" w:line="279" w:lineRule="auto"/>
        <w:rPr>
          <w:sz w:val="20"/>
          <w:szCs w:val="20"/>
          <w:color w:val="auto"/>
        </w:rPr>
      </w:pPr>
      <w:r>
        <w:rPr>
          <w:rFonts w:ascii="Times New Roman" w:cs="Times New Roman" w:eastAsia="Times New Roman" w:hAnsi="Times New Roman"/>
          <w:sz w:val="15"/>
          <w:szCs w:val="15"/>
          <w:color w:val="auto"/>
        </w:rPr>
        <w:t xml:space="preserve">8.4 </w:t>
      </w:r>
      <w:r>
        <w:rPr>
          <w:rFonts w:ascii="Times New Roman" w:cs="Times New Roman" w:eastAsia="Times New Roman" w:hAnsi="Times New Roman"/>
          <w:sz w:val="15"/>
          <w:szCs w:val="15"/>
          <w:u w:val="single" w:color="auto"/>
          <w:color w:val="auto"/>
        </w:rPr>
        <w:t>FIRPTA Certificate</w:t>
      </w:r>
      <w:r>
        <w:rPr>
          <w:rFonts w:ascii="Times New Roman" w:cs="Times New Roman" w:eastAsia="Times New Roman" w:hAnsi="Times New Roman"/>
          <w:sz w:val="15"/>
          <w:szCs w:val="15"/>
          <w:color w:val="auto"/>
        </w:rPr>
        <w:t>. On or no more than thirty (30) days prior to the Closing Date, the Company shall deliver to Gem a properly executed certification that shares of Company Capital Stock are not “U.S. real property interests” in accordance with the Treasury Regulations under Sections 897 and 1445 of the Code, together with a notice to the IRS (which shall be filed by Gem with the IRS following the Closing within the time period specified in Treasury Regulations Section 1.897-2(h)(2))) in accordance with the provisions of Treasury Regulations section 1.897-2(h)(2).</w:t>
      </w:r>
    </w:p>
    <w:p>
      <w:pPr>
        <w:spacing w:after="0" w:line="4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 xml:space="preserve">8.5 </w:t>
      </w:r>
      <w:r>
        <w:rPr>
          <w:rFonts w:ascii="Times New Roman" w:cs="Times New Roman" w:eastAsia="Times New Roman" w:hAnsi="Times New Roman"/>
          <w:sz w:val="15"/>
          <w:szCs w:val="15"/>
          <w:u w:val="single" w:color="auto"/>
          <w:color w:val="auto"/>
        </w:rPr>
        <w:t>No Company Material Adverse Effect</w:t>
      </w:r>
      <w:r>
        <w:rPr>
          <w:rFonts w:ascii="Times New Roman" w:cs="Times New Roman" w:eastAsia="Times New Roman" w:hAnsi="Times New Roman"/>
          <w:sz w:val="15"/>
          <w:szCs w:val="15"/>
          <w:color w:val="auto"/>
        </w:rPr>
        <w:t>. Since the date of this Agreement, there shall not have occurred any Company Material Adverse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w:t>
      </w:r>
    </w:p>
    <w:p>
      <w:pPr>
        <w:spacing w:after="0" w:line="83" w:lineRule="exact"/>
        <w:rPr>
          <w:sz w:val="20"/>
          <w:szCs w:val="20"/>
          <w:color w:val="auto"/>
        </w:rPr>
      </w:pPr>
    </w:p>
    <w:p>
      <w:pPr>
        <w:ind w:right="260" w:firstLine="869"/>
        <w:spacing w:after="0" w:line="276" w:lineRule="auto"/>
        <w:rPr>
          <w:sz w:val="20"/>
          <w:szCs w:val="20"/>
          <w:color w:val="auto"/>
        </w:rPr>
      </w:pPr>
      <w:r>
        <w:rPr>
          <w:rFonts w:ascii="Times New Roman" w:cs="Times New Roman" w:eastAsia="Times New Roman" w:hAnsi="Times New Roman"/>
          <w:sz w:val="16"/>
          <w:szCs w:val="16"/>
          <w:color w:val="auto"/>
        </w:rPr>
        <w:t xml:space="preserve">8.6 </w:t>
      </w:r>
      <w:r>
        <w:rPr>
          <w:rFonts w:ascii="Times New Roman" w:cs="Times New Roman" w:eastAsia="Times New Roman" w:hAnsi="Times New Roman"/>
          <w:sz w:val="16"/>
          <w:szCs w:val="16"/>
          <w:u w:val="single" w:color="auto"/>
          <w:color w:val="auto"/>
        </w:rPr>
        <w:t>Company Lock-Up Agreements</w:t>
      </w:r>
      <w:r>
        <w:rPr>
          <w:rFonts w:ascii="Times New Roman" w:cs="Times New Roman" w:eastAsia="Times New Roman" w:hAnsi="Times New Roman"/>
          <w:sz w:val="16"/>
          <w:szCs w:val="16"/>
          <w:color w:val="auto"/>
        </w:rPr>
        <w:t>. The Company Lock-Up Agreements will continue to be in full force and effect as of immediately following the Effective Time.</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8.7 </w:t>
      </w:r>
      <w:r>
        <w:rPr>
          <w:rFonts w:ascii="Times New Roman" w:cs="Times New Roman" w:eastAsia="Times New Roman" w:hAnsi="Times New Roman"/>
          <w:sz w:val="16"/>
          <w:szCs w:val="16"/>
          <w:u w:val="single" w:color="auto"/>
          <w:color w:val="auto"/>
        </w:rPr>
        <w:t>Termination of Investor Agreements</w:t>
      </w:r>
      <w:r>
        <w:rPr>
          <w:rFonts w:ascii="Times New Roman" w:cs="Times New Roman" w:eastAsia="Times New Roman" w:hAnsi="Times New Roman"/>
          <w:sz w:val="16"/>
          <w:szCs w:val="16"/>
          <w:color w:val="auto"/>
        </w:rPr>
        <w:t>. The Investor Agreements shall have been terminated.</w:t>
      </w:r>
    </w:p>
    <w:p>
      <w:pPr>
        <w:spacing w:after="0" w:line="100" w:lineRule="exact"/>
        <w:rPr>
          <w:sz w:val="20"/>
          <w:szCs w:val="20"/>
          <w:color w:val="auto"/>
        </w:rPr>
      </w:pPr>
    </w:p>
    <w:p>
      <w:pPr>
        <w:ind w:right="80" w:firstLine="869"/>
        <w:spacing w:after="0" w:line="276" w:lineRule="auto"/>
        <w:rPr>
          <w:sz w:val="20"/>
          <w:szCs w:val="20"/>
          <w:color w:val="auto"/>
        </w:rPr>
      </w:pPr>
      <w:r>
        <w:rPr>
          <w:rFonts w:ascii="Times New Roman" w:cs="Times New Roman" w:eastAsia="Times New Roman" w:hAnsi="Times New Roman"/>
          <w:sz w:val="16"/>
          <w:szCs w:val="16"/>
          <w:color w:val="auto"/>
        </w:rPr>
        <w:t xml:space="preserve">8.8 </w:t>
      </w:r>
      <w:r>
        <w:rPr>
          <w:rFonts w:ascii="Times New Roman" w:cs="Times New Roman" w:eastAsia="Times New Roman" w:hAnsi="Times New Roman"/>
          <w:sz w:val="16"/>
          <w:szCs w:val="16"/>
          <w:u w:val="single" w:color="auto"/>
          <w:color w:val="auto"/>
        </w:rPr>
        <w:t>Company Preferred Stock Conversion</w:t>
      </w:r>
      <w:r>
        <w:rPr>
          <w:rFonts w:ascii="Times New Roman" w:cs="Times New Roman" w:eastAsia="Times New Roman" w:hAnsi="Times New Roman"/>
          <w:sz w:val="16"/>
          <w:szCs w:val="16"/>
          <w:color w:val="auto"/>
        </w:rPr>
        <w:t>. The Company shall have effected a conversion of all Company Preferred Stock into Company Common Stock as of immediately prior to the Effective Time (the “</w:t>
      </w:r>
      <w:r>
        <w:rPr>
          <w:rFonts w:ascii="Times New Roman" w:cs="Times New Roman" w:eastAsia="Times New Roman" w:hAnsi="Times New Roman"/>
          <w:sz w:val="16"/>
          <w:szCs w:val="16"/>
          <w:b w:val="1"/>
          <w:bCs w:val="1"/>
          <w:color w:val="auto"/>
        </w:rPr>
        <w:t>Company Preferred Stock Conversion</w:t>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right="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8.9 </w:t>
      </w:r>
      <w:r>
        <w:rPr>
          <w:rFonts w:ascii="Times New Roman" w:cs="Times New Roman" w:eastAsia="Times New Roman" w:hAnsi="Times New Roman"/>
          <w:sz w:val="16"/>
          <w:szCs w:val="16"/>
          <w:u w:val="single" w:color="auto"/>
          <w:color w:val="auto"/>
        </w:rPr>
        <w:t>Third Party Consents</w:t>
      </w:r>
      <w:r>
        <w:rPr>
          <w:rFonts w:ascii="Times New Roman" w:cs="Times New Roman" w:eastAsia="Times New Roman" w:hAnsi="Times New Roman"/>
          <w:sz w:val="16"/>
          <w:szCs w:val="16"/>
          <w:color w:val="auto"/>
        </w:rPr>
        <w:t>. The Company shall have obtained and delivered to Gem (i) all consents and approvals of third parties listed in Schedule 8.10 and (ii) any other consent or approval of any third party (other than a Governmental Entity) the failure of which to obtain, individually or in the aggregate, is reasonably likely to have a Company Material Adverse Effect.</w:t>
      </w:r>
    </w:p>
    <w:p>
      <w:pPr>
        <w:spacing w:after="0" w:line="62" w:lineRule="exact"/>
        <w:rPr>
          <w:sz w:val="20"/>
          <w:szCs w:val="20"/>
          <w:color w:val="auto"/>
        </w:rPr>
      </w:pPr>
    </w:p>
    <w:p>
      <w:pPr>
        <w:ind w:right="160" w:firstLine="869"/>
        <w:spacing w:after="0" w:line="276" w:lineRule="auto"/>
        <w:rPr>
          <w:sz w:val="20"/>
          <w:szCs w:val="20"/>
          <w:color w:val="auto"/>
        </w:rPr>
      </w:pPr>
      <w:r>
        <w:rPr>
          <w:rFonts w:ascii="Times New Roman" w:cs="Times New Roman" w:eastAsia="Times New Roman" w:hAnsi="Times New Roman"/>
          <w:sz w:val="16"/>
          <w:szCs w:val="16"/>
          <w:color w:val="auto"/>
        </w:rPr>
        <w:t xml:space="preserve">8.10 </w:t>
      </w:r>
      <w:r>
        <w:rPr>
          <w:rFonts w:ascii="Times New Roman" w:cs="Times New Roman" w:eastAsia="Times New Roman" w:hAnsi="Times New Roman"/>
          <w:sz w:val="16"/>
          <w:szCs w:val="16"/>
          <w:u w:val="single" w:color="auto"/>
          <w:color w:val="auto"/>
        </w:rPr>
        <w:t>Dividend</w:t>
      </w:r>
      <w:r>
        <w:rPr>
          <w:rFonts w:ascii="Times New Roman" w:cs="Times New Roman" w:eastAsia="Times New Roman" w:hAnsi="Times New Roman"/>
          <w:sz w:val="16"/>
          <w:szCs w:val="16"/>
          <w:color w:val="auto"/>
        </w:rPr>
        <w:t>. Each of the Dividends, if any, shall have been declared and the record dates with respect to such declared Dividend shall have occurred.</w:t>
      </w:r>
    </w:p>
    <w:p>
      <w:pPr>
        <w:spacing w:after="0" w:line="50" w:lineRule="exact"/>
        <w:rPr>
          <w:sz w:val="20"/>
          <w:szCs w:val="20"/>
          <w:color w:val="auto"/>
        </w:rPr>
      </w:pPr>
    </w:p>
    <w:p>
      <w:pPr>
        <w:ind w:right="280" w:firstLine="869"/>
        <w:spacing w:after="0" w:line="276" w:lineRule="auto"/>
        <w:rPr>
          <w:sz w:val="20"/>
          <w:szCs w:val="20"/>
          <w:color w:val="auto"/>
        </w:rPr>
      </w:pPr>
      <w:r>
        <w:rPr>
          <w:rFonts w:ascii="Times New Roman" w:cs="Times New Roman" w:eastAsia="Times New Roman" w:hAnsi="Times New Roman"/>
          <w:sz w:val="16"/>
          <w:szCs w:val="16"/>
          <w:color w:val="auto"/>
        </w:rPr>
        <w:t xml:space="preserve">8.11 </w:t>
      </w:r>
      <w:r>
        <w:rPr>
          <w:rFonts w:ascii="Times New Roman" w:cs="Times New Roman" w:eastAsia="Times New Roman" w:hAnsi="Times New Roman"/>
          <w:sz w:val="16"/>
          <w:szCs w:val="16"/>
          <w:u w:val="single" w:color="auto"/>
          <w:color w:val="auto"/>
        </w:rPr>
        <w:t>Agreement Addendum.</w:t>
      </w:r>
      <w:r>
        <w:rPr>
          <w:rFonts w:ascii="Times New Roman" w:cs="Times New Roman" w:eastAsia="Times New Roman" w:hAnsi="Times New Roman"/>
          <w:sz w:val="16"/>
          <w:szCs w:val="16"/>
          <w:color w:val="auto"/>
        </w:rPr>
        <w:t xml:space="preserve"> The agreement (and the specified addendum to the agreement) listed on Schedule 8.11 of this Agreement shall remain in full force and effect.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Additional Conditions Precedent to Obligation of the Company</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9600"/>
          </w:cols>
          <w:pgMar w:left="1120" w:top="253" w:right="1179" w:bottom="1440" w:gutter="0" w:footer="0" w:header="0"/>
        </w:sectPr>
      </w:pPr>
    </w:p>
    <w:bookmarkStart w:id="101" w:name="page102"/>
    <w:bookmarkEnd w:id="101"/>
    <w:p>
      <w:pPr>
        <w:ind w:left="1" w:firstLine="869"/>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9.1 </w:t>
      </w:r>
      <w:r>
        <w:rPr>
          <w:rFonts w:ascii="Times New Roman" w:cs="Times New Roman" w:eastAsia="Times New Roman" w:hAnsi="Times New Roman"/>
          <w:sz w:val="15"/>
          <w:szCs w:val="15"/>
          <w:u w:val="single" w:color="auto"/>
          <w:color w:val="auto"/>
        </w:rPr>
        <w:t>Accuracy of Representations</w:t>
      </w:r>
      <w:r>
        <w:rPr>
          <w:rFonts w:ascii="Times New Roman" w:cs="Times New Roman" w:eastAsia="Times New Roman" w:hAnsi="Times New Roman"/>
          <w:sz w:val="15"/>
          <w:szCs w:val="15"/>
          <w:color w:val="auto"/>
        </w:rPr>
        <w:t>. Each of the Gem Fundamental Representations shall have been accurate and complete in all respects as of the date of this Agreement and shall be accurate and complete on and as of the Closing Date with the same force and effect as if made on and as of such date (except to the extent such representations and warranties are specifically made as of a particular date, in which case such representations and warranties shall be accurate and complete as of such date). The Gem Capitalization Representations shall have been accurate and complete as of the date of this Agreement and shall be accurate and complete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accurate and complete, subject to the qualifications as set forth in the preceding clause (x), as of such particular date). The representations and warranties of Gem and Merger Sub contained in this Agreement (other than the Gem Fundamental Representations and the Gem Capitalization Representations) shall have been accurate and complete as of the date of this Agreement and shall be accurate and complete on and as of the Closing Date with the same force and effect as if made on the Closing Date except (a) in each case, or in the aggregate, where the failure to be accurate and complete would not reasonably be expected to have a Gem Material Adverse Effect (without giving effect to any references therein to any Gem Material Adverse Effect or other materiality qualifications) or</w:t>
      </w:r>
    </w:p>
    <w:p>
      <w:pPr>
        <w:spacing w:after="0" w:line="2" w:lineRule="exact"/>
        <w:rPr>
          <w:sz w:val="20"/>
          <w:szCs w:val="20"/>
          <w:color w:val="auto"/>
        </w:rPr>
      </w:pPr>
    </w:p>
    <w:p>
      <w:pPr>
        <w:jc w:val="both"/>
        <w:ind w:left="1" w:right="180" w:hanging="1"/>
        <w:spacing w:after="0" w:line="249" w:lineRule="auto"/>
        <w:tabs>
          <w:tab w:leader="none" w:pos="22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those representations and warranties which address matters only as of a particular date (which representations shall have been accurate and complete, subject to the qualifications as set forth in the preceding clause (a), as of such particular date) (it being understood that, for purposes of determining the accuracy of such representations and warranties, any update of or modification to the Gem Disclosure Schedule made or purported to have been made after the date of this Agreement shall be disregarded).</w:t>
      </w:r>
    </w:p>
    <w:p>
      <w:pPr>
        <w:spacing w:after="0" w:line="71" w:lineRule="exact"/>
        <w:rPr>
          <w:sz w:val="20"/>
          <w:szCs w:val="20"/>
          <w:color w:val="auto"/>
        </w:rPr>
      </w:pPr>
    </w:p>
    <w:p>
      <w:pPr>
        <w:ind w:left="1" w:firstLine="869"/>
        <w:spacing w:after="0" w:line="276" w:lineRule="auto"/>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Performance of Covenants</w:t>
      </w:r>
      <w:r>
        <w:rPr>
          <w:rFonts w:ascii="Times New Roman" w:cs="Times New Roman" w:eastAsia="Times New Roman" w:hAnsi="Times New Roman"/>
          <w:sz w:val="16"/>
          <w:szCs w:val="16"/>
          <w:color w:val="auto"/>
        </w:rPr>
        <w:t>. Gem and Merger Sub shall have performed or complied with in all material respects all of their agreements and covenants required to be performed or complied with by each of them under this Agreement at or prior to the Effective Time.</w:t>
      </w:r>
    </w:p>
    <w:p>
      <w:pPr>
        <w:spacing w:after="0" w:line="50"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Documents</w:t>
      </w:r>
      <w:r>
        <w:rPr>
          <w:rFonts w:ascii="Times New Roman" w:cs="Times New Roman" w:eastAsia="Times New Roman" w:hAnsi="Times New Roman"/>
          <w:sz w:val="16"/>
          <w:szCs w:val="16"/>
          <w:color w:val="auto"/>
        </w:rPr>
        <w:t>. The Company shall have received the following documents, each of which shall be in full force and effect:</w:t>
      </w:r>
    </w:p>
    <w:p>
      <w:pPr>
        <w:spacing w:after="0" w:line="100" w:lineRule="exact"/>
        <w:rPr>
          <w:sz w:val="20"/>
          <w:szCs w:val="20"/>
          <w:color w:val="auto"/>
        </w:rPr>
      </w:pPr>
    </w:p>
    <w:p>
      <w:pPr>
        <w:ind w:left="1" w:right="20" w:firstLine="1253"/>
        <w:spacing w:after="0" w:line="276" w:lineRule="auto"/>
        <w:tabs>
          <w:tab w:leader="none" w:pos="147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certificate executed by the Chief Executive Officer of Gem confirming that the conditions set forth in </w:t>
      </w:r>
      <w:r>
        <w:rPr>
          <w:rFonts w:ascii="Times New Roman" w:cs="Times New Roman" w:eastAsia="Times New Roman" w:hAnsi="Times New Roman"/>
          <w:sz w:val="16"/>
          <w:szCs w:val="16"/>
          <w:u w:val="single" w:color="auto"/>
          <w:color w:val="auto"/>
        </w:rPr>
        <w:t>Sections 9.1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9.4</w:t>
      </w:r>
      <w:r>
        <w:rPr>
          <w:rFonts w:ascii="Times New Roman" w:cs="Times New Roman" w:eastAsia="Times New Roman" w:hAnsi="Times New Roman"/>
          <w:sz w:val="16"/>
          <w:szCs w:val="16"/>
          <w:color w:val="auto"/>
        </w:rPr>
        <w:t xml:space="preserve"> have been duly satisfied; and</w:t>
      </w:r>
    </w:p>
    <w:p>
      <w:pPr>
        <w:spacing w:after="0" w:line="49" w:lineRule="exact"/>
        <w:rPr>
          <w:rFonts w:ascii="Times New Roman" w:cs="Times New Roman" w:eastAsia="Times New Roman" w:hAnsi="Times New Roman"/>
          <w:sz w:val="16"/>
          <w:szCs w:val="16"/>
          <w:color w:val="auto"/>
        </w:rPr>
      </w:pPr>
    </w:p>
    <w:p>
      <w:pPr>
        <w:ind w:left="1" w:right="520" w:firstLine="1253"/>
        <w:spacing w:after="0" w:line="276" w:lineRule="auto"/>
        <w:tabs>
          <w:tab w:leader="none" w:pos="1479"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written resignations in forms reasonably satisfactory to the Company, dated as of the Closing Date and effective as of the Closing, executed by the officers and directors of Gem who are not to continue as officers or directors of Gem pursuant to </w:t>
      </w:r>
      <w:r>
        <w:rPr>
          <w:rFonts w:ascii="Times New Roman" w:cs="Times New Roman" w:eastAsia="Times New Roman" w:hAnsi="Times New Roman"/>
          <w:sz w:val="16"/>
          <w:szCs w:val="16"/>
          <w:u w:val="single" w:color="auto"/>
          <w:color w:val="auto"/>
        </w:rPr>
        <w:t>Section 6.13</w:t>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No Gem Material Adverse Effect</w:t>
      </w:r>
      <w:r>
        <w:rPr>
          <w:rFonts w:ascii="Times New Roman" w:cs="Times New Roman" w:eastAsia="Times New Roman" w:hAnsi="Times New Roman"/>
          <w:sz w:val="16"/>
          <w:szCs w:val="16"/>
          <w:color w:val="auto"/>
        </w:rPr>
        <w:t>. Since the date of this Agreement, there shall not have occurred any Gem Material Adverse Effect.</w:t>
      </w:r>
    </w:p>
    <w:p>
      <w:pPr>
        <w:spacing w:after="0" w:line="100" w:lineRule="exact"/>
        <w:rPr>
          <w:sz w:val="20"/>
          <w:szCs w:val="20"/>
          <w:color w:val="auto"/>
        </w:rPr>
      </w:pPr>
    </w:p>
    <w:p>
      <w:pPr>
        <w:ind w:left="1" w:firstLine="869"/>
        <w:spacing w:after="0" w:line="276"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Gem Lock-Up Agreements</w:t>
      </w:r>
      <w:r>
        <w:rPr>
          <w:rFonts w:ascii="Times New Roman" w:cs="Times New Roman" w:eastAsia="Times New Roman" w:hAnsi="Times New Roman"/>
          <w:sz w:val="16"/>
          <w:szCs w:val="16"/>
          <w:color w:val="auto"/>
        </w:rPr>
        <w:t>. The Gem Lock-Up Agreements will continue to be in full force and effect as of immediately following the Effective Time.</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9621"/>
          </w:cols>
          <w:pgMar w:left="1119" w:top="253" w:right="1159" w:bottom="1440" w:gutter="0" w:footer="0" w:header="0"/>
        </w:sectPr>
      </w:pPr>
    </w:p>
    <w:bookmarkStart w:id="102" w:name="page103"/>
    <w:bookmarkEnd w:id="102"/>
    <w:p>
      <w:pPr>
        <w:ind w:right="480"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9.6 </w:t>
      </w:r>
      <w:r>
        <w:rPr>
          <w:rFonts w:ascii="Times New Roman" w:cs="Times New Roman" w:eastAsia="Times New Roman" w:hAnsi="Times New Roman"/>
          <w:sz w:val="16"/>
          <w:szCs w:val="16"/>
          <w:u w:val="single" w:color="auto"/>
          <w:color w:val="auto"/>
        </w:rPr>
        <w:t>Listing</w:t>
      </w:r>
      <w:r>
        <w:rPr>
          <w:rFonts w:ascii="Times New Roman" w:cs="Times New Roman" w:eastAsia="Times New Roman" w:hAnsi="Times New Roman"/>
          <w:sz w:val="16"/>
          <w:szCs w:val="16"/>
          <w:color w:val="auto"/>
        </w:rPr>
        <w:t>. The existing shares of Gem Common Stock shall have been continually listed on Nasdaq as of and from the date of this Agreement through the Closing Date.</w:t>
      </w:r>
    </w:p>
    <w:p>
      <w:pPr>
        <w:spacing w:after="0" w:line="50" w:lineRule="exact"/>
        <w:rPr>
          <w:sz w:val="20"/>
          <w:szCs w:val="20"/>
          <w:color w:val="auto"/>
        </w:rPr>
      </w:pPr>
    </w:p>
    <w:p>
      <w:pPr>
        <w:jc w:val="both"/>
        <w:ind w:right="1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9.7 </w:t>
      </w:r>
      <w:r>
        <w:rPr>
          <w:rFonts w:ascii="Times New Roman" w:cs="Times New Roman" w:eastAsia="Times New Roman" w:hAnsi="Times New Roman"/>
          <w:sz w:val="16"/>
          <w:szCs w:val="16"/>
          <w:u w:val="single" w:color="auto"/>
          <w:color w:val="auto"/>
        </w:rPr>
        <w:t>Payoff Letter</w:t>
      </w:r>
      <w:r>
        <w:rPr>
          <w:rFonts w:ascii="Times New Roman" w:cs="Times New Roman" w:eastAsia="Times New Roman" w:hAnsi="Times New Roman"/>
          <w:sz w:val="16"/>
          <w:szCs w:val="16"/>
          <w:color w:val="auto"/>
        </w:rPr>
        <w:t>. The Company shall have received a true and correct copy of a payoff letter addressed to the Company and Gem from SVB Leerink in connection with the repayment by Gem of any unpaid indebtedness for borrowed money of Gem and related fees to SVB Leerink and termination of the relevant debt facility.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jc w:val="both"/>
        <w:ind w:right="1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may be terminated prior to the Effective Time (whether before or after adoption of this Agreement by the Company’s stockholders and whether before or after approval of the Gem Stockholder Matters by Gem’s stockholders, unless otherwise specified below):</w:t>
      </w:r>
    </w:p>
    <w:p>
      <w:pPr>
        <w:spacing w:after="0" w:line="62" w:lineRule="exact"/>
        <w:rPr>
          <w:sz w:val="20"/>
          <w:szCs w:val="20"/>
          <w:color w:val="auto"/>
        </w:rPr>
      </w:pPr>
    </w:p>
    <w:p>
      <w:pPr>
        <w:ind w:left="1460" w:hanging="207"/>
        <w:spacing w:after="0"/>
        <w:tabs>
          <w:tab w:leader="none" w:pos="14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written consent of Gem and the Company;</w:t>
      </w:r>
    </w:p>
    <w:p>
      <w:pPr>
        <w:spacing w:after="0" w:line="99" w:lineRule="exact"/>
        <w:rPr>
          <w:rFonts w:ascii="Times New Roman" w:cs="Times New Roman" w:eastAsia="Times New Roman" w:hAnsi="Times New Roman"/>
          <w:sz w:val="16"/>
          <w:szCs w:val="16"/>
          <w:color w:val="auto"/>
        </w:rPr>
      </w:pPr>
    </w:p>
    <w:p>
      <w:pPr>
        <w:ind w:firstLine="1253"/>
        <w:spacing w:after="0" w:line="251" w:lineRule="auto"/>
        <w:tabs>
          <w:tab w:leader="none" w:pos="147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either Gem or the Company if the Merger shall not have been consummated by March 15, 2023 (subject to possible extension as provided in this </w:t>
      </w:r>
      <w:r>
        <w:rPr>
          <w:rFonts w:ascii="Times New Roman" w:cs="Times New Roman" w:eastAsia="Times New Roman" w:hAnsi="Times New Roman"/>
          <w:sz w:val="16"/>
          <w:szCs w:val="16"/>
          <w:u w:val="single" w:color="auto"/>
          <w:color w:val="auto"/>
        </w:rPr>
        <w:t>Section 10.1(b)</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End Date</w:t>
      </w:r>
      <w:r>
        <w:rPr>
          <w:rFonts w:ascii="Times New Roman" w:cs="Times New Roman" w:eastAsia="Times New Roman" w:hAnsi="Times New Roman"/>
          <w:sz w:val="16"/>
          <w:szCs w:val="16"/>
          <w:color w:val="auto"/>
        </w:rPr>
        <w:t xml:space="preserve">”); provided, however, that the right to terminate this Agreement under this </w:t>
      </w:r>
      <w:r>
        <w:rPr>
          <w:rFonts w:ascii="Times New Roman" w:cs="Times New Roman" w:eastAsia="Times New Roman" w:hAnsi="Times New Roman"/>
          <w:sz w:val="16"/>
          <w:szCs w:val="16"/>
          <w:u w:val="single" w:color="auto"/>
          <w:color w:val="auto"/>
        </w:rPr>
        <w:t>Section 10.1(b)</w:t>
      </w:r>
      <w:r>
        <w:rPr>
          <w:rFonts w:ascii="Times New Roman" w:cs="Times New Roman" w:eastAsia="Times New Roman" w:hAnsi="Times New Roman"/>
          <w:sz w:val="16"/>
          <w:szCs w:val="16"/>
          <w:color w:val="auto"/>
        </w:rPr>
        <w:t xml:space="preserve"> shall not be available to the Company or Gem if such Party’s (or in the case of Gem, Merger Sub’s) action or failure to act has been a principal cause of the failure of the Merger to occur on or before the End Date and such action or failure to act constitutes a breach of this Agreement, provided, further, however, that, in the event that the condition set forth in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(if the injunction, investigation or order relates to antitrust Laws) shall not have been satisfied by the initial End Date, or in the event that the SEC has not declared effective under the Securities Act the Registration Statement by the date which is 60 days prior to the End Date, then either the Company or Gem shall be entitled to extend the End Date for an additional 60 days;</w:t>
      </w:r>
    </w:p>
    <w:p>
      <w:pPr>
        <w:spacing w:after="0" w:line="72" w:lineRule="exact"/>
        <w:rPr>
          <w:rFonts w:ascii="Times New Roman" w:cs="Times New Roman" w:eastAsia="Times New Roman" w:hAnsi="Times New Roman"/>
          <w:sz w:val="16"/>
          <w:szCs w:val="16"/>
          <w:color w:val="auto"/>
        </w:rPr>
      </w:pPr>
    </w:p>
    <w:p>
      <w:pPr>
        <w:ind w:right="40" w:firstLine="1253"/>
        <w:spacing w:after="0" w:line="261" w:lineRule="auto"/>
        <w:tabs>
          <w:tab w:leader="none" w:pos="146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Gem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62" w:lineRule="exact"/>
        <w:rPr>
          <w:rFonts w:ascii="Times New Roman" w:cs="Times New Roman" w:eastAsia="Times New Roman" w:hAnsi="Times New Roman"/>
          <w:sz w:val="16"/>
          <w:szCs w:val="16"/>
          <w:color w:val="auto"/>
        </w:rPr>
      </w:pPr>
    </w:p>
    <w:p>
      <w:pPr>
        <w:ind w:right="200" w:firstLine="1253"/>
        <w:spacing w:after="0" w:line="227" w:lineRule="auto"/>
        <w:tabs>
          <w:tab w:leader="none" w:pos="147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Gem if the Required Company Stockholder Vote shall not have been obtained, and evidence thereof and the accompanying certificate each delivered to Gem, by 5:00 p.m. Eastern Time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color w:val="auto"/>
        </w:rPr>
        <w:t xml:space="preserve">) Business Days after the date on which the Registration Statement becomes effective in accordance with the provisions of the Securities Act provided, however, that, that once the Required Company Stockholder Vote has been obtained, Gem may not terminate this Agreement pursuant to this </w:t>
      </w:r>
      <w:r>
        <w:rPr>
          <w:rFonts w:ascii="Times New Roman" w:cs="Times New Roman" w:eastAsia="Times New Roman" w:hAnsi="Times New Roman"/>
          <w:sz w:val="16"/>
          <w:szCs w:val="16"/>
          <w:u w:val="single" w:color="auto"/>
          <w:color w:val="auto"/>
        </w:rPr>
        <w:t>Section 10.1(d)</w:t>
      </w:r>
      <w:r>
        <w:rPr>
          <w:rFonts w:ascii="Times New Roman" w:cs="Times New Roman" w:eastAsia="Times New Roman" w:hAnsi="Times New Roman"/>
          <w:sz w:val="16"/>
          <w:szCs w:val="16"/>
          <w:color w:val="auto"/>
        </w:rPr>
        <w:t>;</w:t>
      </w:r>
    </w:p>
    <w:p>
      <w:pPr>
        <w:spacing w:after="0" w:line="79" w:lineRule="exact"/>
        <w:rPr>
          <w:rFonts w:ascii="Times New Roman" w:cs="Times New Roman" w:eastAsia="Times New Roman" w:hAnsi="Times New Roman"/>
          <w:sz w:val="16"/>
          <w:szCs w:val="16"/>
          <w:color w:val="auto"/>
        </w:rPr>
      </w:pPr>
    </w:p>
    <w:p>
      <w:pPr>
        <w:ind w:right="60" w:firstLine="1253"/>
        <w:spacing w:after="0" w:line="252" w:lineRule="auto"/>
        <w:tabs>
          <w:tab w:leader="none" w:pos="146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either Gem or the Company if (i) the Gem Stockholder Meeting (including any adjournments and postponements thereof) shall have been held and completed and Gem’s stockholders shall have taken a final vote on the Gem Stockholder Matters and (ii) the Gem Stockholder Matters shall not have been approved at the Gem Stockholder Meeting (or at any adjournment or postponement thereof) by the Required Gem Stockholder Vote; provided, however, that the right to terminate this Agreement under this </w:t>
      </w:r>
      <w:r>
        <w:rPr>
          <w:rFonts w:ascii="Times New Roman" w:cs="Times New Roman" w:eastAsia="Times New Roman" w:hAnsi="Times New Roman"/>
          <w:sz w:val="16"/>
          <w:szCs w:val="16"/>
          <w:u w:val="single" w:color="auto"/>
          <w:color w:val="auto"/>
        </w:rPr>
        <w:t>Section 10.1(e)</w:t>
      </w:r>
      <w:r>
        <w:rPr>
          <w:rFonts w:ascii="Times New Roman" w:cs="Times New Roman" w:eastAsia="Times New Roman" w:hAnsi="Times New Roman"/>
          <w:sz w:val="16"/>
          <w:szCs w:val="16"/>
          <w:color w:val="auto"/>
        </w:rPr>
        <w:t xml:space="preserve"> shall not be available to Gem where the failure to obtain the Required Gem Stockholder Vote shall have been caused by the action or failure to act of Gem and such action or failure to act constitutes a material breach by Gem of this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9640"/>
          </w:cols>
          <w:pgMar w:left="1120" w:top="253" w:right="1139" w:bottom="1440" w:gutter="0" w:footer="0" w:header="0"/>
        </w:sectPr>
      </w:pPr>
    </w:p>
    <w:bookmarkStart w:id="103" w:name="page104"/>
    <w:bookmarkEnd w:id="103"/>
    <w:p>
      <w:pPr>
        <w:ind w:right="120" w:firstLine="1253"/>
        <w:spacing w:after="0" w:line="276" w:lineRule="auto"/>
        <w:tabs>
          <w:tab w:leader="none" w:pos="1451"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by the Company (at any time prior to the approval of the Gem Stockholder Matters by the Required Gem Stockholder Vote) if a Gem Triggering Event shall have occurred;</w:t>
      </w:r>
    </w:p>
    <w:p>
      <w:pPr>
        <w:spacing w:after="0" w:line="144" w:lineRule="exact"/>
        <w:rPr>
          <w:rFonts w:ascii="Times New Roman" w:cs="Times New Roman" w:eastAsia="Times New Roman" w:hAnsi="Times New Roman"/>
          <w:sz w:val="16"/>
          <w:szCs w:val="16"/>
          <w:color w:val="auto"/>
        </w:rPr>
      </w:pPr>
    </w:p>
    <w:p>
      <w:pPr>
        <w:ind w:right="40" w:firstLine="1253"/>
        <w:spacing w:after="0" w:line="276" w:lineRule="auto"/>
        <w:tabs>
          <w:tab w:leader="none" w:pos="1478"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Gem (at any time prior to the adoption of this Agreement and the approval of the Contemplated Transactions by the Required Company Stockholder Vote) if a Company Triggering Event shall have occurred;</w:t>
      </w:r>
    </w:p>
    <w:p>
      <w:pPr>
        <w:spacing w:after="0" w:line="144" w:lineRule="exact"/>
        <w:rPr>
          <w:rFonts w:ascii="Times New Roman" w:cs="Times New Roman" w:eastAsia="Times New Roman" w:hAnsi="Times New Roman"/>
          <w:sz w:val="16"/>
          <w:szCs w:val="16"/>
          <w:color w:val="auto"/>
        </w:rPr>
      </w:pPr>
    </w:p>
    <w:p>
      <w:pPr>
        <w:ind w:right="40" w:firstLine="1253"/>
        <w:spacing w:after="0" w:line="269" w:lineRule="auto"/>
        <w:tabs>
          <w:tab w:leader="none" w:pos="1478"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the Company, upon a breach of any representation, warranty, covenant or agreement set forth in this Agreement by Gem or Merger Sub or if any representation or warranty of Gem or Merger Sub shall have become inaccurate, in either case, such that the conditions set forth in </w:t>
      </w:r>
      <w:r>
        <w:rPr>
          <w:rFonts w:ascii="Times New Roman" w:cs="Times New Roman" w:eastAsia="Times New Roman" w:hAnsi="Times New Roman"/>
          <w:sz w:val="15"/>
          <w:szCs w:val="15"/>
          <w:u w:val="single" w:color="auto"/>
          <w:color w:val="auto"/>
        </w:rPr>
        <w:t>Section 9.1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9.2</w:t>
      </w:r>
      <w:r>
        <w:rPr>
          <w:rFonts w:ascii="Times New Roman" w:cs="Times New Roman" w:eastAsia="Times New Roman" w:hAnsi="Times New Roman"/>
          <w:sz w:val="15"/>
          <w:szCs w:val="15"/>
          <w:color w:val="auto"/>
        </w:rPr>
        <w:t xml:space="preserve"> would not be satisfied as of the time of such breach or as of the time such representation or warranty shall have become inaccurate; provided that the Company is not then in material breach of any representation, warranty, covenant or agreement under this Agreement; provided, further, that if such inaccuracy in Gem’s or Merger Sub’s representations and warranties or breach by Gem or Merger Sub is curable by Gem or Merger Sub, then this Agreement shall not terminate pursuant to this </w:t>
      </w:r>
      <w:r>
        <w:rPr>
          <w:rFonts w:ascii="Times New Roman" w:cs="Times New Roman" w:eastAsia="Times New Roman" w:hAnsi="Times New Roman"/>
          <w:sz w:val="15"/>
          <w:szCs w:val="15"/>
          <w:u w:val="single" w:color="auto"/>
          <w:color w:val="auto"/>
        </w:rPr>
        <w:t>Section 10.1(h)</w:t>
      </w:r>
      <w:r>
        <w:rPr>
          <w:rFonts w:ascii="Times New Roman" w:cs="Times New Roman" w:eastAsia="Times New Roman" w:hAnsi="Times New Roman"/>
          <w:sz w:val="15"/>
          <w:szCs w:val="15"/>
          <w:color w:val="auto"/>
        </w:rPr>
        <w:t xml:space="preserve"> as a result of such particular breach or inaccuracy until the expiration of a 30-day period commencing upon delivery of written notice from the Company to Gem or Merger Sub of such breach or inaccuracy and its intention to terminate pursuant to this </w:t>
      </w:r>
      <w:r>
        <w:rPr>
          <w:rFonts w:ascii="Times New Roman" w:cs="Times New Roman" w:eastAsia="Times New Roman" w:hAnsi="Times New Roman"/>
          <w:sz w:val="15"/>
          <w:szCs w:val="15"/>
          <w:u w:val="single" w:color="auto"/>
          <w:color w:val="auto"/>
        </w:rPr>
        <w:t>Section 10.1(h)</w:t>
      </w:r>
      <w:r>
        <w:rPr>
          <w:rFonts w:ascii="Times New Roman" w:cs="Times New Roman" w:eastAsia="Times New Roman" w:hAnsi="Times New Roman"/>
          <w:sz w:val="15"/>
          <w:szCs w:val="15"/>
          <w:color w:val="auto"/>
        </w:rPr>
        <w:t xml:space="preserve"> (it being understood that this Agreement shall not terminate pursuant to this </w:t>
      </w:r>
      <w:r>
        <w:rPr>
          <w:rFonts w:ascii="Times New Roman" w:cs="Times New Roman" w:eastAsia="Times New Roman" w:hAnsi="Times New Roman"/>
          <w:sz w:val="15"/>
          <w:szCs w:val="15"/>
          <w:u w:val="single" w:color="auto"/>
          <w:color w:val="auto"/>
        </w:rPr>
        <w:t>Section 10.1(h)</w:t>
      </w:r>
      <w:r>
        <w:rPr>
          <w:rFonts w:ascii="Times New Roman" w:cs="Times New Roman" w:eastAsia="Times New Roman" w:hAnsi="Times New Roman"/>
          <w:sz w:val="15"/>
          <w:szCs w:val="15"/>
          <w:color w:val="auto"/>
        </w:rPr>
        <w:t xml:space="preserve"> as a result of such particular breach or inaccuracy if such breach by Gem or Merger Sub is cured prior to such termination becoming effective);</w:t>
      </w:r>
    </w:p>
    <w:p>
      <w:pPr>
        <w:spacing w:after="0" w:line="152" w:lineRule="exact"/>
        <w:rPr>
          <w:rFonts w:ascii="Times New Roman" w:cs="Times New Roman" w:eastAsia="Times New Roman" w:hAnsi="Times New Roman"/>
          <w:sz w:val="15"/>
          <w:szCs w:val="15"/>
          <w:color w:val="auto"/>
        </w:rPr>
      </w:pPr>
    </w:p>
    <w:p>
      <w:pPr>
        <w:ind w:firstLine="1253"/>
        <w:spacing w:after="0" w:line="250" w:lineRule="auto"/>
        <w:tabs>
          <w:tab w:leader="none" w:pos="1443"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Gem,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would not be satisfied as of the time of such breach or as of the time such representation or warranty shall have become inaccurate; provided that Gem is not then in material breach of any representation, warranty, covenant or agreement under this Agreement; provided, further, that if such inaccuracy in the Company’s representations and warranties or breach by the Company is curable by the Company then this Agreement shall not terminate pursuant to this </w:t>
      </w:r>
      <w:r>
        <w:rPr>
          <w:rFonts w:ascii="Times New Roman" w:cs="Times New Roman" w:eastAsia="Times New Roman" w:hAnsi="Times New Roman"/>
          <w:sz w:val="16"/>
          <w:szCs w:val="16"/>
          <w:u w:val="single" w:color="auto"/>
          <w:color w:val="auto"/>
        </w:rPr>
        <w:t>Section 10.1(i)</w:t>
      </w:r>
      <w:r>
        <w:rPr>
          <w:rFonts w:ascii="Times New Roman" w:cs="Times New Roman" w:eastAsia="Times New Roman" w:hAnsi="Times New Roman"/>
          <w:sz w:val="16"/>
          <w:szCs w:val="16"/>
          <w:color w:val="auto"/>
        </w:rPr>
        <w:t xml:space="preserve"> as a result of such particular breach or inaccuracy until the expiration of a 30-day period commencing upon delivery of written notice from Gem to the Company of such breach or inaccuracy and its intention to terminate pursuant to this </w:t>
      </w:r>
      <w:r>
        <w:rPr>
          <w:rFonts w:ascii="Times New Roman" w:cs="Times New Roman" w:eastAsia="Times New Roman" w:hAnsi="Times New Roman"/>
          <w:sz w:val="16"/>
          <w:szCs w:val="16"/>
          <w:u w:val="single" w:color="auto"/>
          <w:color w:val="auto"/>
        </w:rPr>
        <w:t>Section 10.1(i)</w:t>
      </w:r>
      <w:r>
        <w:rPr>
          <w:rFonts w:ascii="Times New Roman" w:cs="Times New Roman" w:eastAsia="Times New Roman" w:hAnsi="Times New Roman"/>
          <w:sz w:val="16"/>
          <w:szCs w:val="16"/>
          <w:color w:val="auto"/>
        </w:rPr>
        <w:t xml:space="preserve"> (it being understood that this Agreement shall not terminate pursuant to this </w:t>
      </w:r>
      <w:r>
        <w:rPr>
          <w:rFonts w:ascii="Times New Roman" w:cs="Times New Roman" w:eastAsia="Times New Roman" w:hAnsi="Times New Roman"/>
          <w:sz w:val="16"/>
          <w:szCs w:val="16"/>
          <w:u w:val="single" w:color="auto"/>
          <w:color w:val="auto"/>
        </w:rPr>
        <w:t>Section 10.1(i)</w:t>
      </w:r>
      <w:r>
        <w:rPr>
          <w:rFonts w:ascii="Times New Roman" w:cs="Times New Roman" w:eastAsia="Times New Roman" w:hAnsi="Times New Roman"/>
          <w:sz w:val="16"/>
          <w:szCs w:val="16"/>
          <w:color w:val="auto"/>
        </w:rPr>
        <w:t xml:space="preserve"> as a result of such particular breach or inaccuracy if such breach by the Company is cured prior to such termination becoming effective);</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 xml:space="preserve">The Party desiring to terminate this Agreement pursuant to this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(other than pursuant to </w:t>
      </w:r>
      <w:r>
        <w:rPr>
          <w:rFonts w:ascii="Times New Roman" w:cs="Times New Roman" w:eastAsia="Times New Roman" w:hAnsi="Times New Roman"/>
          <w:sz w:val="16"/>
          <w:szCs w:val="16"/>
          <w:u w:val="single" w:color="auto"/>
          <w:color w:val="auto"/>
        </w:rPr>
        <w:t>Section 10.1(a)</w:t>
      </w:r>
      <w:r>
        <w:rPr>
          <w:rFonts w:ascii="Times New Roman" w:cs="Times New Roman" w:eastAsia="Times New Roman" w:hAnsi="Times New Roman"/>
          <w:sz w:val="16"/>
          <w:szCs w:val="16"/>
          <w:color w:val="auto"/>
        </w:rPr>
        <w:t>) shall give a notice of such termination to the other Party specifying the provisions hereof pursuant to which such termination is made and the basis therefor described in reasonable detail.</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9620"/>
          </w:cols>
          <w:pgMar w:left="1120" w:top="253" w:right="1159" w:bottom="1440" w:gutter="0" w:footer="0" w:header="0"/>
        </w:sectPr>
      </w:pPr>
    </w:p>
    <w:bookmarkStart w:id="104" w:name="page105"/>
    <w:bookmarkEnd w:id="104"/>
    <w:p>
      <w:pPr>
        <w:ind w:left="1"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10.2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In the event of the termination of this Agreement as provided in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this Agreement shall be of no further force or effect; provided, however, that (a) this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shall not relieve any Party of any liability for fraud or for any willful and material breach of any representation, warranty, covenant, obligation or other provision contained in this Agreement.</w:t>
      </w:r>
    </w:p>
    <w:p>
      <w:pPr>
        <w:spacing w:after="0" w:line="256"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10.3 </w:t>
      </w:r>
      <w:r>
        <w:rPr>
          <w:rFonts w:ascii="Times New Roman" w:cs="Times New Roman" w:eastAsia="Times New Roman" w:hAnsi="Times New Roman"/>
          <w:sz w:val="16"/>
          <w:szCs w:val="16"/>
          <w:u w:val="single" w:color="auto"/>
          <w:color w:val="auto"/>
        </w:rPr>
        <w:t>Expenses; Termination Fees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1" w:right="20" w:firstLine="1253"/>
        <w:spacing w:after="0" w:line="275" w:lineRule="auto"/>
        <w:tabs>
          <w:tab w:leader="none" w:pos="1470" w:val="left"/>
        </w:tabs>
        <w:numPr>
          <w:ilvl w:val="1"/>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set forth in this </w:t>
      </w:r>
      <w:r>
        <w:rPr>
          <w:rFonts w:ascii="Times New Roman" w:cs="Times New Roman" w:eastAsia="Times New Roman" w:hAnsi="Times New Roman"/>
          <w:sz w:val="15"/>
          <w:szCs w:val="15"/>
          <w:u w:val="single" w:color="auto"/>
          <w:color w:val="auto"/>
        </w:rPr>
        <w:t>Section 10.3</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6.10</w:t>
      </w:r>
      <w:r>
        <w:rPr>
          <w:rFonts w:ascii="Times New Roman" w:cs="Times New Roman" w:eastAsia="Times New Roman" w:hAnsi="Times New Roman"/>
          <w:sz w:val="15"/>
          <w:szCs w:val="15"/>
          <w:color w:val="auto"/>
        </w:rPr>
        <w:t xml:space="preserve"> all fees and expenses incurred in connection with this Agreement and the Contemplated Transactions shall be paid by the Party incurring such expenses, whether or not the Merger is consummated; provided, however, that</w:t>
      </w:r>
    </w:p>
    <w:p>
      <w:pPr>
        <w:ind w:left="1" w:right="120" w:hanging="1"/>
        <w:spacing w:after="0" w:line="249" w:lineRule="auto"/>
        <w:tabs>
          <w:tab w:leader="none" w:pos="189"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and the Company shall share equally the costs and expenses incurred in relation to the filings by the Parties under any antitrust Law applicable to this Agreement and the transactions contemplated hereby, and (ii) that Gem and the Company shall share equally all fees and expenses incurred in relation to the printing and filing with the SEC of the Registration Statement (including any financial statements and exhibits) and any amendments or supplements thereto and paid to a financial printer or the SEC.</w:t>
      </w:r>
    </w:p>
    <w:p>
      <w:pPr>
        <w:spacing w:after="0" w:line="70" w:lineRule="exact"/>
        <w:rPr>
          <w:rFonts w:ascii="Times New Roman" w:cs="Times New Roman" w:eastAsia="Times New Roman" w:hAnsi="Times New Roman"/>
          <w:sz w:val="16"/>
          <w:szCs w:val="16"/>
          <w:color w:val="auto"/>
        </w:rPr>
      </w:pPr>
    </w:p>
    <w:p>
      <w:pPr>
        <w:ind w:left="1481" w:hanging="227"/>
        <w:spacing w:after="0"/>
        <w:tabs>
          <w:tab w:leader="none" w:pos="1481"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(i) this Agreement is terminated by Gem or the Company pursuant to </w:t>
      </w:r>
      <w:r>
        <w:rPr>
          <w:rFonts w:ascii="Times New Roman" w:cs="Times New Roman" w:eastAsia="Times New Roman" w:hAnsi="Times New Roman"/>
          <w:sz w:val="16"/>
          <w:szCs w:val="16"/>
          <w:u w:val="single" w:color="auto"/>
          <w:color w:val="auto"/>
        </w:rPr>
        <w:t>Section 10.1(e)</w:t>
      </w:r>
      <w:r>
        <w:rPr>
          <w:rFonts w:ascii="Times New Roman" w:cs="Times New Roman" w:eastAsia="Times New Roman" w:hAnsi="Times New Roman"/>
          <w:sz w:val="16"/>
          <w:szCs w:val="16"/>
          <w:color w:val="auto"/>
        </w:rPr>
        <w:t xml:space="preserve"> or by the Company pursuant to</w:t>
      </w:r>
    </w:p>
    <w:p>
      <w:pPr>
        <w:spacing w:after="0" w:line="22" w:lineRule="exact"/>
        <w:rPr>
          <w:sz w:val="20"/>
          <w:szCs w:val="20"/>
          <w:color w:val="auto"/>
        </w:rPr>
      </w:pPr>
    </w:p>
    <w:p>
      <w:pPr>
        <w:ind w:left="1" w:right="60"/>
        <w:spacing w:after="0" w:line="263" w:lineRule="auto"/>
        <w:rPr>
          <w:sz w:val="20"/>
          <w:szCs w:val="20"/>
          <w:color w:val="auto"/>
        </w:rPr>
      </w:pPr>
      <w:r>
        <w:rPr>
          <w:rFonts w:ascii="Times New Roman" w:cs="Times New Roman" w:eastAsia="Times New Roman" w:hAnsi="Times New Roman"/>
          <w:sz w:val="15"/>
          <w:szCs w:val="15"/>
          <w:u w:val="single" w:color="auto"/>
          <w:color w:val="auto"/>
        </w:rPr>
        <w:t>Section 10.1(f)</w:t>
      </w:r>
      <w:r>
        <w:rPr>
          <w:rFonts w:ascii="Times New Roman" w:cs="Times New Roman" w:eastAsia="Times New Roman" w:hAnsi="Times New Roman"/>
          <w:sz w:val="15"/>
          <w:szCs w:val="15"/>
          <w:color w:val="auto"/>
        </w:rPr>
        <w:t xml:space="preserve">, (ii) at any time after the date of this Agreement and prior to the Gem Stockholder Meeting an Acquisition Proposal with respect to Gem shall have been publicly announced, disclosed or otherwise communicated to the Gem Board (and shall not have been withdrawn) and (iii) in the event this Agreement is terminated pursuant to </w:t>
      </w:r>
      <w:r>
        <w:rPr>
          <w:rFonts w:ascii="Times New Roman" w:cs="Times New Roman" w:eastAsia="Times New Roman" w:hAnsi="Times New Roman"/>
          <w:sz w:val="15"/>
          <w:szCs w:val="15"/>
          <w:u w:val="single" w:color="auto"/>
          <w:color w:val="auto"/>
        </w:rPr>
        <w:t>Section 10.1(e)</w:t>
      </w:r>
      <w:r>
        <w:rPr>
          <w:rFonts w:ascii="Times New Roman" w:cs="Times New Roman" w:eastAsia="Times New Roman" w:hAnsi="Times New Roman"/>
          <w:sz w:val="15"/>
          <w:szCs w:val="15"/>
          <w:color w:val="auto"/>
        </w:rPr>
        <w:t>, within twelve (12) months after the date of such termination, Gem enters into a definitive agreement with respect to a Subsequent Transaction or consummates a Subsequent Transaction, then Gem shall pay to the Company, within ten</w:t>
      </w:r>
    </w:p>
    <w:p>
      <w:pPr>
        <w:spacing w:after="0" w:line="1" w:lineRule="exact"/>
        <w:rPr>
          <w:sz w:val="20"/>
          <w:szCs w:val="20"/>
          <w:color w:val="auto"/>
        </w:rPr>
      </w:pPr>
    </w:p>
    <w:p>
      <w:pPr>
        <w:ind w:left="1" w:right="100" w:hanging="1"/>
        <w:spacing w:after="0" w:line="253" w:lineRule="auto"/>
        <w:tabs>
          <w:tab w:leader="none" w:pos="303"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after termination (or, if applicable, upon such entry into a definitive agreement and/or consummation of a Subsequent Transaction), a nonrefundable fee in an amount equal to $3,000,000 (the “</w:t>
      </w:r>
      <w:r>
        <w:rPr>
          <w:rFonts w:ascii="Times New Roman" w:cs="Times New Roman" w:eastAsia="Times New Roman" w:hAnsi="Times New Roman"/>
          <w:sz w:val="16"/>
          <w:szCs w:val="16"/>
          <w:b w:val="1"/>
          <w:bCs w:val="1"/>
          <w:color w:val="auto"/>
        </w:rPr>
        <w:t>Company Termination Fee</w:t>
      </w:r>
      <w:r>
        <w:rPr>
          <w:rFonts w:ascii="Times New Roman" w:cs="Times New Roman" w:eastAsia="Times New Roman" w:hAnsi="Times New Roman"/>
          <w:sz w:val="16"/>
          <w:szCs w:val="16"/>
          <w:color w:val="auto"/>
        </w:rPr>
        <w:t>”).</w:t>
      </w:r>
    </w:p>
    <w:p>
      <w:pPr>
        <w:spacing w:after="0" w:line="67" w:lineRule="exact"/>
        <w:rPr>
          <w:rFonts w:ascii="Times New Roman" w:cs="Times New Roman" w:eastAsia="Times New Roman" w:hAnsi="Times New Roman"/>
          <w:sz w:val="16"/>
          <w:szCs w:val="16"/>
          <w:color w:val="auto"/>
        </w:rPr>
      </w:pPr>
    </w:p>
    <w:p>
      <w:pPr>
        <w:ind w:left="1" w:firstLine="1253"/>
        <w:spacing w:after="0" w:line="251" w:lineRule="auto"/>
        <w:tabs>
          <w:tab w:leader="none" w:pos="147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(i) this Agreement is terminated by Gem pursuant to </w:t>
      </w:r>
      <w:r>
        <w:rPr>
          <w:rFonts w:ascii="Times New Roman" w:cs="Times New Roman" w:eastAsia="Times New Roman" w:hAnsi="Times New Roman"/>
          <w:sz w:val="16"/>
          <w:szCs w:val="16"/>
          <w:u w:val="single" w:color="auto"/>
          <w:color w:val="auto"/>
        </w:rPr>
        <w:t>Section 10.1(d)</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10.1(g)</w:t>
      </w:r>
      <w:r>
        <w:rPr>
          <w:rFonts w:ascii="Times New Roman" w:cs="Times New Roman" w:eastAsia="Times New Roman" w:hAnsi="Times New Roman"/>
          <w:sz w:val="16"/>
          <w:szCs w:val="16"/>
          <w:color w:val="auto"/>
        </w:rPr>
        <w:t xml:space="preserve">, (ii) at any time 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w:t>
      </w:r>
      <w:r>
        <w:rPr>
          <w:rFonts w:ascii="Times New Roman" w:cs="Times New Roman" w:eastAsia="Times New Roman" w:hAnsi="Times New Roman"/>
          <w:sz w:val="16"/>
          <w:szCs w:val="16"/>
          <w:u w:val="single" w:color="auto"/>
          <w:color w:val="auto"/>
        </w:rPr>
        <w:t>Section 10.1(d)</w:t>
      </w:r>
      <w:r>
        <w:rPr>
          <w:rFonts w:ascii="Times New Roman" w:cs="Times New Roman" w:eastAsia="Times New Roman" w:hAnsi="Times New Roman"/>
          <w:sz w:val="16"/>
          <w:szCs w:val="16"/>
          <w:color w:val="auto"/>
        </w:rPr>
        <w:t>, within twelve (12) months after the date of such termination, the Company enters into a definitive agreement with respect to a Subsequent Transaction or consummates a Subsequent Transaction, then the Company shall pay to Gem, within ten (10) Business Days after termination (or, if applicable, upon such entry into a definitive agreement and/or consummation of a Subsequent Transaction), a nonrefundable fee in an amount equal to $7,800,000 (the “</w:t>
      </w:r>
      <w:r>
        <w:rPr>
          <w:rFonts w:ascii="Times New Roman" w:cs="Times New Roman" w:eastAsia="Times New Roman" w:hAnsi="Times New Roman"/>
          <w:sz w:val="16"/>
          <w:szCs w:val="16"/>
          <w:b w:val="1"/>
          <w:bCs w:val="1"/>
          <w:color w:val="auto"/>
        </w:rPr>
        <w:t>Gem Termination Fee</w:t>
      </w:r>
      <w:r>
        <w:rPr>
          <w:rFonts w:ascii="Times New Roman" w:cs="Times New Roman" w:eastAsia="Times New Roman" w:hAnsi="Times New Roman"/>
          <w:sz w:val="16"/>
          <w:szCs w:val="16"/>
          <w:color w:val="auto"/>
        </w:rPr>
        <w:t>”).</w:t>
      </w:r>
    </w:p>
    <w:p>
      <w:pPr>
        <w:spacing w:after="0" w:line="72" w:lineRule="exact"/>
        <w:rPr>
          <w:rFonts w:ascii="Times New Roman" w:cs="Times New Roman" w:eastAsia="Times New Roman" w:hAnsi="Times New Roman"/>
          <w:sz w:val="16"/>
          <w:szCs w:val="16"/>
          <w:color w:val="auto"/>
        </w:rPr>
      </w:pPr>
    </w:p>
    <w:p>
      <w:pPr>
        <w:jc w:val="both"/>
        <w:ind w:left="1" w:right="540" w:firstLine="1253"/>
        <w:spacing w:after="0" w:line="256" w:lineRule="auto"/>
        <w:tabs>
          <w:tab w:leader="none" w:pos="1479"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this Agreement is terminated by the Company pursuant to </w:t>
      </w:r>
      <w:r>
        <w:rPr>
          <w:rFonts w:ascii="Times New Roman" w:cs="Times New Roman" w:eastAsia="Times New Roman" w:hAnsi="Times New Roman"/>
          <w:sz w:val="16"/>
          <w:szCs w:val="16"/>
          <w:u w:val="single" w:color="auto"/>
          <w:color w:val="auto"/>
        </w:rPr>
        <w:t>Section 10.1(e)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10.1(f),</w:t>
      </w:r>
      <w:r>
        <w:rPr>
          <w:rFonts w:ascii="Times New Roman" w:cs="Times New Roman" w:eastAsia="Times New Roman" w:hAnsi="Times New Roman"/>
          <w:sz w:val="16"/>
          <w:szCs w:val="16"/>
          <w:color w:val="auto"/>
        </w:rPr>
        <w:t xml:space="preserve"> Gem shall reimburse the Company for all reasonable out-of-pocket fees and expenses incurred by the Company in connection with this Agreement and the Contemplated Transactions, up to a maximum of $750,000, by wire transfer of same-day funds within ten (10) Business Days following the date on which the Company submits to Gem accurate and complete copies of reasonable documentation supporting such expenses.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9641"/>
          </w:cols>
          <w:pgMar w:left="1119" w:top="253" w:right="1139" w:bottom="1440" w:gutter="0" w:footer="0" w:header="0"/>
        </w:sectPr>
      </w:pPr>
    </w:p>
    <w:bookmarkStart w:id="105" w:name="page106"/>
    <w:bookmarkEnd w:id="105"/>
    <w:p>
      <w:pPr>
        <w:ind w:firstLine="1253"/>
        <w:spacing w:after="0" w:line="256" w:lineRule="auto"/>
        <w:tabs>
          <w:tab w:leader="none" w:pos="1469"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If this Agreement is terminated by Gem pursuant to </w:t>
      </w:r>
      <w:r>
        <w:rPr>
          <w:rFonts w:ascii="Times New Roman" w:cs="Times New Roman" w:eastAsia="Times New Roman" w:hAnsi="Times New Roman"/>
          <w:sz w:val="16"/>
          <w:szCs w:val="16"/>
          <w:u w:val="single" w:color="auto"/>
          <w:color w:val="auto"/>
        </w:rPr>
        <w:t>Section 10.1(g)</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10.1(i),</w:t>
      </w:r>
      <w:r>
        <w:rPr>
          <w:rFonts w:ascii="Times New Roman" w:cs="Times New Roman" w:eastAsia="Times New Roman" w:hAnsi="Times New Roman"/>
          <w:sz w:val="16"/>
          <w:szCs w:val="16"/>
          <w:color w:val="auto"/>
        </w:rPr>
        <w:t xml:space="preserve"> the Company shall reimburse Gem for all reasonable out-of-pocket fees and expenses incurred by Gem in connection with this Agreement and the Contemplated Transactions, up to a maximum of $750,000, by wire transfer of same-day funds within ten (10) Business Days following the date on which Gem submits to the Company accurate and complete copies of reasonable documentation supporting such expenses.</w:t>
      </w:r>
    </w:p>
    <w:p>
      <w:pPr>
        <w:spacing w:after="0" w:line="161" w:lineRule="exact"/>
        <w:rPr>
          <w:rFonts w:ascii="Times New Roman" w:cs="Times New Roman" w:eastAsia="Times New Roman" w:hAnsi="Times New Roman"/>
          <w:sz w:val="16"/>
          <w:szCs w:val="16"/>
          <w:color w:val="auto"/>
        </w:rPr>
      </w:pPr>
    </w:p>
    <w:p>
      <w:pPr>
        <w:ind w:right="20" w:firstLine="1253"/>
        <w:spacing w:after="0" w:line="252" w:lineRule="auto"/>
        <w:tabs>
          <w:tab w:leader="none" w:pos="1451"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either Party fails to pay when due any amount payable by it under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65" w:lineRule="exact"/>
        <w:rPr>
          <w:rFonts w:ascii="Times New Roman" w:cs="Times New Roman" w:eastAsia="Times New Roman" w:hAnsi="Times New Roman"/>
          <w:sz w:val="16"/>
          <w:szCs w:val="16"/>
          <w:color w:val="auto"/>
        </w:rPr>
      </w:pPr>
    </w:p>
    <w:p>
      <w:pPr>
        <w:ind w:right="20" w:firstLine="1253"/>
        <w:spacing w:after="0" w:line="248" w:lineRule="auto"/>
        <w:tabs>
          <w:tab w:leader="none" w:pos="1478"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agree that, subject to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the payment of the fees and expenses set forth in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shall be the sole and exclusive remedy of each Party following a termination of this Agreement under the circumstances described in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it being understood that in no event shall either Gem or the Company be required to pay the individual fees or damages payable pursuant to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on more than one occasion. Subject to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following the payment of the fees and expenses set forth in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are an integral part of the Contemplated Transactions, (y) without these agreements, the Parties would not enter into this Agreement and (z) any amount payable pursuant to this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is not a penalty, but rather is liquidated damages in a reasonable amount that will compensate the Parties in the circumstances in which such amount is payable.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240" w:firstLine="869"/>
        <w:spacing w:after="0" w:line="261"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Non-Survival of Representations and Warranties</w:t>
      </w:r>
      <w:r>
        <w:rPr>
          <w:rFonts w:ascii="Times New Roman" w:cs="Times New Roman" w:eastAsia="Times New Roman" w:hAnsi="Times New Roman"/>
          <w:sz w:val="16"/>
          <w:szCs w:val="16"/>
          <w:color w:val="auto"/>
        </w:rPr>
        <w:t xml:space="preserve">. The representations and warranties of the Company, Gem and Merger Sub contained in this Agreement or any certificate or instrument delivered pursuant to this Agreement shall terminate at the Effective Time, and only the covenants that by their terms survive the Effective Time and this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shall survive the Effective Time.</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9580"/>
          </w:cols>
          <w:pgMar w:left="1120" w:top="253" w:right="1199" w:bottom="1440" w:gutter="0" w:footer="0" w:header="0"/>
        </w:sectPr>
      </w:pPr>
    </w:p>
    <w:bookmarkStart w:id="106" w:name="page107"/>
    <w:bookmarkEnd w:id="106"/>
    <w:p>
      <w:pPr>
        <w:ind w:right="80"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11.2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This Agreement may be amended with the approval of the respective boards of directors of the Company, Merger Sub and Gem at any time (whether before or after the adoption and approval of this Agreement by the Company’s stockholders or before or after obtaining the Required Gem Stockholder 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Gem.</w:t>
      </w:r>
    </w:p>
    <w:p>
      <w:pPr>
        <w:spacing w:after="0" w:line="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11.3 </w:t>
      </w: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right="160" w:firstLine="1253"/>
        <w:spacing w:after="0" w:line="254" w:lineRule="auto"/>
        <w:tabs>
          <w:tab w:leader="none" w:pos="146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67" w:lineRule="exact"/>
        <w:rPr>
          <w:rFonts w:ascii="Times New Roman" w:cs="Times New Roman" w:eastAsia="Times New Roman" w:hAnsi="Times New Roman"/>
          <w:sz w:val="16"/>
          <w:szCs w:val="16"/>
          <w:color w:val="auto"/>
        </w:rPr>
      </w:pPr>
    </w:p>
    <w:p>
      <w:pPr>
        <w:ind w:firstLine="1253"/>
        <w:spacing w:after="0" w:line="286" w:lineRule="auto"/>
        <w:tabs>
          <w:tab w:leader="none" w:pos="1478"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46" w:lineRule="exact"/>
        <w:rPr>
          <w:sz w:val="20"/>
          <w:szCs w:val="20"/>
          <w:color w:val="auto"/>
        </w:rPr>
      </w:pPr>
    </w:p>
    <w:p>
      <w:pPr>
        <w:ind w:right="120" w:firstLine="869"/>
        <w:spacing w:after="0" w:line="272" w:lineRule="auto"/>
        <w:rPr>
          <w:sz w:val="20"/>
          <w:szCs w:val="20"/>
          <w:color w:val="auto"/>
        </w:rPr>
      </w:pPr>
      <w:r>
        <w:rPr>
          <w:rFonts w:ascii="Times New Roman" w:cs="Times New Roman" w:eastAsia="Times New Roman" w:hAnsi="Times New Roman"/>
          <w:sz w:val="15"/>
          <w:szCs w:val="15"/>
          <w:color w:val="auto"/>
        </w:rPr>
        <w:t xml:space="preserve">11.4 </w:t>
      </w:r>
      <w:r>
        <w:rPr>
          <w:rFonts w:ascii="Times New Roman" w:cs="Times New Roman" w:eastAsia="Times New Roman" w:hAnsi="Times New Roman"/>
          <w:sz w:val="15"/>
          <w:szCs w:val="15"/>
          <w:u w:val="single" w:color="auto"/>
          <w:color w:val="auto"/>
        </w:rPr>
        <w:t>Entire Agreement; Counterparts; Exchanges by Facsimile</w:t>
      </w:r>
      <w:r>
        <w:rPr>
          <w:rFonts w:ascii="Times New Roman" w:cs="Times New Roman" w:eastAsia="Times New Roman" w:hAnsi="Times New Roman"/>
          <w:sz w:val="15"/>
          <w:szCs w:val="15"/>
          <w:color w:val="auto"/>
        </w:rPr>
        <w:t>. This Agreement and the other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57" w:lineRule="exact"/>
        <w:rPr>
          <w:sz w:val="20"/>
          <w:szCs w:val="20"/>
          <w:color w:val="auto"/>
        </w:rPr>
      </w:pPr>
    </w:p>
    <w:p>
      <w:pPr>
        <w:ind w:right="160" w:firstLine="869"/>
        <w:spacing w:after="0" w:line="251" w:lineRule="auto"/>
        <w:rPr>
          <w:sz w:val="20"/>
          <w:szCs w:val="20"/>
          <w:color w:val="auto"/>
        </w:rPr>
      </w:pPr>
      <w:r>
        <w:rPr>
          <w:rFonts w:ascii="Times New Roman" w:cs="Times New Roman" w:eastAsia="Times New Roman" w:hAnsi="Times New Roman"/>
          <w:sz w:val="16"/>
          <w:szCs w:val="16"/>
          <w:color w:val="auto"/>
        </w:rPr>
        <w:t xml:space="preserve">11.5 </w:t>
      </w:r>
      <w:r>
        <w:rPr>
          <w:rFonts w:ascii="Times New Roman" w:cs="Times New Roman" w:eastAsia="Times New Roman" w:hAnsi="Times New Roman"/>
          <w:sz w:val="16"/>
          <w:szCs w:val="16"/>
          <w:u w:val="single" w:color="auto"/>
          <w:color w:val="auto"/>
        </w:rPr>
        <w:t>Applicable Law; Jurisdiction</w:t>
      </w:r>
      <w:r>
        <w:rPr>
          <w:rFonts w:ascii="Times New Roman" w:cs="Times New Roman" w:eastAsia="Times New Roman" w:hAnsi="Times New Roman"/>
          <w:sz w:val="16"/>
          <w:szCs w:val="16"/>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9640"/>
          </w:cols>
          <w:pgMar w:left="1120" w:top="253" w:right="1139" w:bottom="1440" w:gutter="0" w:footer="0" w:header="0"/>
        </w:sectPr>
      </w:pPr>
    </w:p>
    <w:bookmarkStart w:id="107" w:name="page108"/>
    <w:bookmarkEnd w:id="107"/>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CLAIMS IN RESPECT OF SUCH ACTION OR PROCEEDING SHALL BE HEARD AND DETERMINED EXCLUSIVELY IN ACCORDANCE WITH CLAUSE (A) OF THIS SECTION 11.5,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11.7 OF THIS AGREEMENT AND (F) IRREVOCABLY WAIVES THE RIGHT TO TRIAL BY JURY.</w:t>
      </w:r>
    </w:p>
    <w:p>
      <w:pPr>
        <w:spacing w:after="0" w:line="165" w:lineRule="exact"/>
        <w:rPr>
          <w:sz w:val="20"/>
          <w:szCs w:val="20"/>
          <w:color w:val="auto"/>
        </w:rPr>
      </w:pPr>
    </w:p>
    <w:p>
      <w:pPr>
        <w:ind w:right="80" w:firstLine="869"/>
        <w:spacing w:after="0" w:line="256" w:lineRule="auto"/>
        <w:rPr>
          <w:sz w:val="20"/>
          <w:szCs w:val="20"/>
          <w:color w:val="auto"/>
        </w:rPr>
      </w:pPr>
      <w:r>
        <w:rPr>
          <w:rFonts w:ascii="Times New Roman" w:cs="Times New Roman" w:eastAsia="Times New Roman" w:hAnsi="Times New Roman"/>
          <w:sz w:val="16"/>
          <w:szCs w:val="16"/>
          <w:color w:val="auto"/>
        </w:rPr>
        <w:t xml:space="preserve">11.6 </w:t>
      </w:r>
      <w:r>
        <w:rPr>
          <w:rFonts w:ascii="Times New Roman" w:cs="Times New Roman" w:eastAsia="Times New Roman" w:hAnsi="Times New Roman"/>
          <w:sz w:val="16"/>
          <w:szCs w:val="16"/>
          <w:u w:val="single" w:color="auto"/>
          <w:color w:val="auto"/>
        </w:rPr>
        <w:t>Assignability</w:t>
      </w:r>
      <w:r>
        <w:rPr>
          <w:rFonts w:ascii="Times New Roman" w:cs="Times New Roman" w:eastAsia="Times New Roman" w:hAnsi="Times New Roman"/>
          <w:sz w:val="16"/>
          <w:szCs w:val="16"/>
          <w:color w:val="auto"/>
        </w:rPr>
        <w:t>. This Agreement shall be binding upon, and shall be enforceable by and inure solely to the benefit of, the Parties and their respective successors and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61" w:lineRule="exact"/>
        <w:rPr>
          <w:sz w:val="20"/>
          <w:szCs w:val="20"/>
          <w:color w:val="auto"/>
        </w:rPr>
      </w:pPr>
    </w:p>
    <w:p>
      <w:pPr>
        <w:ind w:firstLine="869"/>
        <w:spacing w:after="0" w:line="254" w:lineRule="auto"/>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to Gem or Merger Sub:</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297 Boston Post Road #248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Wayland, MA 01778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CEO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to (which shall not constitute notice):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Wilmer Cutler Pickering Hale and Dorr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 State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 02109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Stuart M. Falber, Esq.</w:t>
      </w: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E-mail: *****@*****.com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Wilmer Cutler Pickering Hale and Dorr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 World Trade 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250 Greenwich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10007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Christopher D. Barnstable-Brown</w:t>
      </w:r>
    </w:p>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E-mail: *****@*****.com</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9600"/>
          </w:cols>
          <w:pgMar w:left="1120" w:top="253" w:right="11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if to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321 Arsenal Street, Suite 101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Watertown, MA 02472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CEO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to (which shall not constitute notice):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Goodwin Procter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Northern Ave.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 02110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William D. Collins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*****@*****.com</w:t>
      </w:r>
    </w:p>
    <w:p>
      <w:pPr>
        <w:spacing w:after="0" w:line="177" w:lineRule="exact"/>
        <w:rPr>
          <w:sz w:val="20"/>
          <w:szCs w:val="20"/>
          <w:color w:val="auto"/>
        </w:rPr>
      </w:pPr>
    </w:p>
    <w:p>
      <w:pPr>
        <w:ind w:right="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u w:val="single" w:color="auto"/>
          <w:color w:val="auto"/>
        </w:rPr>
        <w:t>Cooperation</w:t>
      </w:r>
      <w:r>
        <w:rPr>
          <w:rFonts w:ascii="Times New Roman" w:cs="Times New Roman" w:eastAsia="Times New Roman" w:hAnsi="Times New Roman"/>
          <w:sz w:val="16"/>
          <w:szCs w:val="16"/>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57" w:lineRule="exact"/>
        <w:rPr>
          <w:sz w:val="20"/>
          <w:szCs w:val="20"/>
          <w:color w:val="auto"/>
        </w:rPr>
      </w:pPr>
    </w:p>
    <w:p>
      <w:pPr>
        <w:ind w:right="20" w:firstLine="869"/>
        <w:spacing w:after="0" w:line="250" w:lineRule="auto"/>
        <w:rPr>
          <w:sz w:val="20"/>
          <w:szCs w:val="20"/>
          <w:color w:val="auto"/>
        </w:rPr>
      </w:pPr>
      <w:r>
        <w:rPr>
          <w:rFonts w:ascii="Times New Roman" w:cs="Times New Roman" w:eastAsia="Times New Roman" w:hAnsi="Times New Roman"/>
          <w:sz w:val="16"/>
          <w:szCs w:val="16"/>
          <w:color w:val="auto"/>
        </w:rPr>
        <w:t xml:space="preserve">11.9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67" w:lineRule="exact"/>
        <w:rPr>
          <w:sz w:val="20"/>
          <w:szCs w:val="20"/>
          <w:color w:val="auto"/>
        </w:rPr>
      </w:pPr>
    </w:p>
    <w:p>
      <w:pPr>
        <w:ind w:firstLine="869"/>
        <w:spacing w:after="0" w:line="271" w:lineRule="auto"/>
        <w:rPr>
          <w:sz w:val="20"/>
          <w:szCs w:val="20"/>
          <w:color w:val="auto"/>
        </w:rPr>
      </w:pPr>
      <w:r>
        <w:rPr>
          <w:rFonts w:ascii="Times New Roman" w:cs="Times New Roman" w:eastAsia="Times New Roman" w:hAnsi="Times New Roman"/>
          <w:sz w:val="15"/>
          <w:szCs w:val="15"/>
          <w:color w:val="auto"/>
        </w:rPr>
        <w:t xml:space="preserve">11.10 </w:t>
      </w:r>
      <w:r>
        <w:rPr>
          <w:rFonts w:ascii="Times New Roman" w:cs="Times New Roman" w:eastAsia="Times New Roman" w:hAnsi="Times New Roman"/>
          <w:sz w:val="15"/>
          <w:szCs w:val="15"/>
          <w:u w:val="single" w:color="auto"/>
          <w:color w:val="auto"/>
        </w:rPr>
        <w:t>Other Remedies; Specific Performance</w:t>
      </w:r>
      <w:r>
        <w:rPr>
          <w:rFonts w:ascii="Times New Roman" w:cs="Times New Roman" w:eastAsia="Times New Roman" w:hAnsi="Times New Roman"/>
          <w:sz w:val="15"/>
          <w:szCs w:val="15"/>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9640"/>
          </w:cols>
          <w:pgMar w:left="1120" w:top="253" w:right="1139" w:bottom="1440" w:gutter="0" w:footer="0" w:header="0"/>
        </w:sectPr>
      </w:pPr>
    </w:p>
    <w:bookmarkStart w:id="109" w:name="page110"/>
    <w:bookmarkEnd w:id="109"/>
    <w:p>
      <w:pPr>
        <w:ind w:firstLine="869"/>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11.11 </w:t>
      </w:r>
      <w:r>
        <w:rPr>
          <w:rFonts w:ascii="Times New Roman" w:cs="Times New Roman" w:eastAsia="Times New Roman" w:hAnsi="Times New Roman"/>
          <w:sz w:val="16"/>
          <w:szCs w:val="16"/>
          <w:u w:val="single" w:color="auto"/>
          <w:color w:val="auto"/>
        </w:rPr>
        <w:t>No Third Party Beneficiaries</w:t>
      </w:r>
      <w:r>
        <w:rPr>
          <w:rFonts w:ascii="Times New Roman" w:cs="Times New Roman" w:eastAsia="Times New Roman" w:hAnsi="Times New Roman"/>
          <w:sz w:val="16"/>
          <w:szCs w:val="16"/>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any right, benefit or remedy of any nature whatsoever under or by reason of this Agreement.</w:t>
      </w:r>
    </w:p>
    <w:p>
      <w:pPr>
        <w:spacing w:after="0" w:line="1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9460"/>
          </w:cols>
          <w:pgMar w:left="1120" w:top="253" w:right="1319" w:bottom="1440" w:gutter="0" w:footer="0" w:header="0"/>
        </w:sectPr>
      </w:pPr>
    </w:p>
    <w:bookmarkStart w:id="110" w:name="page111"/>
    <w:bookmarkEnd w:id="110"/>
    <w:p>
      <w:pPr>
        <w:ind w:left="5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6"/>
          <w:szCs w:val="16"/>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16"/>
          <w:szCs w:val="16"/>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Parties have caused this Agreement to be executed as of the date first above written.</w:t>
      </w:r>
    </w:p>
    <w:p>
      <w:pPr>
        <w:spacing w:after="0" w:line="21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96" w:lineRule="exact"/>
        <w:rPr>
          <w:sz w:val="20"/>
          <w:szCs w:val="20"/>
          <w:color w:val="auto"/>
        </w:rPr>
      </w:pPr>
    </w:p>
    <w:tbl>
      <w:tblPr>
        <w:tblLayout w:type="fixed"/>
        <w:tblInd w:w="5480" w:type="dxa"/>
        <w:tblCellMar>
          <w:top w:w="0" w:type="dxa"/>
          <w:left w:w="0" w:type="dxa"/>
          <w:bottom w:w="0" w:type="dxa"/>
          <w:right w:w="0" w:type="dxa"/>
        </w:tblCellMar>
      </w:tblPr>
      <w:tr>
        <w:trPr>
          <w:trHeight w:val="20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Dr. Georges Gemayel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Dr. Georges Gemayel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Interim President and Chief Executive Officer</w:t>
            </w:r>
          </w:p>
        </w:tc>
      </w:tr>
      <w:tr>
        <w:trPr>
          <w:trHeight w:val="38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w:t>
            </w:r>
            <w:r>
              <w:rPr>
                <w:rFonts w:ascii="Times New Roman" w:cs="Times New Roman" w:eastAsia="Times New Roman" w:hAnsi="Times New Roman"/>
                <w:sz w:val="13"/>
                <w:szCs w:val="13"/>
                <w:b w:val="1"/>
                <w:bCs w:val="1"/>
                <w:color w:val="auto"/>
              </w:rPr>
              <w:t>EMSTONE</w:t>
            </w:r>
            <w:r>
              <w:rPr>
                <w:rFonts w:ascii="Times New Roman" w:cs="Times New Roman" w:eastAsia="Times New Roman" w:hAnsi="Times New Roman"/>
                <w:sz w:val="16"/>
                <w:szCs w:val="16"/>
                <w:b w:val="1"/>
                <w:bCs w:val="1"/>
                <w:color w:val="auto"/>
              </w:rPr>
              <w:t xml:space="preserve"> M</w:t>
            </w:r>
            <w:r>
              <w:rPr>
                <w:rFonts w:ascii="Times New Roman" w:cs="Times New Roman" w:eastAsia="Times New Roman" w:hAnsi="Times New Roman"/>
                <w:sz w:val="13"/>
                <w:szCs w:val="13"/>
                <w:b w:val="1"/>
                <w:bCs w:val="1"/>
                <w:color w:val="auto"/>
              </w:rPr>
              <w:t>ERGER</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3"/>
                <w:szCs w:val="13"/>
                <w:b w:val="1"/>
                <w:bCs w:val="1"/>
                <w:color w:val="auto"/>
              </w:rPr>
              <w:t>UB</w:t>
            </w:r>
            <w:r>
              <w:rPr>
                <w:rFonts w:ascii="Times New Roman" w:cs="Times New Roman" w:eastAsia="Times New Roman" w:hAnsi="Times New Roman"/>
                <w:sz w:val="16"/>
                <w:szCs w:val="16"/>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6"/>
                <w:szCs w:val="16"/>
                <w:b w:val="1"/>
                <w:bCs w:val="1"/>
                <w:color w:val="auto"/>
              </w:rPr>
              <w:t>.</w:t>
            </w:r>
          </w:p>
        </w:tc>
      </w:tr>
      <w:tr>
        <w:trPr>
          <w:trHeight w:val="37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Dr. Georges Gemayel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Dr. Georges Gemayel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Chief Executive Officer and President</w:t>
            </w:r>
          </w:p>
        </w:tc>
      </w:tr>
      <w:tr>
        <w:trPr>
          <w:trHeight w:val="383"/>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DISC MEDICINE, INC.</w:t>
            </w:r>
          </w:p>
        </w:tc>
      </w:tr>
      <w:tr>
        <w:trPr>
          <w:trHeight w:val="37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John Quisel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John Quisel</w:t>
            </w:r>
          </w:p>
        </w:tc>
      </w:tr>
      <w:tr>
        <w:trPr>
          <w:trHeight w:val="28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Chief Executive Officer and President</w:t>
            </w:r>
          </w:p>
        </w:tc>
      </w:tr>
    </w:tbl>
    <w:p>
      <w:pPr>
        <w:sectPr>
          <w:pgSz w:w="11900" w:h="16838" w:orient="portrait"/>
          <w:cols w:equalWidth="0" w:num="1">
            <w:col w:w="9320"/>
          </w:cols>
          <w:pgMar w:left="1440" w:top="251" w:right="11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 A</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FORM OF GEM STOCKHOLDER SUPPORT AGREEMENT</w:t>
      </w:r>
    </w:p>
    <w:p>
      <w:pPr>
        <w:spacing w:after="0" w:line="196" w:lineRule="exact"/>
        <w:rPr>
          <w:sz w:val="20"/>
          <w:szCs w:val="20"/>
          <w:color w:val="auto"/>
        </w:rPr>
      </w:pPr>
    </w:p>
    <w:p>
      <w:pPr>
        <w:jc w:val="both"/>
        <w:ind w:left="1" w:right="80" w:firstLine="386"/>
        <w:spacing w:after="0" w:line="261" w:lineRule="auto"/>
        <w:rPr>
          <w:sz w:val="20"/>
          <w:szCs w:val="20"/>
          <w:color w:val="auto"/>
        </w:rPr>
      </w:pPr>
      <w:r>
        <w:rPr>
          <w:rFonts w:ascii="Times New Roman" w:cs="Times New Roman" w:eastAsia="Times New Roman" w:hAnsi="Times New Roman"/>
          <w:sz w:val="16"/>
          <w:szCs w:val="16"/>
          <w:color w:val="auto"/>
        </w:rPr>
        <w:t>This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 2022, by and among [•] a [•] [•]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 a Delaware 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and the undersigned stockholder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of Gem. Capitalized terms used herein but not otherwise defined shall have the respective meanings ascribed to such terms in the Merger Agreement (as defined below).</w:t>
      </w:r>
    </w:p>
    <w:p>
      <w:pPr>
        <w:spacing w:after="0" w:line="3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6" w:lineRule="exact"/>
        <w:rPr>
          <w:sz w:val="20"/>
          <w:szCs w:val="20"/>
          <w:color w:val="auto"/>
        </w:rPr>
      </w:pPr>
    </w:p>
    <w:p>
      <w:pPr>
        <w:ind w:left="1" w:firstLine="386"/>
        <w:spacing w:after="0" w:line="254" w:lineRule="auto"/>
        <w:rPr>
          <w:sz w:val="20"/>
          <w:szCs w:val="20"/>
          <w:color w:val="auto"/>
        </w:rPr>
      </w:pPr>
      <w:r>
        <w:rPr>
          <w:rFonts w:ascii="Times New Roman" w:cs="Times New Roman" w:eastAsia="Times New Roman" w:hAnsi="Times New Roman"/>
          <w:sz w:val="16"/>
          <w:szCs w:val="16"/>
          <w:color w:val="auto"/>
        </w:rPr>
        <w:t>WHEREAS, concurrently with the execution and delivery hereof, Gem, the Company and [•], a [•] [•] and a wholly owned subsidiary of Gem (the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Merger Sub will merge with and into the Company, with the Company surviving the merger as the surviving corporation and a wholly owned subsidiary of Gem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upon the terms and subject to the conditions set forth in the Merger Agreement.</w:t>
      </w:r>
    </w:p>
    <w:p>
      <w:pPr>
        <w:spacing w:after="0" w:line="162" w:lineRule="exact"/>
        <w:rPr>
          <w:sz w:val="20"/>
          <w:szCs w:val="20"/>
          <w:color w:val="auto"/>
        </w:rPr>
      </w:pPr>
    </w:p>
    <w:p>
      <w:pPr>
        <w:ind w:left="1" w:right="140" w:firstLine="386"/>
        <w:spacing w:after="0" w:line="276" w:lineRule="auto"/>
        <w:rPr>
          <w:sz w:val="20"/>
          <w:szCs w:val="20"/>
          <w:color w:val="auto"/>
        </w:rPr>
      </w:pPr>
      <w:r>
        <w:rPr>
          <w:rFonts w:ascii="Times New Roman" w:cs="Times New Roman" w:eastAsia="Times New Roman" w:hAnsi="Times New Roman"/>
          <w:sz w:val="16"/>
          <w:szCs w:val="16"/>
          <w:color w:val="auto"/>
        </w:rPr>
        <w:t xml:space="preserve">WHEREAS, as of the date hereof, the Stockholder is the beneficial owner (as defined in Rule 13d-3 under the Exchange Act) of such number of shares of Gem Common Stock as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1" w:firstLine="386"/>
        <w:spacing w:after="0" w:line="276" w:lineRule="auto"/>
        <w:rPr>
          <w:sz w:val="20"/>
          <w:szCs w:val="20"/>
          <w:color w:val="auto"/>
        </w:rPr>
      </w:pPr>
      <w:r>
        <w:rPr>
          <w:rFonts w:ascii="Times New Roman" w:cs="Times New Roman" w:eastAsia="Times New Roman" w:hAnsi="Times New Roman"/>
          <w:sz w:val="16"/>
          <w:szCs w:val="16"/>
          <w:color w:val="auto"/>
        </w:rPr>
        <w:t>WHEREAS, as an inducement to the willingness of the Company to enter into the Merger Agreement, the Company has required that Stockholder enter into this Agreement.</w:t>
      </w:r>
    </w:p>
    <w:p>
      <w:pPr>
        <w:spacing w:after="0" w:line="14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NOW, THEREFORE, intending to be legally bound, the parties hereby agree as follows:</w:t>
      </w:r>
    </w:p>
    <w:p>
      <w:pPr>
        <w:spacing w:after="0" w:line="100" w:lineRule="exact"/>
        <w:rPr>
          <w:sz w:val="20"/>
          <w:szCs w:val="20"/>
          <w:color w:val="auto"/>
        </w:rPr>
      </w:pPr>
    </w:p>
    <w:p>
      <w:pPr>
        <w:ind w:left="1" w:right="20" w:firstLine="385"/>
        <w:spacing w:after="0" w:line="276" w:lineRule="auto"/>
        <w:tabs>
          <w:tab w:leader="none" w:pos="545" w:val="left"/>
        </w:tabs>
        <w:numPr>
          <w:ilvl w:val="1"/>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49" w:lineRule="exact"/>
        <w:rPr>
          <w:rFonts w:ascii="Times New Roman" w:cs="Times New Roman" w:eastAsia="Times New Roman" w:hAnsi="Times New Roman"/>
          <w:sz w:val="16"/>
          <w:szCs w:val="16"/>
          <w:color w:val="auto"/>
        </w:rPr>
      </w:pPr>
    </w:p>
    <w:p>
      <w:pPr>
        <w:ind w:left="1" w:right="300" w:firstLine="867"/>
        <w:spacing w:after="0" w:line="256" w:lineRule="auto"/>
        <w:tabs>
          <w:tab w:leader="none" w:pos="1084" w:val="left"/>
        </w:tabs>
        <w:numPr>
          <w:ilvl w:val="2"/>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Constructive Sale</w:t>
      </w:r>
      <w:r>
        <w:rPr>
          <w:rFonts w:ascii="Times New Roman" w:cs="Times New Roman" w:eastAsia="Times New Roman" w:hAnsi="Times New Roman"/>
          <w:sz w:val="16"/>
          <w:szCs w:val="16"/>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66" w:lineRule="exact"/>
        <w:rPr>
          <w:rFonts w:ascii="Times New Roman" w:cs="Times New Roman" w:eastAsia="Times New Roman" w:hAnsi="Times New Roman"/>
          <w:sz w:val="16"/>
          <w:szCs w:val="16"/>
          <w:color w:val="auto"/>
        </w:rPr>
      </w:pPr>
    </w:p>
    <w:p>
      <w:pPr>
        <w:ind w:left="1101" w:hanging="233"/>
        <w:spacing w:after="0"/>
        <w:tabs>
          <w:tab w:leader="none" w:pos="1101" w:val="left"/>
        </w:tabs>
        <w:numPr>
          <w:ilvl w:val="2"/>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(i) all shares of Gem Common Stock owned, beneficially or of record, by the Stockholder as of the date hereof, and</w:t>
      </w:r>
    </w:p>
    <w:p>
      <w:pPr>
        <w:spacing w:after="0" w:line="22" w:lineRule="exact"/>
        <w:rPr>
          <w:rFonts w:ascii="Times New Roman" w:cs="Times New Roman" w:eastAsia="Times New Roman" w:hAnsi="Times New Roman"/>
          <w:sz w:val="16"/>
          <w:szCs w:val="16"/>
          <w:color w:val="auto"/>
        </w:rPr>
      </w:pPr>
    </w:p>
    <w:p>
      <w:pPr>
        <w:ind w:left="1" w:right="600" w:hanging="1"/>
        <w:spacing w:after="0" w:line="253" w:lineRule="auto"/>
        <w:tabs>
          <w:tab w:leader="none" w:pos="233"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additional shares of Gem Common Stock acquired by the Stockholder, beneficially or of record, during the period commencing with the execution and delivery of this Agreement and expiring on the Closing Date.</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Page 1</w:t>
      </w:r>
    </w:p>
    <w:p>
      <w:pPr>
        <w:sectPr>
          <w:pgSz w:w="11900" w:h="16838" w:orient="portrait"/>
          <w:cols w:equalWidth="0" w:num="1">
            <w:col w:w="9621"/>
          </w:cols>
          <w:pgMar w:left="1119" w:top="251" w:right="1159" w:bottom="1440" w:gutter="0" w:footer="0" w:header="0"/>
        </w:sectPr>
      </w:pPr>
    </w:p>
    <w:bookmarkStart w:id="112" w:name="page113"/>
    <w:bookmarkEnd w:id="112"/>
    <w:p>
      <w:pPr>
        <w:ind w:left="-40" w:firstLine="867"/>
        <w:spacing w:after="0" w:line="251" w:lineRule="auto"/>
        <w:tabs>
          <w:tab w:leader="none" w:pos="1043"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Transferred</w:t>
      </w:r>
      <w:r>
        <w:rPr>
          <w:rFonts w:ascii="Times New Roman" w:cs="Times New Roman" w:eastAsia="Times New Roman" w:hAnsi="Times New Roman"/>
          <w:sz w:val="16"/>
          <w:szCs w:val="16"/>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72" w:lineRule="exact"/>
        <w:rPr>
          <w:rFonts w:ascii="Times New Roman" w:cs="Times New Roman" w:eastAsia="Times New Roman" w:hAnsi="Times New Roman"/>
          <w:sz w:val="16"/>
          <w:szCs w:val="16"/>
          <w:color w:val="auto"/>
        </w:rPr>
      </w:pPr>
    </w:p>
    <w:p>
      <w:pPr>
        <w:ind w:left="500" w:hanging="155"/>
        <w:spacing w:after="0"/>
        <w:tabs>
          <w:tab w:leader="none" w:pos="5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and Voting Restrictions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ind w:left="-40" w:right="120" w:firstLine="867"/>
        <w:spacing w:after="0" w:line="261" w:lineRule="auto"/>
        <w:tabs>
          <w:tab w:leader="none" w:pos="1043"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Section 2(c),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spacing w:after="0" w:line="62" w:lineRule="exact"/>
        <w:rPr>
          <w:rFonts w:ascii="Times New Roman" w:cs="Times New Roman" w:eastAsia="Times New Roman" w:hAnsi="Times New Roman"/>
          <w:sz w:val="16"/>
          <w:szCs w:val="16"/>
          <w:color w:val="auto"/>
        </w:rPr>
      </w:pPr>
    </w:p>
    <w:p>
      <w:pPr>
        <w:ind w:left="-40" w:right="20" w:firstLine="867"/>
        <w:spacing w:after="0" w:line="251" w:lineRule="auto"/>
        <w:tabs>
          <w:tab w:leader="none" w:pos="1052"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this Agreement or otherwise permitted or required or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vote the Stockholder’s Shares in favor of the Gem Stockholder Matters.</w:t>
      </w:r>
    </w:p>
    <w:p>
      <w:pPr>
        <w:spacing w:after="0" w:line="69" w:lineRule="exact"/>
        <w:rPr>
          <w:rFonts w:ascii="Times New Roman" w:cs="Times New Roman" w:eastAsia="Times New Roman" w:hAnsi="Times New Roman"/>
          <w:sz w:val="16"/>
          <w:szCs w:val="16"/>
          <w:color w:val="auto"/>
        </w:rPr>
      </w:pPr>
    </w:p>
    <w:p>
      <w:pPr>
        <w:ind w:left="-40" w:firstLine="867"/>
        <w:spacing w:after="0" w:line="268" w:lineRule="auto"/>
        <w:tabs>
          <w:tab w:leader="none" w:pos="1043" w:val="left"/>
        </w:tabs>
        <w:numPr>
          <w:ilvl w:val="1"/>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else herein to the contrary, the Stockholder may, at any time, Transfer Shares (i) by will or other testamentary document or by intestacy, (ii) to any investment fund or other entity controlled or managed by the Stockholder or the investment adviser of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in the cases of clauses (i)-(v) (x) such Transferred Shares shall continue to be bound by this Agreement and (y) the applicable direct transferee (if any) of such Transferred Shares shall have executed and delivered to Gem and the Company a support agreement substantially identical to this Agreement upon consummation of the Transfer or (vi) to the extent required by applicable Law.</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9560"/>
          </w:cols>
          <w:pgMar w:left="1160" w:top="253" w:right="1179" w:bottom="1440" w:gutter="0" w:footer="0" w:header="0"/>
        </w:sectPr>
      </w:pPr>
    </w:p>
    <w:bookmarkStart w:id="113" w:name="page114"/>
    <w:bookmarkEnd w:id="113"/>
    <w:p>
      <w:pPr>
        <w:ind w:left="541" w:hanging="155"/>
        <w:spacing w:after="0"/>
        <w:tabs>
          <w:tab w:leader="none" w:pos="541"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Agreement to Vote Shares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jc w:val="both"/>
        <w:ind w:left="1" w:right="100" w:firstLine="867"/>
        <w:spacing w:after="0" w:line="271" w:lineRule="auto"/>
        <w:tabs>
          <w:tab w:leader="none" w:pos="1084" w:val="left"/>
        </w:tabs>
        <w:numPr>
          <w:ilvl w:val="2"/>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Until the Expiration Date (as defined below), at any meeting of the stockholders of Gem, however called, and at every adjournment or postponement thereof, and on every action or approval by written consent of the stockholders of Gem, the Stockholder shall be present (in person or by proxy) and vote, or exercise its right to consent with respect to, all Shares held by the Stockholder (A) in favor of the Gem Stockholder Matters and</w:t>
      </w:r>
    </w:p>
    <w:p>
      <w:pPr>
        <w:ind w:left="241" w:hanging="241"/>
        <w:spacing w:after="0"/>
        <w:tabs>
          <w:tab w:leader="none" w:pos="241"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Acquisition Proposal.</w:t>
      </w:r>
    </w:p>
    <w:p>
      <w:pPr>
        <w:spacing w:after="0" w:line="82" w:lineRule="exact"/>
        <w:rPr>
          <w:rFonts w:ascii="Times New Roman" w:cs="Times New Roman" w:eastAsia="Times New Roman" w:hAnsi="Times New Roman"/>
          <w:sz w:val="16"/>
          <w:szCs w:val="16"/>
          <w:color w:val="auto"/>
        </w:rPr>
      </w:pPr>
    </w:p>
    <w:p>
      <w:pPr>
        <w:ind w:left="1" w:right="100" w:firstLine="867"/>
        <w:spacing w:after="0" w:line="310" w:lineRule="auto"/>
        <w:tabs>
          <w:tab w:leader="none" w:pos="1093" w:val="left"/>
        </w:tabs>
        <w:numPr>
          <w:ilvl w:val="2"/>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5"/>
          <w:szCs w:val="15"/>
          <w:u w:val="single" w:color="auto"/>
          <w:color w:val="auto"/>
        </w:rPr>
        <w:t>Section 3.</w:t>
      </w:r>
    </w:p>
    <w:p>
      <w:pPr>
        <w:spacing w:after="0" w:line="27" w:lineRule="exact"/>
        <w:rPr>
          <w:rFonts w:ascii="Times New Roman" w:cs="Times New Roman" w:eastAsia="Times New Roman" w:hAnsi="Times New Roman"/>
          <w:sz w:val="15"/>
          <w:szCs w:val="15"/>
          <w:color w:val="auto"/>
        </w:rPr>
      </w:pPr>
    </w:p>
    <w:p>
      <w:pPr>
        <w:ind w:left="1" w:right="60" w:firstLine="867"/>
        <w:spacing w:after="0" w:line="256" w:lineRule="auto"/>
        <w:tabs>
          <w:tab w:leader="none" w:pos="1084" w:val="left"/>
        </w:tabs>
        <w:numPr>
          <w:ilvl w:val="2"/>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stock split, stock dividend or distribution, or any change in the capital stock of Gem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66" w:lineRule="exact"/>
        <w:rPr>
          <w:rFonts w:ascii="Times New Roman" w:cs="Times New Roman" w:eastAsia="Times New Roman" w:hAnsi="Times New Roman"/>
          <w:sz w:val="16"/>
          <w:szCs w:val="16"/>
          <w:color w:val="auto"/>
        </w:rPr>
      </w:pPr>
    </w:p>
    <w:p>
      <w:pPr>
        <w:ind w:left="1" w:right="180" w:firstLine="385"/>
        <w:spacing w:after="0" w:line="261" w:lineRule="auto"/>
        <w:tabs>
          <w:tab w:leader="none" w:pos="545"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 in Stockholder Capacity Only</w:t>
      </w:r>
      <w:r>
        <w:rPr>
          <w:rFonts w:ascii="Times New Roman" w:cs="Times New Roman" w:eastAsia="Times New Roman" w:hAnsi="Times New Roman"/>
          <w:sz w:val="16"/>
          <w:szCs w:val="16"/>
          <w:color w:val="auto"/>
        </w:rPr>
        <w:t>. The Stockholder is entering into this Agreement solely in the Stockholder’s capacity as a record holder and beneficial owner, as applicable, of its Shares and not in the Stockholder’s capacity as a director or officer of Gem. Nothing herein shall limit or affect the Stockholder’s ability to act as an officer or director of Gem.</w:t>
      </w:r>
    </w:p>
    <w:p>
      <w:pPr>
        <w:spacing w:after="0" w:line="62" w:lineRule="exact"/>
        <w:rPr>
          <w:rFonts w:ascii="Times New Roman" w:cs="Times New Roman" w:eastAsia="Times New Roman" w:hAnsi="Times New Roman"/>
          <w:sz w:val="16"/>
          <w:szCs w:val="16"/>
          <w:color w:val="auto"/>
        </w:rPr>
      </w:pPr>
    </w:p>
    <w:p>
      <w:pPr>
        <w:ind w:left="1" w:firstLine="385"/>
        <w:spacing w:after="0" w:line="268" w:lineRule="auto"/>
        <w:tabs>
          <w:tab w:leader="none" w:pos="545" w:val="left"/>
        </w:tabs>
        <w:numPr>
          <w:ilvl w:val="1"/>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Irrevocable Proxy</w:t>
      </w:r>
      <w:r>
        <w:rPr>
          <w:rFonts w:ascii="Times New Roman" w:cs="Times New Roman" w:eastAsia="Times New Roman" w:hAnsi="Times New Roman"/>
          <w:sz w:val="15"/>
          <w:szCs w:val="15"/>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at any applicable meeting of the stockholders of Gem or pursuant to any applicable written consent of the stockholders of Gem, the Stockholder shall be deemed to have irrevocably granted to, and appointed, the Company, and any individual designated in writing by it, and each of them individually, as his, her or its proxy and attorney-in-fact (with full power of substitution), for and in its name, place and stead, to vote his, her or its Shares in any action by written consent of Gem stockholders or at any meeting of the Gem stockholders called with respect to any of the matters specified in, and in accordance and consistent with,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of this Agreement. Gem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9641"/>
          </w:cols>
          <w:pgMar w:left="1119" w:top="253" w:right="1139" w:bottom="1440" w:gutter="0" w:footer="0" w:header="0"/>
        </w:sectPr>
      </w:pPr>
    </w:p>
    <w:bookmarkStart w:id="114" w:name="page115"/>
    <w:bookmarkEnd w:id="114"/>
    <w:p>
      <w:pPr>
        <w:ind w:firstLine="385"/>
        <w:spacing w:after="0" w:line="251" w:lineRule="auto"/>
        <w:tabs>
          <w:tab w:leader="none" w:pos="543"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 Solicitation</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the Stockholder agrees not to, directly or indirectly, including through any of its officers, directors or agents, (a) solicit, seek or initiate or knowingly take any action to facilitate or encourage, any offers, inquiries or the making of any proposal or offer that constitutes, or could reasonably be expected to lead to, any Acquisition Proposal or (b) enter into, continue or otherwise participate or engage in any discussions or negotiations regarding any Acquisition Proposal, or furnish to any person any non-public information or afford any person, other than Gem or the Company, as applicable, access to such party’s property, books or records (except as required by applicable Law or pursuant to a request by a Governmental Authority) in connection with, any Acquisition Proposal;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prevent the Stockholder from referring a person to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to the Merger Agreement.</w:t>
      </w:r>
    </w:p>
    <w:p>
      <w:pPr>
        <w:spacing w:after="0" w:line="72" w:lineRule="exact"/>
        <w:rPr>
          <w:rFonts w:ascii="Times New Roman" w:cs="Times New Roman" w:eastAsia="Times New Roman" w:hAnsi="Times New Roman"/>
          <w:sz w:val="16"/>
          <w:szCs w:val="16"/>
          <w:color w:val="auto"/>
        </w:rPr>
      </w:pPr>
    </w:p>
    <w:p>
      <w:pPr>
        <w:ind w:right="40" w:firstLine="385"/>
        <w:spacing w:after="0" w:line="252" w:lineRule="auto"/>
        <w:tabs>
          <w:tab w:leader="none" w:pos="543"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authorizes Gem and the Company to publish and disclose in all documents and schedules filed with the SEC, and any press release or other disclosure document that Gem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provided, that, Gem and the Company provide such documents, schedules, press release or other disclosure document to the Stockholder in advance for its review and comment. Each of Gem and the Company is an intended third-party beneficiary of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firstLine="385"/>
        <w:spacing w:after="0" w:line="250" w:lineRule="auto"/>
        <w:tabs>
          <w:tab w:leader="none" w:pos="543"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Exercise of Appraisal Rights; Waivers</w:t>
      </w:r>
      <w:r>
        <w:rPr>
          <w:rFonts w:ascii="Times New Roman" w:cs="Times New Roman" w:eastAsia="Times New Roman" w:hAnsi="Times New Roman"/>
          <w:sz w:val="16"/>
          <w:szCs w:val="16"/>
          <w:color w:val="auto"/>
        </w:rPr>
        <w:t>.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or the approval of the Merger Agreement by the Gem Board, breaches any fiduciary duty of the Gem Board or any member thereof; provided, that the Stockholder may defend against, contest or settle any such action, claim, suit or cause of action brought against the Stockholder that relates solely to the Stockholder’s capacity as a director, officer or securityholder of Gem.</w:t>
      </w:r>
    </w:p>
    <w:p>
      <w:pPr>
        <w:spacing w:after="0" w:line="72" w:lineRule="exact"/>
        <w:rPr>
          <w:rFonts w:ascii="Times New Roman" w:cs="Times New Roman" w:eastAsia="Times New Roman" w:hAnsi="Times New Roman"/>
          <w:sz w:val="16"/>
          <w:szCs w:val="16"/>
          <w:color w:val="auto"/>
        </w:rPr>
      </w:pPr>
    </w:p>
    <w:p>
      <w:pPr>
        <w:ind w:left="540" w:hanging="155"/>
        <w:spacing w:after="0"/>
        <w:tabs>
          <w:tab w:leader="none" w:pos="54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99" w:lineRule="exact"/>
        <w:rPr>
          <w:rFonts w:ascii="Times New Roman" w:cs="Times New Roman" w:eastAsia="Times New Roman" w:hAnsi="Times New Roman"/>
          <w:sz w:val="16"/>
          <w:szCs w:val="16"/>
          <w:color w:val="auto"/>
        </w:rPr>
      </w:pPr>
    </w:p>
    <w:p>
      <w:pPr>
        <w:ind w:right="100" w:firstLine="867"/>
        <w:spacing w:after="0" w:line="256" w:lineRule="auto"/>
        <w:tabs>
          <w:tab w:leader="none" w:pos="1083"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The Stockholder is the beneficial or record owner of the shares of Gem Common Stock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(each of which shall be deemed to be “held” by the Stockholder for purposes of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unless otherwise expressly stated with respect to any shares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free and clear of any and all Liens; and (ii) the Stockholder does not beneficially own any securities of Gem other than the shares of Gem Common Stock and rights to purchase shares Gem Common Stock set forth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9640"/>
          </w:cols>
          <w:pgMar w:left="1120" w:top="253" w:right="1139" w:bottom="1440" w:gutter="0" w:footer="0" w:header="0"/>
        </w:sectPr>
      </w:pPr>
    </w:p>
    <w:bookmarkStart w:id="115" w:name="page116"/>
    <w:bookmarkEnd w:id="115"/>
    <w:p>
      <w:pPr>
        <w:ind w:firstLine="867"/>
        <w:spacing w:after="0" w:line="251" w:lineRule="auto"/>
        <w:tabs>
          <w:tab w:leader="none" w:pos="1092"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72" w:lineRule="exact"/>
        <w:rPr>
          <w:rFonts w:ascii="Times New Roman" w:cs="Times New Roman" w:eastAsia="Times New Roman" w:hAnsi="Times New Roman"/>
          <w:sz w:val="16"/>
          <w:szCs w:val="16"/>
          <w:color w:val="auto"/>
        </w:rPr>
      </w:pPr>
    </w:p>
    <w:p>
      <w:pPr>
        <w:ind w:right="60" w:firstLine="867"/>
        <w:spacing w:after="0" w:line="251" w:lineRule="auto"/>
        <w:tabs>
          <w:tab w:leader="none" w:pos="1083"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69" w:lineRule="exact"/>
        <w:rPr>
          <w:rFonts w:ascii="Times New Roman" w:cs="Times New Roman" w:eastAsia="Times New Roman" w:hAnsi="Times New Roman"/>
          <w:sz w:val="16"/>
          <w:szCs w:val="16"/>
          <w:color w:val="auto"/>
        </w:rPr>
      </w:pPr>
    </w:p>
    <w:p>
      <w:pPr>
        <w:ind w:right="100" w:firstLine="867"/>
        <w:spacing w:after="0" w:line="261" w:lineRule="auto"/>
        <w:tabs>
          <w:tab w:leader="none" w:pos="1092"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the Stockholder’s legal counsel. The Stockholder understands and acknowledges that the Company is entering into the Merger Agreement in reliance upon the Stockholder’s execution, delivery and performance of this Agreement.</w:t>
      </w:r>
    </w:p>
    <w:p>
      <w:pPr>
        <w:spacing w:after="0" w:line="62" w:lineRule="exact"/>
        <w:rPr>
          <w:rFonts w:ascii="Times New Roman" w:cs="Times New Roman" w:eastAsia="Times New Roman" w:hAnsi="Times New Roman"/>
          <w:sz w:val="16"/>
          <w:szCs w:val="16"/>
          <w:color w:val="auto"/>
        </w:rPr>
      </w:pPr>
    </w:p>
    <w:p>
      <w:pPr>
        <w:ind w:right="100" w:firstLine="867"/>
        <w:spacing w:after="0" w:line="256" w:lineRule="auto"/>
        <w:tabs>
          <w:tab w:leader="none" w:pos="1083"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66" w:lineRule="exact"/>
        <w:rPr>
          <w:rFonts w:ascii="Times New Roman" w:cs="Times New Roman" w:eastAsia="Times New Roman" w:hAnsi="Times New Roman"/>
          <w:sz w:val="16"/>
          <w:szCs w:val="16"/>
          <w:color w:val="auto"/>
        </w:rPr>
      </w:pPr>
    </w:p>
    <w:p>
      <w:pPr>
        <w:ind w:firstLine="867"/>
        <w:spacing w:after="0" w:line="251" w:lineRule="auto"/>
        <w:tabs>
          <w:tab w:leader="none" w:pos="1065"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Gem, the Company or any of their respective agents or representatives with respect to the tax consequences of the Merger and the Contemplated Transactions. The Stockholder understands that such Stockholder (and not Gem, the Company or the Surviving Corporation) shall be responsible for such Stockholder’s tax liability that may arise as a result of the Merger or the Contemplated Transactions. The Stockholder understands and acknowledges that the Company, Gem and Merger Sub are entering into the Merger Agreement in reliance upon the Stockholder’s execution, delivery and performance of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9640"/>
          </w:cols>
          <w:pgMar w:left="1120" w:top="253" w:right="1139" w:bottom="1440" w:gutter="0" w:footer="0" w:header="0"/>
        </w:sectPr>
      </w:pPr>
    </w:p>
    <w:bookmarkStart w:id="116" w:name="page117"/>
    <w:bookmarkEnd w:id="116"/>
    <w:p>
      <w:pPr>
        <w:jc w:val="both"/>
        <w:ind w:left="1" w:right="60" w:firstLine="867"/>
        <w:spacing w:after="0" w:line="256" w:lineRule="auto"/>
        <w:tabs>
          <w:tab w:leader="none" w:pos="1093" w:val="left"/>
        </w:tabs>
        <w:numPr>
          <w:ilvl w:val="2"/>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66" w:lineRule="exact"/>
        <w:rPr>
          <w:rFonts w:ascii="Times New Roman" w:cs="Times New Roman" w:eastAsia="Times New Roman" w:hAnsi="Times New Roman"/>
          <w:sz w:val="16"/>
          <w:szCs w:val="16"/>
          <w:color w:val="auto"/>
        </w:rPr>
      </w:pPr>
    </w:p>
    <w:p>
      <w:pPr>
        <w:ind w:left="1" w:firstLine="385"/>
        <w:spacing w:after="0" w:line="275" w:lineRule="auto"/>
        <w:tabs>
          <w:tab w:leader="none" w:pos="623" w:val="left"/>
        </w:tabs>
        <w:numPr>
          <w:ilvl w:val="1"/>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This Agreement shall terminate and shall cease to be of any further force or effect as of the earlier of (a) such date and time as the Merger Agreement shall have been terminated pursuant to the terms thereof or (b) the Effective Time (the “</w:t>
      </w:r>
      <w:r>
        <w:rPr>
          <w:rFonts w:ascii="Times New Roman" w:cs="Times New Roman" w:eastAsia="Times New Roman" w:hAnsi="Times New Roman"/>
          <w:sz w:val="15"/>
          <w:szCs w:val="15"/>
          <w:b w:val="1"/>
          <w:bCs w:val="1"/>
          <w:i w:val="1"/>
          <w:iCs w:val="1"/>
          <w:color w:val="auto"/>
        </w:rPr>
        <w:t>Expiration 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that</w:t>
      </w:r>
    </w:p>
    <w:p>
      <w:pPr>
        <w:ind w:left="1" w:right="340" w:hanging="1"/>
        <w:spacing w:after="0" w:line="253" w:lineRule="auto"/>
        <w:tabs>
          <w:tab w:leader="none" w:pos="189"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shall survive the termination of this Agreement, and (ii) the termination of this Agreement shall not relieve any party hereto from any liability for any material and willful breach of this Agreement prior to the Effective Time.</w:t>
      </w:r>
    </w:p>
    <w:p>
      <w:pPr>
        <w:spacing w:after="0" w:line="67" w:lineRule="exact"/>
        <w:rPr>
          <w:rFonts w:ascii="Times New Roman" w:cs="Times New Roman" w:eastAsia="Times New Roman" w:hAnsi="Times New Roman"/>
          <w:sz w:val="16"/>
          <w:szCs w:val="16"/>
          <w:color w:val="auto"/>
        </w:rPr>
      </w:pPr>
    </w:p>
    <w:p>
      <w:pPr>
        <w:ind w:left="621" w:hanging="235"/>
        <w:spacing w:after="0"/>
        <w:tabs>
          <w:tab w:leader="none" w:pos="621"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left="1" w:right="100" w:firstLine="867"/>
        <w:spacing w:after="0" w:line="276" w:lineRule="auto"/>
        <w:tabs>
          <w:tab w:leader="none" w:pos="1084" w:val="left"/>
        </w:tabs>
        <w:numPr>
          <w:ilvl w:val="2"/>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No amendment of this Agreement shall be effective against any party unless it shall be in writing and signed by each of the parties hereto.</w:t>
      </w:r>
    </w:p>
    <w:p>
      <w:pPr>
        <w:spacing w:after="0" w:line="49" w:lineRule="exact"/>
        <w:rPr>
          <w:rFonts w:ascii="Times New Roman" w:cs="Times New Roman" w:eastAsia="Times New Roman" w:hAnsi="Times New Roman"/>
          <w:sz w:val="16"/>
          <w:szCs w:val="16"/>
          <w:color w:val="auto"/>
        </w:rPr>
      </w:pPr>
    </w:p>
    <w:p>
      <w:pPr>
        <w:ind w:left="1" w:right="320" w:firstLine="867"/>
        <w:spacing w:after="0" w:line="276" w:lineRule="auto"/>
        <w:tabs>
          <w:tab w:leader="none" w:pos="1093" w:val="left"/>
        </w:tabs>
        <w:numPr>
          <w:ilvl w:val="2"/>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between the parties to this Agreement and supersedes all other prior agreements, arrangements and understandings, both written and oral, among the parties with respect to the subject matter hereof.</w:t>
      </w:r>
    </w:p>
    <w:p>
      <w:pPr>
        <w:spacing w:after="0" w:line="49" w:lineRule="exact"/>
        <w:rPr>
          <w:rFonts w:ascii="Times New Roman" w:cs="Times New Roman" w:eastAsia="Times New Roman" w:hAnsi="Times New Roman"/>
          <w:sz w:val="16"/>
          <w:szCs w:val="16"/>
          <w:color w:val="auto"/>
        </w:rPr>
      </w:pPr>
    </w:p>
    <w:p>
      <w:pPr>
        <w:ind w:left="1" w:right="80" w:firstLine="867"/>
        <w:spacing w:after="0" w:line="256" w:lineRule="auto"/>
        <w:tabs>
          <w:tab w:leader="none" w:pos="1084" w:val="left"/>
        </w:tabs>
        <w:numPr>
          <w:ilvl w:val="2"/>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matters arising out of or relating to this Agreement and the transactions contemplated hereby (including its interpretation, construction, performance and enforcement)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66" w:lineRule="exact"/>
        <w:rPr>
          <w:rFonts w:ascii="Times New Roman" w:cs="Times New Roman" w:eastAsia="Times New Roman" w:hAnsi="Times New Roman"/>
          <w:sz w:val="16"/>
          <w:szCs w:val="16"/>
          <w:color w:val="auto"/>
        </w:rPr>
      </w:pPr>
    </w:p>
    <w:p>
      <w:pPr>
        <w:ind w:left="1" w:firstLine="867"/>
        <w:spacing w:after="0" w:line="250" w:lineRule="auto"/>
        <w:tabs>
          <w:tab w:leader="none" w:pos="1093" w:val="left"/>
        </w:tabs>
        <w:numPr>
          <w:ilvl w:val="2"/>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xml:space="preserve">. Each of the parties to this Agreement (i) consents to submit itself to the exclusive personal jurisdiction of the Court of Chancery of the State of Delaware, New Castle County, or, if that court does not have jurisdiction, a federal court sitting in Wilmington, Delaware in any action or proceeding arising out of or relating to this Agreement or any of the transactions contemplated by this Agreement, (ii) agrees that all claims in respect of such action or proceeding shall be heard and determined in any such court, (iii) agrees that it shall not attempt to deny or defeat such personal jurisdiction by motion or other request for leave from any such court and (iv) agrees not to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party with respect thereto. Any party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6"/>
          <w:szCs w:val="16"/>
          <w:u w:val="single" w:color="auto"/>
          <w:color w:val="auto"/>
        </w:rPr>
        <w:t>Section 11(j)</w:t>
      </w:r>
      <w:r>
        <w:rPr>
          <w:rFonts w:ascii="Times New Roman" w:cs="Times New Roman" w:eastAsia="Times New Roman" w:hAnsi="Times New Roman"/>
          <w:sz w:val="16"/>
          <w:szCs w:val="16"/>
          <w:color w:val="auto"/>
        </w:rPr>
        <w:t xml:space="preserve">. Nothing in this </w:t>
      </w:r>
      <w:r>
        <w:rPr>
          <w:rFonts w:ascii="Times New Roman" w:cs="Times New Roman" w:eastAsia="Times New Roman" w:hAnsi="Times New Roman"/>
          <w:sz w:val="16"/>
          <w:szCs w:val="16"/>
          <w:u w:val="single" w:color="auto"/>
          <w:color w:val="auto"/>
        </w:rPr>
        <w:t>Section 11(d)</w:t>
      </w:r>
      <w:r>
        <w:rPr>
          <w:rFonts w:ascii="Times New Roman" w:cs="Times New Roman" w:eastAsia="Times New Roman" w:hAnsi="Times New Roman"/>
          <w:sz w:val="16"/>
          <w:szCs w:val="16"/>
          <w:color w:val="auto"/>
        </w:rPr>
        <w:t>, however, shall affect the right of any party to serve legal process in any other manner permitted by law.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9641"/>
          </w:cols>
          <w:pgMar w:left="1119" w:top="253" w:right="1139" w:bottom="1440" w:gutter="0" w:footer="0" w:header="0"/>
        </w:sectPr>
      </w:pPr>
    </w:p>
    <w:bookmarkStart w:id="117" w:name="page118"/>
    <w:bookmarkEnd w:id="117"/>
    <w:p>
      <w:pPr>
        <w:ind w:left="1" w:right="80" w:firstLine="867"/>
        <w:spacing w:after="0" w:line="254" w:lineRule="auto"/>
        <w:tabs>
          <w:tab w:leader="none" w:pos="1084"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WAIVER OF JURY TRIAL</w:t>
      </w:r>
      <w:r>
        <w:rPr>
          <w:rFonts w:ascii="Times New Roman" w:cs="Times New Roman" w:eastAsia="Times New Roman" w:hAnsi="Times New Roman"/>
          <w:sz w:val="16"/>
          <w:szCs w:val="16"/>
          <w:color w:val="auto"/>
        </w:rPr>
        <w:t>. EACH OF THE PARTIES TO THIS AGREEMENT HEREBY IRREVOCABLY WAIVES ALL RIGHT TO TRIAL BY JURY IN ANY ACTION, PROCEEDING OR COUNTERCLAIM (WHETHER BASED ON CONTRACT, TORT OR OTHERWISE) ARISING OUT OF OR RELATING TO THIS AGREEMENT OR THE TRANSACTIONS CONTEMPLATED HEREBY OR THE ACTIONS OF ANY PARTY TO THIS AGREEMENT IN THE NEGOTIATION, ADMINISTRATION, PERFORMANCE AND ENFORCEMENT OF THIS AGREEMENT.</w:t>
      </w:r>
    </w:p>
    <w:p>
      <w:pPr>
        <w:spacing w:after="0" w:line="67" w:lineRule="exact"/>
        <w:rPr>
          <w:rFonts w:ascii="Times New Roman" w:cs="Times New Roman" w:eastAsia="Times New Roman" w:hAnsi="Times New Roman"/>
          <w:sz w:val="16"/>
          <w:szCs w:val="16"/>
          <w:color w:val="auto"/>
        </w:rPr>
      </w:pPr>
    </w:p>
    <w:p>
      <w:pPr>
        <w:ind w:left="1" w:right="300" w:firstLine="867"/>
        <w:spacing w:after="0" w:line="254" w:lineRule="auto"/>
        <w:tabs>
          <w:tab w:leader="none" w:pos="1067"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Except as otherwise provided in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hereof, no party may assign any of its rights or delegate any of its performance obligations under this Agreement, in whole or in part, by operation of law or otherwise, without the prior written consent of the other parties hereto, and any such assignment without such prior written consent shall be null and void. Subject to the preceding sentence, this Agreement shall be binding upon, inure to the benefit of, and be enforceable by, the parties hereto and their respective successors and permitted assigns. Any purported assignment of rights or delegation of performance obligations in violation of this </w:t>
      </w:r>
      <w:r>
        <w:rPr>
          <w:rFonts w:ascii="Times New Roman" w:cs="Times New Roman" w:eastAsia="Times New Roman" w:hAnsi="Times New Roman"/>
          <w:sz w:val="16"/>
          <w:szCs w:val="16"/>
          <w:u w:val="single" w:color="auto"/>
          <w:color w:val="auto"/>
        </w:rPr>
        <w:t>Section 11(f)</w:t>
      </w:r>
      <w:r>
        <w:rPr>
          <w:rFonts w:ascii="Times New Roman" w:cs="Times New Roman" w:eastAsia="Times New Roman" w:hAnsi="Times New Roman"/>
          <w:sz w:val="16"/>
          <w:szCs w:val="16"/>
          <w:color w:val="auto"/>
        </w:rPr>
        <w:t xml:space="preserve"> is void.</w:t>
      </w:r>
    </w:p>
    <w:p>
      <w:pPr>
        <w:spacing w:after="0" w:line="67" w:lineRule="exact"/>
        <w:rPr>
          <w:rFonts w:ascii="Times New Roman" w:cs="Times New Roman" w:eastAsia="Times New Roman" w:hAnsi="Times New Roman"/>
          <w:sz w:val="16"/>
          <w:szCs w:val="16"/>
          <w:color w:val="auto"/>
        </w:rPr>
      </w:pPr>
    </w:p>
    <w:p>
      <w:pPr>
        <w:ind w:left="1" w:firstLine="867"/>
        <w:spacing w:after="0" w:line="276" w:lineRule="auto"/>
        <w:tabs>
          <w:tab w:leader="none" w:pos="1093"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 Party Rights</w:t>
      </w:r>
      <w:r>
        <w:rPr>
          <w:rFonts w:ascii="Times New Roman" w:cs="Times New Roman" w:eastAsia="Times New Roman" w:hAnsi="Times New Roman"/>
          <w:sz w:val="16"/>
          <w:szCs w:val="16"/>
          <w:color w:val="auto"/>
        </w:rPr>
        <w:t>. This Agreement is not intended to, and shall not, confer upon any other person any rights or remedies hereunder other than the parties hereto to the extent expressly set forth herein.</w:t>
      </w:r>
    </w:p>
    <w:p>
      <w:pPr>
        <w:spacing w:after="0" w:line="49" w:lineRule="exact"/>
        <w:rPr>
          <w:rFonts w:ascii="Times New Roman" w:cs="Times New Roman" w:eastAsia="Times New Roman" w:hAnsi="Times New Roman"/>
          <w:sz w:val="16"/>
          <w:szCs w:val="16"/>
          <w:color w:val="auto"/>
        </w:rPr>
      </w:pPr>
    </w:p>
    <w:p>
      <w:pPr>
        <w:ind w:left="1" w:right="20" w:firstLine="867"/>
        <w:spacing w:after="0" w:line="250" w:lineRule="auto"/>
        <w:tabs>
          <w:tab w:leader="none" w:pos="1093"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72" w:lineRule="exact"/>
        <w:rPr>
          <w:rFonts w:ascii="Times New Roman" w:cs="Times New Roman" w:eastAsia="Times New Roman" w:hAnsi="Times New Roman"/>
          <w:sz w:val="16"/>
          <w:szCs w:val="16"/>
          <w:color w:val="auto"/>
        </w:rPr>
      </w:pPr>
    </w:p>
    <w:p>
      <w:pPr>
        <w:ind w:left="1" w:right="20" w:firstLine="867"/>
        <w:spacing w:after="0" w:line="256" w:lineRule="auto"/>
        <w:tabs>
          <w:tab w:leader="none" w:pos="1058"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66" w:lineRule="exact"/>
        <w:rPr>
          <w:rFonts w:ascii="Times New Roman" w:cs="Times New Roman" w:eastAsia="Times New Roman" w:hAnsi="Times New Roman"/>
          <w:sz w:val="16"/>
          <w:szCs w:val="16"/>
          <w:color w:val="auto"/>
        </w:rPr>
      </w:pPr>
    </w:p>
    <w:p>
      <w:pPr>
        <w:ind w:left="1" w:firstLine="867"/>
        <w:spacing w:after="0" w:line="269" w:lineRule="auto"/>
        <w:tabs>
          <w:tab w:leader="none" w:pos="1058" w:val="left"/>
        </w:tabs>
        <w:numPr>
          <w:ilvl w:val="1"/>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and other communications hereunder shall be in writing and shall be deemed duly delivered (i) three Business Days after being sent by registered or certified mail, return receipt requested, postage prepaid, or (ii) one Business Day after being sent for next Business Day delivery, fees prepaid, via a reputable overnight courier service, in each case to the intended recipient as follows: (A) if to the Company or Gem, to the address, electronic mail address or facsimile provided in the Merger Agreement, including to the persons designated therein to receive copies; and/or</w:t>
      </w:r>
    </w:p>
    <w:p>
      <w:pPr>
        <w:ind w:left="241" w:hanging="241"/>
        <w:spacing w:after="0"/>
        <w:tabs>
          <w:tab w:leader="none" w:pos="241"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Stockholder, to the Stockholder’s address, electronic mail address or facsimile shown below Stockholder’s signature to this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9641"/>
          </w:cols>
          <w:pgMar w:left="1119" w:top="253" w:right="1139" w:bottom="1440" w:gutter="0" w:footer="0" w:header="0"/>
        </w:sectPr>
      </w:pPr>
    </w:p>
    <w:bookmarkStart w:id="118" w:name="page119"/>
    <w:bookmarkEnd w:id="118"/>
    <w:p>
      <w:pPr>
        <w:ind w:left="-20" w:firstLine="867"/>
        <w:spacing w:after="0" w:line="254" w:lineRule="auto"/>
        <w:tabs>
          <w:tab w:leader="none" w:pos="107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Counterparts</w:t>
      </w:r>
      <w:r>
        <w:rPr>
          <w:rFonts w:ascii="Times New Roman" w:cs="Times New Roman" w:eastAsia="Times New Roman" w:hAnsi="Times New Roman"/>
          <w:sz w:val="16"/>
          <w:szCs w:val="16"/>
          <w:color w:val="auto"/>
        </w:rPr>
        <w:t>. This Agreement may be executed in two or more counterparts (including by facsimile, by an electronic scan delivered by electronic mail or any electronic signature),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by an electronic scan delivered by electronic mail or by delivery of any electronic signature.</w:t>
      </w:r>
    </w:p>
    <w:p>
      <w:pPr>
        <w:spacing w:after="0" w:line="67" w:lineRule="exact"/>
        <w:rPr>
          <w:rFonts w:ascii="Times New Roman" w:cs="Times New Roman" w:eastAsia="Times New Roman" w:hAnsi="Times New Roman"/>
          <w:sz w:val="16"/>
          <w:szCs w:val="16"/>
          <w:color w:val="auto"/>
        </w:rPr>
      </w:pPr>
    </w:p>
    <w:p>
      <w:pPr>
        <w:ind w:left="-20" w:firstLine="867"/>
        <w:spacing w:after="0" w:line="250" w:lineRule="auto"/>
        <w:tabs>
          <w:tab w:leader="none" w:pos="1037"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Gem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Neither the Stockholder nor any of its Affiliates (other than Gem,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Gem, except as may be required by applicable Law in which circumstance such announcing party shall make reasonable efforts to consult with the Company and Gem to the extent practicable. The Company is an intended third-party beneficiary of this </w:t>
      </w:r>
      <w:r>
        <w:rPr>
          <w:rFonts w:ascii="Times New Roman" w:cs="Times New Roman" w:eastAsia="Times New Roman" w:hAnsi="Times New Roman"/>
          <w:sz w:val="16"/>
          <w:szCs w:val="16"/>
          <w:u w:val="single" w:color="auto"/>
          <w:color w:val="auto"/>
        </w:rPr>
        <w:t>Section 11(l)</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left="-20" w:right="20" w:firstLine="867"/>
        <w:spacing w:after="0" w:line="251" w:lineRule="auto"/>
        <w:tabs>
          <w:tab w:leader="none" w:pos="1115"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Left Intentionally Blank]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9600"/>
          </w:cols>
          <w:pgMar w:left="1140" w:top="253" w:right="1159" w:bottom="1440" w:gutter="0" w:footer="0" w:header="0"/>
        </w:sectPr>
      </w:pPr>
    </w:p>
    <w:bookmarkStart w:id="119" w:name="page120"/>
    <w:bookmarkEnd w:id="119"/>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 WITNESS WHEREOF, the undersigned have caused this Agreement to be duly executed as of the date 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his/her capacity as the Stockholder: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13970</wp:posOffset>
            </wp:positionV>
            <wp:extent cx="192976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29765" cy="762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244792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509270</wp:posOffset>
            </wp:positionV>
            <wp:extent cx="244792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764540</wp:posOffset>
            </wp:positionV>
            <wp:extent cx="244792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Page 9</w:t>
      </w:r>
    </w:p>
    <w:p>
      <w:pPr>
        <w:sectPr>
          <w:pgSz w:w="11900" w:h="16838" w:orient="portrait"/>
          <w:cols w:equalWidth="0" w:num="1">
            <w:col w:w="9339"/>
          </w:cols>
          <w:pgMar w:left="1120" w:top="253"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Appendix A</w:t>
      </w:r>
    </w:p>
    <w:p>
      <w:pPr>
        <w:sectPr>
          <w:pgSz w:w="11900" w:h="16838" w:orient="portrait"/>
          <w:cols w:equalWidth="0" w:num="1">
            <w:col w:w="9019"/>
          </w:cols>
          <w:pgMar w:left="1440" w:top="253" w:right="1440"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B</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COMPANY STOCKHOLDER SUPPORT AGREEMENT</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This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 2022, by and among [Disc] a Delaware corporation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 a Delaware corporation (“</w:t>
      </w:r>
      <w:r>
        <w:rPr>
          <w:rFonts w:ascii="Times New Roman" w:cs="Times New Roman" w:eastAsia="Times New Roman" w:hAnsi="Times New Roman"/>
          <w:sz w:val="15"/>
          <w:szCs w:val="15"/>
          <w:u w:val="single" w:color="auto"/>
          <w:color w:val="auto"/>
        </w:rPr>
        <w:t>Gem</w:t>
      </w:r>
      <w:r>
        <w:rPr>
          <w:rFonts w:ascii="Times New Roman" w:cs="Times New Roman" w:eastAsia="Times New Roman" w:hAnsi="Times New Roman"/>
          <w:sz w:val="15"/>
          <w:szCs w:val="15"/>
          <w:color w:val="auto"/>
        </w:rPr>
        <w:t>”), and the undersigned stockholder (the “</w:t>
      </w:r>
      <w:r>
        <w:rPr>
          <w:rFonts w:ascii="Times New Roman" w:cs="Times New Roman" w:eastAsia="Times New Roman" w:hAnsi="Times New Roman"/>
          <w:sz w:val="15"/>
          <w:szCs w:val="15"/>
          <w:u w:val="single" w:color="auto"/>
          <w:color w:val="auto"/>
        </w:rPr>
        <w:t>Stockholder</w:t>
      </w:r>
      <w:r>
        <w:rPr>
          <w:rFonts w:ascii="Times New Roman" w:cs="Times New Roman" w:eastAsia="Times New Roman" w:hAnsi="Times New Roman"/>
          <w:sz w:val="15"/>
          <w:szCs w:val="15"/>
          <w:color w:val="auto"/>
        </w:rPr>
        <w:t>”) of the Company. Capitalized terms used herein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but not otherwise defined shall have the respective meanings ascribed to such terms in the Merger Agreement (as defined below).</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6"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WHEREAS, concurrently with the execution and delivery hereof, Gem, the Company and [MERGER SUB], a Delaware corporation and a wholly owned subsidiary of Gem (the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Merger Sub will merge with and into the Company, with the Company surviving the merger as the surviving corporation and a wholly owned subsidiary of Gem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upon the terms and subject to the conditions set forth in the Merger Agreement.</w:t>
      </w:r>
    </w:p>
    <w:p>
      <w:pPr>
        <w:spacing w:after="0" w:line="162" w:lineRule="exact"/>
        <w:rPr>
          <w:sz w:val="20"/>
          <w:szCs w:val="20"/>
          <w:color w:val="auto"/>
        </w:rPr>
      </w:pPr>
    </w:p>
    <w:p>
      <w:pPr>
        <w:ind w:right="140" w:firstLine="386"/>
        <w:spacing w:after="0" w:line="276" w:lineRule="auto"/>
        <w:rPr>
          <w:sz w:val="20"/>
          <w:szCs w:val="20"/>
          <w:color w:val="auto"/>
        </w:rPr>
      </w:pPr>
      <w:r>
        <w:rPr>
          <w:rFonts w:ascii="Times New Roman" w:cs="Times New Roman" w:eastAsia="Times New Roman" w:hAnsi="Times New Roman"/>
          <w:sz w:val="16"/>
          <w:szCs w:val="16"/>
          <w:color w:val="auto"/>
        </w:rPr>
        <w:t xml:space="preserve">WHEREAS, as of the date hereof, the Stockholder is the beneficial owner (as defined in Rule 13d-3 under the Exchange Act) of such number of shares of Company Capital Stock as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right="180" w:firstLine="386"/>
        <w:spacing w:after="0" w:line="276" w:lineRule="auto"/>
        <w:rPr>
          <w:sz w:val="20"/>
          <w:szCs w:val="20"/>
          <w:color w:val="auto"/>
        </w:rPr>
      </w:pPr>
      <w:r>
        <w:rPr>
          <w:rFonts w:ascii="Times New Roman" w:cs="Times New Roman" w:eastAsia="Times New Roman" w:hAnsi="Times New Roman"/>
          <w:sz w:val="16"/>
          <w:szCs w:val="16"/>
          <w:color w:val="auto"/>
        </w:rPr>
        <w:t>WHEREAS, as an inducement to the willingness of Gem to enter into the Merger Agreement, Gem has required that Stockholder enter into this Agreement.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NOW, THEREFORE, intending to be legally bound, the parties hereby agree as follows:</w:t>
      </w:r>
    </w:p>
    <w:p>
      <w:pPr>
        <w:spacing w:after="0" w:line="100" w:lineRule="exact"/>
        <w:rPr>
          <w:sz w:val="20"/>
          <w:szCs w:val="20"/>
          <w:color w:val="auto"/>
        </w:rPr>
      </w:pPr>
    </w:p>
    <w:p>
      <w:pPr>
        <w:ind w:right="20" w:firstLine="385"/>
        <w:spacing w:after="0" w:line="276" w:lineRule="auto"/>
        <w:tabs>
          <w:tab w:leader="none" w:pos="543"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49" w:lineRule="exact"/>
        <w:rPr>
          <w:rFonts w:ascii="Times New Roman" w:cs="Times New Roman" w:eastAsia="Times New Roman" w:hAnsi="Times New Roman"/>
          <w:sz w:val="16"/>
          <w:szCs w:val="16"/>
          <w:color w:val="auto"/>
        </w:rPr>
      </w:pPr>
    </w:p>
    <w:p>
      <w:pPr>
        <w:ind w:right="300" w:firstLine="867"/>
        <w:spacing w:after="0" w:line="256" w:lineRule="auto"/>
        <w:tabs>
          <w:tab w:leader="none" w:pos="1083"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Constructive Sale</w:t>
      </w:r>
      <w:r>
        <w:rPr>
          <w:rFonts w:ascii="Times New Roman" w:cs="Times New Roman" w:eastAsia="Times New Roman" w:hAnsi="Times New Roman"/>
          <w:sz w:val="16"/>
          <w:szCs w:val="16"/>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66" w:lineRule="exact"/>
        <w:rPr>
          <w:rFonts w:ascii="Times New Roman" w:cs="Times New Roman" w:eastAsia="Times New Roman" w:hAnsi="Times New Roman"/>
          <w:sz w:val="16"/>
          <w:szCs w:val="16"/>
          <w:color w:val="auto"/>
        </w:rPr>
      </w:pPr>
    </w:p>
    <w:p>
      <w:pPr>
        <w:ind w:right="60" w:firstLine="867"/>
        <w:spacing w:after="0" w:line="261" w:lineRule="auto"/>
        <w:tabs>
          <w:tab w:leader="none" w:pos="1092"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(i) all shares of Company Capital Stock beneficially owned by the Stockholder as of the date hereof, and (ii) all additional shares of Company Capital Stock acquired and beneficially owned by the Stockholder during the period commencing with the execution and delivery of this Agreement and expiring on the Closing Date.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Page 1</w:t>
      </w:r>
    </w:p>
    <w:p>
      <w:pPr>
        <w:sectPr>
          <w:pgSz w:w="11900" w:h="16838" w:orient="portrait"/>
          <w:cols w:equalWidth="0" w:num="1">
            <w:col w:w="9620"/>
          </w:cols>
          <w:pgMar w:left="1120" w:top="251" w:right="1159" w:bottom="1440" w:gutter="0" w:footer="0" w:header="0"/>
        </w:sectPr>
      </w:pPr>
    </w:p>
    <w:bookmarkStart w:id="122" w:name="page123"/>
    <w:bookmarkEnd w:id="122"/>
    <w:p>
      <w:pPr>
        <w:ind w:left="-40" w:firstLine="867"/>
        <w:spacing w:after="0" w:line="251" w:lineRule="auto"/>
        <w:tabs>
          <w:tab w:leader="none" w:pos="1043" w:val="left"/>
        </w:tabs>
        <w:numPr>
          <w:ilvl w:val="1"/>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Transferred</w:t>
      </w:r>
      <w:r>
        <w:rPr>
          <w:rFonts w:ascii="Times New Roman" w:cs="Times New Roman" w:eastAsia="Times New Roman" w:hAnsi="Times New Roman"/>
          <w:sz w:val="16"/>
          <w:szCs w:val="16"/>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beneficial ownership thereof, the offer to make such a sale, transfer, Constructive Sale or other disposition, and each agreement, arrangement or understanding, whether or not in writing, to effect any of the foregoing.</w:t>
      </w:r>
    </w:p>
    <w:p>
      <w:pPr>
        <w:spacing w:after="0" w:line="166" w:lineRule="exact"/>
        <w:rPr>
          <w:rFonts w:ascii="Times New Roman" w:cs="Times New Roman" w:eastAsia="Times New Roman" w:hAnsi="Times New Roman"/>
          <w:sz w:val="16"/>
          <w:szCs w:val="16"/>
          <w:color w:val="auto"/>
        </w:rPr>
      </w:pPr>
    </w:p>
    <w:p>
      <w:pPr>
        <w:ind w:left="500" w:hanging="155"/>
        <w:spacing w:after="0"/>
        <w:tabs>
          <w:tab w:leader="none" w:pos="50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and Voting Restrictions</w:t>
      </w:r>
      <w:r>
        <w:rPr>
          <w:rFonts w:ascii="Times New Roman" w:cs="Times New Roman" w:eastAsia="Times New Roman" w:hAnsi="Times New Roman"/>
          <w:sz w:val="16"/>
          <w:szCs w:val="16"/>
          <w:color w:val="auto"/>
        </w:rPr>
        <w:t>. The Stockholder covenants to Gem as follows:</w:t>
      </w:r>
    </w:p>
    <w:p>
      <w:pPr>
        <w:spacing w:after="0" w:line="99" w:lineRule="exact"/>
        <w:rPr>
          <w:rFonts w:ascii="Times New Roman" w:cs="Times New Roman" w:eastAsia="Times New Roman" w:hAnsi="Times New Roman"/>
          <w:sz w:val="16"/>
          <w:szCs w:val="16"/>
          <w:color w:val="auto"/>
        </w:rPr>
      </w:pPr>
    </w:p>
    <w:p>
      <w:pPr>
        <w:ind w:left="-40" w:right="120" w:firstLine="867"/>
        <w:spacing w:after="0" w:line="261" w:lineRule="auto"/>
        <w:tabs>
          <w:tab w:leader="none" w:pos="1043"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Section 2(c),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spacing w:after="0" w:line="62" w:lineRule="exact"/>
        <w:rPr>
          <w:rFonts w:ascii="Times New Roman" w:cs="Times New Roman" w:eastAsia="Times New Roman" w:hAnsi="Times New Roman"/>
          <w:sz w:val="16"/>
          <w:szCs w:val="16"/>
          <w:color w:val="auto"/>
        </w:rPr>
      </w:pPr>
    </w:p>
    <w:p>
      <w:pPr>
        <w:ind w:left="-40" w:right="20" w:firstLine="867"/>
        <w:spacing w:after="0" w:line="270" w:lineRule="auto"/>
        <w:tabs>
          <w:tab w:leader="none" w:pos="1052" w:val="left"/>
        </w:tabs>
        <w:numPr>
          <w:ilvl w:val="1"/>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the Amended and Restated Voting Agreement of the Company, dated as of August 23, 2021 (the “</w:t>
      </w:r>
      <w:r>
        <w:rPr>
          <w:rFonts w:ascii="Times New Roman" w:cs="Times New Roman" w:eastAsia="Times New Roman" w:hAnsi="Times New Roman"/>
          <w:sz w:val="15"/>
          <w:szCs w:val="15"/>
          <w:u w:val="single" w:color="auto"/>
          <w:color w:val="auto"/>
        </w:rPr>
        <w:t>Voting Agreement</w:t>
      </w:r>
      <w:r>
        <w:rPr>
          <w:rFonts w:ascii="Times New Roman" w:cs="Times New Roman" w:eastAsia="Times New Roman" w:hAnsi="Times New Roman"/>
          <w:sz w:val="15"/>
          <w:szCs w:val="15"/>
          <w:color w:val="auto"/>
        </w:rPr>
        <w: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execute and deliver the Company Stockholder Written Consent.</w:t>
      </w:r>
    </w:p>
    <w:p>
      <w:pPr>
        <w:spacing w:after="0" w:line="55" w:lineRule="exact"/>
        <w:rPr>
          <w:rFonts w:ascii="Times New Roman" w:cs="Times New Roman" w:eastAsia="Times New Roman" w:hAnsi="Times New Roman"/>
          <w:sz w:val="15"/>
          <w:szCs w:val="15"/>
          <w:color w:val="auto"/>
        </w:rPr>
      </w:pPr>
    </w:p>
    <w:p>
      <w:pPr>
        <w:ind w:left="-40" w:firstLine="867"/>
        <w:spacing w:after="0" w:line="268" w:lineRule="auto"/>
        <w:tabs>
          <w:tab w:leader="none" w:pos="1043" w:val="left"/>
        </w:tabs>
        <w:numPr>
          <w:ilvl w:val="1"/>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else herein to the contrary, the Stockholder may, at any time, Transfer Shares (i) by will or other testamentary document or by intestacy, (ii) to any investment fund or other entity controlled or managed by the Stockholder or the investment adviser of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in the cases of clauses (i)-(v) (x) such Transferred Shares shall continue to be bound by this Agreement and (y) the applicable direct transferee (if any) of such Transferred Shares shall have executed and delivered to Gem and the Company a support agreement substantially identical to this Agreement upon consummation of the Transfer or (vi) to the extent required by applicable Law.</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9560"/>
          </w:cols>
          <w:pgMar w:left="1160" w:top="253" w:right="1179" w:bottom="1440" w:gutter="0" w:footer="0" w:header="0"/>
        </w:sectPr>
      </w:pPr>
    </w:p>
    <w:bookmarkStart w:id="123" w:name="page124"/>
    <w:bookmarkEnd w:id="123"/>
    <w:p>
      <w:pPr>
        <w:ind w:left="540" w:hanging="155"/>
        <w:spacing w:after="0"/>
        <w:tabs>
          <w:tab w:leader="none" w:pos="54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Agreement to Vote Shares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ind w:firstLine="867"/>
        <w:spacing w:after="0" w:line="256" w:lineRule="auto"/>
        <w:tabs>
          <w:tab w:leader="none" w:pos="1083"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the Expiration Date, at any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and (C) against any Acquisition Proposal.</w:t>
      </w:r>
    </w:p>
    <w:p>
      <w:pPr>
        <w:spacing w:after="0" w:line="66" w:lineRule="exact"/>
        <w:rPr>
          <w:rFonts w:ascii="Times New Roman" w:cs="Times New Roman" w:eastAsia="Times New Roman" w:hAnsi="Times New Roman"/>
          <w:sz w:val="16"/>
          <w:szCs w:val="16"/>
          <w:color w:val="auto"/>
        </w:rPr>
      </w:pPr>
    </w:p>
    <w:p>
      <w:pPr>
        <w:ind w:firstLine="867"/>
        <w:spacing w:after="0" w:line="276" w:lineRule="auto"/>
        <w:tabs>
          <w:tab w:leader="none" w:pos="1092"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Stockholder is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6"/>
          <w:szCs w:val="16"/>
          <w:u w:val="single" w:color="auto"/>
          <w:color w:val="auto"/>
        </w:rPr>
        <w:t>Section 3.</w:t>
      </w:r>
    </w:p>
    <w:p>
      <w:pPr>
        <w:spacing w:after="0" w:line="49" w:lineRule="exact"/>
        <w:rPr>
          <w:rFonts w:ascii="Times New Roman" w:cs="Times New Roman" w:eastAsia="Times New Roman" w:hAnsi="Times New Roman"/>
          <w:sz w:val="16"/>
          <w:szCs w:val="16"/>
          <w:color w:val="auto"/>
        </w:rPr>
      </w:pPr>
    </w:p>
    <w:p>
      <w:pPr>
        <w:ind w:right="20" w:firstLine="867"/>
        <w:spacing w:after="0" w:line="256" w:lineRule="auto"/>
        <w:tabs>
          <w:tab w:leader="none" w:pos="1083"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66" w:lineRule="exact"/>
        <w:rPr>
          <w:rFonts w:ascii="Times New Roman" w:cs="Times New Roman" w:eastAsia="Times New Roman" w:hAnsi="Times New Roman"/>
          <w:sz w:val="16"/>
          <w:szCs w:val="16"/>
          <w:color w:val="auto"/>
        </w:rPr>
      </w:pPr>
    </w:p>
    <w:p>
      <w:pPr>
        <w:ind w:right="160" w:firstLine="385"/>
        <w:spacing w:after="0" w:line="261" w:lineRule="auto"/>
        <w:tabs>
          <w:tab w:leader="none" w:pos="543"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 in Stockholder Capacity Only</w:t>
      </w:r>
      <w:r>
        <w:rPr>
          <w:rFonts w:ascii="Times New Roman" w:cs="Times New Roman" w:eastAsia="Times New Roman" w:hAnsi="Times New Roman"/>
          <w:sz w:val="16"/>
          <w:szCs w:val="16"/>
          <w:color w:val="auto"/>
        </w:rPr>
        <w:t>. The Stockholder is entering into this Agreement solely in the Stockholder’s capacity as the beneficial owner of its Shares and not in the Stockholder’s capacity as a director or officer of the Company. Nothing herein shall limit or affect the Stockholder’s ability to act as an officer or director of the Company.</w:t>
      </w:r>
    </w:p>
    <w:p>
      <w:pPr>
        <w:spacing w:after="0" w:line="62" w:lineRule="exact"/>
        <w:rPr>
          <w:rFonts w:ascii="Times New Roman" w:cs="Times New Roman" w:eastAsia="Times New Roman" w:hAnsi="Times New Roman"/>
          <w:sz w:val="16"/>
          <w:szCs w:val="16"/>
          <w:color w:val="auto"/>
        </w:rPr>
      </w:pPr>
    </w:p>
    <w:p>
      <w:pPr>
        <w:ind w:firstLine="385"/>
        <w:spacing w:after="0" w:line="249" w:lineRule="auto"/>
        <w:tabs>
          <w:tab w:leader="none" w:pos="543"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Irrevocable Proxy</w:t>
      </w:r>
      <w:r>
        <w:rPr>
          <w:rFonts w:ascii="Times New Roman" w:cs="Times New Roman" w:eastAsia="Times New Roman" w:hAnsi="Times New Roman"/>
          <w:sz w:val="16"/>
          <w:szCs w:val="16"/>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at any applicable meeting of the stockholders of the Company or pursuant to any applicable written consent of the stockholders of the Company, the Stockholder shall be deemed to have irrevocably granted to, and appointed, the Company, and any individual designated in writing by it, and each of them individually, as his, her or its proxy and attorney-in-fact (with full power of substitution), for and in its name, place and stead, to vote his, her or its Shares in any action by written consent of Company stockholders or at any meeting of the Company stockholders called with respect to any of the matters specified in, and in accordance and consistent with,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Agreement. The Company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9640"/>
          </w:cols>
          <w:pgMar w:left="1120" w:top="253" w:right="1139" w:bottom="1440" w:gutter="0" w:footer="0" w:header="0"/>
        </w:sectPr>
      </w:pPr>
    </w:p>
    <w:bookmarkStart w:id="124" w:name="page125"/>
    <w:bookmarkEnd w:id="124"/>
    <w:p>
      <w:pPr>
        <w:ind w:firstLine="385"/>
        <w:spacing w:after="0" w:line="251" w:lineRule="auto"/>
        <w:tabs>
          <w:tab w:leader="none" w:pos="543"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No Solicitation</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the Stockholder agrees not to, directly or indirectly, including through any of its officers, directors or agents, (a) solicit, seek or initiate or knowingly take any action to facilitate or encourage, any offers, inquiries or the making of any proposal or offer that constitutes, or could reasonably be expected to lead to, any Acquisition Proposal or Acquisition Inquiry or (b) enter into, continue or otherwise participate or engage in any discussions or negotiations regarding any Acquisition Proposal, or furnish to any person any non-public information or afford any person, other than Gem or the Company, as applicable, access to such party’s property, books or records (except as required by applicable Law or pursuant to a request by a Governmental Authority) in connection with, any Acquisition Proposal;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prevent the Stockholder from referring a person to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to the Merger Agreement.</w:t>
      </w:r>
    </w:p>
    <w:p>
      <w:pPr>
        <w:spacing w:after="0" w:line="72" w:lineRule="exact"/>
        <w:rPr>
          <w:rFonts w:ascii="Times New Roman" w:cs="Times New Roman" w:eastAsia="Times New Roman" w:hAnsi="Times New Roman"/>
          <w:sz w:val="16"/>
          <w:szCs w:val="16"/>
          <w:color w:val="auto"/>
        </w:rPr>
      </w:pPr>
    </w:p>
    <w:p>
      <w:pPr>
        <w:ind w:right="40" w:firstLine="385"/>
        <w:spacing w:after="0" w:line="252" w:lineRule="auto"/>
        <w:tabs>
          <w:tab w:leader="none" w:pos="543"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authorizes Gem and the Company to publish and disclose in all documents and schedules filed with the SEC, and any press release or other disclosure document that Gem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provided, that, Gem and the Company provide such documents, schedules, press release or other disclosure document to the Stockholder in advance for its review and comment. Each of Gem and the Company is an intended third-party beneficiary of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right="20" w:firstLine="385"/>
        <w:spacing w:after="0" w:line="268" w:lineRule="auto"/>
        <w:tabs>
          <w:tab w:leader="none" w:pos="543"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Exercise of Appraisal Rights; Waivers</w:t>
      </w:r>
      <w:r>
        <w:rPr>
          <w:rFonts w:ascii="Times New Roman" w:cs="Times New Roman" w:eastAsia="Times New Roman" w:hAnsi="Times New Roman"/>
          <w:sz w:val="15"/>
          <w:szCs w:val="15"/>
          <w:color w:val="auto"/>
        </w:rPr>
        <w:t>.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breaches any duty that such Stockholder has (or may be alleged to have) to the Company or to the other Company stockholders; provided,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spacing w:after="0" w:line="57" w:lineRule="exact"/>
        <w:rPr>
          <w:rFonts w:ascii="Times New Roman" w:cs="Times New Roman" w:eastAsia="Times New Roman" w:hAnsi="Times New Roman"/>
          <w:sz w:val="15"/>
          <w:szCs w:val="15"/>
          <w:color w:val="auto"/>
        </w:rPr>
      </w:pPr>
    </w:p>
    <w:p>
      <w:pPr>
        <w:ind w:left="540" w:hanging="155"/>
        <w:spacing w:after="0"/>
        <w:tabs>
          <w:tab w:leader="none" w:pos="54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99" w:lineRule="exact"/>
        <w:rPr>
          <w:rFonts w:ascii="Times New Roman" w:cs="Times New Roman" w:eastAsia="Times New Roman" w:hAnsi="Times New Roman"/>
          <w:sz w:val="16"/>
          <w:szCs w:val="16"/>
          <w:color w:val="auto"/>
        </w:rPr>
      </w:pPr>
    </w:p>
    <w:p>
      <w:pPr>
        <w:ind w:right="80" w:firstLine="867"/>
        <w:spacing w:after="0" w:line="256" w:lineRule="auto"/>
        <w:tabs>
          <w:tab w:leader="none" w:pos="1083"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The Stockholder is the beneficial owner of the shares of Company Capital Stock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(each of which shall be deemed to be “held” by the Stockholder for purposes of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unless otherwise expressly stated with respect to any shares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free and clear of any and all Encumbrances (except for any Encumbrance that may be imposed pursuant to this Agreement, the Voting Agreement, the Amended and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9640"/>
          </w:cols>
          <w:pgMar w:left="1120" w:top="253" w:right="1139" w:bottom="1440" w:gutter="0" w:footer="0" w:header="0"/>
        </w:sectPr>
      </w:pPr>
    </w:p>
    <w:bookmarkStart w:id="125" w:name="page126"/>
    <w:bookmarkEnd w:id="125"/>
    <w:p>
      <w:pPr>
        <w:ind w:right="6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Restated Investors’ Rights Agreement of the Company, dated as of August 23, 2021 (the “</w:t>
      </w:r>
      <w:r>
        <w:rPr>
          <w:rFonts w:ascii="Times New Roman" w:cs="Times New Roman" w:eastAsia="Times New Roman" w:hAnsi="Times New Roman"/>
          <w:sz w:val="16"/>
          <w:szCs w:val="16"/>
          <w:u w:val="single" w:color="auto"/>
          <w:color w:val="auto"/>
        </w:rPr>
        <w:t>Investor’s Rights Agreement</w:t>
      </w:r>
      <w:r>
        <w:rPr>
          <w:rFonts w:ascii="Times New Roman" w:cs="Times New Roman" w:eastAsia="Times New Roman" w:hAnsi="Times New Roman"/>
          <w:sz w:val="16"/>
          <w:szCs w:val="16"/>
          <w:color w:val="auto"/>
        </w:rPr>
        <w:t xml:space="preserve">”), or any lock-up agreement entered into by and between the Stockholder, the Company and Gem); and (ii) the Stockholder does not beneficially own any securities of the Company other than the shares of Company Capital Stock and rights to purchase shares Company Capital Stock set forth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62" w:lineRule="exact"/>
        <w:rPr>
          <w:sz w:val="20"/>
          <w:szCs w:val="20"/>
          <w:color w:val="auto"/>
        </w:rPr>
      </w:pPr>
    </w:p>
    <w:p>
      <w:pPr>
        <w:ind w:right="20" w:firstLine="867"/>
        <w:spacing w:after="0" w:line="251" w:lineRule="auto"/>
        <w:tabs>
          <w:tab w:leader="none" w:pos="1092"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except for the Voting Agreement,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72" w:lineRule="exact"/>
        <w:rPr>
          <w:rFonts w:ascii="Times New Roman" w:cs="Times New Roman" w:eastAsia="Times New Roman" w:hAnsi="Times New Roman"/>
          <w:sz w:val="16"/>
          <w:szCs w:val="16"/>
          <w:color w:val="auto"/>
        </w:rPr>
      </w:pPr>
    </w:p>
    <w:p>
      <w:pPr>
        <w:ind w:right="60" w:firstLine="867"/>
        <w:spacing w:after="0" w:line="251" w:lineRule="auto"/>
        <w:tabs>
          <w:tab w:leader="none" w:pos="1083"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69" w:lineRule="exact"/>
        <w:rPr>
          <w:rFonts w:ascii="Times New Roman" w:cs="Times New Roman" w:eastAsia="Times New Roman" w:hAnsi="Times New Roman"/>
          <w:sz w:val="16"/>
          <w:szCs w:val="16"/>
          <w:color w:val="auto"/>
        </w:rPr>
      </w:pPr>
    </w:p>
    <w:p>
      <w:pPr>
        <w:ind w:right="100" w:firstLine="867"/>
        <w:spacing w:after="0" w:line="256" w:lineRule="auto"/>
        <w:tabs>
          <w:tab w:leader="none" w:pos="1092"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66" w:lineRule="exact"/>
        <w:rPr>
          <w:rFonts w:ascii="Times New Roman" w:cs="Times New Roman" w:eastAsia="Times New Roman" w:hAnsi="Times New Roman"/>
          <w:sz w:val="16"/>
          <w:szCs w:val="16"/>
          <w:color w:val="auto"/>
        </w:rPr>
      </w:pPr>
    </w:p>
    <w:p>
      <w:pPr>
        <w:ind w:firstLine="867"/>
        <w:spacing w:after="0" w:line="251" w:lineRule="auto"/>
        <w:tabs>
          <w:tab w:leader="none" w:pos="1083"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Gem, the Company or any of their respective agents or representatives with respect to the tax consequences of the Merger and the Contemplated Transactions. The Stockholder understands that such Stockholder (and not Gem, the Company or the Surviving Corporation) shall be responsible for such Stockholder’s tax liability that may arise as a result of the Merger or the Contemplated Transactions. The Stockholder understands and acknowledges that the Company, Gem and Merger Sub are entering into the Merger Agreement in reliance upon the Stockholder’s execution, delivery and performance of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9640"/>
          </w:cols>
          <w:pgMar w:left="1120" w:top="253" w:right="1139" w:bottom="1440" w:gutter="0" w:footer="0" w:header="0"/>
        </w:sectPr>
      </w:pPr>
    </w:p>
    <w:bookmarkStart w:id="126" w:name="page127"/>
    <w:bookmarkEnd w:id="126"/>
    <w:p>
      <w:pPr>
        <w:jc w:val="both"/>
        <w:ind w:right="60" w:firstLine="867"/>
        <w:spacing w:after="0" w:line="256" w:lineRule="auto"/>
        <w:tabs>
          <w:tab w:leader="none" w:pos="1065" w:val="left"/>
        </w:tabs>
        <w:numPr>
          <w:ilvl w:val="1"/>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66" w:lineRule="exact"/>
        <w:rPr>
          <w:rFonts w:ascii="Times New Roman" w:cs="Times New Roman" w:eastAsia="Times New Roman" w:hAnsi="Times New Roman"/>
          <w:sz w:val="16"/>
          <w:szCs w:val="16"/>
          <w:color w:val="auto"/>
        </w:rPr>
      </w:pPr>
    </w:p>
    <w:p>
      <w:pPr>
        <w:ind w:right="40" w:firstLine="385"/>
        <w:spacing w:after="0" w:line="252" w:lineRule="auto"/>
        <w:tabs>
          <w:tab w:leader="none" w:pos="622"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shall terminate and shall cease to be of any further force or effect as of the earliest of (a) such date and time as the Merger Agreement shall have been terminated pursuant to the terms thereof as in effect on the date of this Agreement (and without giving effect to any amendments thereto unless consented to by the Stockholder), (b) the Effective Time and (c) the time this Agreement is terminated upon the written agreement of the Stockholder, the Company and Gem (the “</w:t>
      </w:r>
      <w:r>
        <w:rPr>
          <w:rFonts w:ascii="Times New Roman" w:cs="Times New Roman" w:eastAsia="Times New Roman" w:hAnsi="Times New Roman"/>
          <w:sz w:val="16"/>
          <w:szCs w:val="16"/>
          <w:b w:val="1"/>
          <w:bCs w:val="1"/>
          <w:i w:val="1"/>
          <w:iCs w:val="1"/>
          <w:color w:val="auto"/>
        </w:rPr>
        <w:t>Expiration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that (i)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shall survive the termination of this Agreement, and (ii) the termination of this Agreement shall not relieve any party hereto from any liability for any material and willful breach of this Agreement prior to the Effective Time.</w:t>
      </w:r>
    </w:p>
    <w:p>
      <w:pPr>
        <w:spacing w:after="0" w:line="70" w:lineRule="exact"/>
        <w:rPr>
          <w:rFonts w:ascii="Times New Roman" w:cs="Times New Roman" w:eastAsia="Times New Roman" w:hAnsi="Times New Roman"/>
          <w:sz w:val="16"/>
          <w:szCs w:val="16"/>
          <w:color w:val="auto"/>
        </w:rPr>
      </w:pPr>
    </w:p>
    <w:p>
      <w:pPr>
        <w:ind w:left="620" w:hanging="235"/>
        <w:spacing w:after="0"/>
        <w:tabs>
          <w:tab w:leader="none" w:pos="6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right="100" w:firstLine="867"/>
        <w:spacing w:after="0" w:line="276" w:lineRule="auto"/>
        <w:tabs>
          <w:tab w:leader="none" w:pos="1083"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No amendment of this Agreement shall be effective against any party unless it shall be in writing and signed by each of the parties hereto.</w:t>
      </w:r>
    </w:p>
    <w:p>
      <w:pPr>
        <w:spacing w:after="0" w:line="49" w:lineRule="exact"/>
        <w:rPr>
          <w:rFonts w:ascii="Times New Roman" w:cs="Times New Roman" w:eastAsia="Times New Roman" w:hAnsi="Times New Roman"/>
          <w:sz w:val="16"/>
          <w:szCs w:val="16"/>
          <w:color w:val="auto"/>
        </w:rPr>
      </w:pPr>
    </w:p>
    <w:p>
      <w:pPr>
        <w:ind w:right="320" w:firstLine="867"/>
        <w:spacing w:after="0" w:line="276" w:lineRule="auto"/>
        <w:tabs>
          <w:tab w:leader="none" w:pos="1092"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between the parties to this Agreement and supersedes all other prior agreements, arrangements and understandings, both written and oral, among the parties with respect to the subject matter hereof.</w:t>
      </w:r>
    </w:p>
    <w:p>
      <w:pPr>
        <w:spacing w:after="0" w:line="49" w:lineRule="exact"/>
        <w:rPr>
          <w:rFonts w:ascii="Times New Roman" w:cs="Times New Roman" w:eastAsia="Times New Roman" w:hAnsi="Times New Roman"/>
          <w:sz w:val="16"/>
          <w:szCs w:val="16"/>
          <w:color w:val="auto"/>
        </w:rPr>
      </w:pPr>
    </w:p>
    <w:p>
      <w:pPr>
        <w:ind w:right="80" w:firstLine="867"/>
        <w:spacing w:after="0" w:line="256" w:lineRule="auto"/>
        <w:tabs>
          <w:tab w:leader="none" w:pos="1083"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matters arising out of or relating to this Agreement and the transactions contemplated hereby (including its interpretation, construction, performance and enforcement)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66" w:lineRule="exact"/>
        <w:rPr>
          <w:rFonts w:ascii="Times New Roman" w:cs="Times New Roman" w:eastAsia="Times New Roman" w:hAnsi="Times New Roman"/>
          <w:sz w:val="16"/>
          <w:szCs w:val="16"/>
          <w:color w:val="auto"/>
        </w:rPr>
      </w:pPr>
    </w:p>
    <w:p>
      <w:pPr>
        <w:ind w:firstLine="867"/>
        <w:spacing w:after="0" w:line="254" w:lineRule="auto"/>
        <w:tabs>
          <w:tab w:leader="none" w:pos="1092"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9640"/>
          </w:cols>
          <w:pgMar w:left="1120" w:top="253" w:right="1139" w:bottom="1440" w:gutter="0" w:footer="0" w:header="0"/>
        </w:sectPr>
      </w:pPr>
    </w:p>
    <w:bookmarkStart w:id="127" w:name="page128"/>
    <w:bookmarkEnd w:id="127"/>
    <w:p>
      <w:pPr>
        <w:ind w:right="2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SECTION 11(d),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11(j) OF THIS AGREEMENT AND (F) IRREVOCABLY WAIVES THE RIGHT TO TRIAL BY JURY.</w:t>
      </w:r>
    </w:p>
    <w:p>
      <w:pPr>
        <w:spacing w:after="0" w:line="72" w:lineRule="exact"/>
        <w:rPr>
          <w:sz w:val="20"/>
          <w:szCs w:val="20"/>
          <w:color w:val="auto"/>
        </w:rPr>
      </w:pPr>
    </w:p>
    <w:p>
      <w:pPr>
        <w:ind w:right="80" w:firstLine="867"/>
        <w:spacing w:after="0" w:line="254" w:lineRule="auto"/>
        <w:tabs>
          <w:tab w:leader="none" w:pos="1083"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EACH OF THE PARTIES TO THIS AGREEMENT HEREBY IRREVOCABLY WAIVES ALL RIGHT TO TRIAL BY JURY IN ANY ACTION, PROCEEDING OR COUNTERCLAIM (WHETHER BASED ON CONTRACT, TORT OR OTHERWISE) ARISING OUT OF OR RELATING TO THIS AGREEMENT OR THE TRANSACTIONS CONTEMPLATED HEREBY OR THE ACTIONS OF ANY PARTY TO THIS AGREEMENT IN THE NEGOTIATION, ADMINISTRATION, PERFORMANCE AND ENFORCEMENT OF THIS AGREEMENT.</w:t>
      </w:r>
    </w:p>
    <w:p>
      <w:pPr>
        <w:spacing w:after="0" w:line="67" w:lineRule="exact"/>
        <w:rPr>
          <w:rFonts w:ascii="Times New Roman" w:cs="Times New Roman" w:eastAsia="Times New Roman" w:hAnsi="Times New Roman"/>
          <w:sz w:val="16"/>
          <w:szCs w:val="16"/>
          <w:color w:val="auto"/>
        </w:rPr>
      </w:pPr>
    </w:p>
    <w:p>
      <w:pPr>
        <w:ind w:right="300" w:firstLine="867"/>
        <w:spacing w:after="0" w:line="254" w:lineRule="auto"/>
        <w:tabs>
          <w:tab w:leader="none" w:pos="1065"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Except as otherwise provided in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hereof, no party may assign any of its rights or delegate any of its performance obligations under this Agreement, in whole or in part, by operation of law or otherwise, without the prior written consent of the other parties hereto, and any such assignment without such prior written consent shall be null and void. Subject to the preceding sentence, this Agreement shall be binding upon, inure to the benefit of, and be enforceable by, the parties hereto and their respective successors and permitted assigns. Any purported assignment of rights or delegation of performance obligations in violation of this </w:t>
      </w:r>
      <w:r>
        <w:rPr>
          <w:rFonts w:ascii="Times New Roman" w:cs="Times New Roman" w:eastAsia="Times New Roman" w:hAnsi="Times New Roman"/>
          <w:sz w:val="16"/>
          <w:szCs w:val="16"/>
          <w:u w:val="single" w:color="auto"/>
          <w:color w:val="auto"/>
        </w:rPr>
        <w:t>Section 11(f)</w:t>
      </w:r>
      <w:r>
        <w:rPr>
          <w:rFonts w:ascii="Times New Roman" w:cs="Times New Roman" w:eastAsia="Times New Roman" w:hAnsi="Times New Roman"/>
          <w:sz w:val="16"/>
          <w:szCs w:val="16"/>
          <w:color w:val="auto"/>
        </w:rPr>
        <w:t xml:space="preserve"> is void.</w:t>
      </w:r>
    </w:p>
    <w:p>
      <w:pPr>
        <w:spacing w:after="0" w:line="67" w:lineRule="exact"/>
        <w:rPr>
          <w:rFonts w:ascii="Times New Roman" w:cs="Times New Roman" w:eastAsia="Times New Roman" w:hAnsi="Times New Roman"/>
          <w:sz w:val="16"/>
          <w:szCs w:val="16"/>
          <w:color w:val="auto"/>
        </w:rPr>
      </w:pPr>
    </w:p>
    <w:p>
      <w:pPr>
        <w:ind w:firstLine="867"/>
        <w:spacing w:after="0" w:line="276" w:lineRule="auto"/>
        <w:tabs>
          <w:tab w:leader="none" w:pos="109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 Party Rights</w:t>
      </w:r>
      <w:r>
        <w:rPr>
          <w:rFonts w:ascii="Times New Roman" w:cs="Times New Roman" w:eastAsia="Times New Roman" w:hAnsi="Times New Roman"/>
          <w:sz w:val="16"/>
          <w:szCs w:val="16"/>
          <w:color w:val="auto"/>
        </w:rPr>
        <w:t>. This Agreement is not intended to, and shall not, confer upon any other person any rights or remedies hereunder other than the parties hereto to the extent expressly set forth herein.</w:t>
      </w:r>
    </w:p>
    <w:p>
      <w:pPr>
        <w:spacing w:after="0" w:line="49" w:lineRule="exact"/>
        <w:rPr>
          <w:rFonts w:ascii="Times New Roman" w:cs="Times New Roman" w:eastAsia="Times New Roman" w:hAnsi="Times New Roman"/>
          <w:sz w:val="16"/>
          <w:szCs w:val="16"/>
          <w:color w:val="auto"/>
        </w:rPr>
      </w:pPr>
    </w:p>
    <w:p>
      <w:pPr>
        <w:ind w:right="20" w:firstLine="867"/>
        <w:spacing w:after="0" w:line="250" w:lineRule="auto"/>
        <w:tabs>
          <w:tab w:leader="none" w:pos="109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9640"/>
          </w:cols>
          <w:pgMar w:left="1120" w:top="253" w:right="1139" w:bottom="1440" w:gutter="0" w:footer="0" w:header="0"/>
        </w:sectPr>
      </w:pPr>
    </w:p>
    <w:bookmarkStart w:id="128" w:name="page129"/>
    <w:bookmarkEnd w:id="128"/>
    <w:p>
      <w:pPr>
        <w:ind w:left="-20" w:firstLine="867"/>
        <w:spacing w:after="0" w:line="256" w:lineRule="auto"/>
        <w:tabs>
          <w:tab w:leader="none" w:pos="103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Specific Performance</w:t>
      </w:r>
      <w:r>
        <w:rPr>
          <w:rFonts w:ascii="Times New Roman" w:cs="Times New Roman" w:eastAsia="Times New Roman" w:hAnsi="Times New Roman"/>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66" w:lineRule="exact"/>
        <w:rPr>
          <w:rFonts w:ascii="Times New Roman" w:cs="Times New Roman" w:eastAsia="Times New Roman" w:hAnsi="Times New Roman"/>
          <w:sz w:val="16"/>
          <w:szCs w:val="16"/>
          <w:color w:val="auto"/>
        </w:rPr>
      </w:pPr>
    </w:p>
    <w:p>
      <w:pPr>
        <w:ind w:left="-20" w:right="20" w:firstLine="867"/>
        <w:spacing w:after="0" w:line="251" w:lineRule="auto"/>
        <w:tabs>
          <w:tab w:leader="none" w:pos="103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hereunder shall be in writing and shall be deemed to have been duly delivered and received hereunder (i) three Business Days after being sent by registered or certified mail, return receipt requested, postage prepaid, (ii) one Business Day after being sent for next Business Day delivery, fees prepaid, via a reputable overnight courier service, (iii) upon delivery, in the case of delivery by hand, or (iv) on the date delivered in the place of delivery if sent by electronic mail or facsimile (with written or electronic confirmation of delivery) prior to 6:00 p.m., New York City time, otherwise on the next succeeding Business Day, in each case to the intended recipient as follows: (A) if to the Company or Gem, to the address, electronic mail address or facsimile provided in the Merger Agreement, including to the persons designated therein to receive copies; and/or (B) if to the Stockholder, to the Stockholder’s address, electronic mail address or facsimile shown below Stockholder’s signature to this Agreement.</w:t>
      </w:r>
    </w:p>
    <w:p>
      <w:pPr>
        <w:spacing w:after="0" w:line="69" w:lineRule="exact"/>
        <w:rPr>
          <w:rFonts w:ascii="Times New Roman" w:cs="Times New Roman" w:eastAsia="Times New Roman" w:hAnsi="Times New Roman"/>
          <w:sz w:val="16"/>
          <w:szCs w:val="16"/>
          <w:color w:val="auto"/>
        </w:rPr>
      </w:pPr>
    </w:p>
    <w:p>
      <w:pPr>
        <w:ind w:left="-20" w:firstLine="867"/>
        <w:spacing w:after="0" w:line="254" w:lineRule="auto"/>
        <w:tabs>
          <w:tab w:leader="none" w:pos="107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(including by facsimile, by an electronic scan delivered by electronic mail or any electronic signature),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by an electronic scan delivered by electronic mail or by delivery of any electronic signature.</w:t>
      </w:r>
    </w:p>
    <w:p>
      <w:pPr>
        <w:spacing w:after="0" w:line="67" w:lineRule="exact"/>
        <w:rPr>
          <w:rFonts w:ascii="Times New Roman" w:cs="Times New Roman" w:eastAsia="Times New Roman" w:hAnsi="Times New Roman"/>
          <w:sz w:val="16"/>
          <w:szCs w:val="16"/>
          <w:color w:val="auto"/>
        </w:rPr>
      </w:pPr>
    </w:p>
    <w:p>
      <w:pPr>
        <w:ind w:left="-20" w:right="120" w:firstLine="867"/>
        <w:spacing w:after="0" w:line="249" w:lineRule="auto"/>
        <w:tabs>
          <w:tab w:leader="none" w:pos="103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the Company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or as otherwise permitted pursuant to and in accordance with the terms of Section 3.4 of the Investors’ Rights Agreement.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Gem, except as may be required by applicable Law in which circumstance such announcing party shall make reasonable efforts to consult with the Company and Gem to the extent practicable. The Company is an intended third-party beneficiary of this </w:t>
      </w:r>
      <w:r>
        <w:rPr>
          <w:rFonts w:ascii="Times New Roman" w:cs="Times New Roman" w:eastAsia="Times New Roman" w:hAnsi="Times New Roman"/>
          <w:sz w:val="16"/>
          <w:szCs w:val="16"/>
          <w:u w:val="single" w:color="auto"/>
          <w:color w:val="auto"/>
        </w:rPr>
        <w:t>Section 11(l)</w:t>
      </w: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9600"/>
          </w:cols>
          <w:pgMar w:left="1140" w:top="253" w:right="1159" w:bottom="1440" w:gutter="0" w:footer="0" w:header="0"/>
        </w:sectPr>
      </w:pPr>
    </w:p>
    <w:bookmarkStart w:id="129" w:name="page130"/>
    <w:bookmarkEnd w:id="129"/>
    <w:p>
      <w:pPr>
        <w:ind w:left="-40" w:firstLine="867"/>
        <w:spacing w:after="0" w:line="251" w:lineRule="auto"/>
        <w:tabs>
          <w:tab w:leader="none" w:pos="109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Interpretation</w:t>
      </w:r>
      <w:r>
        <w:rPr>
          <w:rFonts w:ascii="Times New Roman" w:cs="Times New Roman" w:eastAsia="Times New Roman" w:hAnsi="Times New Roman"/>
          <w:sz w:val="16"/>
          <w:szCs w:val="16"/>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Left Intentionally Blank]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9</w:t>
      </w:r>
    </w:p>
    <w:p>
      <w:pPr>
        <w:sectPr>
          <w:pgSz w:w="11900" w:h="16838" w:orient="portrait"/>
          <w:cols w:equalWidth="0" w:num="1">
            <w:col w:w="9560"/>
          </w:cols>
          <w:pgMar w:left="1160" w:top="253" w:right="1179" w:bottom="1440" w:gutter="0" w:footer="0" w:header="0"/>
        </w:sectPr>
      </w:pPr>
    </w:p>
    <w:bookmarkStart w:id="130" w:name="page131"/>
    <w:bookmarkEnd w:id="130"/>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undersigned have caused this Agreement to be duly executed as of the date 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his/her capacity as the Stockholder: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13970</wp:posOffset>
            </wp:positionV>
            <wp:extent cx="192976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29765"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244792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509270</wp:posOffset>
            </wp:positionV>
            <wp:extent cx="244792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704850</wp:posOffset>
            </wp:positionV>
            <wp:extent cx="244792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Page 10</w:t>
      </w:r>
    </w:p>
    <w:p>
      <w:pPr>
        <w:sectPr>
          <w:pgSz w:w="11900" w:h="16838" w:orient="portrait"/>
          <w:cols w:equalWidth="0" w:num="1">
            <w:col w:w="9339"/>
          </w:cols>
          <w:pgMar w:left="1120" w:top="253" w:right="1440"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Appendix A</w:t>
      </w:r>
    </w:p>
    <w:p>
      <w:pPr>
        <w:sectPr>
          <w:pgSz w:w="11900" w:h="16838" w:orient="portrait"/>
          <w:cols w:equalWidth="0" w:num="1">
            <w:col w:w="9019"/>
          </w:cols>
          <w:pgMar w:left="1440" w:top="253"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 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LOCK-UP AGREEMENT</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0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6"/>
          <w:szCs w:val="16"/>
          <w:color w:val="auto"/>
        </w:rPr>
        <w:t>The undersigned signatory of this lock-up agreement (this “</w:t>
      </w:r>
      <w:r>
        <w:rPr>
          <w:rFonts w:ascii="Times New Roman" w:cs="Times New Roman" w:eastAsia="Times New Roman" w:hAnsi="Times New Roman"/>
          <w:sz w:val="16"/>
          <w:szCs w:val="16"/>
          <w:u w:val="single" w:color="auto"/>
          <w:color w:val="auto"/>
        </w:rPr>
        <w:t>Lock-Up Agreement</w:t>
      </w:r>
      <w:r>
        <w:rPr>
          <w:rFonts w:ascii="Times New Roman" w:cs="Times New Roman" w:eastAsia="Times New Roman" w:hAnsi="Times New Roman"/>
          <w:sz w:val="16"/>
          <w:szCs w:val="16"/>
          <w:color w:val="auto"/>
        </w:rPr>
        <w:t>”) understands that [Gem], a Delaware 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has entered into an Agreement and Plan of Merger and Reorganization, dated as of [•], 2022 (as the same may be amended from time to time,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with [Merger Sub], a Delaware corporation and a wholly owned subsidiary of Gem, and [Company],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Capitalized terms used but not otherwise defined herein shall have the respective meanings ascribed to such terms in the Merger Agreement.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As a condition and inducement to Gem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Gem, the undersigned will not, during the period commencing upon the Closing and ending on the date that is 180 days after the Closing Date (the “</w:t>
      </w:r>
      <w:r>
        <w:rPr>
          <w:rFonts w:ascii="Times New Roman" w:cs="Times New Roman" w:eastAsia="Times New Roman" w:hAnsi="Times New Roman"/>
          <w:sz w:val="16"/>
          <w:szCs w:val="16"/>
          <w:u w:val="single" w:color="auto"/>
          <w:color w:val="auto"/>
        </w:rPr>
        <w:t>Restricted Period</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firstLine="385"/>
        <w:spacing w:after="0" w:line="252" w:lineRule="auto"/>
        <w:tabs>
          <w:tab w:leader="none" w:pos="609"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 pledge, sell, contract to sell, sell any option or contract to purchase, purchase any option or contract to sell, grant any option, right or warrant to purchase, or otherwise transfer or dispose of, directly or indirectly, any shares of Gem Common Stock or any securities convertible into or exercisable or exchangeable for shares of Gem Common Stock (including without limitation, shares of Gem Common Stock or such other securities which may be deemed to be beneficially owned by the undersigned in accordance with the rules and regulations of the SEC and securities of Gem which may be issued upon exercise of an option to purchase shares of Gem Common Stock or a warrant to purchase shares of Gem Common Stock) that are currently or hereafter owned by the undersigned, except as set forth below (collectively, the “</w:t>
      </w:r>
      <w:r>
        <w:rPr>
          <w:rFonts w:ascii="Times New Roman" w:cs="Times New Roman" w:eastAsia="Times New Roman" w:hAnsi="Times New Roman"/>
          <w:sz w:val="16"/>
          <w:szCs w:val="16"/>
          <w:u w:val="single" w:color="auto"/>
          <w:color w:val="auto"/>
        </w:rPr>
        <w:t>Undersigned’s Shares</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right="40" w:firstLine="385"/>
        <w:spacing w:after="0" w:line="261" w:lineRule="auto"/>
        <w:tabs>
          <w:tab w:leader="none" w:pos="609"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Gem Common Stock or other securities, in cash or otherwise;</w:t>
      </w:r>
    </w:p>
    <w:p>
      <w:pPr>
        <w:spacing w:after="0" w:line="156" w:lineRule="exact"/>
        <w:rPr>
          <w:rFonts w:ascii="Times New Roman" w:cs="Times New Roman" w:eastAsia="Times New Roman" w:hAnsi="Times New Roman"/>
          <w:sz w:val="16"/>
          <w:szCs w:val="16"/>
          <w:color w:val="auto"/>
        </w:rPr>
      </w:pPr>
    </w:p>
    <w:p>
      <w:pPr>
        <w:ind w:right="160" w:firstLine="385"/>
        <w:spacing w:after="0" w:line="276" w:lineRule="auto"/>
        <w:tabs>
          <w:tab w:leader="none" w:pos="609"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demand for, or exercise any right with respect to, the registration of any shares of Gem Common Stock or any security convertible into or exercisable or exchangeable for shares of Gem Common Stock (other than such rights set forth in the Merger Agreement); or</w:t>
      </w:r>
    </w:p>
    <w:p>
      <w:pPr>
        <w:spacing w:after="0" w:line="144"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publicly disclose the intention to do any of the foregoing.</w:t>
      </w:r>
    </w:p>
    <w:p>
      <w:pPr>
        <w:sectPr>
          <w:pgSz w:w="11900" w:h="16838" w:orient="portrait"/>
          <w:cols w:equalWidth="0" w:num="1">
            <w:col w:w="9640"/>
          </w:cols>
          <w:pgMar w:left="1120" w:top="251" w:right="11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restrictions and obligations contemplated by this Lock-Up Agreement shall not apply to:</w:t>
      </w:r>
    </w:p>
    <w:p>
      <w:pPr>
        <w:spacing w:after="0" w:line="194" w:lineRule="exact"/>
        <w:rPr>
          <w:sz w:val="20"/>
          <w:szCs w:val="20"/>
          <w:color w:val="auto"/>
        </w:rPr>
      </w:pPr>
    </w:p>
    <w:p>
      <w:pPr>
        <w:ind w:left="600" w:hanging="215"/>
        <w:spacing w:after="0"/>
        <w:tabs>
          <w:tab w:leader="none" w:pos="60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the Undersigned’s Shares:</w:t>
      </w:r>
    </w:p>
    <w:p>
      <w:pPr>
        <w:spacing w:after="0" w:line="194" w:lineRule="exact"/>
        <w:rPr>
          <w:rFonts w:ascii="Times New Roman" w:cs="Times New Roman" w:eastAsia="Times New Roman" w:hAnsi="Times New Roman"/>
          <w:sz w:val="16"/>
          <w:szCs w:val="16"/>
          <w:color w:val="auto"/>
        </w:rPr>
      </w:pPr>
    </w:p>
    <w:p>
      <w:pPr>
        <w:ind w:firstLine="867"/>
        <w:spacing w:after="0" w:line="252" w:lineRule="auto"/>
        <w:tabs>
          <w:tab w:leader="none" w:pos="1092"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to any person related to the undersigned (or to an ultimate beneficial owner of the undersigned) by blood or adoption who is an immediate family member of the undersigned, or by marriage or domestic partnership (a “</w:t>
      </w:r>
      <w:r>
        <w:rPr>
          <w:rFonts w:ascii="Times New Roman" w:cs="Times New Roman" w:eastAsia="Times New Roman" w:hAnsi="Times New Roman"/>
          <w:sz w:val="16"/>
          <w:szCs w:val="16"/>
          <w:u w:val="single" w:color="auto"/>
          <w:color w:val="auto"/>
        </w:rPr>
        <w:t>Family Member</w:t>
      </w:r>
      <w:r>
        <w:rPr>
          <w:rFonts w:ascii="Times New Roman" w:cs="Times New Roman" w:eastAsia="Times New Roman" w:hAnsi="Times New Roman"/>
          <w:sz w:val="16"/>
          <w:szCs w:val="16"/>
          <w:color w:val="auto"/>
        </w:rPr>
        <w:t>”),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165" w:lineRule="exact"/>
        <w:rPr>
          <w:rFonts w:ascii="Times New Roman" w:cs="Times New Roman" w:eastAsia="Times New Roman" w:hAnsi="Times New Roman"/>
          <w:sz w:val="16"/>
          <w:szCs w:val="16"/>
          <w:color w:val="auto"/>
        </w:rPr>
      </w:pPr>
    </w:p>
    <w:p>
      <w:pPr>
        <w:ind w:right="40" w:firstLine="867"/>
        <w:spacing w:after="0" w:line="251" w:lineRule="auto"/>
        <w:tabs>
          <w:tab w:leader="none" w:pos="1092"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undersigned is a </w:t>
      </w:r>
      <w:r>
        <w:rPr>
          <w:rFonts w:ascii="Times New Roman" w:cs="Times New Roman" w:eastAsia="Times New Roman" w:hAnsi="Times New Roman"/>
          <w:sz w:val="16"/>
          <w:szCs w:val="16"/>
          <w:u w:val="single" w:color="auto"/>
          <w:color w:val="auto"/>
        </w:rPr>
        <w:t>corporation, partnership, limited liability company or other entity</w:t>
      </w:r>
      <w:r>
        <w:rPr>
          <w:rFonts w:ascii="Times New Roman" w:cs="Times New Roman" w:eastAsia="Times New Roman" w:hAnsi="Times New Roman"/>
          <w:sz w:val="16"/>
          <w:szCs w:val="16"/>
          <w:color w:val="auto"/>
        </w:rPr>
        <w:t>, (A) to another corporation, partnership, limited liability company or other entity that is a direct or indirect affiliate (as defined under Rule 12b-2 of the Exchange Act) of the undersigned, including investment funds or other entities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spacing w:after="0" w:line="163" w:lineRule="exact"/>
        <w:rPr>
          <w:rFonts w:ascii="Times New Roman" w:cs="Times New Roman" w:eastAsia="Times New Roman" w:hAnsi="Times New Roman"/>
          <w:sz w:val="16"/>
          <w:szCs w:val="16"/>
          <w:color w:val="auto"/>
        </w:rPr>
      </w:pPr>
    </w:p>
    <w:p>
      <w:pPr>
        <w:ind w:left="1100" w:hanging="233"/>
        <w:spacing w:after="0"/>
        <w:tabs>
          <w:tab w:leader="none" w:pos="1100"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undersigned is a </w:t>
      </w:r>
      <w:r>
        <w:rPr>
          <w:rFonts w:ascii="Times New Roman" w:cs="Times New Roman" w:eastAsia="Times New Roman" w:hAnsi="Times New Roman"/>
          <w:sz w:val="16"/>
          <w:szCs w:val="16"/>
          <w:u w:val="single" w:color="auto"/>
          <w:color w:val="auto"/>
        </w:rPr>
        <w:t>trust</w:t>
      </w:r>
      <w:r>
        <w:rPr>
          <w:rFonts w:ascii="Times New Roman" w:cs="Times New Roman" w:eastAsia="Times New Roman" w:hAnsi="Times New Roman"/>
          <w:sz w:val="16"/>
          <w:szCs w:val="16"/>
          <w:color w:val="auto"/>
        </w:rPr>
        <w:t>, to any grantors or beneficiaries of the trust;</w:t>
      </w:r>
    </w:p>
    <w:p>
      <w:pPr>
        <w:spacing w:after="0" w:line="194"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the case of any transfer or distribution pursuant to this clause (a), such transfer is not for value (other than transfers pursuant to 1(A), 1(E) or 2(A)) and each donee, heir, beneficiary or other transferee or distributee shall sign and deliver to Gem a lock-up agreement in the form of this Lock-Up Agreement with respect to the shares of Gem Common Stock or such other securities that have been so transferred or distributed;</w:t>
      </w:r>
    </w:p>
    <w:p>
      <w:pPr>
        <w:spacing w:after="0" w:line="140" w:lineRule="exact"/>
        <w:rPr>
          <w:sz w:val="20"/>
          <w:szCs w:val="20"/>
          <w:color w:val="auto"/>
        </w:rPr>
      </w:pPr>
    </w:p>
    <w:p>
      <w:pPr>
        <w:ind w:right="60" w:firstLine="385"/>
        <w:spacing w:after="0" w:line="254" w:lineRule="auto"/>
        <w:tabs>
          <w:tab w:leader="none" w:pos="60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exercise of an option to purchase shares of Gem Common Stock (including a net or cashless exercise of an option to purchase shares of Gem Common Stock ), and any related transfer of shares of Gem Common Stock to Gem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underlying shares of Gem Common Stock shall continue to be subject to the restrictions on transfer set forth in this Lock-Up Agreement;</w:t>
      </w:r>
    </w:p>
    <w:p>
      <w:pPr>
        <w:spacing w:after="0" w:line="161" w:lineRule="exact"/>
        <w:rPr>
          <w:rFonts w:ascii="Times New Roman" w:cs="Times New Roman" w:eastAsia="Times New Roman" w:hAnsi="Times New Roman"/>
          <w:sz w:val="16"/>
          <w:szCs w:val="16"/>
          <w:color w:val="auto"/>
        </w:rPr>
      </w:pPr>
    </w:p>
    <w:p>
      <w:pPr>
        <w:ind w:right="20" w:firstLine="385"/>
        <w:spacing w:after="0" w:line="261" w:lineRule="auto"/>
        <w:tabs>
          <w:tab w:leader="none" w:pos="6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transfers to Gem in connection with the net settlement of any other equity award that represents the right to receive in the future shares of Gem Common Stock, settled in shares of Gem Common Stock, to pay any tax withholding obligations;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underlying shares of Gem Common Stock shall continue to be subject to the restrictions on transfer set forth in this Lock-Up Agreement;</w:t>
      </w:r>
    </w:p>
    <w:p>
      <w:pPr>
        <w:sectPr>
          <w:pgSz w:w="11900" w:h="16838" w:orient="portrait"/>
          <w:cols w:equalWidth="0" w:num="1">
            <w:col w:w="9640"/>
          </w:cols>
          <w:pgMar w:left="1120" w:top="253" w:right="1139" w:bottom="1440" w:gutter="0" w:footer="0" w:header="0"/>
        </w:sectPr>
      </w:pPr>
    </w:p>
    <w:bookmarkStart w:id="134" w:name="page135"/>
    <w:bookmarkEnd w:id="134"/>
    <w:p>
      <w:pPr>
        <w:ind w:right="520" w:firstLine="385"/>
        <w:spacing w:after="0" w:line="276" w:lineRule="auto"/>
        <w:tabs>
          <w:tab w:leader="none" w:pos="609"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the establishment of a trading plan pursuant to Rule 10b5-1 under the Exchange Act for the transfer of shares of Gem Common Stock;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plan does not provide for any transfers of shares of Gem Common Stock during the Restricted Period;</w:t>
      </w:r>
    </w:p>
    <w:p>
      <w:pPr>
        <w:spacing w:after="0" w:line="144" w:lineRule="exact"/>
        <w:rPr>
          <w:rFonts w:ascii="Times New Roman" w:cs="Times New Roman" w:eastAsia="Times New Roman" w:hAnsi="Times New Roman"/>
          <w:sz w:val="16"/>
          <w:szCs w:val="16"/>
          <w:color w:val="auto"/>
        </w:rPr>
      </w:pPr>
    </w:p>
    <w:p>
      <w:pPr>
        <w:ind w:right="280" w:firstLine="385"/>
        <w:spacing w:after="0" w:line="276" w:lineRule="auto"/>
        <w:tabs>
          <w:tab w:leader="none" w:pos="60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by the undersigned of shares of Gem Common Stock purchased by the undersigned on the open market or in a public offering by Gem, in each case following the date of the Merger Agreement;</w:t>
      </w:r>
    </w:p>
    <w:p>
      <w:pPr>
        <w:spacing w:after="0" w:line="144" w:lineRule="exact"/>
        <w:rPr>
          <w:rFonts w:ascii="Times New Roman" w:cs="Times New Roman" w:eastAsia="Times New Roman" w:hAnsi="Times New Roman"/>
          <w:sz w:val="16"/>
          <w:szCs w:val="16"/>
          <w:color w:val="auto"/>
        </w:rPr>
      </w:pPr>
    </w:p>
    <w:p>
      <w:pPr>
        <w:ind w:firstLine="385"/>
        <w:spacing w:after="0" w:line="261" w:lineRule="auto"/>
        <w:tabs>
          <w:tab w:leader="none" w:pos="583"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pursuant to a bona-fide third party tender offer, merger, consolidation or other similar transaction made to all holders of Gem’s capital stock involving a change of control of Gem,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that such tender offer, merger, consolidation or other such transaction is not completed, the Undersigned’s Shares shall remain subject to the restrictions contained in this Lock-Up Agreement;</w:t>
      </w:r>
    </w:p>
    <w:p>
      <w:pPr>
        <w:spacing w:after="0" w:line="156"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order of a court or regulatory agency; or</w:t>
      </w:r>
    </w:p>
    <w:p>
      <w:pPr>
        <w:spacing w:after="0" w:line="194" w:lineRule="exact"/>
        <w:rPr>
          <w:rFonts w:ascii="Times New Roman" w:cs="Times New Roman" w:eastAsia="Times New Roman" w:hAnsi="Times New Roman"/>
          <w:sz w:val="16"/>
          <w:szCs w:val="16"/>
          <w:color w:val="auto"/>
        </w:rPr>
      </w:pPr>
    </w:p>
    <w:p>
      <w:pPr>
        <w:ind w:right="80" w:firstLine="385"/>
        <w:spacing w:after="0" w:line="276" w:lineRule="auto"/>
        <w:tabs>
          <w:tab w:leader="none" w:pos="609"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by the undersigned of shares of Gem Common Stock issued pursuant to the Merger Agreement in respect of shares of the Company, if any, purchased from the Company on or about the Closing Date but prior to the Closing.</w:t>
      </w:r>
    </w:p>
    <w:p>
      <w:pPr>
        <w:spacing w:after="0" w:line="14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Gem Common Stock or any securities convertible into or exercisable or exchangeable for Gem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Gem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the lock-up agreement.</w:t>
      </w:r>
    </w:p>
    <w:p>
      <w:pPr>
        <w:spacing w:after="0" w:line="1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For purposes of this Lock-Up Agreement, “change of control” shall mean the transfer (whether by tender offer, merger, consolidation or other similar transaction), in one transaction or a series of related transactions, to a person or group of affiliated persons,, of the Company’s voting securities if, after such transfer, the Company’s stockholders as of immediately prior to such transfer do not hold a majority of the outstanding voting securities of the Company (or the surviving entity).</w:t>
      </w:r>
    </w:p>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Gem. In furtherance of the foregoing, the undersigned agrees that Gem and any duly appointed transfer agent for the registration or transfer of the securities described herein are</w:t>
      </w:r>
    </w:p>
    <w:p>
      <w:pPr>
        <w:sectPr>
          <w:pgSz w:w="11900" w:h="16838" w:orient="portrait"/>
          <w:cols w:equalWidth="0" w:num="1">
            <w:col w:w="9600"/>
          </w:cols>
          <w:pgMar w:left="1120" w:top="253" w:right="1179" w:bottom="1440" w:gutter="0" w:footer="0" w:header="0"/>
        </w:sectPr>
      </w:pPr>
    </w:p>
    <w:bookmarkStart w:id="135" w:name="page136"/>
    <w:bookmarkEnd w:id="135"/>
    <w:p>
      <w:pPr>
        <w:ind w:right="14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hereby authorized to decline to make any transfer of securities if such transfer would constitute a violation or breach of this Lock-Up Agreement. Gem may cause the legend set forth below, or a legend substantially equivalent thereto, to be placed upon any certificate(s) or other documents, ledgers or instruments evidencing the undersigned’s ownership of Gem Common Stock:</w:t>
      </w:r>
    </w:p>
    <w:p>
      <w:pPr>
        <w:spacing w:after="0" w:line="62" w:lineRule="exact"/>
        <w:rPr>
          <w:sz w:val="20"/>
          <w:szCs w:val="20"/>
          <w:color w:val="auto"/>
        </w:rPr>
      </w:pPr>
    </w:p>
    <w:p>
      <w:pPr>
        <w:ind w:left="860" w:right="540"/>
        <w:spacing w:after="0" w:line="261" w:lineRule="auto"/>
        <w:rPr>
          <w:sz w:val="20"/>
          <w:szCs w:val="20"/>
          <w:color w:val="auto"/>
        </w:rPr>
      </w:pPr>
      <w:r>
        <w:rPr>
          <w:rFonts w:ascii="Times New Roman" w:cs="Times New Roman" w:eastAsia="Times New Roman" w:hAnsi="Times New Roman"/>
          <w:sz w:val="16"/>
          <w:szCs w:val="16"/>
          <w:color w:val="auto"/>
        </w:rPr>
        <w:t>THE SHARES REPRESENTED BY THIS CERTIFICATE ARE SUBJECT TO AND MAY ONLY BE TRANSFERRED IN COMPLIANCE WITH A LOCK-UP AGREEMENT, A COPY OF WHICH IS ON FILE AT THE PRINCIPAL OFFICE OF THE COMPANY.</w:t>
      </w:r>
    </w:p>
    <w:p>
      <w:pPr>
        <w:spacing w:after="0" w:line="15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undersigned understands that if the Merger Agreement is terminated for any reason, the undersigned shall be released from all obligations under this Lock-Up Agreement. The undersigned understands that Gem is proceeding with the transactions contemplated by the Merger Agreement in reliance upon this Lock-Up Agreement.</w:t>
      </w:r>
    </w:p>
    <w:p>
      <w:pPr>
        <w:spacing w:after="0" w:line="15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Any and all remedies herein expressly conferred upon Gem will be deemed cumulative with and not exclusive of any other remedy conferred hereby, or by Law or equity, and the exercise by Gem of any one remedy will not preclude the exercise of any other remedy. The undersigned agrees that irreparable damage would occur to Gem in the event that any provision of this Lock-Up Agreement was not performed in accordance with its specific terms or were otherwise breached. It is accordingly agreed that Gem shall be entitled to seek an injunction or injunctions to prevent breaches of this Lock-Up Agreement and to enforce specifically the terms and provisions hereof in any court of the United States or any state having jurisdiction, this being in addition to any other remedy to which Gem is entitled at Law or in equity, and the undersigned waives any bond, surety or other security that might be required of Gem with respect thereto.</w:t>
      </w:r>
    </w:p>
    <w:p>
      <w:pPr>
        <w:spacing w:after="0" w:line="16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In the event that any holder of Gem’s securities that are subject to a substantially similar agreement entered into by such holder, other than the undersigned, is permitted by Gem to sell or otherwise transfer or dispose of shares of Gem Common Stock for value other than as permitted by this or a substantially similar agreement entered into by such holder (whether in one or multiple releases or waivers), the same percentage of shares of Gem Common Stock held by the undersigned on the date of such release or waiver as the percentage of the total number of outstanding shares of Gem Common Stock held by such holder on the date of such release or waiver that are the subject of such release or waiver shall be immediately and fully released on the same terms from any remaining restrictions set forth herein (the “</w:t>
      </w:r>
      <w:r>
        <w:rPr>
          <w:rFonts w:ascii="Times New Roman" w:cs="Times New Roman" w:eastAsia="Times New Roman" w:hAnsi="Times New Roman"/>
          <w:sz w:val="16"/>
          <w:szCs w:val="16"/>
          <w:u w:val="single" w:color="auto"/>
          <w:color w:val="auto"/>
        </w:rPr>
        <w:t>Pro-Rata Release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Pro-Rata Release shall not be applied unless and until permission has been granted by Gem to an equity holder or equity holders to sell or otherwise transfer or dispose of all or a portion of such equity holders shares of Gem Common Stock in an aggregate amount in excess of 1% of the number of shares of Gem Common Stock subject to a substantially similar agreement.</w:t>
      </w:r>
    </w:p>
    <w:p>
      <w:pPr>
        <w:sectPr>
          <w:pgSz w:w="11900" w:h="16838" w:orient="portrait"/>
          <w:cols w:equalWidth="0" w:num="1">
            <w:col w:w="9640"/>
          </w:cols>
          <w:pgMar w:left="1120" w:top="253" w:right="1139" w:bottom="1440" w:gutter="0" w:footer="0" w:header="0"/>
        </w:sectPr>
      </w:pPr>
    </w:p>
    <w:bookmarkStart w:id="136" w:name="page137"/>
    <w:bookmarkEnd w:id="136"/>
    <w:p>
      <w:pPr>
        <w:ind w:right="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Upon the release of any of the Undersigned’s Shares from this Lock-Up Agreement, Gem will promptly cooperate with the undersigned to facilitate the timely preparation and delivery of certificates representing the Undersigned Shares without the restrictive legend above or the withdrawal of any stop transfer instructions by virtue of this Lock-Up Agreement.</w:t>
      </w:r>
    </w:p>
    <w:p>
      <w:pPr>
        <w:spacing w:after="0" w:line="15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spacing w:after="0" w:line="14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6"/>
          <w:szCs w:val="16"/>
          <w:color w:val="auto"/>
        </w:rPr>
        <w:t>This Lock-Up Agreement may be executed in several counterparts, each of which shall be deemed an original and all of which shall constitute one and the same instrument. The exchange of a fully executed Lock-Up Agreement (in counterparts or otherwise) by Gem and the undersigned by facsimile or electronic transmission in .pdf format shall be sufficient to bind such parties to the terms and conditions of this Lock-Up Agreement.</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ectPr>
          <w:pgSz w:w="11900" w:h="16838" w:orient="portrait"/>
          <w:cols w:equalWidth="0" w:num="1">
            <w:col w:w="9580"/>
          </w:cols>
          <w:pgMar w:left="1120" w:top="253" w:right="1199" w:bottom="1440" w:gutter="0" w:footer="0" w:header="0"/>
        </w:sectPr>
      </w:pPr>
    </w:p>
    <w:bookmarkStart w:id="137" w:name="page138"/>
    <w:bookmarkEnd w:id="137"/>
    <w:p>
      <w:pPr>
        <w:ind w:left="6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Very truly yours,</w:t>
      </w:r>
    </w:p>
    <w:p>
      <w:pPr>
        <w:spacing w:after="0" w:line="19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254000</wp:posOffset>
            </wp:positionV>
            <wp:extent cx="189992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99920" cy="7620"/>
                    </a:xfrm>
                    <a:prstGeom prst="rect">
                      <a:avLst/>
                    </a:prstGeom>
                    <a:noFill/>
                  </pic:spPr>
                </pic:pic>
              </a:graphicData>
            </a:graphic>
          </wp:anchor>
        </w:drawing>
      </w:r>
    </w:p>
    <w:p>
      <w:pPr>
        <w:spacing w:after="0" w:line="387"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6"/>
          <w:szCs w:val="16"/>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254000</wp:posOffset>
            </wp:positionV>
            <wp:extent cx="189992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99920" cy="7620"/>
                    </a:xfrm>
                    <a:prstGeom prst="rect">
                      <a:avLst/>
                    </a:prstGeom>
                    <a:noFill/>
                  </pic:spPr>
                </pic:pic>
              </a:graphicData>
            </a:graphic>
          </wp:anchor>
        </w:drawing>
      </w:r>
    </w:p>
    <w:p>
      <w:pPr>
        <w:spacing w:after="0" w:line="38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Signature (for entities):</w:t>
      </w:r>
    </w:p>
    <w:p>
      <w:pPr>
        <w:spacing w:after="0" w:line="19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13970</wp:posOffset>
            </wp:positionV>
            <wp:extent cx="154686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6860" cy="7620"/>
                    </a:xfrm>
                    <a:prstGeom prst="rect">
                      <a:avLst/>
                    </a:prstGeom>
                    <a:noFill/>
                  </pic:spPr>
                </pic:pic>
              </a:graphicData>
            </a:graphic>
          </wp:anchor>
        </w:drawing>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Lock-Up Agreement]</w:t>
      </w:r>
    </w:p>
    <w:p>
      <w:pPr>
        <w:sectPr>
          <w:pgSz w:w="11900" w:h="16838" w:orient="portrait"/>
          <w:cols w:equalWidth="0" w:num="1">
            <w:col w:w="9019"/>
          </w:cols>
          <w:pgMar w:left="1440" w:top="253"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Accepted and Agreed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[Gem]: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13970</wp:posOffset>
            </wp:positionV>
            <wp:extent cx="224536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5"/>
          <w:szCs w:val="15"/>
          <w:i w:val="1"/>
          <w:iCs w:val="1"/>
          <w:color w:val="auto"/>
        </w:rPr>
        <w:t>[Signature Page to Lock-Up Agreement]</w:t>
      </w:r>
    </w:p>
    <w:p>
      <w:pPr>
        <w:sectPr>
          <w:pgSz w:w="11900" w:h="16838" w:orient="portrait"/>
          <w:cols w:equalWidth="0" w:num="1">
            <w:col w:w="9339"/>
          </w:cols>
          <w:pgMar w:left="1120" w:top="253" w:right="144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SUBSCRIPTION AGREEMENT</w:t>
      </w:r>
    </w:p>
    <w:p>
      <w:pPr>
        <w:spacing w:after="0" w:line="98" w:lineRule="exact"/>
        <w:rPr>
          <w:sz w:val="20"/>
          <w:szCs w:val="20"/>
          <w:color w:val="auto"/>
        </w:rPr>
      </w:pPr>
    </w:p>
    <w:p>
      <w:pPr>
        <w:ind w:right="40" w:firstLine="386"/>
        <w:spacing w:after="0" w:line="258" w:lineRule="auto"/>
        <w:rPr>
          <w:sz w:val="20"/>
          <w:szCs w:val="20"/>
          <w:color w:val="auto"/>
        </w:rPr>
      </w:pPr>
      <w:r>
        <w:rPr>
          <w:rFonts w:ascii="Times New Roman" w:cs="Times New Roman" w:eastAsia="Times New Roman" w:hAnsi="Times New Roman"/>
          <w:sz w:val="16"/>
          <w:szCs w:val="16"/>
          <w:color w:val="auto"/>
        </w:rPr>
        <w:t>This Subscription Agreement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is made and entered into as of August [•], 2022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by and among Disc Medicine,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and each of the purchasers listed on the signature pages hereto, severally and not jointly (each a “</w:t>
      </w:r>
      <w:r>
        <w:rPr>
          <w:rFonts w:ascii="Times New Roman" w:cs="Times New Roman" w:eastAsia="Times New Roman" w:hAnsi="Times New Roman"/>
          <w:sz w:val="16"/>
          <w:szCs w:val="16"/>
          <w:b w:val="1"/>
          <w:bCs w:val="1"/>
          <w:i w:val="1"/>
          <w:iCs w:val="1"/>
          <w:color w:val="auto"/>
        </w:rPr>
        <w:t>Purchaser</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b w:val="1"/>
          <w:bCs w:val="1"/>
          <w:i w:val="1"/>
          <w:iCs w:val="1"/>
          <w:color w:val="auto"/>
        </w:rPr>
        <w:t>Purchasers</w:t>
      </w:r>
      <w:r>
        <w:rPr>
          <w:rFonts w:ascii="Times New Roman" w:cs="Times New Roman" w:eastAsia="Times New Roman" w:hAnsi="Times New Roman"/>
          <w:sz w:val="16"/>
          <w:szCs w:val="16"/>
          <w:color w:val="auto"/>
        </w:rPr>
        <w:t xml:space="preserve">”). Certain terms used and not otherwise defined in the text of this Agreement are defined in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hereof.</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WHEREAS, the Company is party to that certain Agreement and Plan of Merger by and among the Company, Gemstone Merger Sub, Inc.</w:t>
      </w:r>
    </w:p>
    <w:p>
      <w:pPr>
        <w:spacing w:after="0" w:line="2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Merger Sub</w:t>
      </w:r>
      <w:r>
        <w:rPr>
          <w:rFonts w:ascii="Times New Roman" w:cs="Times New Roman" w:eastAsia="Times New Roman" w:hAnsi="Times New Roman"/>
          <w:sz w:val="16"/>
          <w:szCs w:val="16"/>
          <w:color w:val="auto"/>
        </w:rPr>
        <w:t>”), and [GEMSTONE], Inc. (“</w:t>
      </w:r>
      <w:r>
        <w:rPr>
          <w:rFonts w:ascii="Times New Roman" w:cs="Times New Roman" w:eastAsia="Times New Roman" w:hAnsi="Times New Roman"/>
          <w:sz w:val="16"/>
          <w:szCs w:val="16"/>
          <w:b w:val="1"/>
          <w:bCs w:val="1"/>
          <w:i w:val="1"/>
          <w:iCs w:val="1"/>
          <w:color w:val="auto"/>
        </w:rPr>
        <w:t>Gem</w:t>
      </w:r>
      <w:r>
        <w:rPr>
          <w:rFonts w:ascii="Times New Roman" w:cs="Times New Roman" w:eastAsia="Times New Roman" w:hAnsi="Times New Roman"/>
          <w:sz w:val="16"/>
          <w:szCs w:val="16"/>
          <w:color w:val="auto"/>
        </w:rPr>
        <w:t>”), dated on or about the date hereof (the “</w:t>
      </w:r>
      <w:r>
        <w:rPr>
          <w:rFonts w:ascii="Times New Roman" w:cs="Times New Roman" w:eastAsia="Times New Roman" w:hAnsi="Times New Roman"/>
          <w:sz w:val="16"/>
          <w:szCs w:val="16"/>
          <w:b w:val="1"/>
          <w:bCs w:val="1"/>
          <w:i w:val="1"/>
          <w:iCs w:val="1"/>
          <w:color w:val="auto"/>
        </w:rPr>
        <w:t>Merger Agreement</w:t>
      </w:r>
      <w:r>
        <w:rPr>
          <w:rFonts w:ascii="Times New Roman" w:cs="Times New Roman" w:eastAsia="Times New Roman" w:hAnsi="Times New Roman"/>
          <w:sz w:val="16"/>
          <w:szCs w:val="16"/>
          <w:color w:val="auto"/>
        </w:rPr>
        <w:t>”), pursuant to which the Company will merge with and into Merger Sub and become a wholly-owned subsidiary of Gem (the “</w:t>
      </w:r>
      <w:r>
        <w:rPr>
          <w:rFonts w:ascii="Times New Roman" w:cs="Times New Roman" w:eastAsia="Times New Roman" w:hAnsi="Times New Roman"/>
          <w:sz w:val="16"/>
          <w:szCs w:val="16"/>
          <w:b w:val="1"/>
          <w:bCs w:val="1"/>
          <w:i w:val="1"/>
          <w:iCs w:val="1"/>
          <w:color w:val="auto"/>
        </w:rPr>
        <w:t>Merger</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right="260" w:firstLine="386"/>
        <w:spacing w:after="0" w:line="286" w:lineRule="auto"/>
        <w:rPr>
          <w:sz w:val="20"/>
          <w:szCs w:val="20"/>
          <w:color w:val="auto"/>
        </w:rPr>
      </w:pPr>
      <w:r>
        <w:rPr>
          <w:rFonts w:ascii="Times New Roman" w:cs="Times New Roman" w:eastAsia="Times New Roman" w:hAnsi="Times New Roman"/>
          <w:sz w:val="15"/>
          <w:szCs w:val="15"/>
          <w:color w:val="auto"/>
        </w:rPr>
        <w:t>WHEREAS, the Company desires to sell to the Purchasers, and the Purchasers desire to purchase from the Company, $53,500,000 in the aggregate of shares of the Company’s Common Stock, par value $0.0001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at a per share purchase price equal to the Purchase Price, in accordance with the terms and provisions of this Agreement, immediately prior to, but subject to, the closing of the Merger; and</w:t>
      </w:r>
    </w:p>
    <w:p>
      <w:pPr>
        <w:spacing w:after="0" w:line="140" w:lineRule="exact"/>
        <w:rPr>
          <w:sz w:val="20"/>
          <w:szCs w:val="20"/>
          <w:color w:val="auto"/>
        </w:rPr>
      </w:pPr>
    </w:p>
    <w:p>
      <w:pPr>
        <w:ind w:right="420" w:firstLine="386"/>
        <w:spacing w:after="0" w:line="261" w:lineRule="auto"/>
        <w:rPr>
          <w:sz w:val="20"/>
          <w:szCs w:val="20"/>
          <w:color w:val="auto"/>
        </w:rPr>
      </w:pPr>
      <w:r>
        <w:rPr>
          <w:rFonts w:ascii="Times New Roman" w:cs="Times New Roman" w:eastAsia="Times New Roman" w:hAnsi="Times New Roman"/>
          <w:sz w:val="16"/>
          <w:szCs w:val="16"/>
          <w:color w:val="auto"/>
        </w:rPr>
        <w:t>WHEREAS, the Company and the Purchasers are executing and delivering this Agreement in reliance upon the exemption from securities registration afforded by Section 4(a)(2) of the 1933 Act, and Rule 506 of Regulation D promulgated by the United States Securities and Exchange Commission (the “</w:t>
      </w:r>
      <w:r>
        <w:rPr>
          <w:rFonts w:ascii="Times New Roman" w:cs="Times New Roman" w:eastAsia="Times New Roman" w:hAnsi="Times New Roman"/>
          <w:sz w:val="16"/>
          <w:szCs w:val="16"/>
          <w:b w:val="1"/>
          <w:bCs w:val="1"/>
          <w:i w:val="1"/>
          <w:iCs w:val="1"/>
          <w:color w:val="auto"/>
        </w:rPr>
        <w:t>Commission</w:t>
      </w:r>
      <w:r>
        <w:rPr>
          <w:rFonts w:ascii="Times New Roman" w:cs="Times New Roman" w:eastAsia="Times New Roman" w:hAnsi="Times New Roman"/>
          <w:sz w:val="16"/>
          <w:szCs w:val="16"/>
          <w:color w:val="auto"/>
        </w:rPr>
        <w:t>”) under the 1933 Act;</w:t>
      </w:r>
    </w:p>
    <w:p>
      <w:pPr>
        <w:spacing w:after="0" w:line="157" w:lineRule="exact"/>
        <w:rPr>
          <w:sz w:val="20"/>
          <w:szCs w:val="20"/>
          <w:color w:val="auto"/>
        </w:rPr>
      </w:pPr>
    </w:p>
    <w:p>
      <w:pPr>
        <w:ind w:right="300" w:firstLine="386"/>
        <w:spacing w:after="0" w:line="276"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representations, warranties and covenants herein contained, the parties hereto hereby agree as follows: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Authorization of Securities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60" w:firstLine="869"/>
        <w:spacing w:after="0" w:line="276" w:lineRule="auto"/>
        <w:rPr>
          <w:sz w:val="20"/>
          <w:szCs w:val="20"/>
          <w:color w:val="auto"/>
        </w:rPr>
      </w:pPr>
      <w:r>
        <w:rPr>
          <w:rFonts w:ascii="Times New Roman" w:cs="Times New Roman" w:eastAsia="Times New Roman" w:hAnsi="Times New Roman"/>
          <w:sz w:val="16"/>
          <w:szCs w:val="16"/>
          <w:color w:val="auto"/>
        </w:rPr>
        <w:t>1.01 The Company has authorized the sale and issuance of shares of Common Stock on the terms and subject to the conditions set forth in this Agreement. The shares of Common Stock sold hereunder at the Closing (as defined below) shall be referred to as the “</w:t>
      </w:r>
      <w:r>
        <w:rPr>
          <w:rFonts w:ascii="Times New Roman" w:cs="Times New Roman" w:eastAsia="Times New Roman" w:hAnsi="Times New Roman"/>
          <w:sz w:val="16"/>
          <w:szCs w:val="16"/>
          <w:b w:val="1"/>
          <w:bCs w:val="1"/>
          <w:i w:val="1"/>
          <w:iCs w:val="1"/>
          <w:color w:val="auto"/>
        </w:rPr>
        <w:t>Securities</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u w:val="single" w:color="auto"/>
          <w:color w:val="auto"/>
        </w:rPr>
        <w:t>Sale and Purchase of the Securities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60" w:firstLine="869"/>
        <w:spacing w:after="0" w:line="254" w:lineRule="auto"/>
        <w:rPr>
          <w:sz w:val="20"/>
          <w:szCs w:val="20"/>
          <w:color w:val="auto"/>
        </w:rPr>
      </w:pPr>
      <w:r>
        <w:rPr>
          <w:rFonts w:ascii="Times New Roman" w:cs="Times New Roman" w:eastAsia="Times New Roman" w:hAnsi="Times New Roman"/>
          <w:sz w:val="16"/>
          <w:szCs w:val="16"/>
          <w:color w:val="auto"/>
        </w:rPr>
        <w:t>2.01 Upon the terms and subject to the conditions herein contained, the Company agrees to sell to each Purchaser, and each Purchaser agrees, severally and not jointly, to purchase from the Company, at a closing to take place remotely via exchange of executed documents (the “</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and the date of the Closing, the “</w:t>
      </w:r>
      <w:r>
        <w:rPr>
          <w:rFonts w:ascii="Times New Roman" w:cs="Times New Roman" w:eastAsia="Times New Roman" w:hAnsi="Times New Roman"/>
          <w:sz w:val="16"/>
          <w:szCs w:val="16"/>
          <w:b w:val="1"/>
          <w:bCs w:val="1"/>
          <w:i w:val="1"/>
          <w:iCs w:val="1"/>
          <w:color w:val="auto"/>
        </w:rPr>
        <w:t>Closing Date</w:t>
      </w:r>
      <w:r>
        <w:rPr>
          <w:rFonts w:ascii="Times New Roman" w:cs="Times New Roman" w:eastAsia="Times New Roman" w:hAnsi="Times New Roman"/>
          <w:sz w:val="16"/>
          <w:szCs w:val="16"/>
          <w:color w:val="auto"/>
        </w:rPr>
        <w:t>”) to occur immediately prior to the Effective Time (as such term is defined in the Merger Agreement), that number of Securities (the “</w:t>
      </w:r>
      <w:r>
        <w:rPr>
          <w:rFonts w:ascii="Times New Roman" w:cs="Times New Roman" w:eastAsia="Times New Roman" w:hAnsi="Times New Roman"/>
          <w:sz w:val="16"/>
          <w:szCs w:val="16"/>
          <w:b w:val="1"/>
          <w:bCs w:val="1"/>
          <w:i w:val="1"/>
          <w:iCs w:val="1"/>
          <w:color w:val="auto"/>
        </w:rPr>
        <w:t>Closing Shares</w:t>
      </w:r>
      <w:r>
        <w:rPr>
          <w:rFonts w:ascii="Times New Roman" w:cs="Times New Roman" w:eastAsia="Times New Roman" w:hAnsi="Times New Roman"/>
          <w:sz w:val="16"/>
          <w:szCs w:val="16"/>
          <w:color w:val="auto"/>
        </w:rPr>
        <w:t>”) set forth opposite such Purchaser’s name on the Schedule of Purchasers for the aggregate Purchase Price set forth under the heading “Subscription Amount.”</w:t>
      </w:r>
    </w:p>
    <w:p>
      <w:pPr>
        <w:spacing w:after="0" w:line="162" w:lineRule="exact"/>
        <w:rPr>
          <w:sz w:val="20"/>
          <w:szCs w:val="20"/>
          <w:color w:val="auto"/>
        </w:rPr>
      </w:pPr>
    </w:p>
    <w:p>
      <w:pPr>
        <w:ind w:firstLine="869"/>
        <w:spacing w:after="0" w:line="269" w:lineRule="auto"/>
        <w:rPr>
          <w:sz w:val="20"/>
          <w:szCs w:val="20"/>
          <w:color w:val="auto"/>
        </w:rPr>
      </w:pPr>
      <w:r>
        <w:rPr>
          <w:rFonts w:ascii="Times New Roman" w:cs="Times New Roman" w:eastAsia="Times New Roman" w:hAnsi="Times New Roman"/>
          <w:sz w:val="15"/>
          <w:szCs w:val="15"/>
          <w:color w:val="auto"/>
        </w:rPr>
        <w:t>2.02 At or prior to the Closing, each Purchaser will pay the Subscription Amount set forth opposite such Purchaser’s name on the Schedule of Purchasers by wire transfer of immediately available funds in accordance with wire instructions provided by the Company to the Purchasers at least two Business Days prior to the Closing (the “Wire Instructions Notice”). If so requested by the Company in the Wire Instructions Notice, the Subscription Amount of each Purchaser shall be paid into an escrow fund or trust account designated by the Company in writing (the “Escrow Account”) to be released to the Company only upon satisfaction of each of the closing conditions set forth in Section 6 below. In the event the Closing does not occur within three business days of the Closing Date specified in the Wire Instructions Notice, unless otherwise agreed by the Company and such Purchaser, the Company shall, or shall cause the escrow agent for the Escrow Account to, promptly (but not later than two business days thereafter) return the aggregate Purchase Price to each Purchaser by wire transfer of U.S. dollars in immediately available funds to the account specified by such Purchaser. On the Closing Date, the Company will issue, against payment of the aggregate Purchase Price, the Closing Shares.</w:t>
      </w:r>
    </w:p>
    <w:p>
      <w:pPr>
        <w:sectPr>
          <w:pgSz w:w="11900" w:h="16838" w:orient="portrait"/>
          <w:cols w:equalWidth="0" w:num="1">
            <w:col w:w="9640"/>
          </w:cols>
          <w:pgMar w:left="1120" w:top="251" w:right="1139" w:bottom="1440" w:gutter="0" w:footer="0" w:header="0"/>
        </w:sectPr>
      </w:pPr>
    </w:p>
    <w:bookmarkStart w:id="140" w:name="page141"/>
    <w:bookmarkEnd w:id="140"/>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3. </w:t>
      </w:r>
      <w:r>
        <w:rPr>
          <w:rFonts w:ascii="Times New Roman" w:cs="Times New Roman" w:eastAsia="Times New Roman" w:hAnsi="Times New Roman"/>
          <w:sz w:val="15"/>
          <w:szCs w:val="15"/>
          <w:u w:val="single" w:color="auto"/>
          <w:color w:val="auto"/>
        </w:rPr>
        <w:t>Representations and Warranties of the Purchasers</w:t>
      </w:r>
      <w:r>
        <w:rPr>
          <w:rFonts w:ascii="Times New Roman" w:cs="Times New Roman" w:eastAsia="Times New Roman" w:hAnsi="Times New Roman"/>
          <w:sz w:val="15"/>
          <w:szCs w:val="15"/>
          <w:color w:val="auto"/>
        </w:rPr>
        <w:t>. Each Purchaser, severally and not jointly, represents and warrants to the Company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w:t>
      </w:r>
    </w:p>
    <w:p>
      <w:pPr>
        <w:spacing w:after="0" w:line="177" w:lineRule="exact"/>
        <w:rPr>
          <w:sz w:val="20"/>
          <w:szCs w:val="20"/>
          <w:color w:val="auto"/>
        </w:rPr>
      </w:pPr>
    </w:p>
    <w:p>
      <w:pPr>
        <w:ind w:right="80" w:firstLine="869"/>
        <w:spacing w:after="0" w:line="251" w:lineRule="auto"/>
        <w:rPr>
          <w:sz w:val="20"/>
          <w:szCs w:val="20"/>
          <w:color w:val="auto"/>
        </w:rPr>
      </w:pPr>
      <w:r>
        <w:rPr>
          <w:rFonts w:ascii="Times New Roman" w:cs="Times New Roman" w:eastAsia="Times New Roman" w:hAnsi="Times New Roman"/>
          <w:sz w:val="16"/>
          <w:szCs w:val="16"/>
          <w:color w:val="auto"/>
        </w:rPr>
        <w:t xml:space="preserve">3.01 </w:t>
      </w:r>
      <w:r>
        <w:rPr>
          <w:rFonts w:ascii="Times New Roman" w:cs="Times New Roman" w:eastAsia="Times New Roman" w:hAnsi="Times New Roman"/>
          <w:sz w:val="16"/>
          <w:szCs w:val="16"/>
          <w:u w:val="single" w:color="auto"/>
          <w:color w:val="auto"/>
        </w:rPr>
        <w:t>Validity</w:t>
      </w:r>
      <w:r>
        <w:rPr>
          <w:rFonts w:ascii="Times New Roman" w:cs="Times New Roman" w:eastAsia="Times New Roman" w:hAnsi="Times New Roman"/>
          <w:sz w:val="16"/>
          <w:szCs w:val="16"/>
          <w:color w:val="auto"/>
        </w:rPr>
        <w:t>. The execution, delivery and performance of this Agreement and the consummation by the Purchaser of the transactions contemplated hereby have been duly authorized by all necessary corporate, partnership, limited liability or similar actions, as applicable, on the part of such Purchaser. This Agreement has been duly executed and delivered by the Purchaser and, assuming that this Agreement constitutes the valid and binding obligation of the Company, constitutes a valid and binding obligation of the Purchaser, enforceable against it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67" w:lineRule="exact"/>
        <w:rPr>
          <w:sz w:val="20"/>
          <w:szCs w:val="20"/>
          <w:color w:val="auto"/>
        </w:rPr>
      </w:pPr>
    </w:p>
    <w:p>
      <w:pPr>
        <w:jc w:val="both"/>
        <w:ind w:right="80" w:firstLine="869"/>
        <w:spacing w:after="0" w:line="261" w:lineRule="auto"/>
        <w:rPr>
          <w:sz w:val="20"/>
          <w:szCs w:val="20"/>
          <w:color w:val="auto"/>
        </w:rPr>
      </w:pPr>
      <w:r>
        <w:rPr>
          <w:rFonts w:ascii="Times New Roman" w:cs="Times New Roman" w:eastAsia="Times New Roman" w:hAnsi="Times New Roman"/>
          <w:sz w:val="16"/>
          <w:szCs w:val="16"/>
          <w:color w:val="auto"/>
        </w:rPr>
        <w:t xml:space="preserve">3.02 </w:t>
      </w:r>
      <w:r>
        <w:rPr>
          <w:rFonts w:ascii="Times New Roman" w:cs="Times New Roman" w:eastAsia="Times New Roman" w:hAnsi="Times New Roman"/>
          <w:sz w:val="16"/>
          <w:szCs w:val="16"/>
          <w:u w:val="single" w:color="auto"/>
          <w:color w:val="auto"/>
        </w:rPr>
        <w:t>Brokers</w:t>
      </w:r>
      <w:r>
        <w:rPr>
          <w:rFonts w:ascii="Times New Roman" w:cs="Times New Roman" w:eastAsia="Times New Roman" w:hAnsi="Times New Roman"/>
          <w:sz w:val="16"/>
          <w:szCs w:val="16"/>
          <w:color w:val="auto"/>
        </w:rPr>
        <w:t>. There is no broker, investment banker, financial advisor, finder or other person which has been retained by or is authorized to act on behalf of the Purchaser who is entitled to any fee or commission for which the Company will be liable in connection with the execution of this Agreement and the consummation of the transactions contemplated hereby.</w:t>
      </w:r>
    </w:p>
    <w:p>
      <w:pPr>
        <w:spacing w:after="0" w:line="157" w:lineRule="exact"/>
        <w:rPr>
          <w:sz w:val="20"/>
          <w:szCs w:val="20"/>
          <w:color w:val="auto"/>
        </w:rPr>
      </w:pPr>
    </w:p>
    <w:p>
      <w:pPr>
        <w:ind w:right="80" w:firstLine="869"/>
        <w:spacing w:after="0" w:line="256" w:lineRule="auto"/>
        <w:rPr>
          <w:sz w:val="20"/>
          <w:szCs w:val="20"/>
          <w:color w:val="auto"/>
        </w:rPr>
      </w:pPr>
      <w:r>
        <w:rPr>
          <w:rFonts w:ascii="Times New Roman" w:cs="Times New Roman" w:eastAsia="Times New Roman" w:hAnsi="Times New Roman"/>
          <w:sz w:val="16"/>
          <w:szCs w:val="16"/>
          <w:color w:val="auto"/>
        </w:rPr>
        <w:t xml:space="preserve">3.03 </w:t>
      </w:r>
      <w:r>
        <w:rPr>
          <w:rFonts w:ascii="Times New Roman" w:cs="Times New Roman" w:eastAsia="Times New Roman" w:hAnsi="Times New Roman"/>
          <w:sz w:val="16"/>
          <w:szCs w:val="16"/>
          <w:u w:val="single" w:color="auto"/>
          <w:color w:val="auto"/>
        </w:rPr>
        <w:t>Investment Representations and Warranties</w:t>
      </w:r>
      <w:r>
        <w:rPr>
          <w:rFonts w:ascii="Times New Roman" w:cs="Times New Roman" w:eastAsia="Times New Roman" w:hAnsi="Times New Roman"/>
          <w:sz w:val="16"/>
          <w:szCs w:val="16"/>
          <w:color w:val="auto"/>
        </w:rPr>
        <w:t>. The Purchaser understands and agrees that the offering and sale of the Securities has not been registered under the 1933 Act or any applicable state securities laws and is being made in reliance upon federal and state exemptions for transactions not involving a public offering which depend upon, among other things, the bona fide nature of the investment intent and the accuracy of the Purchaser’s representations as expressed herein.</w:t>
      </w:r>
    </w:p>
    <w:p>
      <w:pPr>
        <w:spacing w:after="0" w:line="161" w:lineRule="exact"/>
        <w:rPr>
          <w:sz w:val="20"/>
          <w:szCs w:val="20"/>
          <w:color w:val="auto"/>
        </w:rPr>
      </w:pPr>
    </w:p>
    <w:p>
      <w:pPr>
        <w:ind w:right="440" w:firstLine="869"/>
        <w:spacing w:after="0" w:line="276" w:lineRule="auto"/>
        <w:rPr>
          <w:sz w:val="20"/>
          <w:szCs w:val="20"/>
          <w:color w:val="auto"/>
        </w:rPr>
      </w:pPr>
      <w:r>
        <w:rPr>
          <w:rFonts w:ascii="Times New Roman" w:cs="Times New Roman" w:eastAsia="Times New Roman" w:hAnsi="Times New Roman"/>
          <w:sz w:val="16"/>
          <w:szCs w:val="16"/>
          <w:color w:val="auto"/>
        </w:rPr>
        <w:t xml:space="preserve">3.04 </w:t>
      </w:r>
      <w:r>
        <w:rPr>
          <w:rFonts w:ascii="Times New Roman" w:cs="Times New Roman" w:eastAsia="Times New Roman" w:hAnsi="Times New Roman"/>
          <w:sz w:val="16"/>
          <w:szCs w:val="16"/>
          <w:u w:val="single" w:color="auto"/>
          <w:color w:val="auto"/>
        </w:rPr>
        <w:t>Acquisition for Own Account</w:t>
      </w:r>
      <w:r>
        <w:rPr>
          <w:rFonts w:ascii="Times New Roman" w:cs="Times New Roman" w:eastAsia="Times New Roman" w:hAnsi="Times New Roman"/>
          <w:sz w:val="16"/>
          <w:szCs w:val="16"/>
          <w:color w:val="auto"/>
        </w:rPr>
        <w:t>. The Purchaser is acquiring the Securities for its own account for investment and not with a view towards distribution in a manner which would violate the 1933 Act or any applicable state or other securities laws.</w:t>
      </w:r>
    </w:p>
    <w:p>
      <w:pPr>
        <w:spacing w:after="0" w:line="145" w:lineRule="exact"/>
        <w:rPr>
          <w:sz w:val="20"/>
          <w:szCs w:val="20"/>
          <w:color w:val="auto"/>
        </w:rPr>
      </w:pPr>
    </w:p>
    <w:p>
      <w:pPr>
        <w:ind w:right="300" w:firstLine="869"/>
        <w:spacing w:after="0" w:line="256" w:lineRule="auto"/>
        <w:rPr>
          <w:sz w:val="20"/>
          <w:szCs w:val="20"/>
          <w:color w:val="auto"/>
        </w:rPr>
      </w:pPr>
      <w:r>
        <w:rPr>
          <w:rFonts w:ascii="Times New Roman" w:cs="Times New Roman" w:eastAsia="Times New Roman" w:hAnsi="Times New Roman"/>
          <w:sz w:val="16"/>
          <w:szCs w:val="16"/>
          <w:color w:val="auto"/>
        </w:rPr>
        <w:t xml:space="preserve">3.05 </w:t>
      </w:r>
      <w:r>
        <w:rPr>
          <w:rFonts w:ascii="Times New Roman" w:cs="Times New Roman" w:eastAsia="Times New Roman" w:hAnsi="Times New Roman"/>
          <w:sz w:val="16"/>
          <w:szCs w:val="16"/>
          <w:u w:val="single" w:color="auto"/>
          <w:color w:val="auto"/>
        </w:rPr>
        <w:t>No General Solicitation</w:t>
      </w:r>
      <w:r>
        <w:rPr>
          <w:rFonts w:ascii="Times New Roman" w:cs="Times New Roman" w:eastAsia="Times New Roman" w:hAnsi="Times New Roman"/>
          <w:sz w:val="16"/>
          <w:szCs w:val="16"/>
          <w:color w:val="auto"/>
        </w:rPr>
        <w:t>. The Purchaser is not purchasing the Securities as a result of any advertisement, article, notice or other communication regarding the Securities published in any newspaper, magazine or similar media or broadcast over television, radio or the internet or presented at any seminar or any other general solicitation or general advertisement. The purchase of the Securities by the Purchaser has not been solicited by or through anyone other than the Company.</w:t>
      </w:r>
    </w:p>
    <w:p>
      <w:pPr>
        <w:spacing w:after="0" w:line="161" w:lineRule="exact"/>
        <w:rPr>
          <w:sz w:val="20"/>
          <w:szCs w:val="20"/>
          <w:color w:val="auto"/>
        </w:rPr>
      </w:pPr>
    </w:p>
    <w:p>
      <w:pPr>
        <w:ind w:right="2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3.06 </w:t>
      </w:r>
      <w:r>
        <w:rPr>
          <w:rFonts w:ascii="Times New Roman" w:cs="Times New Roman" w:eastAsia="Times New Roman" w:hAnsi="Times New Roman"/>
          <w:sz w:val="16"/>
          <w:szCs w:val="16"/>
          <w:u w:val="single" w:color="auto"/>
          <w:color w:val="auto"/>
        </w:rPr>
        <w:t>Ability to Protect Its Own Interests and Bear Economic Risks</w:t>
      </w:r>
      <w:r>
        <w:rPr>
          <w:rFonts w:ascii="Times New Roman" w:cs="Times New Roman" w:eastAsia="Times New Roman" w:hAnsi="Times New Roman"/>
          <w:sz w:val="16"/>
          <w:szCs w:val="16"/>
          <w:color w:val="auto"/>
        </w:rPr>
        <w:t>. The Purchaser has the capacity to protect its own interests in connection with the transactions contemplated by this Agreement and is capable of evaluating the merits and risks of the investment in the Securities. The Purchaser is able to bear the economic risk of an investment in the Securities and is able to sustain a loss of all of its investment in the Securities without economic hardship, if such a loss should occur.</w:t>
      </w:r>
    </w:p>
    <w:p>
      <w:pPr>
        <w:spacing w:after="0" w:line="16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3.07 </w:t>
      </w:r>
      <w:r>
        <w:rPr>
          <w:rFonts w:ascii="Times New Roman" w:cs="Times New Roman" w:eastAsia="Times New Roman" w:hAnsi="Times New Roman"/>
          <w:sz w:val="16"/>
          <w:szCs w:val="16"/>
          <w:u w:val="single" w:color="auto"/>
          <w:color w:val="auto"/>
        </w:rPr>
        <w:t>Accredited Investor</w:t>
      </w:r>
      <w:r>
        <w:rPr>
          <w:rFonts w:ascii="Times New Roman" w:cs="Times New Roman" w:eastAsia="Times New Roman" w:hAnsi="Times New Roman"/>
          <w:sz w:val="16"/>
          <w:szCs w:val="16"/>
          <w:color w:val="auto"/>
        </w:rPr>
        <w:t>. The Purchaser is an “accredited investor” as that term is defined in Rule 501(a) under the 1933 Act.</w:t>
      </w:r>
    </w:p>
    <w:p>
      <w:pPr>
        <w:spacing w:after="0" w:line="194" w:lineRule="exact"/>
        <w:rPr>
          <w:sz w:val="20"/>
          <w:szCs w:val="20"/>
          <w:color w:val="auto"/>
        </w:rPr>
      </w:pPr>
    </w:p>
    <w:p>
      <w:pPr>
        <w:ind w:firstLine="869"/>
        <w:spacing w:after="0" w:line="261" w:lineRule="auto"/>
        <w:rPr>
          <w:sz w:val="20"/>
          <w:szCs w:val="20"/>
          <w:color w:val="auto"/>
        </w:rPr>
      </w:pPr>
      <w:r>
        <w:rPr>
          <w:rFonts w:ascii="Times New Roman" w:cs="Times New Roman" w:eastAsia="Times New Roman" w:hAnsi="Times New Roman"/>
          <w:sz w:val="16"/>
          <w:szCs w:val="16"/>
          <w:color w:val="auto"/>
        </w:rPr>
        <w:t xml:space="preserve">3.08 </w:t>
      </w:r>
      <w:r>
        <w:rPr>
          <w:rFonts w:ascii="Times New Roman" w:cs="Times New Roman" w:eastAsia="Times New Roman" w:hAnsi="Times New Roman"/>
          <w:sz w:val="16"/>
          <w:szCs w:val="16"/>
          <w:u w:val="single" w:color="auto"/>
          <w:color w:val="auto"/>
        </w:rPr>
        <w:t>Restricted Securities</w:t>
      </w:r>
      <w:r>
        <w:rPr>
          <w:rFonts w:ascii="Times New Roman" w:cs="Times New Roman" w:eastAsia="Times New Roman" w:hAnsi="Times New Roman"/>
          <w:sz w:val="16"/>
          <w:szCs w:val="16"/>
          <w:color w:val="auto"/>
        </w:rPr>
        <w:t>. The Purchaser understands that the Securities will be characterized as “restricted securities” under the federal securities laws inasmuch as they are being acquired from the Company in a private placement under Section 4(a)(2) of the 1933 Act and that, under such laws and applicable regulations, such Securities may be resold without registration under the 1933 Act only in certain limited circumstances.</w:t>
      </w:r>
    </w:p>
    <w:p>
      <w:pPr>
        <w:spacing w:after="0" w:line="157" w:lineRule="exact"/>
        <w:rPr>
          <w:sz w:val="20"/>
          <w:szCs w:val="20"/>
          <w:color w:val="auto"/>
        </w:rPr>
      </w:pPr>
    </w:p>
    <w:p>
      <w:pPr>
        <w:ind w:right="20" w:firstLine="869"/>
        <w:spacing w:after="0" w:line="275" w:lineRule="auto"/>
        <w:rPr>
          <w:sz w:val="20"/>
          <w:szCs w:val="20"/>
          <w:color w:val="auto"/>
        </w:rPr>
      </w:pPr>
      <w:r>
        <w:rPr>
          <w:rFonts w:ascii="Times New Roman" w:cs="Times New Roman" w:eastAsia="Times New Roman" w:hAnsi="Times New Roman"/>
          <w:sz w:val="15"/>
          <w:szCs w:val="15"/>
          <w:color w:val="auto"/>
        </w:rPr>
        <w:t xml:space="preserve">3.09 </w:t>
      </w:r>
      <w:r>
        <w:rPr>
          <w:rFonts w:ascii="Times New Roman" w:cs="Times New Roman" w:eastAsia="Times New Roman" w:hAnsi="Times New Roman"/>
          <w:sz w:val="15"/>
          <w:szCs w:val="15"/>
          <w:u w:val="single" w:color="auto"/>
          <w:color w:val="auto"/>
        </w:rPr>
        <w:t>Tax Advisors</w:t>
      </w:r>
      <w:r>
        <w:rPr>
          <w:rFonts w:ascii="Times New Roman" w:cs="Times New Roman" w:eastAsia="Times New Roman" w:hAnsi="Times New Roman"/>
          <w:sz w:val="15"/>
          <w:szCs w:val="15"/>
          <w:color w:val="auto"/>
        </w:rPr>
        <w:t>. The Purchaser has had the opportunity to review with the Purchaser’s own tax advisors the federal, state and local tax consequences of its purchase of the Securities set forth opposite such Purchaser’s name on the Schedule of Purchasers, where applicable, and the transactions contemplated by this Agreement. The Purchaser is relying solely on the Purchaser’s own determination as to tax consequences or the advice of such tax advisors and not on any statements or representations of the Company or any of its agents and understands that the Purchaser (and not the Company) shall be responsible for the Purchaser’s own tax liability that may arise as a result of the transactions contemplated by this Agreement.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40"/>
          </w:cols>
          <w:pgMar w:left="1120" w:top="253" w:right="1139" w:bottom="1440" w:gutter="0" w:footer="0" w:header="0"/>
        </w:sectPr>
      </w:pPr>
    </w:p>
    <w:bookmarkStart w:id="141" w:name="page142"/>
    <w:bookmarkEnd w:id="141"/>
    <w:p>
      <w:pPr>
        <w:ind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3.10 </w:t>
      </w:r>
      <w:r>
        <w:rPr>
          <w:rFonts w:ascii="Times New Roman" w:cs="Times New Roman" w:eastAsia="Times New Roman" w:hAnsi="Times New Roman"/>
          <w:sz w:val="16"/>
          <w:szCs w:val="16"/>
          <w:u w:val="single" w:color="auto"/>
          <w:color w:val="auto"/>
        </w:rPr>
        <w:t>Residency</w:t>
      </w:r>
      <w:r>
        <w:rPr>
          <w:rFonts w:ascii="Times New Roman" w:cs="Times New Roman" w:eastAsia="Times New Roman" w:hAnsi="Times New Roman"/>
          <w:sz w:val="16"/>
          <w:szCs w:val="16"/>
          <w:color w:val="auto"/>
        </w:rPr>
        <w:t>. Such Purchaser’s residence (if an individual) or offices in which its investment decision with respect to the Securities was made (if an entity) are located at the address immediately below such Purchaser’s name on the Schedule of Purchasers.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Representations and Warranties by the Company</w:t>
      </w:r>
      <w:r>
        <w:rPr>
          <w:rFonts w:ascii="Times New Roman" w:cs="Times New Roman" w:eastAsia="Times New Roman" w:hAnsi="Times New Roman"/>
          <w:sz w:val="16"/>
          <w:szCs w:val="16"/>
          <w:color w:val="auto"/>
        </w:rPr>
        <w:t>. The Company represents and warrants to the Purchasers that:</w:t>
      </w:r>
    </w:p>
    <w:p>
      <w:pPr>
        <w:spacing w:after="0" w:line="194" w:lineRule="exact"/>
        <w:rPr>
          <w:sz w:val="20"/>
          <w:szCs w:val="20"/>
          <w:color w:val="auto"/>
        </w:rPr>
      </w:pPr>
    </w:p>
    <w:p>
      <w:pPr>
        <w:ind w:right="20" w:firstLine="869"/>
        <w:spacing w:after="0" w:line="251" w:lineRule="auto"/>
        <w:rPr>
          <w:sz w:val="20"/>
          <w:szCs w:val="20"/>
          <w:color w:val="auto"/>
        </w:rPr>
      </w:pPr>
      <w:r>
        <w:rPr>
          <w:rFonts w:ascii="Times New Roman" w:cs="Times New Roman" w:eastAsia="Times New Roman" w:hAnsi="Times New Roman"/>
          <w:sz w:val="16"/>
          <w:szCs w:val="16"/>
          <w:color w:val="auto"/>
        </w:rPr>
        <w:t xml:space="preserve">4.01 </w:t>
      </w:r>
      <w:r>
        <w:rPr>
          <w:rFonts w:ascii="Times New Roman" w:cs="Times New Roman" w:eastAsia="Times New Roman" w:hAnsi="Times New Roman"/>
          <w:sz w:val="16"/>
          <w:szCs w:val="16"/>
          <w:u w:val="single" w:color="auto"/>
          <w:color w:val="auto"/>
        </w:rPr>
        <w:t>No Material Adverse Change in Business</w:t>
      </w:r>
      <w:r>
        <w:rPr>
          <w:rFonts w:ascii="Times New Roman" w:cs="Times New Roman" w:eastAsia="Times New Roman" w:hAnsi="Times New Roman"/>
          <w:sz w:val="16"/>
          <w:szCs w:val="16"/>
          <w:color w:val="auto"/>
        </w:rPr>
        <w:t>. Since December 31, 2021, (i) there has been no effect, change, condition, event, circumstance, occurrence, result, state of facts or development that has or would reasonably be expected to have a materially adverse effect on the business, financial condition, assets, operations, results of operations or financial performance of the Company and its subsidiaries, taken as a whole (a “</w:t>
      </w:r>
      <w:r>
        <w:rPr>
          <w:rFonts w:ascii="Times New Roman" w:cs="Times New Roman" w:eastAsia="Times New Roman" w:hAnsi="Times New Roman"/>
          <w:sz w:val="16"/>
          <w:szCs w:val="16"/>
          <w:b w:val="1"/>
          <w:bCs w:val="1"/>
          <w:i w:val="1"/>
          <w:iCs w:val="1"/>
          <w:color w:val="auto"/>
        </w:rPr>
        <w:t>Material Adverse Effect</w:t>
      </w:r>
      <w:r>
        <w:rPr>
          <w:rFonts w:ascii="Times New Roman" w:cs="Times New Roman" w:eastAsia="Times New Roman" w:hAnsi="Times New Roman"/>
          <w:sz w:val="16"/>
          <w:szCs w:val="16"/>
          <w:color w:val="auto"/>
        </w:rPr>
        <w:t>”), (ii) there have been no transactions entered into by the Company or any of its subsidiaries, other than those in the ordinary course of business and except as contemplated in this Agreement and the Merger Agreement, which are material with respect to the Company and its subsidiaries considered as one enterprise, and (iii) there has been no dividend or distribution of any kind declared, paid or made by the Company on any class of its capital stock.</w:t>
      </w:r>
    </w:p>
    <w:p>
      <w:pPr>
        <w:spacing w:after="0" w:line="167" w:lineRule="exact"/>
        <w:rPr>
          <w:sz w:val="20"/>
          <w:szCs w:val="20"/>
          <w:color w:val="auto"/>
        </w:rPr>
      </w:pPr>
    </w:p>
    <w:p>
      <w:pPr>
        <w:ind w:right="20" w:firstLine="869"/>
        <w:spacing w:after="0" w:line="252" w:lineRule="auto"/>
        <w:rPr>
          <w:sz w:val="20"/>
          <w:szCs w:val="20"/>
          <w:color w:val="auto"/>
        </w:rPr>
      </w:pPr>
      <w:r>
        <w:rPr>
          <w:rFonts w:ascii="Times New Roman" w:cs="Times New Roman" w:eastAsia="Times New Roman" w:hAnsi="Times New Roman"/>
          <w:sz w:val="16"/>
          <w:szCs w:val="16"/>
          <w:color w:val="auto"/>
        </w:rPr>
        <w:t xml:space="preserve">4.02 </w:t>
      </w:r>
      <w:r>
        <w:rPr>
          <w:rFonts w:ascii="Times New Roman" w:cs="Times New Roman" w:eastAsia="Times New Roman" w:hAnsi="Times New Roman"/>
          <w:sz w:val="16"/>
          <w:szCs w:val="16"/>
          <w:u w:val="single" w:color="auto"/>
          <w:color w:val="auto"/>
        </w:rPr>
        <w:t>Organization and Good Standing of the Company</w:t>
      </w:r>
      <w:r>
        <w:rPr>
          <w:rFonts w:ascii="Times New Roman" w:cs="Times New Roman" w:eastAsia="Times New Roman" w:hAnsi="Times New Roman"/>
          <w:sz w:val="16"/>
          <w:szCs w:val="16"/>
          <w:color w:val="auto"/>
        </w:rPr>
        <w:t>. The Company has been duly incorporated and is validly existing as a corporation in good standing under the laws of the State of Delaware and has corporate power and authority to own, lease and operate its properties and to conduct its business as currently conducted and to enter into and perform its obligations under this Agreement and the Merger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65" w:lineRule="exact"/>
        <w:rPr>
          <w:sz w:val="20"/>
          <w:szCs w:val="20"/>
          <w:color w:val="auto"/>
        </w:rPr>
      </w:pPr>
    </w:p>
    <w:p>
      <w:pPr>
        <w:ind w:right="20" w:firstLine="869"/>
        <w:spacing w:after="0" w:line="254" w:lineRule="auto"/>
        <w:rPr>
          <w:sz w:val="20"/>
          <w:szCs w:val="20"/>
          <w:color w:val="auto"/>
        </w:rPr>
      </w:pPr>
      <w:r>
        <w:rPr>
          <w:rFonts w:ascii="Times New Roman" w:cs="Times New Roman" w:eastAsia="Times New Roman" w:hAnsi="Times New Roman"/>
          <w:sz w:val="16"/>
          <w:szCs w:val="16"/>
          <w:color w:val="auto"/>
        </w:rPr>
        <w:t xml:space="preserve">4.03 </w:t>
      </w:r>
      <w:r>
        <w:rPr>
          <w:rFonts w:ascii="Times New Roman" w:cs="Times New Roman" w:eastAsia="Times New Roman" w:hAnsi="Times New Roman"/>
          <w:sz w:val="16"/>
          <w:szCs w:val="16"/>
          <w:u w:val="single" w:color="auto"/>
          <w:color w:val="auto"/>
        </w:rPr>
        <w:t>Organization and Good Standing of Subsidiaries</w:t>
      </w:r>
      <w:r>
        <w:rPr>
          <w:rFonts w:ascii="Times New Roman" w:cs="Times New Roman" w:eastAsia="Times New Roman" w:hAnsi="Times New Roman"/>
          <w:sz w:val="16"/>
          <w:szCs w:val="16"/>
          <w:color w:val="auto"/>
        </w:rPr>
        <w:t>. Each subsidiary of the Company has been duly incorporated or organized and is validly existing in good standing under the laws of the jurisdiction of its incorporation or organization, has corporate or similar power and authority to own, lease and operate its properties and to conduct its business as currently conducted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result in a Material Adverse Effect.</w:t>
      </w:r>
    </w:p>
    <w:p>
      <w:pPr>
        <w:spacing w:after="0" w:line="162" w:lineRule="exact"/>
        <w:rPr>
          <w:sz w:val="20"/>
          <w:szCs w:val="20"/>
          <w:color w:val="auto"/>
        </w:rPr>
      </w:pPr>
    </w:p>
    <w:p>
      <w:pPr>
        <w:ind w:right="40" w:firstLine="869"/>
        <w:spacing w:after="0" w:line="276" w:lineRule="auto"/>
        <w:rPr>
          <w:sz w:val="20"/>
          <w:szCs w:val="20"/>
          <w:color w:val="auto"/>
        </w:rPr>
      </w:pPr>
      <w:r>
        <w:rPr>
          <w:rFonts w:ascii="Times New Roman" w:cs="Times New Roman" w:eastAsia="Times New Roman" w:hAnsi="Times New Roman"/>
          <w:sz w:val="16"/>
          <w:szCs w:val="16"/>
          <w:color w:val="auto"/>
        </w:rPr>
        <w:t xml:space="preserve">4.04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The Company hereby represents and warrants to the Purchasers the information included in Section 3.6 of the Merger Agreement, which is hereby incorporated by reference in all respects, is true and correct in all respects.</w:t>
      </w:r>
    </w:p>
    <w:p>
      <w:pPr>
        <w:spacing w:after="0" w:line="145" w:lineRule="exact"/>
        <w:rPr>
          <w:sz w:val="20"/>
          <w:szCs w:val="20"/>
          <w:color w:val="auto"/>
        </w:rPr>
      </w:pPr>
    </w:p>
    <w:p>
      <w:pPr>
        <w:ind w:right="100" w:firstLine="869"/>
        <w:spacing w:after="0" w:line="250" w:lineRule="auto"/>
        <w:rPr>
          <w:sz w:val="20"/>
          <w:szCs w:val="20"/>
          <w:color w:val="auto"/>
        </w:rPr>
      </w:pPr>
      <w:r>
        <w:rPr>
          <w:rFonts w:ascii="Times New Roman" w:cs="Times New Roman" w:eastAsia="Times New Roman" w:hAnsi="Times New Roman"/>
          <w:sz w:val="16"/>
          <w:szCs w:val="16"/>
          <w:color w:val="auto"/>
        </w:rPr>
        <w:t xml:space="preserve">4.05 </w:t>
      </w:r>
      <w:r>
        <w:rPr>
          <w:rFonts w:ascii="Times New Roman" w:cs="Times New Roman" w:eastAsia="Times New Roman" w:hAnsi="Times New Roman"/>
          <w:sz w:val="16"/>
          <w:szCs w:val="16"/>
          <w:u w:val="single" w:color="auto"/>
          <w:color w:val="auto"/>
        </w:rPr>
        <w:t>Validity; Valid Issuance of Securities</w:t>
      </w:r>
      <w:r>
        <w:rPr>
          <w:rFonts w:ascii="Times New Roman" w:cs="Times New Roman" w:eastAsia="Times New Roman" w:hAnsi="Times New Roman"/>
          <w:sz w:val="16"/>
          <w:szCs w:val="16"/>
          <w:color w:val="auto"/>
        </w:rPr>
        <w:t>. This Agreement has been duly authorized, executed and delivered by the Company and constitutes a valid and binding obligation of the Company, enforceable against it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The Securities are duly authorized and, when issued, sold and delivered in accordance with the terms and for the consideration set forth in this Agreement, will be validly issued, fully paid and nonassessable and free and clear of any liens or other restrictions, other than restrictions on transfer under applicable state and federal securities or such restrictions as the Purchaser has agreed to in writing with the Company, and will not have been issued in violation of or subject to any preemptive or similar rights created under the Company’s certificate of incorporation or bylaws or the Delaware General Corporation Law.</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00"/>
          </w:cols>
          <w:pgMar w:left="1120" w:top="253" w:right="1179" w:bottom="1440" w:gutter="0" w:footer="0" w:header="0"/>
        </w:sectPr>
      </w:pPr>
    </w:p>
    <w:bookmarkStart w:id="142" w:name="page143"/>
    <w:bookmarkEnd w:id="142"/>
    <w:p>
      <w:pPr>
        <w:ind w:left="1" w:right="20" w:firstLine="869"/>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4.06 </w:t>
      </w:r>
      <w:r>
        <w:rPr>
          <w:rFonts w:ascii="Times New Roman" w:cs="Times New Roman" w:eastAsia="Times New Roman" w:hAnsi="Times New Roman"/>
          <w:sz w:val="15"/>
          <w:szCs w:val="15"/>
          <w:u w:val="single" w:color="auto"/>
          <w:color w:val="auto"/>
        </w:rPr>
        <w:t>Absence of Violations, Defaults and Conflicts</w:t>
      </w:r>
      <w:r>
        <w:rPr>
          <w:rFonts w:ascii="Times New Roman" w:cs="Times New Roman" w:eastAsia="Times New Roman" w:hAnsi="Times New Roman"/>
          <w:sz w:val="15"/>
          <w:szCs w:val="15"/>
          <w:color w:val="auto"/>
        </w:rPr>
        <w:t>. Neither the Company nor any of its subsidiaries is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Times New Roman" w:cs="Times New Roman" w:eastAsia="Times New Roman" w:hAnsi="Times New Roman"/>
          <w:sz w:val="15"/>
          <w:szCs w:val="15"/>
          <w:b w:val="1"/>
          <w:bCs w:val="1"/>
          <w:i w:val="1"/>
          <w:iCs w:val="1"/>
          <w:color w:val="auto"/>
        </w:rPr>
        <w:t>Agreements and Instruments</w:t>
      </w:r>
      <w:r>
        <w:rPr>
          <w:rFonts w:ascii="Times New Roman" w:cs="Times New Roman" w:eastAsia="Times New Roman" w:hAnsi="Times New Roman"/>
          <w:sz w:val="15"/>
          <w:szCs w:val="15"/>
          <w:color w:val="auto"/>
        </w:rPr>
        <w:t>”), except for such defaults that would not, singly or in the aggregate, result in a Material Adverse Effect, or (iii)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 w:cs="Times New Roman" w:eastAsia="Times New Roman" w:hAnsi="Times New Roman"/>
          <w:sz w:val="15"/>
          <w:szCs w:val="15"/>
          <w:b w:val="1"/>
          <w:bCs w:val="1"/>
          <w:i w:val="1"/>
          <w:iCs w:val="1"/>
          <w:color w:val="auto"/>
        </w:rPr>
        <w:t>Governmental Entity</w:t>
      </w:r>
      <w:r>
        <w:rPr>
          <w:rFonts w:ascii="Times New Roman" w:cs="Times New Roman" w:eastAsia="Times New Roman" w:hAnsi="Times New Roman"/>
          <w:sz w:val="15"/>
          <w:szCs w:val="15"/>
          <w:color w:val="auto"/>
        </w:rPr>
        <w:t>”), except for such violations that would not, singly or in the aggregate, result in a Material Adverse Effect. The execution, delivery and the performance of this Agreement and the consummation of the transactions contemplated herein (including the issuance and sale of the Securities) and compliance by the Company with its obligations hereunder do not and will not, whether with or without the giving of notice or passage of time or both, (1) conflict with or constitute a breach of, or default under, or result in the creation or imposition of any lien, charge or encumbrance upon any properties or assets of the Company or any subsidiary pursuant to, the Agreements and Instruments,</w:t>
      </w:r>
    </w:p>
    <w:p>
      <w:pPr>
        <w:spacing w:after="0" w:line="2" w:lineRule="exact"/>
        <w:rPr>
          <w:sz w:val="20"/>
          <w:szCs w:val="20"/>
          <w:color w:val="auto"/>
        </w:rPr>
      </w:pPr>
    </w:p>
    <w:p>
      <w:pPr>
        <w:ind w:left="1" w:right="140" w:hanging="1"/>
        <w:spacing w:after="0" w:line="248" w:lineRule="auto"/>
        <w:tabs>
          <w:tab w:leader="none" w:pos="22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any violation of the provisions of the certificate of incorporation, by-laws or similar organizational document of the Company or any of its subsidiaries or (3) result in any violation of any applicable law, statute, rule, regulation, judgment, order, writ or decree of any Governmental Entity, except in the case of clauses (1) and (3) for such violations as would not, singly or in the aggregate, have or reasonably be expected to have a Material Adverse Effect, or materially affect the validity of the Securities or the legal authority of the Company to perform its obligations hereunder and timely comply in all material respects with the terms of this Agreement or the Merger Agreement.</w:t>
      </w:r>
    </w:p>
    <w:p>
      <w:pPr>
        <w:spacing w:after="0" w:line="168" w:lineRule="exact"/>
        <w:rPr>
          <w:sz w:val="20"/>
          <w:szCs w:val="20"/>
          <w:color w:val="auto"/>
        </w:rPr>
      </w:pPr>
    </w:p>
    <w:p>
      <w:pPr>
        <w:ind w:left="1" w:right="10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4.07 </w:t>
      </w:r>
      <w:r>
        <w:rPr>
          <w:rFonts w:ascii="Times New Roman" w:cs="Times New Roman" w:eastAsia="Times New Roman" w:hAnsi="Times New Roman"/>
          <w:sz w:val="16"/>
          <w:szCs w:val="16"/>
          <w:u w:val="single" w:color="auto"/>
          <w:color w:val="auto"/>
        </w:rPr>
        <w:t>Absence of Proceedings</w:t>
      </w:r>
      <w:r>
        <w:rPr>
          <w:rFonts w:ascii="Times New Roman" w:cs="Times New Roman" w:eastAsia="Times New Roman" w:hAnsi="Times New Roman"/>
          <w:sz w:val="16"/>
          <w:szCs w:val="16"/>
          <w:color w:val="auto"/>
        </w:rPr>
        <w:t>. There is no action, suit, proceeding, inquiry or investigation before or brought by any Governmental Entity now pending or, to the knowledge of the Company, threatened, against or affecting the Company or any of its subsidiaries, which would have or reasonably be expected to have a Material Adverse Effect or materially affect the validity of the Securities or the legal authority of the Company to perform its obligations hereunder and timely comply in all material respects with the terms of this Agreement or the Merger Agreement.</w:t>
      </w:r>
    </w:p>
    <w:p>
      <w:pPr>
        <w:spacing w:after="0" w:line="161" w:lineRule="exact"/>
        <w:rPr>
          <w:sz w:val="20"/>
          <w:szCs w:val="20"/>
          <w:color w:val="auto"/>
        </w:rPr>
      </w:pPr>
    </w:p>
    <w:p>
      <w:pPr>
        <w:ind w:left="1" w:firstLine="869"/>
        <w:spacing w:after="0" w:line="269" w:lineRule="auto"/>
        <w:rPr>
          <w:sz w:val="20"/>
          <w:szCs w:val="20"/>
          <w:color w:val="auto"/>
        </w:rPr>
      </w:pPr>
      <w:r>
        <w:rPr>
          <w:rFonts w:ascii="Times New Roman" w:cs="Times New Roman" w:eastAsia="Times New Roman" w:hAnsi="Times New Roman"/>
          <w:sz w:val="15"/>
          <w:szCs w:val="15"/>
          <w:color w:val="auto"/>
        </w:rPr>
        <w:t xml:space="preserve">4.08 </w:t>
      </w:r>
      <w:r>
        <w:rPr>
          <w:rFonts w:ascii="Times New Roman" w:cs="Times New Roman" w:eastAsia="Times New Roman" w:hAnsi="Times New Roman"/>
          <w:sz w:val="15"/>
          <w:szCs w:val="15"/>
          <w:u w:val="single" w:color="auto"/>
          <w:color w:val="auto"/>
        </w:rPr>
        <w:t>Possession of Licenses and Permits</w:t>
      </w:r>
      <w:r>
        <w:rPr>
          <w:rFonts w:ascii="Times New Roman" w:cs="Times New Roman" w:eastAsia="Times New Roman" w:hAnsi="Times New Roman"/>
          <w:sz w:val="15"/>
          <w:szCs w:val="15"/>
          <w:color w:val="auto"/>
        </w:rPr>
        <w:t>. The Company and its subsidiaries possess such permits, licenses, approvals, consents and other authorizations (collectively, “</w:t>
      </w:r>
      <w:r>
        <w:rPr>
          <w:rFonts w:ascii="Times New Roman" w:cs="Times New Roman" w:eastAsia="Times New Roman" w:hAnsi="Times New Roman"/>
          <w:sz w:val="15"/>
          <w:szCs w:val="15"/>
          <w:b w:val="1"/>
          <w:bCs w:val="1"/>
          <w:i w:val="1"/>
          <w:iCs w:val="1"/>
          <w:color w:val="auto"/>
        </w:rPr>
        <w:t>Governmental Licenses</w:t>
      </w:r>
      <w:r>
        <w:rPr>
          <w:rFonts w:ascii="Times New Roman" w:cs="Times New Roman" w:eastAsia="Times New Roman" w:hAnsi="Times New Roman"/>
          <w:sz w:val="15"/>
          <w:szCs w:val="15"/>
          <w:color w:val="auto"/>
        </w:rPr>
        <w:t>”) issued by the appropriate Governmental Entities necessary to conduct the business now operated by them, except where the failure so to possess would not, singly or in the aggregate, have or reasonably be expected to have a Material Adverse Effect. The Company and its subsidiaries are in compliance with the terms and conditions of all Governmental Licenses, except where the failure so to comply would not, singly or in the aggregate, have or reasonably be expected to have a Material Adverse Effect. All of the Governmental Licenses are valid and in full force and effect, except when the invalidity of such Governmental Licenses or the failure of such Governmental Licenses to be in full force and effect would not, singly or in the aggregate, have or reasonably be expected to have a Material Adverse Effect. Neither the Company nor any of its subsidiaries has received any notice of proceedings relating to the revocation or modification of any Governmental Licenses which, singly or in the aggregate, if the subject of an unfavorable decision, ruling or finding, would have or reasonably be expected to have a Material Adverse Effect.</w:t>
      </w:r>
    </w:p>
    <w:p>
      <w:pPr>
        <w:spacing w:after="0" w:line="152" w:lineRule="exact"/>
        <w:rPr>
          <w:sz w:val="20"/>
          <w:szCs w:val="20"/>
          <w:color w:val="auto"/>
        </w:rPr>
      </w:pPr>
    </w:p>
    <w:p>
      <w:pPr>
        <w:ind w:left="1" w:right="16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4.09 </w:t>
      </w:r>
      <w:r>
        <w:rPr>
          <w:rFonts w:ascii="Times New Roman" w:cs="Times New Roman" w:eastAsia="Times New Roman" w:hAnsi="Times New Roman"/>
          <w:sz w:val="16"/>
          <w:szCs w:val="16"/>
          <w:u w:val="single" w:color="auto"/>
          <w:color w:val="auto"/>
        </w:rPr>
        <w:t>Title to Property</w:t>
      </w:r>
      <w:r>
        <w:rPr>
          <w:rFonts w:ascii="Times New Roman" w:cs="Times New Roman" w:eastAsia="Times New Roman" w:hAnsi="Times New Roman"/>
          <w:sz w:val="16"/>
          <w:szCs w:val="16"/>
          <w:color w:val="auto"/>
        </w:rPr>
        <w:t>. The Company and its subsidiaries do not own any real property. The Company and its subsidiaries have title to all tangible personal property owned by them, in each case, free and clear of all mortgages, pledges, liens, security interests, claims, restrictions or encumbrances of any kind except such as do not, singly or in the aggregate, materially affect the value of such property and do not materially interfere with the use made and proposed to be made of such property by the Company or any of its subsidiaries.</w:t>
      </w:r>
    </w:p>
    <w:p>
      <w:pPr>
        <w:spacing w:after="0" w:line="161" w:lineRule="exact"/>
        <w:rPr>
          <w:sz w:val="20"/>
          <w:szCs w:val="20"/>
          <w:color w:val="auto"/>
        </w:rPr>
      </w:pPr>
    </w:p>
    <w:p>
      <w:pPr>
        <w:ind w:left="1" w:right="80" w:firstLine="869"/>
        <w:spacing w:after="0" w:line="276"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The Company hereby represents and warrants to the Purchasers the information included in Section 3.12 of the Merger Agreement, which is hereby incorporated by reference in all respects, is true and correct in all respects.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41"/>
          </w:cols>
          <w:pgMar w:left="1119" w:top="253" w:right="1139" w:bottom="1440" w:gutter="0" w:footer="0" w:header="0"/>
        </w:sectPr>
      </w:pPr>
    </w:p>
    <w:bookmarkStart w:id="143" w:name="page144"/>
    <w:bookmarkEnd w:id="143"/>
    <w:p>
      <w:pPr>
        <w:ind w:firstLine="869"/>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4.11 </w:t>
      </w:r>
      <w:r>
        <w:rPr>
          <w:rFonts w:ascii="Times New Roman" w:cs="Times New Roman" w:eastAsia="Times New Roman" w:hAnsi="Times New Roman"/>
          <w:sz w:val="16"/>
          <w:szCs w:val="16"/>
          <w:u w:val="single" w:color="auto"/>
          <w:color w:val="auto"/>
        </w:rPr>
        <w:t>Payment of Taxes</w:t>
      </w:r>
      <w:r>
        <w:rPr>
          <w:rFonts w:ascii="Times New Roman" w:cs="Times New Roman" w:eastAsia="Times New Roman" w:hAnsi="Times New Roman"/>
          <w:sz w:val="16"/>
          <w:szCs w:val="16"/>
          <w:color w:val="auto"/>
        </w:rPr>
        <w:t>. 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No assessment in connection with United States federal tax returns has been made against the Company. The Company and its subsidiaries have filed all other tax returns that are required to have been filed by them through the date hereof or have timely requested extensions thereof pursuant to applicable foreign state, local or other law except insofar as the failure to file such returns would not have or reasonably be expected to have a Material Adverse Effect, and has paid all taxes due pursuant to such returns or all taxes due and payable pursuant to any assessment received by the Company and its subsidiaries, except for such taxes, if any, as are being contested in good faith and as to which adequate reserves have been established by the Company or its subsidiaries and except where the failure to pay such taxes would not have or reasonably be expected to have a Material Adverse Effect.</w:t>
      </w:r>
    </w:p>
    <w:p>
      <w:pPr>
        <w:spacing w:after="0" w:line="167" w:lineRule="exact"/>
        <w:rPr>
          <w:sz w:val="20"/>
          <w:szCs w:val="20"/>
          <w:color w:val="auto"/>
        </w:rPr>
      </w:pPr>
    </w:p>
    <w:p>
      <w:pPr>
        <w:ind w:right="80" w:firstLine="869"/>
        <w:spacing w:after="0" w:line="252"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and the subsidiaries carry or are entitled to the benefits of insurance, with what the Company reasonably believes to be financially sound and reputable insurers, in such amounts and covering such risks as is adequate for the conduct of their respective businesses and the value of their respective properties and assets, and all such insurance is in full force and effect. The Company has no reason to believe that it or any of the subsidiaries will not be able (i) to renew its existing insurance coverage as and when such policies expire or (ii) to obtain comparable coverage from similar institutions as may be necessary or appropriate to conduct its business as now conducted and at a cost that would not have a Material Adverse Effect.</w:t>
      </w:r>
    </w:p>
    <w:p>
      <w:pPr>
        <w:spacing w:after="0" w:line="165" w:lineRule="exact"/>
        <w:rPr>
          <w:sz w:val="20"/>
          <w:szCs w:val="20"/>
          <w:color w:val="auto"/>
        </w:rPr>
      </w:pPr>
    </w:p>
    <w:p>
      <w:pPr>
        <w:ind w:right="360" w:firstLine="869"/>
        <w:spacing w:after="0" w:line="276" w:lineRule="auto"/>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The Company is not required, and upon the issuance and sale of the Securities will not be required, to register as an “investment company” under the Investment Company Act of 1940, as amended.</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 xml:space="preserve"> Except as would not, singly or in the aggregate, have or reasonably be expected to have a Material Adverse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 (i) neither the Company nor any of its subsidiaries has received any FDA Form 483, notice of adverse finding, warning letter or other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correspondence or written notice from the U.S. Food and Drug Administration (“</w:t>
      </w:r>
      <w:r>
        <w:rPr>
          <w:rFonts w:ascii="Times New Roman" w:cs="Times New Roman" w:eastAsia="Times New Roman" w:hAnsi="Times New Roman"/>
          <w:sz w:val="16"/>
          <w:szCs w:val="16"/>
          <w:b w:val="1"/>
          <w:bCs w:val="1"/>
          <w:i w:val="1"/>
          <w:iCs w:val="1"/>
          <w:color w:val="auto"/>
        </w:rPr>
        <w:t>FDA</w:t>
      </w:r>
      <w:r>
        <w:rPr>
          <w:rFonts w:ascii="Times New Roman" w:cs="Times New Roman" w:eastAsia="Times New Roman" w:hAnsi="Times New Roman"/>
          <w:sz w:val="16"/>
          <w:szCs w:val="16"/>
          <w:color w:val="auto"/>
        </w:rPr>
        <w:t>”) or any other Governmental Entity alleging or asserting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noncompliance with any Applicable Laws (as defined in clause (ii) below) or Authorizations (as defined in clause (iii) below); (ii) the Company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of its subsidiaries is and has been in compliance with statutes, laws, ordinances, rules and regulations applicable to the Company and its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for the ownership, testing, development, manufacture, packaging, processing, use, distribution, marketing, labeling, promotion, sale, offer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sale, storage, import, export or disposal of any product manufactured or distributed by the Company, including without limitation, the Federal Food,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Drug, and Cosmetic Act, 21 U.S.C. § 301, et seq., similar laws of other Governmental Entities and the regulations promulgated pursuant to such laws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(collectively, “</w:t>
      </w:r>
      <w:r>
        <w:rPr>
          <w:rFonts w:ascii="Times New Roman" w:cs="Times New Roman" w:eastAsia="Times New Roman" w:hAnsi="Times New Roman"/>
          <w:sz w:val="15"/>
          <w:szCs w:val="15"/>
          <w:b w:val="1"/>
          <w:bCs w:val="1"/>
          <w:i w:val="1"/>
          <w:iCs w:val="1"/>
          <w:color w:val="auto"/>
        </w:rPr>
        <w:t>Applicable Laws</w:t>
      </w:r>
      <w:r>
        <w:rPr>
          <w:rFonts w:ascii="Times New Roman" w:cs="Times New Roman" w:eastAsia="Times New Roman" w:hAnsi="Times New Roman"/>
          <w:sz w:val="15"/>
          <w:szCs w:val="15"/>
          <w:color w:val="auto"/>
        </w:rPr>
        <w:t>”); (iii) the Company and each of its subsidiaries possesses all licenses, certificates, approvals, clearances, authorizations,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permits and supplements or amendments thereto required by any such Applicable Laws and/or to carry on its businesses as now conducted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Authorizations</w:t>
      </w:r>
      <w:r>
        <w:rPr>
          <w:rFonts w:ascii="Times New Roman" w:cs="Times New Roman" w:eastAsia="Times New Roman" w:hAnsi="Times New Roman"/>
          <w:sz w:val="16"/>
          <w:szCs w:val="16"/>
          <w:color w:val="auto"/>
        </w:rPr>
        <w:t>”) and such Authorizations are valid and in full force and effect and the Company is not in violation of any term of any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Authorizations; (iv) neither the Company nor any of its subsidiaries has received notice of any ongoing claim, action, suit, proceeding, hearing,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enforcement, investigation, arbitration or other action from any Governmental Entity or third party alleging that any product, operation or activity is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violation of any Applicable Laws or Authorizations or has any knowledge that any such Governmental Entity or third party is considering any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claim, litigation, arbitration, action, suit, investigation or proceeding, nor, to the Company’s knowledge, has there been any noncompliance with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violation of any Applicable Laws by the Company or any of its subsidiaries that could reasonably be expected to require the issuance of any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communication or result in an investigation, corrective action, or enforcement action by FDA or similar Governmental Entity; (v) neither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 any of its subsidiaries has received notice that any Governmental Entity has taken, is taking or intends to take action to limit, suspend, modify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revoke any Authorizations or has any knowledge that any such Governmental Entity is threatening or is considering such action; and (vi) the Company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each of its subsidiaries has filed, obtained, maintained or submitted all reports, documents, forms, notices, applications, records, claims, submissions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supplements or amendments as required by any Applicable Laws or Authorizations and that all such reports, documents, forms, notices,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applications, records, claims, submissions and supplements or amendments were complete, correct and not misleading on the date filed (or were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corrected or supplemented by a subsequent submission).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40"/>
          </w:cols>
          <w:pgMar w:left="1120" w:top="253" w:right="1139" w:bottom="1440" w:gutter="0" w:footer="0" w:header="0"/>
        </w:sectPr>
      </w:pPr>
    </w:p>
    <w:bookmarkStart w:id="144" w:name="page145"/>
    <w:bookmarkEnd w:id="144"/>
    <w:p>
      <w:pPr>
        <w:ind w:firstLine="869"/>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4.15 </w:t>
      </w:r>
      <w:r>
        <w:rPr>
          <w:rFonts w:ascii="Times New Roman" w:cs="Times New Roman" w:eastAsia="Times New Roman" w:hAnsi="Times New Roman"/>
          <w:sz w:val="16"/>
          <w:szCs w:val="16"/>
          <w:u w:val="single" w:color="auto"/>
          <w:color w:val="auto"/>
        </w:rPr>
        <w:t>Employment Matters</w:t>
      </w:r>
      <w:r>
        <w:rPr>
          <w:rFonts w:ascii="Times New Roman" w:cs="Times New Roman" w:eastAsia="Times New Roman" w:hAnsi="Times New Roman"/>
          <w:sz w:val="16"/>
          <w:szCs w:val="16"/>
          <w:color w:val="auto"/>
        </w:rPr>
        <w:t>. The Company and its subsidiaries are in compliance in all material respects with all applicable laws relating to the employment of labor, including but not limited to those related to wages, hours, collective bargaining, equal employment opportunity, occupational health and safety, immigration, individual and collective consultation, notice of termination, and redundancy, and are not liable for any arrears of wages, taxes, penalties or other sums for failure to comply with any of the foregoing.</w:t>
      </w:r>
    </w:p>
    <w:p>
      <w:pPr>
        <w:spacing w:after="0" w:line="161" w:lineRule="exact"/>
        <w:rPr>
          <w:sz w:val="20"/>
          <w:szCs w:val="20"/>
          <w:color w:val="auto"/>
        </w:rPr>
      </w:pPr>
    </w:p>
    <w:p>
      <w:pPr>
        <w:ind w:right="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4.16 </w:t>
      </w: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xml:space="preserve">. None of the Company, its subsidiaries or any person acting on its or their behalf, has, directly or indirectly, made any offers or sales of any security or solicited any offers to buy any security under any circumstances that would require registration under the 1933 Act of the Securities being sold pursuant to this Agreement. Assuming the accuracy of the representations and warranties of the Purchasers contained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hereof, the issuance of the Securities is exempt from registration under the 1933 Act.</w:t>
      </w:r>
    </w:p>
    <w:p>
      <w:pPr>
        <w:spacing w:after="0" w:line="16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No Disqualification Events</w:t>
      </w:r>
      <w:r>
        <w:rPr>
          <w:rFonts w:ascii="Times New Roman" w:cs="Times New Roman" w:eastAsia="Times New Roman" w:hAnsi="Times New Roman"/>
          <w:sz w:val="16"/>
          <w:szCs w:val="16"/>
          <w:color w:val="auto"/>
        </w:rPr>
        <w:t>. No “bad actor” disqualifying event described in Rule 506(d)(1)(i)-(viii) of the 1933 Act (a</w:t>
      </w:r>
    </w:p>
    <w:p>
      <w:pPr>
        <w:spacing w:after="0" w:line="2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Disqualification Event</w:t>
      </w:r>
      <w:r>
        <w:rPr>
          <w:rFonts w:ascii="Times New Roman" w:cs="Times New Roman" w:eastAsia="Times New Roman" w:hAnsi="Times New Roman"/>
          <w:sz w:val="16"/>
          <w:szCs w:val="16"/>
          <w:color w:val="auto"/>
        </w:rPr>
        <w:t>”) is applicable to the Company or, to the Company’s knowledge, any Company Covered Person (as defined below), except for a Disqualification Event as to which Rule 506(d)(2)(ii–iv) or (d)(3) is applicable. “</w:t>
      </w:r>
      <w:r>
        <w:rPr>
          <w:rFonts w:ascii="Times New Roman" w:cs="Times New Roman" w:eastAsia="Times New Roman" w:hAnsi="Times New Roman"/>
          <w:sz w:val="16"/>
          <w:szCs w:val="16"/>
          <w:b w:val="1"/>
          <w:bCs w:val="1"/>
          <w:i w:val="1"/>
          <w:iCs w:val="1"/>
          <w:color w:val="auto"/>
        </w:rPr>
        <w:t>Company Covered Person</w:t>
      </w:r>
      <w:r>
        <w:rPr>
          <w:rFonts w:ascii="Times New Roman" w:cs="Times New Roman" w:eastAsia="Times New Roman" w:hAnsi="Times New Roman"/>
          <w:sz w:val="16"/>
          <w:szCs w:val="16"/>
          <w:color w:val="auto"/>
        </w:rPr>
        <w:t>” means, with respect to the Company as an “issuer” for purposes of Rule 506 promulgated under the 1933 Act, any person listed in the first paragraph of Rule 506(d)(1). The Company is not aware of any Person (other than any Company Covered Person) that has been or will be paid (directly or indirectly) remuneration for solicitation of purchasers in connection with the sale of the Securities pursuant to this Agreement. The Company has complied, to the extent applicable, with its disclosure obligations under Rule 506(e).</w:t>
      </w:r>
    </w:p>
    <w:p>
      <w:pPr>
        <w:spacing w:after="0" w:line="167" w:lineRule="exact"/>
        <w:rPr>
          <w:sz w:val="20"/>
          <w:szCs w:val="20"/>
          <w:color w:val="auto"/>
        </w:rPr>
      </w:pPr>
    </w:p>
    <w:p>
      <w:pPr>
        <w:ind w:right="200" w:firstLine="869"/>
        <w:spacing w:after="0" w:line="276" w:lineRule="auto"/>
        <w:rPr>
          <w:sz w:val="20"/>
          <w:szCs w:val="20"/>
          <w:color w:val="auto"/>
        </w:rPr>
      </w:pPr>
      <w:r>
        <w:rPr>
          <w:rFonts w:ascii="Times New Roman" w:cs="Times New Roman" w:eastAsia="Times New Roman" w:hAnsi="Times New Roman"/>
          <w:sz w:val="16"/>
          <w:szCs w:val="16"/>
          <w:color w:val="auto"/>
        </w:rPr>
        <w:t xml:space="preserve">4.18 </w:t>
      </w:r>
      <w:r>
        <w:rPr>
          <w:rFonts w:ascii="Times New Roman" w:cs="Times New Roman" w:eastAsia="Times New Roman" w:hAnsi="Times New Roman"/>
          <w:sz w:val="16"/>
          <w:szCs w:val="16"/>
          <w:u w:val="single" w:color="auto"/>
          <w:color w:val="auto"/>
        </w:rPr>
        <w:t>No General Solicitation</w:t>
      </w:r>
      <w:r>
        <w:rPr>
          <w:rFonts w:ascii="Times New Roman" w:cs="Times New Roman" w:eastAsia="Times New Roman" w:hAnsi="Times New Roman"/>
          <w:sz w:val="16"/>
          <w:szCs w:val="16"/>
          <w:color w:val="auto"/>
        </w:rPr>
        <w:t>. Neither the Company nor, to the Company’s knowledge, any person acting on behalf of the Company has offered or sold any of the Securities by any form of general solicitation or general advertising.</w:t>
      </w:r>
    </w:p>
    <w:p>
      <w:pPr>
        <w:spacing w:after="0" w:line="145" w:lineRule="exact"/>
        <w:rPr>
          <w:sz w:val="20"/>
          <w:szCs w:val="20"/>
          <w:color w:val="auto"/>
        </w:rPr>
      </w:pPr>
    </w:p>
    <w:p>
      <w:pPr>
        <w:ind w:right="20" w:firstLine="869"/>
        <w:spacing w:after="0" w:line="271" w:lineRule="auto"/>
        <w:rPr>
          <w:sz w:val="20"/>
          <w:szCs w:val="20"/>
          <w:color w:val="auto"/>
        </w:rPr>
      </w:pPr>
      <w:r>
        <w:rPr>
          <w:rFonts w:ascii="Times New Roman" w:cs="Times New Roman" w:eastAsia="Times New Roman" w:hAnsi="Times New Roman"/>
          <w:sz w:val="15"/>
          <w:szCs w:val="15"/>
          <w:color w:val="auto"/>
        </w:rPr>
        <w:t xml:space="preserve">4.19 </w:t>
      </w:r>
      <w:r>
        <w:rPr>
          <w:rFonts w:ascii="Times New Roman" w:cs="Times New Roman" w:eastAsia="Times New Roman" w:hAnsi="Times New Roman"/>
          <w:sz w:val="15"/>
          <w:szCs w:val="15"/>
          <w:u w:val="single" w:color="auto"/>
          <w:color w:val="auto"/>
        </w:rPr>
        <w:t>No Integrated Offering</w:t>
      </w:r>
      <w:r>
        <w:rPr>
          <w:rFonts w:ascii="Times New Roman" w:cs="Times New Roman" w:eastAsia="Times New Roman" w:hAnsi="Times New Roman"/>
          <w:sz w:val="15"/>
          <w:szCs w:val="15"/>
          <w:color w:val="auto"/>
        </w:rPr>
        <w:t>. Assuming the accuracy of the Purchasers’ representations and warranties set forth in Section 3 hereof, none of the Company, its subsidiaries nor, to the Company’s knowledge, any of its Affiliates or any Person acting on its behalf has, directly or indirectly, at any time within the past six (6) months, made any offers or sales of any Company security or solicited any offers to buy any security under circumstances that would (i) eliminate the availability of the exemption from registration under Regulation D under the 1933 Act in connection with the offer and sale by the Company of the Securities as contemplated hereby or (ii) cause the offering of the Securities pursuant to this Agreement to be integrated with prior offerings by the Company for purposes of any applicable law, regulation or stockholder approval provisions, including, without limitation, under the rules and regulations of any National Exchange on which any of the securities of the Company are listed or designated.</w:t>
      </w:r>
    </w:p>
    <w:p>
      <w:pPr>
        <w:spacing w:after="0" w:line="150" w:lineRule="exact"/>
        <w:rPr>
          <w:sz w:val="20"/>
          <w:szCs w:val="20"/>
          <w:color w:val="auto"/>
        </w:rPr>
      </w:pPr>
    </w:p>
    <w:p>
      <w:pPr>
        <w:jc w:val="both"/>
        <w:ind w:right="100" w:firstLine="869"/>
        <w:spacing w:after="0" w:line="261" w:lineRule="auto"/>
        <w:rPr>
          <w:sz w:val="20"/>
          <w:szCs w:val="20"/>
          <w:color w:val="auto"/>
        </w:rPr>
      </w:pPr>
      <w:r>
        <w:rPr>
          <w:rFonts w:ascii="Times New Roman" w:cs="Times New Roman" w:eastAsia="Times New Roman" w:hAnsi="Times New Roman"/>
          <w:sz w:val="16"/>
          <w:szCs w:val="16"/>
          <w:color w:val="auto"/>
        </w:rPr>
        <w:t xml:space="preserve">4.20 </w:t>
      </w:r>
      <w:r>
        <w:rPr>
          <w:rFonts w:ascii="Times New Roman" w:cs="Times New Roman" w:eastAsia="Times New Roman" w:hAnsi="Times New Roman"/>
          <w:sz w:val="16"/>
          <w:szCs w:val="16"/>
          <w:u w:val="single" w:color="auto"/>
          <w:color w:val="auto"/>
        </w:rPr>
        <w:t>Brokers</w:t>
      </w:r>
      <w:r>
        <w:rPr>
          <w:rFonts w:ascii="Times New Roman" w:cs="Times New Roman" w:eastAsia="Times New Roman" w:hAnsi="Times New Roman"/>
          <w:sz w:val="16"/>
          <w:szCs w:val="16"/>
          <w:color w:val="auto"/>
        </w:rPr>
        <w:t>. There is no broker, investment banker, financial advisor, finder or other person which has been retained by or is authorized to act on behalf of the Company that is entitled to any fee or commission in connection with the execution of this Agreement and the consummation of the transactions contemplated hereby.</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Covenants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0" w:firstLine="869"/>
        <w:spacing w:after="0" w:line="276" w:lineRule="auto"/>
        <w:rPr>
          <w:sz w:val="20"/>
          <w:szCs w:val="20"/>
          <w:color w:val="auto"/>
        </w:rPr>
      </w:pPr>
      <w:r>
        <w:rPr>
          <w:rFonts w:ascii="Times New Roman" w:cs="Times New Roman" w:eastAsia="Times New Roman" w:hAnsi="Times New Roman"/>
          <w:sz w:val="16"/>
          <w:szCs w:val="16"/>
          <w:color w:val="auto"/>
        </w:rPr>
        <w:t xml:space="preserve">5.01 </w:t>
      </w:r>
      <w:r>
        <w:rPr>
          <w:rFonts w:ascii="Times New Roman" w:cs="Times New Roman" w:eastAsia="Times New Roman" w:hAnsi="Times New Roman"/>
          <w:sz w:val="16"/>
          <w:szCs w:val="16"/>
          <w:u w:val="single" w:color="auto"/>
          <w:color w:val="auto"/>
        </w:rPr>
        <w:t>Reasonable Best Efforts</w:t>
      </w:r>
      <w:r>
        <w:rPr>
          <w:rFonts w:ascii="Times New Roman" w:cs="Times New Roman" w:eastAsia="Times New Roman" w:hAnsi="Times New Roman"/>
          <w:sz w:val="16"/>
          <w:szCs w:val="16"/>
          <w:color w:val="auto"/>
        </w:rPr>
        <w:t xml:space="preserve">. Each party shall use its reasonable best efforts to timely satisfy each of the conditions to be satisfied by it as provided in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of this Agreement.</w:t>
      </w:r>
    </w:p>
    <w:p>
      <w:pPr>
        <w:spacing w:after="0" w:line="145" w:lineRule="exact"/>
        <w:rPr>
          <w:sz w:val="20"/>
          <w:szCs w:val="20"/>
          <w:color w:val="auto"/>
        </w:rPr>
      </w:pPr>
    </w:p>
    <w:p>
      <w:pPr>
        <w:ind w:firstLine="869"/>
        <w:spacing w:after="0" w:line="250" w:lineRule="auto"/>
        <w:rPr>
          <w:sz w:val="20"/>
          <w:szCs w:val="20"/>
          <w:color w:val="auto"/>
        </w:rPr>
      </w:pPr>
      <w:r>
        <w:rPr>
          <w:rFonts w:ascii="Times New Roman" w:cs="Times New Roman" w:eastAsia="Times New Roman" w:hAnsi="Times New Roman"/>
          <w:sz w:val="16"/>
          <w:szCs w:val="16"/>
          <w:color w:val="auto"/>
        </w:rPr>
        <w:t xml:space="preserve">5.02 </w:t>
      </w:r>
      <w:r>
        <w:rPr>
          <w:rFonts w:ascii="Times New Roman" w:cs="Times New Roman" w:eastAsia="Times New Roman" w:hAnsi="Times New Roman"/>
          <w:sz w:val="16"/>
          <w:szCs w:val="16"/>
          <w:u w:val="single" w:color="auto"/>
          <w:color w:val="auto"/>
        </w:rPr>
        <w:t>Disclosure of Transactions and Other Material Information</w:t>
      </w:r>
      <w:r>
        <w:rPr>
          <w:rFonts w:ascii="Times New Roman" w:cs="Times New Roman" w:eastAsia="Times New Roman" w:hAnsi="Times New Roman"/>
          <w:sz w:val="16"/>
          <w:szCs w:val="16"/>
          <w:color w:val="auto"/>
        </w:rPr>
        <w:t>. The Company shall or shall cause Gem to, on the first (1st) Business Day immediately following the date of this Agreement, issue one or more press releases and/or file with the Commission a Current Report on Form 8-K (collectively, the “</w:t>
      </w:r>
      <w:r>
        <w:rPr>
          <w:rFonts w:ascii="Times New Roman" w:cs="Times New Roman" w:eastAsia="Times New Roman" w:hAnsi="Times New Roman"/>
          <w:sz w:val="16"/>
          <w:szCs w:val="16"/>
          <w:b w:val="1"/>
          <w:bCs w:val="1"/>
          <w:i w:val="1"/>
          <w:iCs w:val="1"/>
          <w:color w:val="auto"/>
        </w:rPr>
        <w:t>Disclosure Document</w:t>
      </w:r>
      <w:r>
        <w:rPr>
          <w:rFonts w:ascii="Times New Roman" w:cs="Times New Roman" w:eastAsia="Times New Roman" w:hAnsi="Times New Roman"/>
          <w:sz w:val="16"/>
          <w:szCs w:val="16"/>
          <w:color w:val="auto"/>
        </w:rPr>
        <w:t>”) disclosing all material terms of the transactions contemplated hereby and any other material nonpublic information that the Company, Gem or their respective officers, directors, employees, agents or any other person acting at the direction of the Company or Gem has provided to the Purchasers in connection with the transactions contemplated by this Agreement prior to the filing of the Disclosure Document. The Company shall not, and shall cause its officers, directors, employees and agents and Gem not to, publicly disclose the name of any Purchaser or any affiliate or investment adviser of any Purchaser, or include the name of any Purchaser or any affiliate or investment adviser of any Purchaser without the prior written consent (including by e-mail) of such Purchaser (i) in any press release or marketing materials, or (ii) in any filing with the Commission or any regulatory agency 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600"/>
          </w:cols>
          <w:pgMar w:left="1120" w:top="253" w:right="1179" w:bottom="1440" w:gutter="0" w:footer="0" w:header="0"/>
        </w:sectPr>
      </w:pPr>
    </w:p>
    <w:bookmarkStart w:id="145" w:name="page146"/>
    <w:bookmarkEnd w:id="145"/>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trading market, except (A) as required by the federal securities laws, rules or regulations, (B) to the extent such disclosure is required by other laws, rules or regulations, at the request of the staff of the Commission or regulatory agency or under regulations of any national securities exchange on which Gem’s securities are listed for trading or (C) to the extent such announcements or other communications contain only information previously disclosed in a public statement, press release, or other communications previously approved in accordance with this Section 5.02.</w:t>
      </w:r>
    </w:p>
    <w:p>
      <w:pPr>
        <w:spacing w:after="0" w:line="161" w:lineRule="exact"/>
        <w:rPr>
          <w:sz w:val="20"/>
          <w:szCs w:val="20"/>
          <w:color w:val="auto"/>
        </w:rPr>
      </w:pPr>
    </w:p>
    <w:p>
      <w:pPr>
        <w:ind w:right="60" w:firstLine="869"/>
        <w:spacing w:after="0" w:line="276" w:lineRule="auto"/>
        <w:rPr>
          <w:sz w:val="20"/>
          <w:szCs w:val="20"/>
          <w:color w:val="auto"/>
        </w:rPr>
      </w:pPr>
      <w:r>
        <w:rPr>
          <w:rFonts w:ascii="Times New Roman" w:cs="Times New Roman" w:eastAsia="Times New Roman" w:hAnsi="Times New Roman"/>
          <w:sz w:val="16"/>
          <w:szCs w:val="16"/>
          <w:color w:val="auto"/>
        </w:rPr>
        <w:t xml:space="preserve">5.03 </w:t>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Company and each Purchaser is liable for, and will pay, its own expenses incurred in connection with the negotiation, preparation, execution and delivery of this Agreement, including, without limitation, attorneys’ and consultants’ fees and expenses.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Conditions of Closing</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80" w:firstLine="869"/>
        <w:spacing w:after="0" w:line="310" w:lineRule="auto"/>
        <w:rPr>
          <w:sz w:val="20"/>
          <w:szCs w:val="20"/>
          <w:color w:val="auto"/>
        </w:rPr>
      </w:pPr>
      <w:r>
        <w:rPr>
          <w:rFonts w:ascii="Times New Roman" w:cs="Times New Roman" w:eastAsia="Times New Roman" w:hAnsi="Times New Roman"/>
          <w:sz w:val="15"/>
          <w:szCs w:val="15"/>
          <w:color w:val="auto"/>
        </w:rPr>
        <w:t xml:space="preserve">6.01 </w:t>
      </w:r>
      <w:r>
        <w:rPr>
          <w:rFonts w:ascii="Times New Roman" w:cs="Times New Roman" w:eastAsia="Times New Roman" w:hAnsi="Times New Roman"/>
          <w:sz w:val="15"/>
          <w:szCs w:val="15"/>
          <w:u w:val="single" w:color="auto"/>
          <w:color w:val="auto"/>
        </w:rPr>
        <w:t>Conditions of the Purchasers’ Obligations at the Closing</w:t>
      </w:r>
      <w:r>
        <w:rPr>
          <w:rFonts w:ascii="Times New Roman" w:cs="Times New Roman" w:eastAsia="Times New Roman" w:hAnsi="Times New Roman"/>
          <w:sz w:val="15"/>
          <w:szCs w:val="15"/>
          <w:color w:val="auto"/>
        </w:rPr>
        <w:t xml:space="preserve">. The obligations of each Purchaser under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hereof are subject to the fulfillment, at or prior to the Closing, of all of the following conditions, any of which may be waived in whole or in part by the Purchaser Majority.</w:t>
      </w:r>
    </w:p>
    <w:p>
      <w:pPr>
        <w:spacing w:after="0" w:line="122" w:lineRule="exact"/>
        <w:rPr>
          <w:sz w:val="20"/>
          <w:szCs w:val="20"/>
          <w:color w:val="auto"/>
        </w:rPr>
      </w:pPr>
    </w:p>
    <w:p>
      <w:pPr>
        <w:ind w:right="60" w:firstLine="1253"/>
        <w:spacing w:after="0" w:line="256" w:lineRule="auto"/>
        <w:tabs>
          <w:tab w:leader="none" w:pos="1469"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The representations and warranties of the Company contained in this Agreement shall be true and correct in all respects on the Effective Date and shall be true and correct in all material respects on and as of the Closing Date with the same effect as though such representations and warranties had been made on and as of the Closing Date (except to the extent expressly made as of an earlier date in which case as of such earlier date).</w:t>
      </w:r>
    </w:p>
    <w:p>
      <w:pPr>
        <w:spacing w:after="0" w:line="161" w:lineRule="exact"/>
        <w:rPr>
          <w:rFonts w:ascii="Times New Roman" w:cs="Times New Roman" w:eastAsia="Times New Roman" w:hAnsi="Times New Roman"/>
          <w:sz w:val="16"/>
          <w:szCs w:val="16"/>
          <w:color w:val="auto"/>
        </w:rPr>
      </w:pPr>
    </w:p>
    <w:p>
      <w:pPr>
        <w:jc w:val="both"/>
        <w:ind w:right="560" w:firstLine="1253"/>
        <w:spacing w:after="0" w:line="310" w:lineRule="auto"/>
        <w:tabs>
          <w:tab w:leader="none" w:pos="1478"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w:t>
      </w:r>
      <w:r>
        <w:rPr>
          <w:rFonts w:ascii="Times New Roman" w:cs="Times New Roman" w:eastAsia="Times New Roman" w:hAnsi="Times New Roman"/>
          <w:sz w:val="15"/>
          <w:szCs w:val="15"/>
          <w:color w:val="auto"/>
        </w:rPr>
        <w:t>. The Company shall have performed and complied in all material respects with all covenants, agreements, obligations and conditions contained in this Agreement that are required to be performed or complied with by it on or prior to the Closing Date.</w:t>
      </w:r>
    </w:p>
    <w:p>
      <w:pPr>
        <w:spacing w:after="0" w:line="122" w:lineRule="exact"/>
        <w:rPr>
          <w:sz w:val="20"/>
          <w:szCs w:val="20"/>
          <w:color w:val="auto"/>
        </w:rPr>
      </w:pPr>
    </w:p>
    <w:p>
      <w:pPr>
        <w:ind w:right="80" w:firstLine="1253"/>
        <w:spacing w:after="0" w:line="276" w:lineRule="auto"/>
        <w:tabs>
          <w:tab w:leader="none" w:pos="147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Certificate</w:t>
      </w:r>
      <w:r>
        <w:rPr>
          <w:rFonts w:ascii="Times New Roman" w:cs="Times New Roman" w:eastAsia="Times New Roman" w:hAnsi="Times New Roman"/>
          <w:sz w:val="16"/>
          <w:szCs w:val="16"/>
          <w:color w:val="auto"/>
        </w:rPr>
        <w:t xml:space="preserve">. The Chief Executive Officer of the Company shall have delivered to the Purchasers at the Closing Date a certificate certifying that the conditions specified in </w:t>
      </w:r>
      <w:r>
        <w:rPr>
          <w:rFonts w:ascii="Times New Roman" w:cs="Times New Roman" w:eastAsia="Times New Roman" w:hAnsi="Times New Roman"/>
          <w:sz w:val="16"/>
          <w:szCs w:val="16"/>
          <w:u w:val="single" w:color="auto"/>
          <w:color w:val="auto"/>
        </w:rPr>
        <w:t>Sections 6.01(a),6.01(b)</w:t>
      </w:r>
      <w:r>
        <w:rPr>
          <w:rFonts w:ascii="Times New Roman" w:cs="Times New Roman" w:eastAsia="Times New Roman" w:hAnsi="Times New Roman"/>
          <w:sz w:val="16"/>
          <w:szCs w:val="16"/>
          <w:color w:val="auto"/>
        </w:rPr>
        <w:t xml:space="preserve"> and 6.01(f) of this Agreement have been fulfilled.</w:t>
      </w:r>
    </w:p>
    <w:p>
      <w:pPr>
        <w:spacing w:after="0" w:line="144" w:lineRule="exact"/>
        <w:rPr>
          <w:rFonts w:ascii="Times New Roman" w:cs="Times New Roman" w:eastAsia="Times New Roman" w:hAnsi="Times New Roman"/>
          <w:sz w:val="16"/>
          <w:szCs w:val="16"/>
          <w:color w:val="auto"/>
        </w:rPr>
      </w:pPr>
    </w:p>
    <w:p>
      <w:pPr>
        <w:ind w:right="580" w:firstLine="1253"/>
        <w:spacing w:after="0" w:line="276" w:lineRule="auto"/>
        <w:tabs>
          <w:tab w:leader="none" w:pos="1469"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Qualification under State Securities Laws</w:t>
      </w:r>
      <w:r>
        <w:rPr>
          <w:rFonts w:ascii="Times New Roman" w:cs="Times New Roman" w:eastAsia="Times New Roman" w:hAnsi="Times New Roman"/>
          <w:sz w:val="16"/>
          <w:szCs w:val="16"/>
          <w:color w:val="auto"/>
        </w:rPr>
        <w:t>. All registrations, qualifications, permits and approvals, if any, required under applicable state securities laws shall have been obtained for the lawful execution, delivery and performance of this Agreement.</w:t>
      </w:r>
    </w:p>
    <w:p>
      <w:pPr>
        <w:spacing w:after="0" w:line="144" w:lineRule="exact"/>
        <w:rPr>
          <w:rFonts w:ascii="Times New Roman" w:cs="Times New Roman" w:eastAsia="Times New Roman" w:hAnsi="Times New Roman"/>
          <w:sz w:val="16"/>
          <w:szCs w:val="16"/>
          <w:color w:val="auto"/>
        </w:rPr>
      </w:pPr>
    </w:p>
    <w:p>
      <w:pPr>
        <w:ind w:right="80" w:firstLine="1253"/>
        <w:spacing w:after="0" w:line="254" w:lineRule="auto"/>
        <w:tabs>
          <w:tab w:leader="none" w:pos="1451"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Company shall not have amended, modified, or waived any provision under the Merger Agreement in a manner that would reasonably be expected to materially and adversely affect the benefits that Purchaser would reasonably expect to receive under this Agreement without having received Purchaser’s prior written consent.</w:t>
      </w:r>
    </w:p>
    <w:p>
      <w:pPr>
        <w:spacing w:after="0" w:line="161" w:lineRule="exact"/>
        <w:rPr>
          <w:rFonts w:ascii="Times New Roman" w:cs="Times New Roman" w:eastAsia="Times New Roman" w:hAnsi="Times New Roman"/>
          <w:sz w:val="16"/>
          <w:szCs w:val="16"/>
          <w:color w:val="auto"/>
        </w:rPr>
      </w:pPr>
    </w:p>
    <w:p>
      <w:pPr>
        <w:ind w:firstLine="1253"/>
        <w:spacing w:after="0" w:line="261" w:lineRule="auto"/>
        <w:tabs>
          <w:tab w:leader="none" w:pos="1478"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Injunction</w:t>
      </w:r>
      <w:r>
        <w:rPr>
          <w:rFonts w:ascii="Times New Roman" w:cs="Times New Roman" w:eastAsia="Times New Roman" w:hAnsi="Times New Roman"/>
          <w:sz w:val="16"/>
          <w:szCs w:val="16"/>
          <w:color w:val="auto"/>
        </w:rPr>
        <w:t>. No statute, rule, regulation, executive order, decree, ruling or injunction shall have been enacted, entered, promulgated or endorsed by any Governmental Entity of competent jurisdiction that prohibits the consummation of any of the transactions contemplated by this Agreement.</w:t>
      </w:r>
    </w:p>
    <w:p>
      <w:pPr>
        <w:spacing w:after="0" w:line="156"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Rights Agreement. The Company shall have delivered the fully executed Registration Rights Agreement.</w:t>
      </w:r>
    </w:p>
    <w:p>
      <w:pPr>
        <w:spacing w:after="0" w:line="194" w:lineRule="exact"/>
        <w:rPr>
          <w:sz w:val="20"/>
          <w:szCs w:val="20"/>
          <w:color w:val="auto"/>
        </w:rPr>
      </w:pPr>
    </w:p>
    <w:p>
      <w:pPr>
        <w:ind w:right="40" w:firstLine="869"/>
        <w:spacing w:after="0" w:line="276" w:lineRule="auto"/>
        <w:rPr>
          <w:sz w:val="20"/>
          <w:szCs w:val="20"/>
          <w:color w:val="auto"/>
        </w:rPr>
      </w:pPr>
      <w:r>
        <w:rPr>
          <w:rFonts w:ascii="Times New Roman" w:cs="Times New Roman" w:eastAsia="Times New Roman" w:hAnsi="Times New Roman"/>
          <w:sz w:val="16"/>
          <w:szCs w:val="16"/>
          <w:color w:val="auto"/>
        </w:rPr>
        <w:t xml:space="preserve">6.02 </w:t>
      </w:r>
      <w:r>
        <w:rPr>
          <w:rFonts w:ascii="Times New Roman" w:cs="Times New Roman" w:eastAsia="Times New Roman" w:hAnsi="Times New Roman"/>
          <w:sz w:val="16"/>
          <w:szCs w:val="16"/>
          <w:u w:val="single" w:color="auto"/>
          <w:color w:val="auto"/>
        </w:rPr>
        <w:t>Conditions of the Company’s Obligations</w:t>
      </w:r>
      <w:r>
        <w:rPr>
          <w:rFonts w:ascii="Times New Roman" w:cs="Times New Roman" w:eastAsia="Times New Roman" w:hAnsi="Times New Roman"/>
          <w:sz w:val="16"/>
          <w:szCs w:val="16"/>
          <w:color w:val="auto"/>
        </w:rPr>
        <w:t xml:space="preserve">. The obligations of the Company under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hereof are subject to the fulfillment, at or prior to the Closing, of all of the following conditions, any of which may be waived in whole or in part by the Company in its absolute discretion.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20"/>
          </w:cols>
          <w:pgMar w:left="1120" w:top="253" w:right="1159" w:bottom="1440" w:gutter="0" w:footer="0" w:header="0"/>
        </w:sectPr>
      </w:pPr>
    </w:p>
    <w:bookmarkStart w:id="146" w:name="page147"/>
    <w:bookmarkEnd w:id="146"/>
    <w:p>
      <w:pPr>
        <w:ind w:right="60" w:firstLine="1253"/>
        <w:spacing w:after="0" w:line="256" w:lineRule="auto"/>
        <w:tabs>
          <w:tab w:leader="none" w:pos="146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Representations and Warranties</w:t>
      </w:r>
      <w:r>
        <w:rPr>
          <w:rFonts w:ascii="Times New Roman" w:cs="Times New Roman" w:eastAsia="Times New Roman" w:hAnsi="Times New Roman"/>
          <w:sz w:val="16"/>
          <w:szCs w:val="16"/>
          <w:color w:val="auto"/>
        </w:rPr>
        <w:t>. The representations and warranties of the Purchasers contained in this Agreement shall be true and correct as of the Effective Date and true and correct in all material respects on and as of the Closing Date with the same effect as though such representations and warranties had been made on and as of the Closing Date (except to the extent expressly made as of an earlier date in which case shall be as of such earlier date).</w:t>
      </w:r>
    </w:p>
    <w:p>
      <w:pPr>
        <w:spacing w:after="0" w:line="161" w:lineRule="exact"/>
        <w:rPr>
          <w:rFonts w:ascii="Times New Roman" w:cs="Times New Roman" w:eastAsia="Times New Roman" w:hAnsi="Times New Roman"/>
          <w:sz w:val="16"/>
          <w:szCs w:val="16"/>
          <w:color w:val="auto"/>
        </w:rPr>
      </w:pPr>
    </w:p>
    <w:p>
      <w:pPr>
        <w:ind w:right="240" w:firstLine="1253"/>
        <w:spacing w:after="0" w:line="276" w:lineRule="auto"/>
        <w:tabs>
          <w:tab w:leader="none" w:pos="147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w:t>
      </w:r>
      <w:r>
        <w:rPr>
          <w:rFonts w:ascii="Times New Roman" w:cs="Times New Roman" w:eastAsia="Times New Roman" w:hAnsi="Times New Roman"/>
          <w:sz w:val="16"/>
          <w:szCs w:val="16"/>
          <w:color w:val="auto"/>
        </w:rPr>
        <w:t>. Each Purchaser shall have performed and complied with all covenants, agreements, obligations and conditions contained in this Agreement that are required to be performed or complied with by it on or prior to the Closing Date.</w:t>
      </w:r>
    </w:p>
    <w:p>
      <w:pPr>
        <w:spacing w:after="0" w:line="144" w:lineRule="exact"/>
        <w:rPr>
          <w:rFonts w:ascii="Times New Roman" w:cs="Times New Roman" w:eastAsia="Times New Roman" w:hAnsi="Times New Roman"/>
          <w:sz w:val="16"/>
          <w:szCs w:val="16"/>
          <w:color w:val="auto"/>
        </w:rPr>
      </w:pPr>
    </w:p>
    <w:p>
      <w:pPr>
        <w:ind w:right="520" w:firstLine="1253"/>
        <w:spacing w:after="0" w:line="276" w:lineRule="auto"/>
        <w:tabs>
          <w:tab w:leader="none" w:pos="1469"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Qualification under State Securities Laws</w:t>
      </w:r>
      <w:r>
        <w:rPr>
          <w:rFonts w:ascii="Times New Roman" w:cs="Times New Roman" w:eastAsia="Times New Roman" w:hAnsi="Times New Roman"/>
          <w:sz w:val="16"/>
          <w:szCs w:val="16"/>
          <w:color w:val="auto"/>
        </w:rPr>
        <w:t>. All registrations, qualifications, permits and approvals, if any, required under applicable state securities laws shall have been obtained for the lawful execution, delivery and performance of this Agreement.</w:t>
      </w:r>
    </w:p>
    <w:p>
      <w:pPr>
        <w:spacing w:after="0" w:line="144" w:lineRule="exact"/>
        <w:rPr>
          <w:rFonts w:ascii="Times New Roman" w:cs="Times New Roman" w:eastAsia="Times New Roman" w:hAnsi="Times New Roman"/>
          <w:sz w:val="16"/>
          <w:szCs w:val="16"/>
          <w:color w:val="auto"/>
        </w:rPr>
      </w:pPr>
    </w:p>
    <w:p>
      <w:pPr>
        <w:ind w:right="20" w:firstLine="1253"/>
        <w:spacing w:after="0" w:line="261" w:lineRule="auto"/>
        <w:tabs>
          <w:tab w:leader="none" w:pos="147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Transfer Restrictions; Restrictive Legend</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80" w:firstLine="869"/>
        <w:spacing w:after="0" w:line="254" w:lineRule="auto"/>
        <w:rPr>
          <w:sz w:val="20"/>
          <w:szCs w:val="20"/>
          <w:color w:val="auto"/>
        </w:rPr>
      </w:pPr>
      <w:r>
        <w:rPr>
          <w:rFonts w:ascii="Times New Roman" w:cs="Times New Roman" w:eastAsia="Times New Roman" w:hAnsi="Times New Roman"/>
          <w:sz w:val="16"/>
          <w:szCs w:val="16"/>
          <w:color w:val="auto"/>
        </w:rPr>
        <w:t xml:space="preserve">7.01 </w:t>
      </w: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Each Purchaser understands that the Company may, as a condition to the transfer of any of the Securities, require that the request for transfer be accompanied by a certificate and/or an opinion of counsel reasonably satisfactory to the Company, to the effect that the proposed transfer does not result in a violation of the 1933 Act, unless such transfer is covered by an effective registration statement or is exempt from the registration requirements of the 1933 Act, including under by Rule 144. It is understood that the certificates evidencing the Securities may bear substantially the following legend:</w:t>
      </w:r>
    </w:p>
    <w:p>
      <w:pPr>
        <w:spacing w:after="0" w:line="16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5"/>
          <w:szCs w:val="15"/>
          <w:color w:val="auto"/>
        </w:rPr>
        <w:t>“THESE SECURITIES HAVE NOT BEEN REGISTERED UNDER THE SECURITIES ACT OF 1933, AS AMENDED, OR ANY APPLICABLE STATE SECURITIES LAWS. THEY MAY NOT BE SOLD, OFFERED FOR SALE, PLEDGED OR HYPOTHECATED IN THE ABSENCE OF A REGISTRATION STATEMENT IN EFFECT WITH RESPECT TO THE SECURITIES UNDER SUCH ACT OR APPLICABLE STATE SECURITIES LAWS OR A VALID EXEMPTION FROM REGISTRATION UNDER SUCH ACT OR APPLICABLE STATE SECURITIES LAWS.”</w:t>
      </w:r>
    </w:p>
    <w:p>
      <w:pPr>
        <w:spacing w:after="0" w:line="144" w:lineRule="exact"/>
        <w:rPr>
          <w:sz w:val="20"/>
          <w:szCs w:val="20"/>
          <w:color w:val="auto"/>
        </w:rPr>
      </w:pPr>
    </w:p>
    <w:p>
      <w:pPr>
        <w:ind w:right="360" w:firstLine="386"/>
        <w:spacing w:after="0" w:line="276" w:lineRule="auto"/>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xml:space="preserve">. Unless the context otherwise requires, the terms defined in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shall have the meanings specified for all purposes of this Agreement.</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1933 Act</w:t>
      </w:r>
      <w:r>
        <w:rPr>
          <w:rFonts w:ascii="Times New Roman" w:cs="Times New Roman" w:eastAsia="Times New Roman" w:hAnsi="Times New Roman"/>
          <w:sz w:val="16"/>
          <w:szCs w:val="16"/>
          <w:color w:val="auto"/>
        </w:rPr>
        <w:t>” means the Securities Act of 1933, as amended.</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1934 Act</w:t>
      </w:r>
      <w:r>
        <w:rPr>
          <w:rFonts w:ascii="Times New Roman" w:cs="Times New Roman" w:eastAsia="Times New Roman" w:hAnsi="Times New Roman"/>
          <w:sz w:val="16"/>
          <w:szCs w:val="16"/>
          <w:color w:val="auto"/>
        </w:rPr>
        <w:t>” means the Securities Exchange Act of 1934, as amended.</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Affiliate</w:t>
      </w:r>
      <w:r>
        <w:rPr>
          <w:rFonts w:ascii="Times New Roman" w:cs="Times New Roman" w:eastAsia="Times New Roman" w:hAnsi="Times New Roman"/>
          <w:sz w:val="16"/>
          <w:szCs w:val="16"/>
          <w:color w:val="auto"/>
        </w:rPr>
        <w:t>” shall have the meaning ascribed to such term in Rule 12b-2 of the General Rules and Regulations under the 1934 Act.</w:t>
      </w:r>
    </w:p>
    <w:p>
      <w:pPr>
        <w:spacing w:after="0" w:line="194" w:lineRule="exact"/>
        <w:rPr>
          <w:sz w:val="20"/>
          <w:szCs w:val="20"/>
          <w:color w:val="auto"/>
        </w:rPr>
      </w:pPr>
    </w:p>
    <w:p>
      <w:pPr>
        <w:ind w:right="80" w:firstLine="386"/>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Business Day</w:t>
      </w:r>
      <w:r>
        <w:rPr>
          <w:rFonts w:ascii="Times New Roman" w:cs="Times New Roman" w:eastAsia="Times New Roman" w:hAnsi="Times New Roman"/>
          <w:sz w:val="16"/>
          <w:szCs w:val="16"/>
          <w:color w:val="auto"/>
        </w:rPr>
        <w:t>” means any day other than Saturday, Sunday or other day on which commercial banks in the City of New York are authorized or required by law to remain closed.</w:t>
      </w:r>
    </w:p>
    <w:p>
      <w:pPr>
        <w:spacing w:after="0" w:line="137" w:lineRule="exact"/>
        <w:rPr>
          <w:sz w:val="20"/>
          <w:szCs w:val="20"/>
          <w:color w:val="auto"/>
        </w:rPr>
      </w:pPr>
    </w:p>
    <w:p>
      <w:pPr>
        <w:ind w:right="160" w:firstLine="386"/>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National Exchange</w:t>
      </w:r>
      <w:r>
        <w:rPr>
          <w:rFonts w:ascii="Times New Roman" w:cs="Times New Roman" w:eastAsia="Times New Roman" w:hAnsi="Times New Roman"/>
          <w:sz w:val="16"/>
          <w:szCs w:val="16"/>
          <w:color w:val="auto"/>
        </w:rPr>
        <w:t>” means the Nasdaq Global Select Market, the Nasdaq Global Market, the Nasdaq Capital Market, or the New York Stock Exchange.</w:t>
      </w:r>
    </w:p>
    <w:p>
      <w:pPr>
        <w:spacing w:after="0" w:line="137" w:lineRule="exact"/>
        <w:rPr>
          <w:sz w:val="20"/>
          <w:szCs w:val="20"/>
          <w:color w:val="auto"/>
        </w:rPr>
      </w:pPr>
    </w:p>
    <w:p>
      <w:pPr>
        <w:ind w:right="480" w:firstLine="386"/>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Person</w:t>
      </w:r>
      <w:r>
        <w:rPr>
          <w:rFonts w:ascii="Times New Roman" w:cs="Times New Roman" w:eastAsia="Times New Roman" w:hAnsi="Times New Roman"/>
          <w:sz w:val="16"/>
          <w:szCs w:val="16"/>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Purchase Price</w:t>
      </w:r>
      <w:r>
        <w:rPr>
          <w:rFonts w:ascii="Times New Roman" w:cs="Times New Roman" w:eastAsia="Times New Roman" w:hAnsi="Times New Roman"/>
          <w:sz w:val="16"/>
          <w:szCs w:val="16"/>
          <w:color w:val="auto"/>
        </w:rPr>
        <w:t>” means $2.51 per share.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560"/>
          </w:cols>
          <w:pgMar w:left="1120" w:top="253" w:right="1219" w:bottom="1440" w:gutter="0" w:footer="0" w:header="0"/>
        </w:sectPr>
      </w:pPr>
    </w:p>
    <w:bookmarkStart w:id="147" w:name="page148"/>
    <w:bookmarkEnd w:id="147"/>
    <w:p>
      <w:pPr>
        <w:ind w:left="1" w:right="100" w:firstLine="386"/>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b w:val="1"/>
          <w:bCs w:val="1"/>
          <w:i w:val="1"/>
          <w:iCs w:val="1"/>
          <w:color w:val="auto"/>
        </w:rPr>
        <w:t>Purchaser Majority</w:t>
      </w:r>
      <w:r>
        <w:rPr>
          <w:rFonts w:ascii="Times New Roman" w:cs="Times New Roman" w:eastAsia="Times New Roman" w:hAnsi="Times New Roman"/>
          <w:sz w:val="16"/>
          <w:szCs w:val="16"/>
          <w:color w:val="auto"/>
        </w:rPr>
        <w:t>” means the Purchasers committed to purchase at least a majority the Closing Shares, including at least one of AI DMI LLC and OrbiMed Private Investments VI, LP.</w:t>
      </w:r>
    </w:p>
    <w:p>
      <w:pPr>
        <w:spacing w:after="0" w:line="137" w:lineRule="exact"/>
        <w:rPr>
          <w:sz w:val="20"/>
          <w:szCs w:val="20"/>
          <w:color w:val="auto"/>
        </w:rPr>
      </w:pPr>
    </w:p>
    <w:p>
      <w:pPr>
        <w:ind w:left="1" w:right="280" w:firstLine="386"/>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Registration Rights Agreement</w:t>
      </w:r>
      <w:r>
        <w:rPr>
          <w:rFonts w:ascii="Times New Roman" w:cs="Times New Roman" w:eastAsia="Times New Roman" w:hAnsi="Times New Roman"/>
          <w:sz w:val="16"/>
          <w:szCs w:val="16"/>
          <w:color w:val="auto"/>
        </w:rPr>
        <w:t xml:space="preserve">” means the Registration Rights Agreement,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to be entered into at the Closing among the Company and each Purchaser.</w:t>
      </w:r>
    </w:p>
    <w:p>
      <w:pPr>
        <w:spacing w:after="0" w:line="137" w:lineRule="exact"/>
        <w:rPr>
          <w:sz w:val="20"/>
          <w:szCs w:val="20"/>
          <w:color w:val="auto"/>
        </w:rPr>
      </w:pPr>
    </w:p>
    <w:p>
      <w:pPr>
        <w:ind w:left="1" w:right="180" w:firstLine="386"/>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Rule 144</w:t>
      </w:r>
      <w:r>
        <w:rPr>
          <w:rFonts w:ascii="Times New Roman" w:cs="Times New Roman" w:eastAsia="Times New Roman" w:hAnsi="Times New Roman"/>
          <w:sz w:val="16"/>
          <w:szCs w:val="16"/>
          <w:color w:val="auto"/>
        </w:rPr>
        <w:t>” means Rule 144 promulgated by the Commission pursuant to the 1933 Act, as such Rule may be amended from time to time, or any similar rule or regulation hereafter adopted by the Commission having substantially the same effect as Rule 144.</w:t>
      </w:r>
    </w:p>
    <w:p>
      <w:pPr>
        <w:spacing w:after="0" w:line="141"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60" w:firstLine="869"/>
        <w:spacing w:after="0" w:line="279" w:lineRule="auto"/>
        <w:rPr>
          <w:sz w:val="20"/>
          <w:szCs w:val="20"/>
          <w:color w:val="auto"/>
        </w:rPr>
      </w:pPr>
      <w:r>
        <w:rPr>
          <w:rFonts w:ascii="Times New Roman" w:cs="Times New Roman" w:eastAsia="Times New Roman" w:hAnsi="Times New Roman"/>
          <w:sz w:val="15"/>
          <w:szCs w:val="15"/>
          <w:color w:val="auto"/>
        </w:rPr>
        <w:t xml:space="preserve">9.01 </w:t>
      </w:r>
      <w:r>
        <w:rPr>
          <w:rFonts w:ascii="Times New Roman" w:cs="Times New Roman" w:eastAsia="Times New Roman" w:hAnsi="Times New Roman"/>
          <w:sz w:val="15"/>
          <w:szCs w:val="15"/>
          <w:u w:val="single" w:color="auto"/>
          <w:color w:val="auto"/>
        </w:rPr>
        <w:t>Waivers and Amendments</w:t>
      </w:r>
      <w:r>
        <w:rPr>
          <w:rFonts w:ascii="Times New Roman" w:cs="Times New Roman" w:eastAsia="Times New Roman" w:hAnsi="Times New Roman"/>
          <w:sz w:val="15"/>
          <w:szCs w:val="15"/>
          <w:color w:val="auto"/>
        </w:rPr>
        <w:t>. Neither this Agreement, nor any provision hereof, may be changed, waived, amended or modified orally or by course of dealing, but only by an instrument in writing executed by the Company and the Purchaser Majority, provided that, (y) if any, change, waiver, amendment, modification disproportionately and adversely impacts a Purchaser (or group of Purchasers), the consent of such disproportionately impacted Purchaser (or group of Purchasers) shall be required and (z) any change to the Purchase Price shall require the consent of each Purchaser.</w:t>
      </w:r>
    </w:p>
    <w:p>
      <w:pPr>
        <w:spacing w:after="0" w:line="144"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9.02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requests, consents, and other communications under this Agreement shall be in writing and shall be deemed</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delivered: (a) when delivered, if delivered personally, (b) four Business Days after being sent by registered or certified mail, return receipt requested,</w:t>
      </w:r>
    </w:p>
    <w:p>
      <w:pPr>
        <w:spacing w:after="0" w:line="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postage prepaid, (c) one Business Day after being sent via a reputable nationwide overnight courier service guaranteeing next Business Day delivery, or</w:t>
      </w:r>
    </w:p>
    <w:p>
      <w:pPr>
        <w:spacing w:after="0" w:line="17" w:lineRule="exact"/>
        <w:rPr>
          <w:sz w:val="20"/>
          <w:szCs w:val="20"/>
          <w:color w:val="auto"/>
        </w:rPr>
      </w:pPr>
    </w:p>
    <w:p>
      <w:pPr>
        <w:ind w:left="1" w:right="80" w:hanging="1"/>
        <w:spacing w:after="0" w:line="253" w:lineRule="auto"/>
        <w:tabs>
          <w:tab w:leader="none" w:pos="224"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receipt is acknowledged, in the case of email, in each case to the intended recipient as set forth below, with respect to the Company, and to the addresses set forth on the Schedule of Purchasers with respect to the Purchasers.</w:t>
      </w:r>
    </w:p>
    <w:p>
      <w:pPr>
        <w:spacing w:after="0" w:line="68"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2"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321 Arsenal Street, Suite 101</w:t>
      </w:r>
    </w:p>
    <w:p>
      <w:pPr>
        <w:spacing w:after="0" w:line="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Watertown, MA 02472</w:t>
      </w:r>
    </w:p>
    <w:p>
      <w:pPr>
        <w:spacing w:after="0" w:line="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Attention: Rahul Khara, General Counsel</w:t>
      </w:r>
    </w:p>
    <w:p>
      <w:pPr>
        <w:spacing w:after="0" w:line="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Email: *****@*****.com</w:t>
      </w:r>
    </w:p>
    <w:p>
      <w:pPr>
        <w:spacing w:after="0" w:line="83"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with a copy to (which shall not constitute notice):</w:t>
      </w:r>
    </w:p>
    <w:p>
      <w:pPr>
        <w:spacing w:after="0" w:line="22"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Goodwin Procter LLP</w:t>
      </w:r>
    </w:p>
    <w:p>
      <w:pPr>
        <w:spacing w:after="0" w:line="5"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100 Northern Ave.</w:t>
      </w:r>
    </w:p>
    <w:p>
      <w:pPr>
        <w:spacing w:after="0" w:line="5"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Boston, MA 02110</w:t>
      </w:r>
    </w:p>
    <w:p>
      <w:pPr>
        <w:spacing w:after="0" w:line="5"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Attention: William D. Collins</w:t>
      </w:r>
    </w:p>
    <w:p>
      <w:pPr>
        <w:spacing w:after="0" w:line="5"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Email: *****@*****.com</w:t>
      </w:r>
    </w:p>
    <w:p>
      <w:pPr>
        <w:spacing w:after="0" w:line="17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 xml:space="preserve">or at such other address as the Company or each Purchaser may specify by written notice to the other parties hereto in accordance with this </w:t>
      </w:r>
      <w:r>
        <w:rPr>
          <w:rFonts w:ascii="Times New Roman" w:cs="Times New Roman" w:eastAsia="Times New Roman" w:hAnsi="Times New Roman"/>
          <w:sz w:val="15"/>
          <w:szCs w:val="15"/>
          <w:u w:val="single" w:color="auto"/>
          <w:color w:val="auto"/>
        </w:rPr>
        <w:t>Section 9.02</w:t>
      </w:r>
      <w:r>
        <w:rPr>
          <w:rFonts w:ascii="Times New Roman" w:cs="Times New Roman" w:eastAsia="Times New Roman" w:hAnsi="Times New Roman"/>
          <w:sz w:val="15"/>
          <w:szCs w:val="15"/>
          <w:color w:val="auto"/>
        </w:rPr>
        <w:t>.</w:t>
      </w:r>
    </w:p>
    <w:p>
      <w:pPr>
        <w:spacing w:after="0" w:line="206" w:lineRule="exact"/>
        <w:rPr>
          <w:sz w:val="20"/>
          <w:szCs w:val="20"/>
          <w:color w:val="auto"/>
        </w:rPr>
      </w:pPr>
    </w:p>
    <w:p>
      <w:pPr>
        <w:jc w:val="both"/>
        <w:ind w:left="1" w:right="40" w:firstLine="869"/>
        <w:spacing w:after="0" w:line="261" w:lineRule="auto"/>
        <w:rPr>
          <w:sz w:val="20"/>
          <w:szCs w:val="20"/>
          <w:color w:val="auto"/>
        </w:rPr>
      </w:pPr>
      <w:r>
        <w:rPr>
          <w:rFonts w:ascii="Times New Roman" w:cs="Times New Roman" w:eastAsia="Times New Roman" w:hAnsi="Times New Roman"/>
          <w:sz w:val="16"/>
          <w:szCs w:val="16"/>
          <w:color w:val="auto"/>
        </w:rPr>
        <w:t xml:space="preserve">9.03 </w:t>
      </w:r>
      <w:r>
        <w:rPr>
          <w:rFonts w:ascii="Times New Roman" w:cs="Times New Roman" w:eastAsia="Times New Roman" w:hAnsi="Times New Roman"/>
          <w:sz w:val="16"/>
          <w:szCs w:val="16"/>
          <w:u w:val="single" w:color="auto"/>
          <w:color w:val="auto"/>
        </w:rPr>
        <w:t>Cumulative Remedies</w:t>
      </w:r>
      <w:r>
        <w:rPr>
          <w:rFonts w:ascii="Times New Roman" w:cs="Times New Roman" w:eastAsia="Times New Roman" w:hAnsi="Times New Roman"/>
          <w:sz w:val="16"/>
          <w:szCs w:val="16"/>
          <w:color w:val="auto"/>
        </w:rPr>
        <w:t>. None of the rights, powers or remedies conferred upon the Purchasers on the one hand or the Company on the other hand shall be mutually exclusive, and each such right, power or remedy shall be cumulative and in addition to every other right, power or remedy, whether conferred by this Agreement or now or hereafter available at law, in equity, by statute or otherwise.</w:t>
      </w:r>
    </w:p>
    <w:p>
      <w:pPr>
        <w:spacing w:after="0" w:line="157" w:lineRule="exact"/>
        <w:rPr>
          <w:sz w:val="20"/>
          <w:szCs w:val="20"/>
          <w:color w:val="auto"/>
        </w:rPr>
      </w:pPr>
    </w:p>
    <w:p>
      <w:pPr>
        <w:ind w:left="1" w:firstLine="869"/>
        <w:spacing w:after="0" w:line="251" w:lineRule="auto"/>
        <w:rPr>
          <w:sz w:val="20"/>
          <w:szCs w:val="20"/>
          <w:color w:val="auto"/>
        </w:rPr>
      </w:pPr>
      <w:r>
        <w:rPr>
          <w:rFonts w:ascii="Times New Roman" w:cs="Times New Roman" w:eastAsia="Times New Roman" w:hAnsi="Times New Roman"/>
          <w:sz w:val="16"/>
          <w:szCs w:val="16"/>
          <w:color w:val="auto"/>
        </w:rPr>
        <w:t xml:space="preserve">9.04 </w:t>
      </w: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All the terms and provisions of this Agreement shall be binding upon and inure to the benefit of and be enforceable by the respective parties hereto, the successors and permitted assigns of each Purchaser and the successors of the Company, whether so expressed or not. None of the Purchasers may assign its rights or obligations hereof without the prior written consent of the Company, except that a Purchaser may, without the prior consent of the Company, assign its rights to purchase the Securities hereunder to any of its affiliates or to any other investment funds or accounts managed or advised by the investment manager who acts on behalf of Purchaser (provided each such assignee agrees to be bound by the terms of this Agreement and makes the same representations and warranties set forth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hereof). The Company may not assign its rights or obligations hereof without the consent of the Purchasers. This Agreement shall not inure to the benefit of or be enforceable by any other person.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641"/>
          </w:cols>
          <w:pgMar w:left="1119" w:top="249" w:right="1139" w:bottom="1440" w:gutter="0" w:footer="0" w:header="0"/>
        </w:sectPr>
      </w:pPr>
    </w:p>
    <w:bookmarkStart w:id="148" w:name="page149"/>
    <w:bookmarkEnd w:id="148"/>
    <w:p>
      <w:pPr>
        <w:ind w:right="140"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9.05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of the Sections and paragraphs of this Agreement have been inserted for convenience of reference only and do not constitute a part of this Agreement.</w:t>
      </w:r>
    </w:p>
    <w:p>
      <w:pPr>
        <w:spacing w:after="0" w:line="145" w:lineRule="exact"/>
        <w:rPr>
          <w:sz w:val="20"/>
          <w:szCs w:val="20"/>
          <w:color w:val="auto"/>
        </w:rPr>
      </w:pPr>
    </w:p>
    <w:p>
      <w:pPr>
        <w:ind w:firstLine="869"/>
        <w:spacing w:after="0" w:line="267" w:lineRule="auto"/>
        <w:rPr>
          <w:sz w:val="20"/>
          <w:szCs w:val="20"/>
          <w:color w:val="auto"/>
        </w:rPr>
      </w:pPr>
      <w:r>
        <w:rPr>
          <w:rFonts w:ascii="Times New Roman" w:cs="Times New Roman" w:eastAsia="Times New Roman" w:hAnsi="Times New Roman"/>
          <w:sz w:val="15"/>
          <w:szCs w:val="15"/>
          <w:color w:val="auto"/>
        </w:rPr>
        <w:t xml:space="preserve">9.06 </w:t>
      </w:r>
      <w:r>
        <w:rPr>
          <w:rFonts w:ascii="Times New Roman" w:cs="Times New Roman" w:eastAsia="Times New Roman" w:hAnsi="Times New Roman"/>
          <w:sz w:val="15"/>
          <w:szCs w:val="15"/>
          <w:u w:val="single" w:color="auto"/>
          <w:color w:val="auto"/>
        </w:rPr>
        <w:t>Governing Law; Jurisdiction</w:t>
      </w:r>
      <w:r>
        <w:rPr>
          <w:rFonts w:ascii="Times New Roman" w:cs="Times New Roman" w:eastAsia="Times New Roman" w:hAnsi="Times New Roman"/>
          <w:sz w:val="15"/>
          <w:szCs w:val="15"/>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SECTION 9.06,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9.02 OF THIS AGREEMENT AND (F) IRREVOCABLY WAIVES THE RIGHT TO TRIAL BY JURY.</w:t>
      </w:r>
    </w:p>
    <w:p>
      <w:pPr>
        <w:spacing w:after="0" w:line="157" w:lineRule="exact"/>
        <w:rPr>
          <w:sz w:val="20"/>
          <w:szCs w:val="20"/>
          <w:color w:val="auto"/>
        </w:rPr>
      </w:pPr>
    </w:p>
    <w:p>
      <w:pPr>
        <w:ind w:right="60" w:firstLine="869"/>
        <w:spacing w:after="0" w:line="261" w:lineRule="auto"/>
        <w:rPr>
          <w:sz w:val="20"/>
          <w:szCs w:val="20"/>
          <w:color w:val="auto"/>
        </w:rPr>
      </w:pPr>
      <w:r>
        <w:rPr>
          <w:rFonts w:ascii="Times New Roman" w:cs="Times New Roman" w:eastAsia="Times New Roman" w:hAnsi="Times New Roman"/>
          <w:sz w:val="16"/>
          <w:szCs w:val="16"/>
          <w:color w:val="auto"/>
        </w:rPr>
        <w:t xml:space="preserve">9.07 </w:t>
      </w: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xml:space="preserve">. The representations and warranties of the Company and the Purchasers contained in </w:t>
      </w:r>
      <w:r>
        <w:rPr>
          <w:rFonts w:ascii="Times New Roman" w:cs="Times New Roman" w:eastAsia="Times New Roman" w:hAnsi="Times New Roman"/>
          <w:sz w:val="16"/>
          <w:szCs w:val="16"/>
          <w:u w:val="single" w:color="auto"/>
          <w:color w:val="auto"/>
        </w:rPr>
        <w:t>Sections 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w:t>
      </w:r>
      <w:r>
        <w:rPr>
          <w:rFonts w:ascii="Times New Roman" w:cs="Times New Roman" w:eastAsia="Times New Roman" w:hAnsi="Times New Roman"/>
          <w:sz w:val="16"/>
          <w:szCs w:val="16"/>
          <w:color w:val="auto"/>
        </w:rPr>
        <w:t xml:space="preserve">, and the agreements and covenants set forth in </w:t>
      </w:r>
      <w:r>
        <w:rPr>
          <w:rFonts w:ascii="Times New Roman" w:cs="Times New Roman" w:eastAsia="Times New Roman" w:hAnsi="Times New Roman"/>
          <w:sz w:val="16"/>
          <w:szCs w:val="16"/>
          <w:u w:val="single" w:color="auto"/>
          <w:color w:val="auto"/>
        </w:rPr>
        <w:t>Sections 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w:t>
      </w:r>
      <w:r>
        <w:rPr>
          <w:rFonts w:ascii="Times New Roman" w:cs="Times New Roman" w:eastAsia="Times New Roman" w:hAnsi="Times New Roman"/>
          <w:sz w:val="16"/>
          <w:szCs w:val="16"/>
          <w:color w:val="auto"/>
        </w:rPr>
        <w:t xml:space="preserve"> shall survive the Closing in accordance with their respective terms. Each Purchaser shall be responsible only for its own representations, warranties, agreements and covenants hereunder.</w:t>
      </w:r>
    </w:p>
    <w:p>
      <w:pPr>
        <w:spacing w:after="0" w:line="157" w:lineRule="exact"/>
        <w:rPr>
          <w:sz w:val="20"/>
          <w:szCs w:val="20"/>
          <w:color w:val="auto"/>
        </w:rPr>
      </w:pPr>
    </w:p>
    <w:p>
      <w:pPr>
        <w:ind w:right="260" w:firstLine="869"/>
        <w:spacing w:after="0" w:line="256" w:lineRule="auto"/>
        <w:rPr>
          <w:sz w:val="20"/>
          <w:szCs w:val="20"/>
          <w:color w:val="auto"/>
        </w:rPr>
      </w:pPr>
      <w:r>
        <w:rPr>
          <w:rFonts w:ascii="Times New Roman" w:cs="Times New Roman" w:eastAsia="Times New Roman" w:hAnsi="Times New Roman"/>
          <w:sz w:val="16"/>
          <w:szCs w:val="16"/>
          <w:color w:val="auto"/>
        </w:rPr>
        <w:t xml:space="preserve">9.08 </w:t>
      </w:r>
      <w:r>
        <w:rPr>
          <w:rFonts w:ascii="Times New Roman" w:cs="Times New Roman" w:eastAsia="Times New Roman" w:hAnsi="Times New Roman"/>
          <w:sz w:val="16"/>
          <w:szCs w:val="16"/>
          <w:u w:val="single" w:color="auto"/>
          <w:color w:val="auto"/>
        </w:rPr>
        <w:t>Counterparts; Effectiveness</w:t>
      </w:r>
      <w:r>
        <w:rPr>
          <w:rFonts w:ascii="Times New Roman" w:cs="Times New Roman" w:eastAsia="Times New Roman" w:hAnsi="Times New Roman"/>
          <w:sz w:val="16"/>
          <w:szCs w:val="16"/>
          <w:color w:val="auto"/>
        </w:rPr>
        <w:t>. This Agreement may be executed in any number of counterparts and by different parties hereto in separate counterparts, with the same effect as if all parties had signed the same document. All such counterparts (including counterparts delivered by facsimile or other electronic format) shall be deemed an original, shall be construed together and shall constitute one and the same instrument. This Agreement shall become effective when each party hereto shall have received counterparts hereof signed by all of the other parties hereto.</w:t>
      </w:r>
    </w:p>
    <w:p>
      <w:pPr>
        <w:spacing w:after="0" w:line="161" w:lineRule="exact"/>
        <w:rPr>
          <w:sz w:val="20"/>
          <w:szCs w:val="20"/>
          <w:color w:val="auto"/>
        </w:rPr>
      </w:pPr>
    </w:p>
    <w:p>
      <w:pPr>
        <w:ind w:firstLine="869"/>
        <w:spacing w:after="0" w:line="254" w:lineRule="auto"/>
        <w:rPr>
          <w:sz w:val="20"/>
          <w:szCs w:val="20"/>
          <w:color w:val="auto"/>
        </w:rPr>
      </w:pPr>
      <w:r>
        <w:rPr>
          <w:rFonts w:ascii="Times New Roman" w:cs="Times New Roman" w:eastAsia="Times New Roman" w:hAnsi="Times New Roman"/>
          <w:sz w:val="16"/>
          <w:szCs w:val="16"/>
          <w:color w:val="auto"/>
        </w:rPr>
        <w:t xml:space="preserve">9.09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together with the Registration Rights Agreement, contains the entire agreement among the parties hereto with respect to the subject matter hereof and, except as set forth below, this agreement supersedes and replaces all other prior agreements, written or oral, among the parties hereto with respect to the subject matter hereof. Notwithstanding the foregoing or anything to the contrary in this Agreement, this Agreement shall not supersede any confidentiality or other non-disclosure agreements that may be in place between the Company and any Purchaser.</w:t>
      </w:r>
    </w:p>
    <w:p>
      <w:pPr>
        <w:spacing w:after="0" w:line="162" w:lineRule="exact"/>
        <w:rPr>
          <w:sz w:val="20"/>
          <w:szCs w:val="20"/>
          <w:color w:val="auto"/>
        </w:rPr>
      </w:pPr>
    </w:p>
    <w:p>
      <w:pPr>
        <w:ind w:right="80" w:firstLine="869"/>
        <w:spacing w:after="0" w:line="256" w:lineRule="auto"/>
        <w:rPr>
          <w:sz w:val="20"/>
          <w:szCs w:val="20"/>
          <w:color w:val="auto"/>
        </w:rPr>
      </w:pPr>
      <w:r>
        <w:rPr>
          <w:rFonts w:ascii="Times New Roman" w:cs="Times New Roman" w:eastAsia="Times New Roman" w:hAnsi="Times New Roman"/>
          <w:sz w:val="16"/>
          <w:szCs w:val="16"/>
          <w:color w:val="auto"/>
        </w:rPr>
        <w:t xml:space="preserve">9.10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shall be found by any court of competent jurisdiction to be invalid or unenforceable, the parties hereby waive such provision to the extent that it is found to be invalid or unenforceable. Such provision shall, to the maximum extent allowable by law, be modified by such court so that it becomes enforceable, and, as modified, shall be enforced as any other provision hereof, all the other provisions hereof continuing in full force and effect.</w:t>
      </w:r>
    </w:p>
    <w:p>
      <w:pPr>
        <w:spacing w:after="0" w:line="161" w:lineRule="exact"/>
        <w:rPr>
          <w:sz w:val="20"/>
          <w:szCs w:val="20"/>
          <w:color w:val="auto"/>
        </w:rPr>
      </w:pPr>
    </w:p>
    <w:p>
      <w:pPr>
        <w:ind w:right="160" w:firstLine="869"/>
        <w:spacing w:after="0" w:line="254" w:lineRule="auto"/>
        <w:rPr>
          <w:sz w:val="20"/>
          <w:szCs w:val="20"/>
          <w:color w:val="auto"/>
        </w:rPr>
      </w:pPr>
      <w:r>
        <w:rPr>
          <w:rFonts w:ascii="Times New Roman" w:cs="Times New Roman" w:eastAsia="Times New Roman" w:hAnsi="Times New Roman"/>
          <w:sz w:val="16"/>
          <w:szCs w:val="16"/>
          <w:color w:val="auto"/>
        </w:rPr>
        <w:t xml:space="preserve">9.11 </w:t>
      </w:r>
      <w:r>
        <w:rPr>
          <w:rFonts w:ascii="Times New Roman" w:cs="Times New Roman" w:eastAsia="Times New Roman" w:hAnsi="Times New Roman"/>
          <w:sz w:val="16"/>
          <w:szCs w:val="16"/>
          <w:u w:val="single" w:color="auto"/>
          <w:color w:val="auto"/>
        </w:rPr>
        <w:t>Independent Nature of Purchasers’ Obligations and Rights</w:t>
      </w:r>
      <w:r>
        <w:rPr>
          <w:rFonts w:ascii="Times New Roman" w:cs="Times New Roman" w:eastAsia="Times New Roman" w:hAnsi="Times New Roman"/>
          <w:sz w:val="16"/>
          <w:szCs w:val="16"/>
          <w:color w:val="auto"/>
        </w:rPr>
        <w:t>.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hereto or thereto, shall be deemed to constitute the Purchasers as, and the Company acknowledges that the Purchasers do not so constitute, a partnership, an association, a joint venture or any other kind of entity, or create a presumption that the Purchasers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640"/>
          </w:cols>
          <w:pgMar w:left="1120" w:top="253" w:right="1139" w:bottom="1440" w:gutter="0" w:footer="0" w:header="0"/>
        </w:sectPr>
      </w:pPr>
    </w:p>
    <w:bookmarkStart w:id="149" w:name="page150"/>
    <w:bookmarkEnd w:id="149"/>
    <w:p>
      <w:pPr>
        <w:ind w:left="1"/>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are in any way acting in concert or as a group, and the Company will not assert any such claim with respect to such obligations or the transactions contemplated by this Agreement and the Company acknowledges that the Purchasers are not acting in concert or as a group with respect to such obligations or the transactions contemplated by this Agreement. The Company acknowledges and each Purchaser confirms that it has independently participated in the negotiation of the transaction contemplated hereby with the advice of its own counsel and advisors. Each Purchaser shall be entitled to independently protect and enforce its rights, including, without limitation, the rights arising out of this Agreement, and it shall not be necessary for any other Purchaser to be joined as an additional party in any proceeding for such purpose. The Company has elected to provide all Purchasers with the same terms for the convenience of the Company and not because it was required or requested to do so by any Purchaser.</w:t>
      </w:r>
    </w:p>
    <w:p>
      <w:pPr>
        <w:spacing w:after="0" w:line="167" w:lineRule="exact"/>
        <w:rPr>
          <w:sz w:val="20"/>
          <w:szCs w:val="20"/>
          <w:color w:val="auto"/>
        </w:rPr>
      </w:pPr>
    </w:p>
    <w:p>
      <w:pPr>
        <w:ind w:left="1" w:firstLine="869"/>
        <w:spacing w:after="0" w:line="268" w:lineRule="auto"/>
        <w:rPr>
          <w:sz w:val="20"/>
          <w:szCs w:val="20"/>
          <w:color w:val="auto"/>
        </w:rPr>
      </w:pPr>
      <w:r>
        <w:rPr>
          <w:rFonts w:ascii="Times New Roman" w:cs="Times New Roman" w:eastAsia="Times New Roman" w:hAnsi="Times New Roman"/>
          <w:sz w:val="15"/>
          <w:szCs w:val="15"/>
          <w:color w:val="auto"/>
        </w:rPr>
        <w:t xml:space="preserve">9.12 </w:t>
      </w: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This Agreement shall terminate and be void and of no further force and effect, and all obligations of the parties hereunder shall terminate without any further liability on the part of any party in respect thereof, upon the earlier to occur of (a) such date and time that the Merger Agreement is terminated in accordance with its terms, (b) upon the mutual written agreement of the Company and the Purchaser, (c) if, on the Closing Date, any of the conditions of Closing set forth in Section 6 have not been satisfied as of the time required hereunder to be so satisfied or waived by the party entitled to grant such waiver and, as a result thereof, the transactions contemplated by this Agreement are not consummated, or</w:t>
      </w:r>
    </w:p>
    <w:p>
      <w:pPr>
        <w:ind w:left="1" w:right="80" w:hanging="1"/>
        <w:spacing w:after="0" w:line="248" w:lineRule="auto"/>
        <w:tabs>
          <w:tab w:leader="none" w:pos="224"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Closing has not occurred on or before the End Date (as such term is defined in the Merger Agreement), other than as a result of a Willful Breach of a Purchaser’s obligations hereunder;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nothing herein shall not relieve any party to this Agreement of any liability for common law fraud or for any Willful Breach of any representation, warranty, covenant, obligation or other provision contained in this Agreement. “</w:t>
      </w:r>
      <w:r>
        <w:rPr>
          <w:rFonts w:ascii="Times New Roman" w:cs="Times New Roman" w:eastAsia="Times New Roman" w:hAnsi="Times New Roman"/>
          <w:sz w:val="16"/>
          <w:szCs w:val="16"/>
          <w:b w:val="1"/>
          <w:bCs w:val="1"/>
          <w:i w:val="1"/>
          <w:iCs w:val="1"/>
          <w:color w:val="auto"/>
        </w:rPr>
        <w:t>Willful Breach”</w:t>
      </w:r>
      <w:r>
        <w:rPr>
          <w:rFonts w:ascii="Times New Roman" w:cs="Times New Roman" w:eastAsia="Times New Roman" w:hAnsi="Times New Roman"/>
          <w:sz w:val="16"/>
          <w:szCs w:val="16"/>
          <w:color w:val="auto"/>
        </w:rPr>
        <w:t xml:space="preserve"> means a deliberate act or deliberate failure to act, taken with the actual knowledge that such act or failure to act would result in or constitute a material breach of this Agreement.</w:t>
      </w:r>
    </w:p>
    <w:p>
      <w:pPr>
        <w:spacing w:after="0" w:line="168" w:lineRule="exact"/>
        <w:rPr>
          <w:sz w:val="20"/>
          <w:szCs w:val="20"/>
          <w:color w:val="auto"/>
        </w:rPr>
      </w:pPr>
    </w:p>
    <w:p>
      <w:pPr>
        <w:ind w:left="1" w:right="220" w:firstLine="869"/>
        <w:spacing w:after="0" w:line="276" w:lineRule="auto"/>
        <w:rPr>
          <w:sz w:val="20"/>
          <w:szCs w:val="20"/>
          <w:color w:val="auto"/>
        </w:rPr>
      </w:pPr>
      <w:r>
        <w:rPr>
          <w:rFonts w:ascii="Times New Roman" w:cs="Times New Roman" w:eastAsia="Times New Roman" w:hAnsi="Times New Roman"/>
          <w:sz w:val="16"/>
          <w:szCs w:val="16"/>
          <w:color w:val="auto"/>
        </w:rPr>
        <w:t xml:space="preserve">9.13 </w:t>
      </w:r>
      <w:r>
        <w:rPr>
          <w:rFonts w:ascii="Times New Roman" w:cs="Times New Roman" w:eastAsia="Times New Roman" w:hAnsi="Times New Roman"/>
          <w:sz w:val="16"/>
          <w:szCs w:val="16"/>
          <w:u w:val="single" w:color="auto"/>
          <w:color w:val="auto"/>
        </w:rPr>
        <w:t>No Third-Party Beneficiaries</w:t>
      </w:r>
      <w:r>
        <w:rPr>
          <w:rFonts w:ascii="Times New Roman" w:cs="Times New Roman" w:eastAsia="Times New Roman" w:hAnsi="Times New Roman"/>
          <w:sz w:val="16"/>
          <w:szCs w:val="16"/>
          <w:color w:val="auto"/>
        </w:rPr>
        <w:t>. This Agreement is intended for the benefit of the parties hereto and their respective successors and permitted assigns and is not for the benefit of, nor may any provision hereof be enforced by, any other Person.</w:t>
      </w:r>
    </w:p>
    <w:p>
      <w:pPr>
        <w:spacing w:after="0" w:line="1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541"/>
          </w:cols>
          <w:pgMar w:left="1119" w:top="253" w:right="1239"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parties hereto have caused this Subscription Agreement to be duly executed as of the Effective Date.</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13970</wp:posOffset>
            </wp:positionV>
            <wp:extent cx="212534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Subscription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5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parties hereto have caused this Subscription Agreement to be duly executed as of the Effective Date.</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13970</wp:posOffset>
            </wp:positionV>
            <wp:extent cx="212534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Subscription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53" w:right="1440"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A</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Form of Registration Rights Agreement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96" w:lineRule="exact"/>
        <w:rPr>
          <w:sz w:val="20"/>
          <w:szCs w:val="20"/>
          <w:color w:val="auto"/>
        </w:rPr>
      </w:pPr>
    </w:p>
    <w:p>
      <w:pPr>
        <w:ind w:firstLine="869"/>
        <w:spacing w:after="0" w:line="276" w:lineRule="auto"/>
        <w:rPr>
          <w:sz w:val="20"/>
          <w:szCs w:val="20"/>
          <w:color w:val="auto"/>
        </w:rPr>
      </w:pPr>
      <w:r>
        <w:rPr>
          <w:rFonts w:ascii="Times New Roman" w:cs="Times New Roman" w:eastAsia="Times New Roman" w:hAnsi="Times New Roman"/>
          <w:sz w:val="16"/>
          <w:szCs w:val="16"/>
          <w:color w:val="auto"/>
        </w:rPr>
        <w:t>This Registration Rights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 2022, between Disc Medicine, Inc., a Delaware corporation, and each of the several purchasers signatory hereto (each such purchaser, a “</w:t>
      </w:r>
      <w:r>
        <w:rPr>
          <w:rFonts w:ascii="Times New Roman" w:cs="Times New Roman" w:eastAsia="Times New Roman" w:hAnsi="Times New Roman"/>
          <w:sz w:val="16"/>
          <w:szCs w:val="16"/>
          <w:u w:val="single" w:color="auto"/>
          <w:color w:val="auto"/>
        </w:rPr>
        <w:t>Purchaser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Purchasers</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jc w:val="both"/>
        <w:ind w:right="560" w:firstLine="869"/>
        <w:spacing w:after="0" w:line="261" w:lineRule="auto"/>
        <w:rPr>
          <w:sz w:val="20"/>
          <w:szCs w:val="20"/>
          <w:color w:val="auto"/>
        </w:rPr>
      </w:pPr>
      <w:r>
        <w:rPr>
          <w:rFonts w:ascii="Times New Roman" w:cs="Times New Roman" w:eastAsia="Times New Roman" w:hAnsi="Times New Roman"/>
          <w:sz w:val="16"/>
          <w:szCs w:val="16"/>
          <w:color w:val="auto"/>
        </w:rPr>
        <w:t>WHEREAS, the Company is party to that certain Agreement and Plan of Merger and Reorganization by and among the Company, Gemstone Merger Sub, Inc., Gemini Therapeutics, Inc.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dated as of August [•], 2022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the Company will become a wholly-owned subsidiary of Gem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firstLine="869"/>
        <w:spacing w:after="0" w:line="276" w:lineRule="auto"/>
        <w:rPr>
          <w:sz w:val="20"/>
          <w:szCs w:val="20"/>
          <w:color w:val="auto"/>
        </w:rPr>
      </w:pPr>
      <w:r>
        <w:rPr>
          <w:rFonts w:ascii="Times New Roman" w:cs="Times New Roman" w:eastAsia="Times New Roman" w:hAnsi="Times New Roman"/>
          <w:sz w:val="16"/>
          <w:szCs w:val="16"/>
          <w:color w:val="auto"/>
        </w:rPr>
        <w:t>WHEREAS, following the Merger (as defined in the Merger Agreement), the Company will change its name to Disc Medicine Operations, Inc. and Gem will change its name to Disc Medicine, Inc. (“TopCo”);</w:t>
      </w:r>
    </w:p>
    <w:p>
      <w:pPr>
        <w:spacing w:after="0" w:line="145" w:lineRule="exact"/>
        <w:rPr>
          <w:sz w:val="20"/>
          <w:szCs w:val="20"/>
          <w:color w:val="auto"/>
        </w:rPr>
      </w:pPr>
    </w:p>
    <w:p>
      <w:pPr>
        <w:ind w:right="340" w:firstLine="869"/>
        <w:spacing w:after="0" w:line="261" w:lineRule="auto"/>
        <w:rPr>
          <w:sz w:val="20"/>
          <w:szCs w:val="20"/>
          <w:color w:val="auto"/>
        </w:rPr>
      </w:pPr>
      <w:r>
        <w:rPr>
          <w:rFonts w:ascii="Times New Roman" w:cs="Times New Roman" w:eastAsia="Times New Roman" w:hAnsi="Times New Roman"/>
          <w:sz w:val="16"/>
          <w:szCs w:val="16"/>
          <w:color w:val="auto"/>
        </w:rPr>
        <w:t>WHEREAS, the Company and the Purchasers are parties to a Subscription Agreement, dated as of the date hereof (the “</w:t>
      </w:r>
      <w:r>
        <w:rPr>
          <w:rFonts w:ascii="Times New Roman" w:cs="Times New Roman" w:eastAsia="Times New Roman" w:hAnsi="Times New Roman"/>
          <w:sz w:val="16"/>
          <w:szCs w:val="16"/>
          <w:u w:val="single" w:color="auto"/>
          <w:color w:val="auto"/>
        </w:rPr>
        <w:t>Purchase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pursuant to which the Purchasers, severally and not jointly, are purchasing shares of Common Stock of the Company (the “</w:t>
      </w:r>
      <w:r>
        <w:rPr>
          <w:rFonts w:ascii="Times New Roman" w:cs="Times New Roman" w:eastAsia="Times New Roman" w:hAnsi="Times New Roman"/>
          <w:sz w:val="16"/>
          <w:szCs w:val="16"/>
          <w:u w:val="single" w:color="auto"/>
          <w:color w:val="auto"/>
        </w:rPr>
        <w:t>Purchased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and</w:t>
      </w:r>
    </w:p>
    <w:p>
      <w:pPr>
        <w:spacing w:after="0" w:line="157" w:lineRule="exact"/>
        <w:rPr>
          <w:sz w:val="20"/>
          <w:szCs w:val="20"/>
          <w:color w:val="auto"/>
        </w:rPr>
      </w:pPr>
    </w:p>
    <w:p>
      <w:pPr>
        <w:ind w:right="20" w:firstLine="869"/>
        <w:spacing w:after="0" w:line="276" w:lineRule="auto"/>
        <w:rPr>
          <w:sz w:val="20"/>
          <w:szCs w:val="20"/>
          <w:color w:val="auto"/>
        </w:rPr>
      </w:pPr>
      <w:r>
        <w:rPr>
          <w:rFonts w:ascii="Times New Roman" w:cs="Times New Roman" w:eastAsia="Times New Roman" w:hAnsi="Times New Roman"/>
          <w:sz w:val="16"/>
          <w:szCs w:val="16"/>
          <w:color w:val="auto"/>
        </w:rPr>
        <w:t>WHEREAS, in connection with the consummation of the transactions contemplated by the Purchase Agreement, and pursuant to the terms of the Purchase Agreement, the parties desire to enter into this Agreement in order to grant certain rights to the Purchasers as set forth below.</w:t>
      </w:r>
    </w:p>
    <w:p>
      <w:pPr>
        <w:spacing w:after="0" w:line="145" w:lineRule="exact"/>
        <w:rPr>
          <w:sz w:val="20"/>
          <w:szCs w:val="20"/>
          <w:color w:val="auto"/>
        </w:rPr>
      </w:pPr>
    </w:p>
    <w:p>
      <w:pPr>
        <w:ind w:right="140" w:firstLine="869"/>
        <w:spacing w:after="0" w:line="276" w:lineRule="auto"/>
        <w:rPr>
          <w:sz w:val="20"/>
          <w:szCs w:val="20"/>
          <w:color w:val="auto"/>
        </w:rPr>
      </w:pPr>
      <w:r>
        <w:rPr>
          <w:rFonts w:ascii="Times New Roman" w:cs="Times New Roman" w:eastAsia="Times New Roman" w:hAnsi="Times New Roman"/>
          <w:sz w:val="16"/>
          <w:szCs w:val="16"/>
          <w:color w:val="auto"/>
        </w:rPr>
        <w:t>NOW, THEREFORE, in consideration of the covenants and promises set forth herein, and for other good and valuable consideration, the receipt and sufficiency of which are hereby acknowledged, the parties hereby agree as follows:</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The Company and each Purchaser hereby agree as follows:</w:t>
      </w:r>
    </w:p>
    <w:p>
      <w:pPr>
        <w:spacing w:after="0" w:line="194" w:lineRule="exact"/>
        <w:rPr>
          <w:sz w:val="20"/>
          <w:szCs w:val="20"/>
          <w:color w:val="auto"/>
        </w:rPr>
      </w:pPr>
    </w:p>
    <w:p>
      <w:pPr>
        <w:ind w:left="540" w:hanging="155"/>
        <w:spacing w:after="0"/>
        <w:tabs>
          <w:tab w:leader="none" w:pos="54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00" w:firstLine="869"/>
        <w:spacing w:after="0" w:line="276" w:lineRule="auto"/>
        <w:rPr>
          <w:sz w:val="20"/>
          <w:szCs w:val="20"/>
          <w:color w:val="auto"/>
        </w:rPr>
      </w:pPr>
      <w:r>
        <w:rPr>
          <w:rFonts w:ascii="Times New Roman" w:cs="Times New Roman" w:eastAsia="Times New Roman" w:hAnsi="Times New Roman"/>
          <w:sz w:val="16"/>
          <w:szCs w:val="16"/>
          <w:color w:val="auto"/>
        </w:rPr>
        <w:t>Capitalized terms used and not otherwise defined herein that are defined in the Purchase Agreement shall have the meanings given such terms in the Purchase Agreement.</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As used in this Agreement, the following terms shall have the following meanings:</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Advice</w:t>
      </w:r>
      <w:r>
        <w:rPr>
          <w:rFonts w:ascii="Times New Roman" w:cs="Times New Roman" w:eastAsia="Times New Roman" w:hAnsi="Times New Roman"/>
          <w:sz w:val="16"/>
          <w:szCs w:val="16"/>
          <w:color w:val="auto"/>
        </w:rPr>
        <w:t>” shall have the meaning set forth in Section 6(c).</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means Disc Medicine, Inc. for all periods prior to closing of the Merger and</w:t>
      </w:r>
    </w:p>
    <w:p>
      <w:pPr>
        <w:spacing w:after="0" w:line="1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TopCo for all periods after completion of the Merger.</w:t>
      </w:r>
    </w:p>
    <w:p>
      <w:pPr>
        <w:spacing w:after="0" w:line="100" w:lineRule="exact"/>
        <w:rPr>
          <w:sz w:val="20"/>
          <w:szCs w:val="20"/>
          <w:color w:val="auto"/>
        </w:rPr>
      </w:pPr>
    </w:p>
    <w:p>
      <w:pPr>
        <w:ind w:left="860" w:right="40" w:firstLine="351"/>
        <w:spacing w:after="0" w:line="25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Effectiveness Date</w:t>
      </w:r>
      <w:r>
        <w:rPr>
          <w:rFonts w:ascii="Times New Roman" w:cs="Times New Roman" w:eastAsia="Times New Roman" w:hAnsi="Times New Roman"/>
          <w:sz w:val="16"/>
          <w:szCs w:val="16"/>
          <w:color w:val="auto"/>
        </w:rPr>
        <w:t xml:space="preserve">” means, with respect to the Initial Registration Statement required to be filed hereunder, the 90th calendar day following the date hereof (or, in the event of a “full review” by the Commission, the 120th calendar day following the date hereof) and with respect to any additional Registration Statements that may be required pursuant to Sections 2(b) and 2(c) or Section 3(c), the 60th calendar day following the date on which an additional Registration Statement is required to be filed hereunder (or, in the event of a “full review” by the Commission, the 90th calendar day following the date thereof);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xml:space="preserve"> that in the event the Company is notified by the Commission (orally or in writing)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ectPr>
          <w:pgSz w:w="11900" w:h="16838" w:orient="portrait"/>
          <w:cols w:equalWidth="0" w:num="1">
            <w:col w:w="9640"/>
          </w:cols>
          <w:pgMar w:left="1120" w:top="251" w:right="1139" w:bottom="1440" w:gutter="0" w:footer="0" w:header="0"/>
        </w:sectPr>
      </w:pPr>
    </w:p>
    <w:bookmarkStart w:id="153" w:name="page154"/>
    <w:bookmarkEnd w:id="153"/>
    <w:p>
      <w:pPr>
        <w:ind w:left="9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Effectiveness Period</w:t>
      </w:r>
      <w:r>
        <w:rPr>
          <w:rFonts w:ascii="Times New Roman" w:cs="Times New Roman" w:eastAsia="Times New Roman" w:hAnsi="Times New Roman"/>
          <w:sz w:val="16"/>
          <w:szCs w:val="16"/>
          <w:color w:val="auto"/>
        </w:rPr>
        <w:t>” shall have the meaning set forth in Section 2(a).</w:t>
      </w:r>
    </w:p>
    <w:p>
      <w:pPr>
        <w:spacing w:after="0" w:line="100" w:lineRule="exact"/>
        <w:rPr>
          <w:sz w:val="20"/>
          <w:szCs w:val="20"/>
          <w:color w:val="auto"/>
        </w:rPr>
      </w:pPr>
    </w:p>
    <w:p>
      <w:pPr>
        <w:ind w:left="540" w:right="80" w:firstLine="351"/>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Filing Date</w:t>
      </w:r>
      <w:r>
        <w:rPr>
          <w:rFonts w:ascii="Times New Roman" w:cs="Times New Roman" w:eastAsia="Times New Roman" w:hAnsi="Times New Roman"/>
          <w:sz w:val="16"/>
          <w:szCs w:val="16"/>
          <w:color w:val="auto"/>
        </w:rPr>
        <w:t>” means, with respect to the Initial Registration Statement required hereunder, the 45th calendar day following the date hereof and, with respect to any additional Registration Statements that may be required pursuant to Sections 2(b) and 2(c) or Section 3(c), the earliest practical date on which the Company is permitted by SEC Guidance to file such additional Registration Statement related to the Registrable Securities.</w:t>
      </w:r>
    </w:p>
    <w:p>
      <w:pPr>
        <w:spacing w:after="0" w:line="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Holders</w:t>
      </w:r>
      <w:r>
        <w:rPr>
          <w:rFonts w:ascii="Times New Roman" w:cs="Times New Roman" w:eastAsia="Times New Roman" w:hAnsi="Times New Roman"/>
          <w:sz w:val="16"/>
          <w:szCs w:val="16"/>
          <w:color w:val="auto"/>
        </w:rPr>
        <w:t>” means the holder or holders, as the case may be, from time to time of Registrable Securities.</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shall have the meaning set forth in Section 5(c).</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Indemnifying Party</w:t>
      </w:r>
      <w:r>
        <w:rPr>
          <w:rFonts w:ascii="Times New Roman" w:cs="Times New Roman" w:eastAsia="Times New Roman" w:hAnsi="Times New Roman"/>
          <w:sz w:val="16"/>
          <w:szCs w:val="16"/>
          <w:color w:val="auto"/>
        </w:rPr>
        <w:t>” shall have the meaning set forth in Section 5(c).</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Registration Statement</w:t>
      </w:r>
      <w:r>
        <w:rPr>
          <w:rFonts w:ascii="Times New Roman" w:cs="Times New Roman" w:eastAsia="Times New Roman" w:hAnsi="Times New Roman"/>
          <w:sz w:val="16"/>
          <w:szCs w:val="16"/>
          <w:color w:val="auto"/>
        </w:rPr>
        <w:t>” means the initial Registration Statement filed pursuant to this Agreement.</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shall have the meaning set forth in Section 5(a).</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 of Distribution</w:t>
      </w:r>
      <w:r>
        <w:rPr>
          <w:rFonts w:ascii="Times New Roman" w:cs="Times New Roman" w:eastAsia="Times New Roman" w:hAnsi="Times New Roman"/>
          <w:sz w:val="16"/>
          <w:szCs w:val="16"/>
          <w:color w:val="auto"/>
        </w:rPr>
        <w:t>” shall have the meaning set forth in Section 2(a).</w:t>
      </w:r>
    </w:p>
    <w:p>
      <w:pPr>
        <w:spacing w:after="0" w:line="100" w:lineRule="exact"/>
        <w:rPr>
          <w:sz w:val="20"/>
          <w:szCs w:val="20"/>
          <w:color w:val="auto"/>
        </w:rPr>
      </w:pPr>
    </w:p>
    <w:p>
      <w:pPr>
        <w:ind w:left="540" w:firstLine="351"/>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71" w:lineRule="exact"/>
        <w:rPr>
          <w:sz w:val="20"/>
          <w:szCs w:val="20"/>
          <w:color w:val="auto"/>
        </w:rPr>
      </w:pPr>
    </w:p>
    <w:p>
      <w:pPr>
        <w:ind w:left="540" w:firstLine="351"/>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Registrable Securities</w:t>
      </w:r>
      <w:r>
        <w:rPr>
          <w:rFonts w:ascii="Times New Roman" w:cs="Times New Roman" w:eastAsia="Times New Roman" w:hAnsi="Times New Roman"/>
          <w:sz w:val="16"/>
          <w:szCs w:val="16"/>
          <w:color w:val="auto"/>
        </w:rPr>
        <w:t>” means, as of any date of determination, (a) all shares of Gem common stock issued to the Purchasers at the closing of the Merger in respect of the Purchased Shares (the “</w:t>
      </w:r>
      <w:r>
        <w:rPr>
          <w:rFonts w:ascii="Times New Roman" w:cs="Times New Roman" w:eastAsia="Times New Roman" w:hAnsi="Times New Roman"/>
          <w:sz w:val="16"/>
          <w:szCs w:val="16"/>
          <w:u w:val="single" w:color="auto"/>
          <w:color w:val="auto"/>
        </w:rPr>
        <w:t>Purchase Agreement Shares</w:t>
      </w:r>
      <w:r>
        <w:rPr>
          <w:rFonts w:ascii="Times New Roman" w:cs="Times New Roman" w:eastAsia="Times New Roman" w:hAnsi="Times New Roman"/>
          <w:sz w:val="16"/>
          <w:szCs w:val="16"/>
          <w:color w:val="auto"/>
        </w:rPr>
        <w:t xml:space="preserve">”), (b) all shares of Gem issued at the closing of the Merger to the Purchasers in respect of all other shares of capital stock of the Company held by Purchaser as of immediately prior to the Effective Time (as defined in the Merger Agreement), and (c) all shares of Gem held by Purchaser as of immediately prior to the Effective Time, (d) any securities issued or then issuable upon any stock split, dividend or other distribution, recapitalization or similar event with respect to the foregoing; </w:t>
      </w:r>
      <w:r>
        <w:rPr>
          <w:rFonts w:ascii="Times New Roman" w:cs="Times New Roman" w:eastAsia="Times New Roman" w:hAnsi="Times New Roman"/>
          <w:sz w:val="16"/>
          <w:szCs w:val="16"/>
          <w:u w:val="single" w:color="auto"/>
          <w:color w:val="auto"/>
        </w:rPr>
        <w:t>provided, however,</w:t>
      </w:r>
      <w:r>
        <w:rPr>
          <w:rFonts w:ascii="Times New Roman" w:cs="Times New Roman" w:eastAsia="Times New Roman" w:hAnsi="Times New Roman"/>
          <w:sz w:val="16"/>
          <w:szCs w:val="16"/>
          <w:color w:val="auto"/>
        </w:rPr>
        <w:t xml:space="preserve"> that any such Registrable Securities shall cease to be Registrable Securities (and the Company shall not be required to maintain the effectiveness of any, or file another, Registration Statement hereunder with respect thereto) upon the earliest to occur of (i) 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in accordance with Rule 144, (iii) such securities become eligible for resale without volume or manner-of-sale restrictions pursuant to Rule 144 and without the requirement for the Company to be in compliance with the current public information requirement under Rule 144, as determined by counsel to the Company pursuant to a written opinion letter to such effect, addressed, delivered and acceptable to the Company’s transfer agent and the affected Holders, and (iv) five years after the date of this Agreement.</w:t>
      </w:r>
    </w:p>
    <w:p>
      <w:pPr>
        <w:sectPr>
          <w:pgSz w:w="11900" w:h="16838" w:orient="portrait"/>
          <w:cols w:equalWidth="0" w:num="1">
            <w:col w:w="9320"/>
          </w:cols>
          <w:pgMar w:left="1440" w:top="253" w:right="1139" w:bottom="1440" w:gutter="0" w:footer="0" w:header="0"/>
        </w:sectPr>
      </w:pPr>
    </w:p>
    <w:bookmarkStart w:id="154" w:name="page155"/>
    <w:bookmarkEnd w:id="154"/>
    <w:p>
      <w:pPr>
        <w:ind w:left="540" w:right="40" w:firstLine="351"/>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67" w:lineRule="exact"/>
        <w:rPr>
          <w:sz w:val="20"/>
          <w:szCs w:val="20"/>
          <w:color w:val="auto"/>
        </w:rPr>
      </w:pPr>
    </w:p>
    <w:p>
      <w:pPr>
        <w:ind w:left="540" w:firstLine="351"/>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415</w:t>
      </w:r>
      <w:r>
        <w:rPr>
          <w:rFonts w:ascii="Times New Roman" w:cs="Times New Roman" w:eastAsia="Times New Roman" w:hAnsi="Times New Roman"/>
          <w:sz w:val="16"/>
          <w:szCs w:val="16"/>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2" w:lineRule="exact"/>
        <w:rPr>
          <w:sz w:val="20"/>
          <w:szCs w:val="20"/>
          <w:color w:val="auto"/>
        </w:rPr>
      </w:pPr>
    </w:p>
    <w:p>
      <w:pPr>
        <w:ind w:left="540" w:firstLine="351"/>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424</w:t>
      </w:r>
      <w:r>
        <w:rPr>
          <w:rFonts w:ascii="Times New Roman" w:cs="Times New Roman" w:eastAsia="Times New Roman" w:hAnsi="Times New Roman"/>
          <w:sz w:val="16"/>
          <w:szCs w:val="16"/>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2" w:lineRule="exact"/>
        <w:rPr>
          <w:sz w:val="20"/>
          <w:szCs w:val="20"/>
          <w:color w:val="auto"/>
        </w:rPr>
      </w:pPr>
    </w:p>
    <w:p>
      <w:pPr>
        <w:jc w:val="both"/>
        <w:ind w:left="540" w:right="80" w:firstLine="351"/>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 Guidance</w:t>
      </w:r>
      <w:r>
        <w:rPr>
          <w:rFonts w:ascii="Times New Roman" w:cs="Times New Roman" w:eastAsia="Times New Roman" w:hAnsi="Times New Roman"/>
          <w:sz w:val="16"/>
          <w:szCs w:val="16"/>
          <w:color w:val="auto"/>
        </w:rPr>
        <w:t>” means (i) any publicly-available written or oral guidance of the Commission staff, or any comments, requirements or requests of the Commission staff; provided, that any such oral guidance, comments, requirements or requests are reduced to writing by the Commission and (ii) the Securities Act.</w:t>
      </w:r>
    </w:p>
    <w:p>
      <w:pPr>
        <w:spacing w:after="0" w:line="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Selling Stockholder Questionnaire</w:t>
      </w:r>
      <w:r>
        <w:rPr>
          <w:rFonts w:ascii="Times New Roman" w:cs="Times New Roman" w:eastAsia="Times New Roman" w:hAnsi="Times New Roman"/>
          <w:sz w:val="16"/>
          <w:szCs w:val="16"/>
          <w:color w:val="auto"/>
        </w:rPr>
        <w:t>” shall have the meaning set forth in Section 3(a).</w:t>
      </w:r>
    </w:p>
    <w:p>
      <w:pPr>
        <w:spacing w:after="0" w:line="10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means any day on which the Gem Common Stock is traded on a National Exchange.</w:t>
      </w:r>
    </w:p>
    <w:p>
      <w:pPr>
        <w:spacing w:after="0" w:line="194" w:lineRule="exact"/>
        <w:rPr>
          <w:sz w:val="20"/>
          <w:szCs w:val="20"/>
          <w:color w:val="auto"/>
        </w:rPr>
      </w:pPr>
    </w:p>
    <w:p>
      <w:pPr>
        <w:ind w:left="220" w:hanging="155"/>
        <w:spacing w:after="0"/>
        <w:tabs>
          <w:tab w:leader="none" w:pos="22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Shelf Registration</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left="540" w:firstLine="358"/>
        <w:spacing w:after="0" w:line="265" w:lineRule="auto"/>
        <w:tabs>
          <w:tab w:leader="none" w:pos="1105" w:val="left"/>
        </w:tabs>
        <w:numPr>
          <w:ilvl w:val="2"/>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prior to each Filing Date, the Company shall (or shall cause TopCo to)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2(d)) and shall contain (unless otherwise directed by at least 85% in interest of the Holders) disclosure substantially in the form of the “</w:t>
      </w:r>
      <w:r>
        <w:rPr>
          <w:rFonts w:ascii="Times New Roman" w:cs="Times New Roman" w:eastAsia="Times New Roman" w:hAnsi="Times New Roman"/>
          <w:sz w:val="15"/>
          <w:szCs w:val="15"/>
          <w:u w:val="single" w:color="auto"/>
          <w:color w:val="auto"/>
        </w:rPr>
        <w:t>Plan of Distribution</w:t>
      </w:r>
      <w:r>
        <w:rPr>
          <w:rFonts w:ascii="Times New Roman" w:cs="Times New Roman" w:eastAsia="Times New Roman" w:hAnsi="Times New Roman"/>
          <w:sz w:val="15"/>
          <w:szCs w:val="15"/>
          <w:color w:val="auto"/>
        </w:rPr>
        <w:t xml:space="preserve">” attached hereto as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and substantially in the form of the “</w:t>
      </w:r>
      <w:r>
        <w:rPr>
          <w:rFonts w:ascii="Times New Roman" w:cs="Times New Roman" w:eastAsia="Times New Roman" w:hAnsi="Times New Roman"/>
          <w:sz w:val="15"/>
          <w:szCs w:val="15"/>
          <w:u w:val="single" w:color="auto"/>
          <w:color w:val="auto"/>
        </w:rPr>
        <w:t>Selling Stockholder</w:t>
      </w:r>
      <w:r>
        <w:rPr>
          <w:rFonts w:ascii="Times New Roman" w:cs="Times New Roman" w:eastAsia="Times New Roman" w:hAnsi="Times New Roman"/>
          <w:sz w:val="15"/>
          <w:szCs w:val="15"/>
          <w:color w:val="auto"/>
        </w:rPr>
        <w:t xml:space="preserve">” section attached hereto as </w:t>
      </w:r>
      <w:r>
        <w:rPr>
          <w:rFonts w:ascii="Times New Roman" w:cs="Times New Roman" w:eastAsia="Times New Roman" w:hAnsi="Times New Roman"/>
          <w:sz w:val="15"/>
          <w:szCs w:val="15"/>
          <w:u w:val="single" w:color="auto"/>
          <w:color w:val="auto"/>
        </w:rPr>
        <w:t>Annex B</w:t>
      </w:r>
      <w:r>
        <w:rPr>
          <w:rFonts w:ascii="Times New Roman" w:cs="Times New Roman" w:eastAsia="Times New Roman" w:hAnsi="Times New Roman"/>
          <w:sz w:val="15"/>
          <w:szCs w:val="15"/>
          <w:color w:val="auto"/>
        </w:rPr>
        <w:t>. Subject to the terms of this Agreement, the Company shall use its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earlier of (a) the date that all Registrable Securities covered by such Registration Statement</w:t>
      </w:r>
    </w:p>
    <w:p>
      <w:pPr>
        <w:spacing w:after="0" w:line="3" w:lineRule="exact"/>
        <w:rPr>
          <w:rFonts w:ascii="Times New Roman" w:cs="Times New Roman" w:eastAsia="Times New Roman" w:hAnsi="Times New Roman"/>
          <w:sz w:val="15"/>
          <w:szCs w:val="15"/>
          <w:color w:val="auto"/>
        </w:rPr>
      </w:pPr>
    </w:p>
    <w:p>
      <w:pPr>
        <w:ind w:left="540" w:right="40" w:firstLine="7"/>
        <w:spacing w:after="0" w:line="249" w:lineRule="auto"/>
        <w:tabs>
          <w:tab w:leader="none" w:pos="728"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Company’s transfer agent</w:t>
      </w:r>
    </w:p>
    <w:p>
      <w:pPr>
        <w:sectPr>
          <w:pgSz w:w="11900" w:h="16838" w:orient="portrait"/>
          <w:cols w:equalWidth="0" w:num="1">
            <w:col w:w="9300"/>
          </w:cols>
          <w:pgMar w:left="1440" w:top="253" w:right="1159" w:bottom="1440" w:gutter="0" w:footer="0" w:header="0"/>
        </w:sectPr>
      </w:pPr>
    </w:p>
    <w:bookmarkStart w:id="155" w:name="page156"/>
    <w:bookmarkEnd w:id="155"/>
    <w:p>
      <w:pPr>
        <w:ind w:left="540" w:right="8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and the affected Holders and (b) five years after the date of this Agreement (the “</w:t>
      </w:r>
      <w:r>
        <w:rPr>
          <w:rFonts w:ascii="Times New Roman" w:cs="Times New Roman" w:eastAsia="Times New Roman" w:hAnsi="Times New Roman"/>
          <w:sz w:val="16"/>
          <w:szCs w:val="16"/>
          <w:u w:val="single" w:color="auto"/>
          <w:color w:val="auto"/>
        </w:rPr>
        <w:t>Effectiveness Period</w:t>
      </w:r>
      <w:r>
        <w:rPr>
          <w:rFonts w:ascii="Times New Roman" w:cs="Times New Roman" w:eastAsia="Times New Roman" w:hAnsi="Times New Roman"/>
          <w:sz w:val="16"/>
          <w:szCs w:val="16"/>
          <w:color w:val="auto"/>
        </w:rPr>
        <w:t>”). The Company shall telephonically request effectiveness of a Registration Statement as of 5:00 p.m. (New York City time) on a Trading Day. The Company shall promptly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spacing w:after="0" w:line="71" w:lineRule="exact"/>
        <w:rPr>
          <w:sz w:val="20"/>
          <w:szCs w:val="20"/>
          <w:color w:val="auto"/>
        </w:rPr>
      </w:pPr>
    </w:p>
    <w:p>
      <w:pPr>
        <w:ind w:left="540" w:firstLine="358"/>
        <w:spacing w:after="0" w:line="250" w:lineRule="auto"/>
        <w:tabs>
          <w:tab w:leader="none" w:pos="1114"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reasonable best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with respect to filing on Form S-3 or other appropriate form;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prior to filing such amendment, the Company shall be obligated to use commercially reasonable efforts to advocate with the Commission for the registration of all of the Registrable Securities in accordance with the SEC Guidance, including without limitation, Compliance and Disclosure Interpretation 612.09.</w:t>
      </w:r>
    </w:p>
    <w:p>
      <w:pPr>
        <w:spacing w:after="0" w:line="72" w:lineRule="exact"/>
        <w:rPr>
          <w:rFonts w:ascii="Times New Roman" w:cs="Times New Roman" w:eastAsia="Times New Roman" w:hAnsi="Times New Roman"/>
          <w:sz w:val="16"/>
          <w:szCs w:val="16"/>
          <w:color w:val="auto"/>
        </w:rPr>
      </w:pPr>
    </w:p>
    <w:p>
      <w:pPr>
        <w:ind w:left="540" w:right="80" w:firstLine="358"/>
        <w:spacing w:after="0" w:line="254" w:lineRule="auto"/>
        <w:tabs>
          <w:tab w:leader="none" w:pos="1105"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of this Agreement, if the Commission or any SEC Guidance sets forth a limitation on the number of Registrable Securities permitted to be registered on a particular Registration Statement as a secondary offering (and notwithstanding that the Company used reasonable efforts to advocate with the Commission for the registration of all or a greater portion of Registrable Securities), unless otherwise directed in writing by a Holder as to its Registrable Securities, the total number of Registrable Securities to be registered on such Registration Statement will be reduced as follows:</w:t>
      </w:r>
    </w:p>
    <w:p>
      <w:pPr>
        <w:spacing w:after="0" w:line="78" w:lineRule="exact"/>
        <w:rPr>
          <w:rFonts w:ascii="Times New Roman" w:cs="Times New Roman" w:eastAsia="Times New Roman" w:hAnsi="Times New Roman"/>
          <w:sz w:val="16"/>
          <w:szCs w:val="16"/>
          <w:color w:val="auto"/>
        </w:rPr>
      </w:pPr>
    </w:p>
    <w:p>
      <w:pPr>
        <w:ind w:left="1100" w:hanging="369"/>
        <w:spacing w:after="0"/>
        <w:tabs>
          <w:tab w:leader="none" w:pos="11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the Company shall reduce or eliminate any securities to be included other than Registrable Securities;</w:t>
      </w:r>
    </w:p>
    <w:p>
      <w:pPr>
        <w:spacing w:after="0" w:line="111" w:lineRule="exact"/>
        <w:rPr>
          <w:rFonts w:ascii="Times New Roman" w:cs="Times New Roman" w:eastAsia="Times New Roman" w:hAnsi="Times New Roman"/>
          <w:sz w:val="16"/>
          <w:szCs w:val="16"/>
          <w:color w:val="auto"/>
        </w:rPr>
      </w:pPr>
    </w:p>
    <w:p>
      <w:pPr>
        <w:ind w:left="1100" w:right="180" w:hanging="369"/>
        <w:spacing w:after="0" w:line="261" w:lineRule="auto"/>
        <w:tabs>
          <w:tab w:leader="none" w:pos="11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the Company shall reduce Registrable Securities represented by Shares other than the Purchase Agreement Shares (applied, in the case that some of such Shares may be registered, to the Holders on a pro rata basis based on the total number of such unregistered Shares held by such Holders); and</w:t>
      </w:r>
    </w:p>
    <w:p>
      <w:pPr>
        <w:spacing w:after="0" w:line="73" w:lineRule="exact"/>
        <w:rPr>
          <w:rFonts w:ascii="Times New Roman" w:cs="Times New Roman" w:eastAsia="Times New Roman" w:hAnsi="Times New Roman"/>
          <w:sz w:val="16"/>
          <w:szCs w:val="16"/>
          <w:color w:val="auto"/>
        </w:rPr>
      </w:pPr>
    </w:p>
    <w:p>
      <w:pPr>
        <w:jc w:val="both"/>
        <w:ind w:left="1100" w:right="100" w:hanging="369"/>
        <w:spacing w:after="0" w:line="261" w:lineRule="auto"/>
        <w:tabs>
          <w:tab w:leader="none" w:pos="11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the Company shall reduce Registrable Securities represented by the Purchase Agreement Shares (applied, in the case that some Purchase Agreement Shares may be registered, to the Holders on a pro rata basis based on the total number of unregistered Purchase Agreement Shares held by such Holders)</w:t>
      </w:r>
    </w:p>
    <w:p>
      <w:pPr>
        <w:spacing w:after="0" w:line="62" w:lineRule="exact"/>
        <w:rPr>
          <w:sz w:val="20"/>
          <w:szCs w:val="20"/>
          <w:color w:val="auto"/>
        </w:rPr>
      </w:pPr>
    </w:p>
    <w:p>
      <w:pPr>
        <w:ind w:left="540" w:right="180"/>
        <w:spacing w:after="0" w:line="252" w:lineRule="auto"/>
        <w:rPr>
          <w:sz w:val="20"/>
          <w:szCs w:val="20"/>
          <w:color w:val="auto"/>
        </w:rPr>
      </w:pPr>
      <w:r>
        <w:rPr>
          <w:rFonts w:ascii="Times New Roman" w:cs="Times New Roman" w:eastAsia="Times New Roman" w:hAnsi="Times New Roman"/>
          <w:sz w:val="16"/>
          <w:szCs w:val="16"/>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commercially reasonable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71" w:lineRule="exact"/>
        <w:rPr>
          <w:sz w:val="20"/>
          <w:szCs w:val="20"/>
          <w:color w:val="auto"/>
        </w:rPr>
      </w:pPr>
    </w:p>
    <w:p>
      <w:pPr>
        <w:ind w:left="540" w:firstLine="358"/>
        <w:spacing w:after="0" w:line="276" w:lineRule="auto"/>
        <w:tabs>
          <w:tab w:leader="none" w:pos="1114"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Form S-3 is not available for the registration of the resale of Registrable Securities hereunder, the Company shall (i) register the resale of the Registrable Securities on another</w:t>
      </w:r>
    </w:p>
    <w:p>
      <w:pPr>
        <w:sectPr>
          <w:pgSz w:w="11900" w:h="16838" w:orient="portrait"/>
          <w:cols w:equalWidth="0" w:num="1">
            <w:col w:w="9320"/>
          </w:cols>
          <w:pgMar w:left="1440" w:top="253" w:right="1139" w:bottom="1440" w:gutter="0" w:footer="0" w:header="0"/>
        </w:sectPr>
      </w:pPr>
    </w:p>
    <w:bookmarkStart w:id="156" w:name="page157"/>
    <w:bookmarkEnd w:id="156"/>
    <w:p>
      <w:pPr>
        <w:jc w:val="both"/>
        <w:ind w:left="540" w:right="8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62" w:lineRule="exact"/>
        <w:rPr>
          <w:sz w:val="20"/>
          <w:szCs w:val="20"/>
          <w:color w:val="auto"/>
        </w:rPr>
      </w:pPr>
    </w:p>
    <w:p>
      <w:pPr>
        <w:ind w:left="540" w:right="240" w:firstLine="358"/>
        <w:spacing w:after="0" w:line="276" w:lineRule="auto"/>
        <w:tabs>
          <w:tab w:leader="none" w:pos="1105"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in no event shall the Company be permitted to name any Holder or affiliate of a Holder as an underwriter in any Registration Statement without the prior written consent of such Holder.</w:t>
      </w:r>
    </w:p>
    <w:p>
      <w:pPr>
        <w:spacing w:after="0" w:line="144" w:lineRule="exact"/>
        <w:rPr>
          <w:rFonts w:ascii="Times New Roman" w:cs="Times New Roman" w:eastAsia="Times New Roman" w:hAnsi="Times New Roman"/>
          <w:sz w:val="16"/>
          <w:szCs w:val="16"/>
          <w:color w:val="auto"/>
        </w:rPr>
      </w:pPr>
    </w:p>
    <w:p>
      <w:pPr>
        <w:ind w:left="220" w:hanging="155"/>
        <w:spacing w:after="0"/>
        <w:tabs>
          <w:tab w:leader="none" w:pos="2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Procedures</w:t>
      </w: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In connection with the Company’s registration obligations hereunder, the Company shall:</w:t>
      </w:r>
    </w:p>
    <w:p>
      <w:pPr>
        <w:spacing w:after="0" w:line="100" w:lineRule="exact"/>
        <w:rPr>
          <w:sz w:val="20"/>
          <w:szCs w:val="20"/>
          <w:color w:val="auto"/>
        </w:rPr>
      </w:pPr>
    </w:p>
    <w:p>
      <w:pPr>
        <w:ind w:left="540" w:firstLine="358"/>
        <w:spacing w:after="0" w:line="248" w:lineRule="auto"/>
        <w:tabs>
          <w:tab w:leader="none" w:pos="1105"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use commercially reasonable efforts to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Required Holders (as defined below)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6"/>
          <w:szCs w:val="16"/>
          <w:u w:val="single" w:color="auto"/>
          <w:color w:val="auto"/>
        </w:rPr>
        <w:t>Annex C</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u w:val="single" w:color="auto"/>
          <w:color w:val="auto"/>
        </w:rPr>
        <w:t>Selling Stockholder Questionnaire</w:t>
      </w:r>
      <w:r>
        <w:rPr>
          <w:rFonts w:ascii="Times New Roman" w:cs="Times New Roman" w:eastAsia="Times New Roman" w:hAnsi="Times New Roman"/>
          <w:sz w:val="16"/>
          <w:szCs w:val="16"/>
          <w:color w:val="auto"/>
        </w:rPr>
        <w:t>”) on a date that is not less than two (2) Trading Days prior to the Filing Date or by the end of the fourth (4th) Trading Day following the date on which such Holder receives draft materials in accordance with this Section. The Company shall not be required to include any Registrable Securities in the Registration Statement for any Holder that has not provided such Selling Stockholder Questionnaire.</w:t>
      </w:r>
    </w:p>
    <w:p>
      <w:pPr>
        <w:spacing w:after="0" w:line="81" w:lineRule="exact"/>
        <w:rPr>
          <w:rFonts w:ascii="Times New Roman" w:cs="Times New Roman" w:eastAsia="Times New Roman" w:hAnsi="Times New Roman"/>
          <w:sz w:val="16"/>
          <w:szCs w:val="16"/>
          <w:color w:val="auto"/>
        </w:rPr>
      </w:pPr>
    </w:p>
    <w:p>
      <w:pPr>
        <w:ind w:left="540" w:right="20" w:firstLine="358"/>
        <w:spacing w:after="0" w:line="249" w:lineRule="auto"/>
        <w:tabs>
          <w:tab w:leader="none" w:pos="111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that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ectPr>
          <w:pgSz w:w="11900" w:h="16838" w:orient="portrait"/>
          <w:cols w:equalWidth="0" w:num="1">
            <w:col w:w="9320"/>
          </w:cols>
          <w:pgMar w:left="1440" w:top="253" w:right="1139" w:bottom="1440" w:gutter="0" w:footer="0" w:header="0"/>
        </w:sectPr>
      </w:pPr>
    </w:p>
    <w:bookmarkStart w:id="157" w:name="page158"/>
    <w:bookmarkEnd w:id="157"/>
    <w:p>
      <w:pPr>
        <w:ind w:left="540" w:right="40" w:firstLine="358"/>
        <w:spacing w:after="0" w:line="256" w:lineRule="auto"/>
        <w:tabs>
          <w:tab w:leader="none" w:pos="1105"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during the Effectiveness Period, the number of Registrable Securities at any time exceeds 100% of the number of shares of Common Stock then registered in a Registration Statement, then the Company shall, subject to Sections 2(b) and 2(c), if applicable, file as soon as reasonably practicable, but in any case prior to the applicable Filing Date, an additional Registration Statement covering the resale by the Holders of not less than the number of such Registrable Securities.</w:t>
      </w:r>
    </w:p>
    <w:p>
      <w:pPr>
        <w:spacing w:after="0" w:line="66" w:lineRule="exact"/>
        <w:rPr>
          <w:rFonts w:ascii="Times New Roman" w:cs="Times New Roman" w:eastAsia="Times New Roman" w:hAnsi="Times New Roman"/>
          <w:sz w:val="16"/>
          <w:szCs w:val="16"/>
          <w:color w:val="auto"/>
        </w:rPr>
      </w:pPr>
    </w:p>
    <w:p>
      <w:pPr>
        <w:ind w:left="540" w:firstLine="358"/>
        <w:spacing w:after="0" w:line="265" w:lineRule="auto"/>
        <w:tabs>
          <w:tab w:leader="none" w:pos="1114" w:val="left"/>
        </w:tabs>
        <w:numPr>
          <w:ilvl w:val="1"/>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action, suit, proceeding, inquiry or investigation before or brought by any Governmental Entity (a “</w:t>
      </w:r>
      <w:r>
        <w:rPr>
          <w:rFonts w:ascii="Times New Roman" w:cs="Times New Roman" w:eastAsia="Times New Roman" w:hAnsi="Times New Roman"/>
          <w:sz w:val="15"/>
          <w:szCs w:val="15"/>
          <w:u w:val="single" w:color="auto"/>
          <w:color w:val="auto"/>
        </w:rPr>
        <w:t>Proceeding</w:t>
      </w:r>
      <w:r>
        <w:rPr>
          <w:rFonts w:ascii="Times New Roman" w:cs="Times New Roman" w:eastAsia="Times New Roman" w:hAnsi="Times New Roman"/>
          <w:sz w:val="15"/>
          <w:szCs w:val="15"/>
          <w:color w:val="auto"/>
        </w:rPr>
        <w:t>) for such purpose,</w:t>
      </w:r>
    </w:p>
    <w:p>
      <w:pPr>
        <w:spacing w:after="0" w:line="1" w:lineRule="exact"/>
        <w:rPr>
          <w:rFonts w:ascii="Times New Roman" w:cs="Times New Roman" w:eastAsia="Times New Roman" w:hAnsi="Times New Roman"/>
          <w:sz w:val="15"/>
          <w:szCs w:val="15"/>
          <w:color w:val="auto"/>
        </w:rPr>
      </w:pPr>
    </w:p>
    <w:p>
      <w:pPr>
        <w:ind w:left="540" w:firstLine="7"/>
        <w:spacing w:after="0" w:line="247" w:lineRule="auto"/>
        <w:tabs>
          <w:tab w:leader="none" w:pos="763"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no event shall any such notice contain any information that would constitute material, non-public information regarding the Company or any of its subsidiaries.</w:t>
      </w:r>
    </w:p>
    <w:p>
      <w:pPr>
        <w:spacing w:after="0" w:line="76" w:lineRule="exact"/>
        <w:rPr>
          <w:rFonts w:ascii="Times New Roman" w:cs="Times New Roman" w:eastAsia="Times New Roman" w:hAnsi="Times New Roman"/>
          <w:sz w:val="16"/>
          <w:szCs w:val="16"/>
          <w:color w:val="auto"/>
        </w:rPr>
      </w:pPr>
    </w:p>
    <w:p>
      <w:pPr>
        <w:jc w:val="both"/>
        <w:ind w:left="540" w:right="160" w:firstLine="358"/>
        <w:spacing w:after="0" w:line="261" w:lineRule="auto"/>
        <w:tabs>
          <w:tab w:leader="none" w:pos="1105"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62" w:lineRule="exact"/>
        <w:rPr>
          <w:rFonts w:ascii="Times New Roman" w:cs="Times New Roman" w:eastAsia="Times New Roman" w:hAnsi="Times New Roman"/>
          <w:sz w:val="16"/>
          <w:szCs w:val="16"/>
          <w:color w:val="auto"/>
        </w:rPr>
      </w:pPr>
    </w:p>
    <w:p>
      <w:pPr>
        <w:ind w:left="540" w:right="40" w:firstLine="358"/>
        <w:spacing w:after="0" w:line="261" w:lineRule="auto"/>
        <w:tabs>
          <w:tab w:leader="none" w:pos="1088"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requested by a Holder,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w:t>
      </w:r>
    </w:p>
    <w:p>
      <w:pPr>
        <w:sectPr>
          <w:pgSz w:w="11900" w:h="16838" w:orient="portrait"/>
          <w:cols w:equalWidth="0" w:num="1">
            <w:col w:w="9320"/>
          </w:cols>
          <w:pgMar w:left="1440" w:top="253" w:right="1139" w:bottom="1440" w:gutter="0" w:footer="0" w:header="0"/>
        </w:sectPr>
      </w:pPr>
    </w:p>
    <w:bookmarkStart w:id="158" w:name="page159"/>
    <w:bookmarkEnd w:id="158"/>
    <w:p>
      <w:pPr>
        <w:ind w:left="540" w:right="10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Person (including those previously furnished or incorporated by reference) promptly after the filing of such documents with the Commission, provided that any such item that is available on the EDGAR system (or successor thereto) need not be furnished in physical form.</w:t>
      </w:r>
    </w:p>
    <w:p>
      <w:pPr>
        <w:spacing w:after="0" w:line="62" w:lineRule="exact"/>
        <w:rPr>
          <w:sz w:val="20"/>
          <w:szCs w:val="20"/>
          <w:color w:val="auto"/>
        </w:rPr>
      </w:pPr>
    </w:p>
    <w:p>
      <w:pPr>
        <w:ind w:left="540" w:right="220" w:firstLine="358"/>
        <w:spacing w:after="0" w:line="261" w:lineRule="auto"/>
        <w:tabs>
          <w:tab w:leader="none" w:pos="1114"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62" w:lineRule="exact"/>
        <w:rPr>
          <w:rFonts w:ascii="Times New Roman" w:cs="Times New Roman" w:eastAsia="Times New Roman" w:hAnsi="Times New Roman"/>
          <w:sz w:val="16"/>
          <w:szCs w:val="16"/>
          <w:color w:val="auto"/>
        </w:rPr>
      </w:pPr>
    </w:p>
    <w:p>
      <w:pPr>
        <w:ind w:left="1120" w:hanging="222"/>
        <w:spacing w:after="0"/>
        <w:tabs>
          <w:tab w:leader="none" w:pos="1120"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any resale of Registrable Securities by a Holder, use its commercially reasonable efforts to register or qualify or</w:t>
      </w:r>
    </w:p>
    <w:p>
      <w:pPr>
        <w:spacing w:after="0" w:line="22" w:lineRule="exact"/>
        <w:rPr>
          <w:rFonts w:ascii="Times New Roman" w:cs="Times New Roman" w:eastAsia="Times New Roman" w:hAnsi="Times New Roman"/>
          <w:sz w:val="16"/>
          <w:szCs w:val="16"/>
          <w:color w:val="auto"/>
        </w:rPr>
      </w:pPr>
    </w:p>
    <w:p>
      <w:pPr>
        <w:ind w:left="54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76" w:lineRule="exact"/>
        <w:rPr>
          <w:rFonts w:ascii="Times New Roman" w:cs="Times New Roman" w:eastAsia="Times New Roman" w:hAnsi="Times New Roman"/>
          <w:sz w:val="16"/>
          <w:szCs w:val="16"/>
          <w:color w:val="auto"/>
        </w:rPr>
      </w:pPr>
    </w:p>
    <w:p>
      <w:pPr>
        <w:ind w:left="540" w:right="100" w:firstLine="358"/>
        <w:spacing w:after="0" w:line="252" w:lineRule="auto"/>
        <w:tabs>
          <w:tab w:leader="none" w:pos="1079" w:val="left"/>
        </w:tabs>
        <w:numPr>
          <w:ilvl w:val="1"/>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requested by a Holder, cooperate with such Holder to facilitate the timely preparation and delivery of certificates or book entry statements, as applicable,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reasonably request; provided that Holder furnishes to Company a completed Holder Representation Letter in substantially the form attached hereto as </w:t>
      </w:r>
      <w:r>
        <w:rPr>
          <w:rFonts w:ascii="Times New Roman" w:cs="Times New Roman" w:eastAsia="Times New Roman" w:hAnsi="Times New Roman"/>
          <w:sz w:val="16"/>
          <w:szCs w:val="16"/>
          <w:u w:val="single" w:color="auto"/>
          <w:color w:val="auto"/>
        </w:rPr>
        <w:t>Annex D</w:t>
      </w:r>
      <w:r>
        <w:rPr>
          <w:rFonts w:ascii="Times New Roman" w:cs="Times New Roman" w:eastAsia="Times New Roman" w:hAnsi="Times New Roman"/>
          <w:sz w:val="16"/>
          <w:szCs w:val="16"/>
          <w:color w:val="auto"/>
        </w:rPr>
        <w:t xml:space="preserve"> and such other customary representations as may be required in connection therewith.</w:t>
      </w:r>
    </w:p>
    <w:p>
      <w:pPr>
        <w:spacing w:after="0" w:line="70" w:lineRule="exact"/>
        <w:rPr>
          <w:rFonts w:ascii="Times New Roman" w:cs="Times New Roman" w:eastAsia="Times New Roman" w:hAnsi="Times New Roman"/>
          <w:sz w:val="16"/>
          <w:szCs w:val="16"/>
          <w:color w:val="auto"/>
        </w:rPr>
      </w:pPr>
    </w:p>
    <w:p>
      <w:pPr>
        <w:ind w:left="540" w:right="40" w:firstLine="358"/>
        <w:spacing w:after="0" w:line="266" w:lineRule="auto"/>
        <w:tabs>
          <w:tab w:leader="none" w:pos="1079" w:val="left"/>
        </w:tabs>
        <w:numPr>
          <w:ilvl w:val="1"/>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w:t>
      </w:r>
    </w:p>
    <w:p>
      <w:pPr>
        <w:spacing w:after="0" w:line="3" w:lineRule="exact"/>
        <w:rPr>
          <w:rFonts w:ascii="Times New Roman" w:cs="Times New Roman" w:eastAsia="Times New Roman" w:hAnsi="Times New Roman"/>
          <w:sz w:val="15"/>
          <w:szCs w:val="15"/>
          <w:color w:val="auto"/>
        </w:rPr>
      </w:pPr>
    </w:p>
    <w:p>
      <w:pPr>
        <w:ind w:left="540" w:firstLine="7"/>
        <w:spacing w:after="0" w:line="248" w:lineRule="auto"/>
        <w:tabs>
          <w:tab w:leader="none" w:pos="816"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(vi) of Section 3(d) above to suspend the use of any Prospectus until the requisite changes to such Prospectus have been made, then the Holders shall suspend use of such Prospectus; provided that the Company shall only be entitled to exercise its right under this Section 3(j) to suspend the availability of a Registration Statement and Prospectus for a period not to exceed 60 calendar days (which need not be consecutive days) in any 12-month period. The Company will use its reasonable best efforts to ensure that the use of the Prospectus may be resumed as promptly as is practicable.</w:t>
      </w:r>
    </w:p>
    <w:p>
      <w:pPr>
        <w:spacing w:after="0" w:line="72" w:lineRule="exact"/>
        <w:rPr>
          <w:rFonts w:ascii="Times New Roman" w:cs="Times New Roman" w:eastAsia="Times New Roman" w:hAnsi="Times New Roman"/>
          <w:sz w:val="16"/>
          <w:szCs w:val="16"/>
          <w:color w:val="auto"/>
        </w:rPr>
      </w:pPr>
    </w:p>
    <w:p>
      <w:pPr>
        <w:ind w:left="540" w:right="80" w:firstLine="358"/>
        <w:spacing w:after="0" w:line="261" w:lineRule="auto"/>
        <w:tabs>
          <w:tab w:leader="none" w:pos="1114" w:val="left"/>
        </w:tabs>
        <w:numPr>
          <w:ilvl w:val="1"/>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w:t>
      </w:r>
    </w:p>
    <w:p>
      <w:pPr>
        <w:sectPr>
          <w:pgSz w:w="11900" w:h="16838" w:orient="portrait"/>
          <w:cols w:equalWidth="0" w:num="1">
            <w:col w:w="9320"/>
          </w:cols>
          <w:pgMar w:left="1440" w:top="253" w:right="1139" w:bottom="1440" w:gutter="0" w:footer="0" w:header="0"/>
        </w:sectPr>
      </w:pPr>
    </w:p>
    <w:bookmarkStart w:id="159" w:name="page160"/>
    <w:bookmarkEnd w:id="159"/>
    <w:p>
      <w:pPr>
        <w:ind w:left="540" w:right="4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66" w:lineRule="exact"/>
        <w:rPr>
          <w:sz w:val="20"/>
          <w:szCs w:val="20"/>
          <w:color w:val="auto"/>
        </w:rPr>
      </w:pPr>
    </w:p>
    <w:p>
      <w:pPr>
        <w:ind w:left="540" w:right="320" w:firstLine="358"/>
        <w:spacing w:after="0" w:line="276" w:lineRule="auto"/>
        <w:tabs>
          <w:tab w:leader="none" w:pos="1079"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use its commercially reasonable efforts to maintain eligibility for use of Form S-3 (or any successor form thereto) for the registration of the resale of the Registrable Securities once eligible to use such form.</w:t>
      </w:r>
    </w:p>
    <w:p>
      <w:pPr>
        <w:spacing w:after="0" w:line="49" w:lineRule="exact"/>
        <w:rPr>
          <w:rFonts w:ascii="Times New Roman" w:cs="Times New Roman" w:eastAsia="Times New Roman" w:hAnsi="Times New Roman"/>
          <w:sz w:val="16"/>
          <w:szCs w:val="16"/>
          <w:color w:val="auto"/>
        </w:rPr>
      </w:pPr>
    </w:p>
    <w:p>
      <w:pPr>
        <w:ind w:left="540" w:right="200" w:firstLine="358"/>
        <w:spacing w:after="0" w:line="261" w:lineRule="auto"/>
        <w:tabs>
          <w:tab w:leader="none" w:pos="1158"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w:t>
      </w:r>
    </w:p>
    <w:p>
      <w:pPr>
        <w:spacing w:after="0" w:line="62" w:lineRule="exact"/>
        <w:rPr>
          <w:rFonts w:ascii="Times New Roman" w:cs="Times New Roman" w:eastAsia="Times New Roman" w:hAnsi="Times New Roman"/>
          <w:sz w:val="16"/>
          <w:szCs w:val="16"/>
          <w:color w:val="auto"/>
        </w:rPr>
      </w:pPr>
    </w:p>
    <w:p>
      <w:pPr>
        <w:ind w:left="540" w:right="40" w:firstLine="358"/>
        <w:spacing w:after="0" w:line="276" w:lineRule="auto"/>
        <w:tabs>
          <w:tab w:leader="none" w:pos="1114"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use its reasonable best efforts to cause (i) all Shares to be listed on each securities exchange or market, if any, on which the shares of Gem Common Stock have been listed.</w:t>
      </w:r>
    </w:p>
    <w:p>
      <w:pPr>
        <w:spacing w:after="0" w:line="49" w:lineRule="exact"/>
        <w:rPr>
          <w:rFonts w:ascii="Times New Roman" w:cs="Times New Roman" w:eastAsia="Times New Roman" w:hAnsi="Times New Roman"/>
          <w:sz w:val="16"/>
          <w:szCs w:val="16"/>
          <w:color w:val="auto"/>
        </w:rPr>
      </w:pPr>
    </w:p>
    <w:p>
      <w:pPr>
        <w:ind w:left="540" w:firstLine="358"/>
        <w:spacing w:after="0" w:line="248" w:lineRule="auto"/>
        <w:tabs>
          <w:tab w:leader="none" w:pos="1114"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at its sole expense, upon appropriate notice from a Holder stating that Registrable Securities have been sold or transferred pursuant to an effective Registration Statement, timely prepare and deliver certificates or evidence of book-entry positions representing the Registrable Securities to be delivered to a transferee pursuant to such Registration Statement, which certificates or book-entry positions shall be free of any restrictive legends and in such denominations and registered in such names as the undersigned may request. Further, the Company shall use its commercially reasonable efforts, at its sole expense, to cause its legal counsel to (a) issue to the transfer agent and maintain a “blanket” legal opinion instructing the transfer agent that, in connection with a sale or transfer of “restricted securities” (i.e., securities issued pursuant to an exemption from the registration requirements of Section 5 of the Securities Act), the resale or transfer of which restricted securities has been registered pursuant to an effective Registration Statement by the holder thereof named in such Registration Statement, upon receipt of an appropriate broker representation letter and other such documentation as the Company’s counsel deems necessary and appropriate and after confirming compliance with relevant prospectus delivery requirements, is authorized to remove any applicable restrictive legend in connection with such sale or transfer and (b) if the Registrable Securities are not registered pursuant to an effective Registration Statement, issue to the transfer agent a legal opinion to facilitate the sale or transfer of the Registrable Securities and removal of any restrictive legends pursuant to any exemption from the registration requirements of Section 5 of the Securities Act that may be available to the undersigned, upon request; provided, that in the case of a request to remove such restrictive legends in connection with a sale or transfer of Registrable Securities pursuant to clause (a) or (b) above, the Company shall use its commercially reasonable efforts to cause the Company’s transfer agent to remove any such applicable restrictive legends in connection with such sale or transfer within two Business Days of such request. The Company shall be responsible for the fees of its transfer agent, its legal counsel and all DTC fees associated with any such request.</w:t>
      </w:r>
    </w:p>
    <w:p>
      <w:pPr>
        <w:spacing w:after="0" w:line="78" w:lineRule="exact"/>
        <w:rPr>
          <w:rFonts w:ascii="Times New Roman" w:cs="Times New Roman" w:eastAsia="Times New Roman" w:hAnsi="Times New Roman"/>
          <w:sz w:val="16"/>
          <w:szCs w:val="16"/>
          <w:color w:val="auto"/>
        </w:rPr>
      </w:pPr>
    </w:p>
    <w:p>
      <w:pPr>
        <w:ind w:left="-320" w:firstLine="385"/>
        <w:spacing w:after="0" w:line="254" w:lineRule="auto"/>
        <w:tabs>
          <w:tab w:leader="none" w:pos="223"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National Exchange on which the Common Stock is then listed for trading, and (C) in compliance with applicable</w:t>
      </w:r>
    </w:p>
    <w:p>
      <w:pPr>
        <w:sectPr>
          <w:pgSz w:w="11900" w:h="16838" w:orient="portrait"/>
          <w:cols w:equalWidth="0" w:num="1">
            <w:col w:w="9320"/>
          </w:cols>
          <w:pgMar w:left="1440" w:top="253" w:right="1139" w:bottom="1440" w:gutter="0" w:footer="0" w:header="0"/>
        </w:sectPr>
      </w:pPr>
    </w:p>
    <w:bookmarkStart w:id="160" w:name="page161"/>
    <w:bookmarkEnd w:id="160"/>
    <w:p>
      <w:pPr>
        <w:ind w:right="2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(vi) fees and expenses of all other Persons retained by the Company in connection with the consummation of the transactions contemplated by this Agreement, and (vii) the reasonable fees and expenses, not to exceed $35,000, of one counsel for the selling Holders selected by the Holders of a majority of the Registrable Securities to be registered.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underwriting, broker or similar fees or commissions of any Holder or, except to the extent provided for in the Purchase Agreement or this Agreement, any legal fees or other costs of the Holders.</w:t>
      </w:r>
    </w:p>
    <w:p>
      <w:pPr>
        <w:spacing w:after="0" w:line="152" w:lineRule="exact"/>
        <w:rPr>
          <w:sz w:val="20"/>
          <w:szCs w:val="20"/>
          <w:color w:val="auto"/>
        </w:rPr>
      </w:pPr>
    </w:p>
    <w:p>
      <w:pPr>
        <w:ind w:left="540" w:hanging="155"/>
        <w:spacing w:after="0"/>
        <w:tabs>
          <w:tab w:leader="none" w:pos="54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left="860" w:firstLine="358"/>
        <w:spacing w:after="0" w:line="248" w:lineRule="auto"/>
        <w:tabs>
          <w:tab w:leader="none" w:pos="1425" w:val="left"/>
        </w:tabs>
        <w:numPr>
          <w:ilvl w:val="1"/>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by the Company</w:t>
      </w:r>
      <w:r>
        <w:rPr>
          <w:rFonts w:ascii="Times New Roman" w:cs="Times New Roman" w:eastAsia="Times New Roman" w:hAnsi="Times New Roman"/>
          <w:sz w:val="16"/>
          <w:szCs w:val="16"/>
          <w:color w:val="auto"/>
        </w:rPr>
        <w:t>. The Company shall, notwithstanding any termination of this Agreement, indemnify and hold harmless each Holder and its affiliates,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and documented attorneys’ fees) and expenses (collectively,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as incurred, arising out of or based solely upon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 (iii)-(vi),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w:t>
      </w:r>
    </w:p>
    <w:p>
      <w:pPr>
        <w:sectPr>
          <w:pgSz w:w="11900" w:h="16838" w:orient="portrait"/>
          <w:cols w:equalWidth="0" w:num="1">
            <w:col w:w="9640"/>
          </w:cols>
          <w:pgMar w:left="1120" w:top="253" w:right="1139" w:bottom="1440" w:gutter="0" w:footer="0" w:header="0"/>
        </w:sectPr>
      </w:pPr>
    </w:p>
    <w:bookmarkStart w:id="161" w:name="page162"/>
    <w:bookmarkEnd w:id="161"/>
    <w:p>
      <w:pPr>
        <w:jc w:val="both"/>
        <w:ind w:left="540" w:right="24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62" w:lineRule="exact"/>
        <w:rPr>
          <w:sz w:val="20"/>
          <w:szCs w:val="20"/>
          <w:color w:val="auto"/>
        </w:rPr>
      </w:pPr>
    </w:p>
    <w:p>
      <w:pPr>
        <w:ind w:left="540" w:firstLine="358"/>
        <w:spacing w:after="0" w:line="248" w:lineRule="auto"/>
        <w:tabs>
          <w:tab w:leader="none" w:pos="1114"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by Holders</w:t>
      </w:r>
      <w:r>
        <w:rPr>
          <w:rFonts w:ascii="Times New Roman" w:cs="Times New Roman" w:eastAsia="Times New Roman" w:hAnsi="Times New Roman"/>
          <w:sz w:val="16"/>
          <w:szCs w:val="16"/>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to the extent, but only to the extent, that such untrue statement or omission is contained in any information so furnished in writing by such Holder to the Company expressly for inclusion in such Registration Statement or such Prospectus, including information provided in the Selling Stockholder Questionnaire or regarding the proposed method of distribution of Registrable Securities that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80" w:lineRule="exact"/>
        <w:rPr>
          <w:rFonts w:ascii="Times New Roman" w:cs="Times New Roman" w:eastAsia="Times New Roman" w:hAnsi="Times New Roman"/>
          <w:sz w:val="16"/>
          <w:szCs w:val="16"/>
          <w:color w:val="auto"/>
        </w:rPr>
      </w:pPr>
    </w:p>
    <w:p>
      <w:pPr>
        <w:ind w:left="540" w:firstLine="358"/>
        <w:spacing w:after="0" w:line="251" w:lineRule="auto"/>
        <w:tabs>
          <w:tab w:leader="none" w:pos="1105"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Conduct of Indemnification Proceedings</w:t>
      </w:r>
      <w:r>
        <w:rPr>
          <w:rFonts w:ascii="Times New Roman" w:cs="Times New Roman" w:eastAsia="Times New Roman" w:hAnsi="Times New Roman"/>
          <w:sz w:val="16"/>
          <w:szCs w:val="16"/>
          <w:color w:val="auto"/>
        </w:rPr>
        <w:t>. If any Proceeding shall be brought or asserted against any Person entitled to indemnity hereunder (an “</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such Indemnified Party shall promptly notify the Person from whom indemnity is sought (the “</w:t>
      </w:r>
      <w:r>
        <w:rPr>
          <w:rFonts w:ascii="Times New Roman" w:cs="Times New Roman" w:eastAsia="Times New Roman" w:hAnsi="Times New Roman"/>
          <w:sz w:val="16"/>
          <w:szCs w:val="16"/>
          <w:u w:val="single" w:color="auto"/>
          <w:color w:val="auto"/>
        </w:rPr>
        <w:t>Indemnifying Party</w:t>
      </w:r>
      <w:r>
        <w:rPr>
          <w:rFonts w:ascii="Times New Roman" w:cs="Times New Roman" w:eastAsia="Times New Roman" w:hAnsi="Times New Roman"/>
          <w:sz w:val="16"/>
          <w:szCs w:val="16"/>
          <w:color w:val="auto"/>
        </w:rPr>
        <w:t>”) in writing, and the Indemnifying Party shall have the right to assume the defense thereof, including the employment of counsel reasonably satisfactory to the Indemnified Party and the payment of all reasonable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69" w:lineRule="exact"/>
        <w:rPr>
          <w:sz w:val="20"/>
          <w:szCs w:val="20"/>
          <w:color w:val="auto"/>
        </w:rPr>
      </w:pPr>
    </w:p>
    <w:p>
      <w:pPr>
        <w:ind w:left="540" w:right="20" w:firstLine="351"/>
        <w:spacing w:after="0" w:line="250" w:lineRule="auto"/>
        <w:rPr>
          <w:sz w:val="20"/>
          <w:szCs w:val="20"/>
          <w:color w:val="auto"/>
        </w:rPr>
      </w:pPr>
      <w:r>
        <w:rPr>
          <w:rFonts w:ascii="Times New Roman" w:cs="Times New Roman" w:eastAsia="Times New Roman" w:hAnsi="Times New Roman"/>
          <w:sz w:val="16"/>
          <w:szCs w:val="16"/>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w:t>
      </w:r>
    </w:p>
    <w:p>
      <w:pPr>
        <w:sectPr>
          <w:pgSz w:w="11900" w:h="16838" w:orient="portrait"/>
          <w:cols w:equalWidth="0" w:num="1">
            <w:col w:w="9320"/>
          </w:cols>
          <w:pgMar w:left="1440" w:top="253" w:right="1139" w:bottom="1440" w:gutter="0" w:footer="0" w:header="0"/>
        </w:sectPr>
      </w:pPr>
    </w:p>
    <w:bookmarkStart w:id="162" w:name="page163"/>
    <w:bookmarkEnd w:id="162"/>
    <w:p>
      <w:pPr>
        <w:ind w:left="54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67" w:lineRule="exact"/>
        <w:rPr>
          <w:sz w:val="20"/>
          <w:szCs w:val="20"/>
          <w:color w:val="auto"/>
        </w:rPr>
      </w:pPr>
    </w:p>
    <w:p>
      <w:pPr>
        <w:ind w:left="540" w:right="60" w:firstLine="351"/>
        <w:spacing w:after="0" w:line="272" w:lineRule="auto"/>
        <w:rPr>
          <w:sz w:val="20"/>
          <w:szCs w:val="20"/>
          <w:color w:val="auto"/>
        </w:rPr>
      </w:pPr>
      <w:r>
        <w:rPr>
          <w:rFonts w:ascii="Times New Roman" w:cs="Times New Roman" w:eastAsia="Times New Roman" w:hAnsi="Times New Roman"/>
          <w:sz w:val="15"/>
          <w:szCs w:val="15"/>
          <w:color w:val="auto"/>
        </w:rPr>
        <w:t>Subject to the terms of this Agreement, all reasonable and documented fees and expenses of the Indemnified Party (including reasonable and documented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57" w:lineRule="exact"/>
        <w:rPr>
          <w:sz w:val="20"/>
          <w:szCs w:val="20"/>
          <w:color w:val="auto"/>
        </w:rPr>
      </w:pPr>
    </w:p>
    <w:p>
      <w:pPr>
        <w:ind w:left="540" w:right="40" w:firstLine="358"/>
        <w:spacing w:after="0" w:line="249" w:lineRule="auto"/>
        <w:tabs>
          <w:tab w:leader="none" w:pos="1114"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75" w:lineRule="exact"/>
        <w:rPr>
          <w:sz w:val="20"/>
          <w:szCs w:val="20"/>
          <w:color w:val="auto"/>
        </w:rPr>
      </w:pPr>
    </w:p>
    <w:p>
      <w:pPr>
        <w:ind w:left="540" w:right="40" w:firstLine="351"/>
        <w:spacing w:after="0" w:line="272" w:lineRule="auto"/>
        <w:rPr>
          <w:sz w:val="20"/>
          <w:szCs w:val="20"/>
          <w:color w:val="auto"/>
        </w:rPr>
      </w:pPr>
      <w:r>
        <w:rPr>
          <w:rFonts w:ascii="Times New Roman" w:cs="Times New Roman" w:eastAsia="Times New Roman" w:hAnsi="Times New Roman"/>
          <w:sz w:val="15"/>
          <w:szCs w:val="15"/>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57" w:lineRule="exact"/>
        <w:rPr>
          <w:sz w:val="20"/>
          <w:szCs w:val="20"/>
          <w:color w:val="auto"/>
        </w:rPr>
      </w:pPr>
    </w:p>
    <w:p>
      <w:pPr>
        <w:ind w:left="540" w:right="260" w:firstLine="351"/>
        <w:spacing w:after="0" w:line="276" w:lineRule="auto"/>
        <w:rPr>
          <w:sz w:val="20"/>
          <w:szCs w:val="20"/>
          <w:color w:val="auto"/>
        </w:rPr>
      </w:pPr>
      <w:r>
        <w:rPr>
          <w:rFonts w:ascii="Times New Roman" w:cs="Times New Roman" w:eastAsia="Times New Roman" w:hAnsi="Times New Roman"/>
          <w:sz w:val="16"/>
          <w:szCs w:val="16"/>
          <w:color w:val="auto"/>
        </w:rPr>
        <w:t>The indemnity and contribution agreements contained in this Section are in addition to any liability that the Indemnifying Parties may have to the Indemnified Parties.</w:t>
      </w:r>
    </w:p>
    <w:p>
      <w:pPr>
        <w:spacing w:after="0" w:line="50" w:lineRule="exact"/>
        <w:rPr>
          <w:sz w:val="20"/>
          <w:szCs w:val="20"/>
          <w:color w:val="auto"/>
        </w:rPr>
      </w:pPr>
    </w:p>
    <w:p>
      <w:pPr>
        <w:ind w:left="220" w:hanging="155"/>
        <w:spacing w:after="0"/>
        <w:tabs>
          <w:tab w:leader="none" w:pos="22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left="-320" w:right="200" w:firstLine="867"/>
        <w:spacing w:after="0" w:line="276" w:lineRule="auto"/>
        <w:tabs>
          <w:tab w:leader="none" w:pos="763"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In the event of a breach by the Company or by a Holder of any of their respective obligations under this Agreement, each Holder or the Company, as the case may be, in addition to being</w:t>
      </w:r>
    </w:p>
    <w:p>
      <w:pPr>
        <w:sectPr>
          <w:pgSz w:w="11900" w:h="16838" w:orient="portrait"/>
          <w:cols w:equalWidth="0" w:num="1">
            <w:col w:w="9300"/>
          </w:cols>
          <w:pgMar w:left="1440" w:top="253" w:right="1159" w:bottom="1440" w:gutter="0" w:footer="0" w:header="0"/>
        </w:sectPr>
      </w:pPr>
    </w:p>
    <w:bookmarkStart w:id="163" w:name="page164"/>
    <w:bookmarkEnd w:id="163"/>
    <w:p>
      <w:pPr>
        <w:ind w:right="20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61" w:lineRule="exact"/>
        <w:rPr>
          <w:sz w:val="20"/>
          <w:szCs w:val="20"/>
          <w:color w:val="auto"/>
        </w:rPr>
      </w:pPr>
    </w:p>
    <w:p>
      <w:pPr>
        <w:ind w:right="160" w:firstLine="867"/>
        <w:spacing w:after="0" w:line="252" w:lineRule="auto"/>
        <w:tabs>
          <w:tab w:leader="none" w:pos="1092"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Piggyback on Registrations; Prohibition on Filing Other Registration Statements</w:t>
      </w:r>
      <w:r>
        <w:rPr>
          <w:rFonts w:ascii="Times New Roman" w:cs="Times New Roman" w:eastAsia="Times New Roman" w:hAnsi="Times New Roman"/>
          <w:sz w:val="16"/>
          <w:szCs w:val="16"/>
          <w:color w:val="auto"/>
        </w:rPr>
        <w:t>.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 nor preparing and filing with the Commission a registration statements on Form S-8 relating to its equity incentive plans.</w:t>
      </w:r>
    </w:p>
    <w:p>
      <w:pPr>
        <w:spacing w:after="0" w:line="165" w:lineRule="exact"/>
        <w:rPr>
          <w:rFonts w:ascii="Times New Roman" w:cs="Times New Roman" w:eastAsia="Times New Roman" w:hAnsi="Times New Roman"/>
          <w:sz w:val="16"/>
          <w:szCs w:val="16"/>
          <w:color w:val="auto"/>
        </w:rPr>
      </w:pPr>
    </w:p>
    <w:p>
      <w:pPr>
        <w:ind w:right="120" w:firstLine="867"/>
        <w:spacing w:after="0" w:line="254" w:lineRule="auto"/>
        <w:tabs>
          <w:tab w:leader="none" w:pos="108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Discontinued Disposition</w:t>
      </w:r>
      <w:r>
        <w:rPr>
          <w:rFonts w:ascii="Times New Roman" w:cs="Times New Roman" w:eastAsia="Times New Roman" w:hAnsi="Times New Roman"/>
          <w:sz w:val="16"/>
          <w:szCs w:val="16"/>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6"/>
          <w:szCs w:val="16"/>
          <w:u w:val="single" w:color="auto"/>
          <w:color w:val="auto"/>
        </w:rPr>
        <w:t>Advice</w:t>
      </w:r>
      <w:r>
        <w:rPr>
          <w:rFonts w:ascii="Times New Roman" w:cs="Times New Roman" w:eastAsia="Times New Roman" w:hAnsi="Times New Roman"/>
          <w:sz w:val="16"/>
          <w:szCs w:val="16"/>
          <w:color w:val="auto"/>
        </w:rPr>
        <w:t>”) by the Company that the use of the applicable Prospectus (as it may have been supplemented or amended) may be resumed. The Company will use its commercially reasonable efforts to ensure that the use of the Prospectus may be resumed as promptly as is practicable.</w:t>
      </w:r>
    </w:p>
    <w:p>
      <w:pPr>
        <w:spacing w:after="0" w:line="161" w:lineRule="exact"/>
        <w:rPr>
          <w:rFonts w:ascii="Times New Roman" w:cs="Times New Roman" w:eastAsia="Times New Roman" w:hAnsi="Times New Roman"/>
          <w:sz w:val="16"/>
          <w:szCs w:val="16"/>
          <w:color w:val="auto"/>
        </w:rPr>
      </w:pPr>
    </w:p>
    <w:p>
      <w:pPr>
        <w:ind w:firstLine="867"/>
        <w:spacing w:after="0" w:line="249" w:lineRule="auto"/>
        <w:tabs>
          <w:tab w:leader="none" w:pos="1092"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Required Holders,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 As used herein, “</w:t>
      </w:r>
      <w:r>
        <w:rPr>
          <w:rFonts w:ascii="Times New Roman" w:cs="Times New Roman" w:eastAsia="Times New Roman" w:hAnsi="Times New Roman"/>
          <w:sz w:val="16"/>
          <w:szCs w:val="16"/>
          <w:u w:val="single" w:color="auto"/>
          <w:color w:val="auto"/>
        </w:rPr>
        <w:t>Required Holders</w:t>
      </w:r>
      <w:r>
        <w:rPr>
          <w:rFonts w:ascii="Times New Roman" w:cs="Times New Roman" w:eastAsia="Times New Roman" w:hAnsi="Times New Roman"/>
          <w:sz w:val="16"/>
          <w:szCs w:val="16"/>
          <w:color w:val="auto"/>
        </w:rPr>
        <w:t>” means Holders of 50.1% or more of the then outstanding Registrable Securities (for purposes of clarification, this includes any securities issuable upon conversion or exercise of any Registrable Security).</w:t>
      </w:r>
    </w:p>
    <w:p>
      <w:pPr>
        <w:spacing w:after="0" w:line="165" w:lineRule="exact"/>
        <w:rPr>
          <w:rFonts w:ascii="Times New Roman" w:cs="Times New Roman" w:eastAsia="Times New Roman" w:hAnsi="Times New Roman"/>
          <w:sz w:val="16"/>
          <w:szCs w:val="16"/>
          <w:color w:val="auto"/>
        </w:rPr>
      </w:pPr>
    </w:p>
    <w:p>
      <w:pPr>
        <w:ind w:firstLine="867"/>
        <w:spacing w:after="0" w:line="276" w:lineRule="auto"/>
        <w:tabs>
          <w:tab w:leader="none" w:pos="108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required or permitted to be provided hereunder shall be delivered as set forth in the Purchase Agreement.</w:t>
      </w:r>
    </w:p>
    <w:p>
      <w:pPr>
        <w:spacing w:after="0" w:line="144" w:lineRule="exact"/>
        <w:rPr>
          <w:rFonts w:ascii="Times New Roman" w:cs="Times New Roman" w:eastAsia="Times New Roman" w:hAnsi="Times New Roman"/>
          <w:sz w:val="16"/>
          <w:szCs w:val="16"/>
          <w:color w:val="auto"/>
        </w:rPr>
      </w:pPr>
    </w:p>
    <w:p>
      <w:pPr>
        <w:ind w:firstLine="867"/>
        <w:spacing w:after="0" w:line="256" w:lineRule="auto"/>
        <w:tabs>
          <w:tab w:leader="none" w:pos="1065"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9.04 of the Purchase Agreement.</w:t>
      </w:r>
    </w:p>
    <w:p>
      <w:pPr>
        <w:sectPr>
          <w:pgSz w:w="11900" w:h="16838" w:orient="portrait"/>
          <w:cols w:equalWidth="0" w:num="1">
            <w:col w:w="9620"/>
          </w:cols>
          <w:pgMar w:left="1120" w:top="253" w:right="1159" w:bottom="1440" w:gutter="0" w:footer="0" w:header="0"/>
        </w:sectPr>
      </w:pPr>
    </w:p>
    <w:bookmarkStart w:id="164" w:name="page165"/>
    <w:bookmarkEnd w:id="164"/>
    <w:p>
      <w:pPr>
        <w:ind w:left="-320" w:right="20" w:firstLine="867"/>
        <w:spacing w:after="0" w:line="254" w:lineRule="auto"/>
        <w:tabs>
          <w:tab w:leader="none" w:pos="772"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No Inconsistent Agreements</w:t>
      </w:r>
      <w:r>
        <w:rPr>
          <w:rFonts w:ascii="Times New Roman" w:cs="Times New Roman" w:eastAsia="Times New Roman" w:hAnsi="Times New Roman"/>
          <w:sz w:val="16"/>
          <w:szCs w:val="16"/>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61" w:lineRule="exact"/>
        <w:rPr>
          <w:rFonts w:ascii="Times New Roman" w:cs="Times New Roman" w:eastAsia="Times New Roman" w:hAnsi="Times New Roman"/>
          <w:sz w:val="16"/>
          <w:szCs w:val="16"/>
          <w:color w:val="auto"/>
        </w:rPr>
      </w:pPr>
    </w:p>
    <w:p>
      <w:pPr>
        <w:ind w:left="-320" w:firstLine="867"/>
        <w:spacing w:after="0" w:line="254" w:lineRule="auto"/>
        <w:tabs>
          <w:tab w:leader="none" w:pos="772"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Execution and Counterparts</w:t>
      </w:r>
      <w:r>
        <w:rPr>
          <w:rFonts w:ascii="Times New Roman" w:cs="Times New Roman" w:eastAsia="Times New Roman" w:hAnsi="Times New Roman"/>
          <w:sz w:val="16"/>
          <w:szCs w:val="16"/>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spacing w:after="0" w:line="161" w:lineRule="exact"/>
        <w:rPr>
          <w:rFonts w:ascii="Times New Roman" w:cs="Times New Roman" w:eastAsia="Times New Roman" w:hAnsi="Times New Roman"/>
          <w:sz w:val="16"/>
          <w:szCs w:val="16"/>
          <w:color w:val="auto"/>
        </w:rPr>
      </w:pPr>
    </w:p>
    <w:p>
      <w:pPr>
        <w:ind w:left="-320" w:right="600" w:firstLine="867"/>
        <w:spacing w:after="0" w:line="276" w:lineRule="auto"/>
        <w:tabs>
          <w:tab w:leader="none" w:pos="737"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questions concerning the construction, validity, enforcement and interpretation of this Agreement shall be determined in accordance with the provisions of the Purchase Agreement.</w:t>
      </w:r>
    </w:p>
    <w:p>
      <w:pPr>
        <w:spacing w:after="0" w:line="144" w:lineRule="exact"/>
        <w:rPr>
          <w:rFonts w:ascii="Times New Roman" w:cs="Times New Roman" w:eastAsia="Times New Roman" w:hAnsi="Times New Roman"/>
          <w:sz w:val="16"/>
          <w:szCs w:val="16"/>
          <w:color w:val="auto"/>
        </w:rPr>
      </w:pPr>
    </w:p>
    <w:p>
      <w:pPr>
        <w:ind w:left="740" w:hanging="193"/>
        <w:spacing w:after="0"/>
        <w:tabs>
          <w:tab w:leader="none" w:pos="74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Cumulative Remedies</w:t>
      </w:r>
      <w:r>
        <w:rPr>
          <w:rFonts w:ascii="Times New Roman" w:cs="Times New Roman" w:eastAsia="Times New Roman" w:hAnsi="Times New Roman"/>
          <w:sz w:val="16"/>
          <w:szCs w:val="16"/>
          <w:color w:val="auto"/>
        </w:rPr>
        <w:t>. The remedies provided herein are cumulative and not exclusive of any other remedies provided by law.</w:t>
      </w:r>
    </w:p>
    <w:p>
      <w:pPr>
        <w:spacing w:after="0" w:line="194" w:lineRule="exact"/>
        <w:rPr>
          <w:rFonts w:ascii="Times New Roman" w:cs="Times New Roman" w:eastAsia="Times New Roman" w:hAnsi="Times New Roman"/>
          <w:sz w:val="16"/>
          <w:szCs w:val="16"/>
          <w:color w:val="auto"/>
        </w:rPr>
      </w:pPr>
    </w:p>
    <w:p>
      <w:pPr>
        <w:ind w:left="-320" w:right="20" w:firstLine="867"/>
        <w:spacing w:after="0" w:line="252" w:lineRule="auto"/>
        <w:tabs>
          <w:tab w:leader="none" w:pos="772"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65" w:lineRule="exact"/>
        <w:rPr>
          <w:rFonts w:ascii="Times New Roman" w:cs="Times New Roman" w:eastAsia="Times New Roman" w:hAnsi="Times New Roman"/>
          <w:sz w:val="16"/>
          <w:szCs w:val="16"/>
          <w:color w:val="auto"/>
        </w:rPr>
      </w:pPr>
    </w:p>
    <w:p>
      <w:pPr>
        <w:ind w:left="-320" w:right="60" w:firstLine="867"/>
        <w:spacing w:after="0" w:line="276" w:lineRule="auto"/>
        <w:tabs>
          <w:tab w:leader="none" w:pos="737"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in this Agreement are for convenience only, do not constitute a part of the Agreement and shall not be deemed to limit or affect any of the provisions hereof.</w:t>
      </w:r>
    </w:p>
    <w:p>
      <w:pPr>
        <w:spacing w:after="0" w:line="144" w:lineRule="exact"/>
        <w:rPr>
          <w:rFonts w:ascii="Times New Roman" w:cs="Times New Roman" w:eastAsia="Times New Roman" w:hAnsi="Times New Roman"/>
          <w:sz w:val="16"/>
          <w:szCs w:val="16"/>
          <w:color w:val="auto"/>
        </w:rPr>
      </w:pPr>
    </w:p>
    <w:p>
      <w:pPr>
        <w:ind w:left="-320" w:firstLine="867"/>
        <w:spacing w:after="0" w:line="268" w:lineRule="auto"/>
        <w:tabs>
          <w:tab w:leader="none" w:pos="815"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Independent Nature of Holders’ Obligations and Rights</w:t>
      </w:r>
      <w:r>
        <w:rPr>
          <w:rFonts w:ascii="Times New Roman" w:cs="Times New Roman" w:eastAsia="Times New Roman" w:hAnsi="Times New Roman"/>
          <w:sz w:val="15"/>
          <w:szCs w:val="15"/>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w:t>
      </w:r>
    </w:p>
    <w:p>
      <w:pPr>
        <w:sectPr>
          <w:pgSz w:w="11900" w:h="16838" w:orient="portrait"/>
          <w:cols w:equalWidth="0" w:num="1">
            <w:col w:w="9300"/>
          </w:cols>
          <w:pgMar w:left="1440" w:top="253" w:right="1159" w:bottom="1440" w:gutter="0" w:footer="0" w:header="0"/>
        </w:sectPr>
      </w:pPr>
    </w:p>
    <w:bookmarkStart w:id="165" w:name="page166"/>
    <w:bookmarkEnd w:id="165"/>
    <w:p>
      <w:pPr>
        <w:ind w:right="9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w:t>
      </w:r>
    </w:p>
    <w:p>
      <w:pPr>
        <w:spacing w:after="0" w:line="1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ectPr>
          <w:pgSz w:w="11900" w:h="16838" w:orient="portrait"/>
          <w:cols w:equalWidth="0" w:num="1">
            <w:col w:w="9339"/>
          </w:cols>
          <w:pgMar w:left="1120" w:top="253" w:right="1440" w:bottom="1440" w:gutter="0" w:footer="0" w:header="0"/>
        </w:sectPr>
      </w:pPr>
    </w:p>
    <w:bookmarkStart w:id="166" w:name="page167"/>
    <w:bookmarkEnd w:id="166"/>
    <w:p>
      <w:pPr>
        <w:ind w:left="5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 WITNESS WHEREOF, the parties have executed this Registration Rights Agreement as of the date first written above.</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13970</wp:posOffset>
            </wp:positionV>
            <wp:extent cx="212534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OF HOLDERS FOLLOWS]</w:t>
      </w:r>
    </w:p>
    <w:p>
      <w:pPr>
        <w:sectPr>
          <w:pgSz w:w="11900" w:h="16838" w:orient="portrait"/>
          <w:cols w:equalWidth="0" w:num="1">
            <w:col w:w="9019"/>
          </w:cols>
          <w:pgMar w:left="1440" w:top="253" w:right="1440" w:bottom="1440" w:gutter="0" w:footer="0" w:header="0"/>
        </w:sectPr>
      </w:pPr>
    </w:p>
    <w:bookmarkStart w:id="167" w:name="page168"/>
    <w:bookmarkEnd w:id="167"/>
    <w:p>
      <w:pPr>
        <w:jc w:val="center"/>
        <w:ind w:right="-3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[SIGNATURE PAGE OF HOLDERS TO DISC RRA]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-8255</wp:posOffset>
            </wp:positionV>
            <wp:extent cx="80073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00735" cy="762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of Authorized Signatory of Holder</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-6985</wp:posOffset>
            </wp:positionV>
            <wp:extent cx="122618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26185" cy="762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-8255</wp:posOffset>
            </wp:positionV>
            <wp:extent cx="122618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2618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-8255</wp:posOffset>
            </wp:positionV>
            <wp:extent cx="122618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26185" cy="7620"/>
                    </a:xfrm>
                    <a:prstGeom prst="rect">
                      <a:avLst/>
                    </a:prstGeom>
                    <a:noFill/>
                  </pic:spPr>
                </pic:pic>
              </a:graphicData>
            </a:graphic>
          </wp:anchor>
        </w:drawing>
      </w:r>
    </w:p>
    <w:p>
      <w:pPr>
        <w:spacing w:after="0" w:line="17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[SIGNATURE PAGES CONTINUE]</w:t>
      </w:r>
    </w:p>
    <w:p>
      <w:pPr>
        <w:sectPr>
          <w:pgSz w:w="11900" w:h="16838" w:orient="portrait"/>
          <w:cols w:equalWidth="0" w:num="1">
            <w:col w:w="9339"/>
          </w:cols>
          <w:pgMar w:left="1120" w:top="253" w:right="1440"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Annex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Plan of Distribution</w:t>
      </w:r>
    </w:p>
    <w:p>
      <w:pPr>
        <w:spacing w:after="0" w:line="194" w:lineRule="exact"/>
        <w:rPr>
          <w:sz w:val="20"/>
          <w:szCs w:val="20"/>
          <w:color w:val="auto"/>
        </w:rPr>
      </w:pPr>
    </w:p>
    <w:p>
      <w:pPr>
        <w:ind w:right="80" w:firstLine="386"/>
        <w:spacing w:after="0" w:line="256" w:lineRule="auto"/>
        <w:rPr>
          <w:sz w:val="20"/>
          <w:szCs w:val="20"/>
          <w:color w:val="auto"/>
        </w:rPr>
      </w:pPr>
      <w:r>
        <w:rPr>
          <w:rFonts w:ascii="Times New Roman" w:cs="Times New Roman" w:eastAsia="Times New Roman" w:hAnsi="Times New Roman"/>
          <w:sz w:val="16"/>
          <w:szCs w:val="16"/>
          <w:color w:val="auto"/>
        </w:rPr>
        <w:t>Each Selling Stockholder (the “</w:t>
      </w:r>
      <w:r>
        <w:rPr>
          <w:rFonts w:ascii="Times New Roman" w:cs="Times New Roman" w:eastAsia="Times New Roman" w:hAnsi="Times New Roman"/>
          <w:sz w:val="16"/>
          <w:szCs w:val="16"/>
          <w:u w:val="single" w:color="auto"/>
          <w:color w:val="auto"/>
        </w:rPr>
        <w:t>Selling Stockholders</w:t>
      </w:r>
      <w:r>
        <w:rPr>
          <w:rFonts w:ascii="Times New Roman" w:cs="Times New Roman" w:eastAsia="Times New Roman" w:hAnsi="Times New Roman"/>
          <w:sz w:val="16"/>
          <w:szCs w:val="16"/>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78" w:lineRule="exact"/>
        <w:rPr>
          <w:sz w:val="20"/>
          <w:szCs w:val="20"/>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22" w:lineRule="exact"/>
        <w:rPr>
          <w:rFonts w:ascii="Times New Roman" w:cs="Times New Roman" w:eastAsia="Times New Roman" w:hAnsi="Times New Roman"/>
          <w:sz w:val="16"/>
          <w:szCs w:val="16"/>
          <w:color w:val="auto"/>
        </w:rPr>
      </w:pPr>
    </w:p>
    <w:p>
      <w:pPr>
        <w:ind w:left="860" w:right="380" w:hanging="388"/>
        <w:spacing w:after="0" w:line="246" w:lineRule="auto"/>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block trades in which the broker-dealer will attempt to sell the securities as agent but may position and resell a portion of the block as principal to facilitate the transaction;</w:t>
      </w:r>
    </w:p>
    <w:p>
      <w:pPr>
        <w:spacing w:after="0" w:line="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by a broker-dealer as principal and resale by the broker-dealer for its account;</w:t>
      </w:r>
    </w:p>
    <w:p>
      <w:pPr>
        <w:spacing w:after="0" w:line="5"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exchange distribution in accordance with the rules of the applicable exchange;</w:t>
      </w:r>
    </w:p>
    <w:p>
      <w:pPr>
        <w:spacing w:after="0" w:line="5"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privately negotiated transactions;</w:t>
      </w:r>
    </w:p>
    <w:p>
      <w:pPr>
        <w:spacing w:after="0" w:line="5"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w:t>
      </w:r>
    </w:p>
    <w:p>
      <w:pPr>
        <w:spacing w:after="0" w:line="5" w:lineRule="exact"/>
        <w:rPr>
          <w:rFonts w:ascii="Times New Roman" w:cs="Times New Roman" w:eastAsia="Times New Roman" w:hAnsi="Times New Roman"/>
          <w:sz w:val="16"/>
          <w:szCs w:val="16"/>
          <w:color w:val="auto"/>
        </w:rPr>
      </w:pPr>
    </w:p>
    <w:p>
      <w:pPr>
        <w:ind w:left="860" w:right="140" w:hanging="388"/>
        <w:spacing w:after="0" w:line="246" w:lineRule="auto"/>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transactions through broker-dealers that agree with the Selling Stockholders to sell a specified number of such securities at a stipulated price per security;</w:t>
      </w:r>
    </w:p>
    <w:p>
      <w:pPr>
        <w:spacing w:after="0" w:line="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options or other hedging transactions, whether through an options exchange or otherwise;</w:t>
      </w:r>
    </w:p>
    <w:p>
      <w:pPr>
        <w:spacing w:after="0" w:line="5"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combination of any such methods of sale; or</w:t>
      </w:r>
    </w:p>
    <w:p>
      <w:pPr>
        <w:spacing w:after="0" w:line="5"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177" w:lineRule="exact"/>
        <w:rPr>
          <w:sz w:val="20"/>
          <w:szCs w:val="20"/>
          <w:color w:val="auto"/>
        </w:rPr>
      </w:pPr>
    </w:p>
    <w:p>
      <w:pPr>
        <w:ind w:right="260" w:firstLine="386"/>
        <w:spacing w:after="0" w:line="276" w:lineRule="auto"/>
        <w:rPr>
          <w:sz w:val="20"/>
          <w:szCs w:val="20"/>
          <w:color w:val="auto"/>
        </w:rPr>
      </w:pPr>
      <w:r>
        <w:rPr>
          <w:rFonts w:ascii="Times New Roman" w:cs="Times New Roman" w:eastAsia="Times New Roman" w:hAnsi="Times New Roman"/>
          <w:sz w:val="16"/>
          <w:szCs w:val="16"/>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if available, rather than under this prospectus.</w:t>
      </w:r>
    </w:p>
    <w:p>
      <w:pPr>
        <w:spacing w:after="0" w:line="145" w:lineRule="exact"/>
        <w:rPr>
          <w:sz w:val="20"/>
          <w:szCs w:val="20"/>
          <w:color w:val="auto"/>
        </w:rPr>
      </w:pPr>
    </w:p>
    <w:p>
      <w:pPr>
        <w:ind w:right="220" w:firstLine="386"/>
        <w:spacing w:after="0" w:line="254" w:lineRule="auto"/>
        <w:rPr>
          <w:sz w:val="20"/>
          <w:szCs w:val="20"/>
          <w:color w:val="auto"/>
        </w:rPr>
      </w:pPr>
      <w:r>
        <w:rPr>
          <w:rFonts w:ascii="Times New Roman" w:cs="Times New Roman" w:eastAsia="Times New Roman" w:hAnsi="Times New Roman"/>
          <w:sz w:val="16"/>
          <w:szCs w:val="16"/>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62" w:lineRule="exact"/>
        <w:rPr>
          <w:sz w:val="20"/>
          <w:szCs w:val="20"/>
          <w:color w:val="auto"/>
        </w:rPr>
      </w:pPr>
    </w:p>
    <w:p>
      <w:pPr>
        <w:ind w:right="20" w:firstLine="386"/>
        <w:spacing w:after="0" w:line="251" w:lineRule="auto"/>
        <w:rPr>
          <w:sz w:val="20"/>
          <w:szCs w:val="20"/>
          <w:color w:val="auto"/>
        </w:rPr>
      </w:pPr>
      <w:r>
        <w:rPr>
          <w:rFonts w:ascii="Times New Roman" w:cs="Times New Roman" w:eastAsia="Times New Roman" w:hAnsi="Times New Roman"/>
          <w:sz w:val="16"/>
          <w:szCs w:val="16"/>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67" w:lineRule="exact"/>
        <w:rPr>
          <w:sz w:val="20"/>
          <w:szCs w:val="20"/>
          <w:color w:val="auto"/>
        </w:rPr>
      </w:pPr>
    </w:p>
    <w:p>
      <w:pPr>
        <w:ind w:right="180" w:firstLine="386"/>
        <w:spacing w:after="0" w:line="254" w:lineRule="auto"/>
        <w:rPr>
          <w:sz w:val="20"/>
          <w:szCs w:val="20"/>
          <w:color w:val="auto"/>
        </w:rPr>
      </w:pPr>
      <w:r>
        <w:rPr>
          <w:rFonts w:ascii="Times New Roman" w:cs="Times New Roman" w:eastAsia="Times New Roman" w:hAnsi="Times New Roman"/>
          <w:sz w:val="16"/>
          <w:szCs w:val="16"/>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ectPr>
          <w:pgSz w:w="11900" w:h="16838" w:orient="portrait"/>
          <w:cols w:equalWidth="0" w:num="1">
            <w:col w:w="9640"/>
          </w:cols>
          <w:pgMar w:left="1120" w:top="251" w:right="1139" w:bottom="1440" w:gutter="0" w:footer="0" w:header="0"/>
        </w:sectPr>
      </w:pPr>
    </w:p>
    <w:bookmarkStart w:id="169" w:name="page170"/>
    <w:bookmarkEnd w:id="169"/>
    <w:p>
      <w:pPr>
        <w:jc w:val="both"/>
        <w:ind w:right="200" w:firstLine="386"/>
        <w:spacing w:after="0" w:line="31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22" w:lineRule="exact"/>
        <w:rPr>
          <w:sz w:val="20"/>
          <w:szCs w:val="20"/>
          <w:color w:val="auto"/>
        </w:rPr>
      </w:pPr>
    </w:p>
    <w:p>
      <w:pPr>
        <w:ind w:right="80" w:firstLine="386"/>
        <w:spacing w:after="0" w:line="251" w:lineRule="auto"/>
        <w:rPr>
          <w:sz w:val="20"/>
          <w:szCs w:val="20"/>
          <w:color w:val="auto"/>
        </w:rPr>
      </w:pPr>
      <w:r>
        <w:rPr>
          <w:rFonts w:ascii="Times New Roman" w:cs="Times New Roman" w:eastAsia="Times New Roman" w:hAnsi="Times New Roman"/>
          <w:sz w:val="16"/>
          <w:szCs w:val="16"/>
          <w:color w:val="auto"/>
        </w:rPr>
        <w:t>We agreed to keep this prospectus effective until the earlier of (i) the date on which the securities may be resold by the Selling Stockholders without registration and without regard to any volume or manner- of-sale limitations by reason of Rule 144, and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67" w:lineRule="exact"/>
        <w:rPr>
          <w:sz w:val="20"/>
          <w:szCs w:val="20"/>
          <w:color w:val="auto"/>
        </w:rPr>
      </w:pPr>
    </w:p>
    <w:p>
      <w:pPr>
        <w:ind w:firstLine="386"/>
        <w:spacing w:after="0" w:line="272" w:lineRule="auto"/>
        <w:rPr>
          <w:sz w:val="20"/>
          <w:szCs w:val="20"/>
          <w:color w:val="auto"/>
        </w:rPr>
      </w:pPr>
      <w:r>
        <w:rPr>
          <w:rFonts w:ascii="Times New Roman" w:cs="Times New Roman" w:eastAsia="Times New Roman" w:hAnsi="Times New Roman"/>
          <w:sz w:val="15"/>
          <w:szCs w:val="15"/>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ectPr>
          <w:pgSz w:w="11900" w:h="16838" w:orient="portrait"/>
          <w:cols w:equalWidth="0" w:num="1">
            <w:col w:w="9620"/>
          </w:cols>
          <w:pgMar w:left="1120" w:top="253" w:right="115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Annex B</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SELLING STOCKHOLDERS</w:t>
      </w:r>
    </w:p>
    <w:p>
      <w:pPr>
        <w:spacing w:after="0" w:line="196" w:lineRule="exact"/>
        <w:rPr>
          <w:sz w:val="20"/>
          <w:szCs w:val="20"/>
          <w:color w:val="auto"/>
        </w:rPr>
      </w:pPr>
    </w:p>
    <w:p>
      <w:pPr>
        <w:jc w:val="both"/>
        <w:ind w:right="140" w:firstLine="386"/>
        <w:spacing w:after="0" w:line="261" w:lineRule="auto"/>
        <w:rPr>
          <w:sz w:val="20"/>
          <w:szCs w:val="20"/>
          <w:color w:val="auto"/>
        </w:rPr>
      </w:pPr>
      <w:r>
        <w:rPr>
          <w:rFonts w:ascii="Times New Roman" w:cs="Times New Roman" w:eastAsia="Times New Roman" w:hAnsi="Times New Roman"/>
          <w:sz w:val="16"/>
          <w:szCs w:val="16"/>
          <w:color w:val="auto"/>
        </w:rPr>
        <w:t>For additional information regarding the issuances of those shares of common stock being registered for resale in this registration statement, see “Private Placement of Shares of Common Stock” and “Business Combination of [●] and [●]” above. We are registering the shares of common stock in order to permit the selling stockholders to offer the shares for resale from time to time.</w:t>
      </w:r>
    </w:p>
    <w:p>
      <w:pPr>
        <w:spacing w:after="0" w:line="157" w:lineRule="exact"/>
        <w:rPr>
          <w:sz w:val="20"/>
          <w:szCs w:val="20"/>
          <w:color w:val="auto"/>
        </w:rPr>
      </w:pPr>
    </w:p>
    <w:p>
      <w:pPr>
        <w:ind w:right="100" w:firstLine="386"/>
        <w:spacing w:after="0" w:line="275" w:lineRule="auto"/>
        <w:rPr>
          <w:sz w:val="20"/>
          <w:szCs w:val="20"/>
          <w:color w:val="auto"/>
        </w:rPr>
      </w:pPr>
      <w:r>
        <w:rPr>
          <w:rFonts w:ascii="Times New Roman" w:cs="Times New Roman" w:eastAsia="Times New Roman" w:hAnsi="Times New Roman"/>
          <w:sz w:val="15"/>
          <w:szCs w:val="15"/>
          <w:color w:val="auto"/>
        </w:rPr>
        <w:t>The table below lists the selling stockholders and other information regarding the beneficial ownership of the shares of common stock by each of the selling stockholders. The second column lists the number of shares of common stock beneficially owned by each selling stockholder, based on its</w:t>
      </w:r>
    </w:p>
    <w:tbl>
      <w:tblPr>
        <w:tblLayout w:type="fixed"/>
        <w:tblInd w:w="0" w:type="dxa"/>
        <w:tblCellMar>
          <w:top w:w="0" w:type="dxa"/>
          <w:left w:w="0" w:type="dxa"/>
          <w:bottom w:w="0" w:type="dxa"/>
          <w:right w:w="0" w:type="dxa"/>
        </w:tblCellMar>
      </w:tblPr>
      <w:tr>
        <w:trPr>
          <w:trHeight w:val="153"/>
        </w:trPr>
        <w:tc>
          <w:tcPr>
            <w:tcW w:w="304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w w:val="98"/>
              </w:rPr>
              <w:t>ownership of the shares of common stock, as of</w:t>
            </w:r>
          </w:p>
        </w:tc>
        <w:tc>
          <w:tcPr>
            <w:tcW w:w="110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auto"/>
              </w:rPr>
              <w:t>, 2022.</w:t>
            </w:r>
          </w:p>
        </w:tc>
      </w:tr>
      <w:tr>
        <w:trPr>
          <w:trHeight w:val="20"/>
        </w:trPr>
        <w:tc>
          <w:tcPr>
            <w:tcW w:w="3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third column lists the shares of common stock being offered by this prospectus by the selling stockholders.</w:t>
      </w:r>
    </w:p>
    <w:p>
      <w:pPr>
        <w:spacing w:after="0" w:line="194" w:lineRule="exact"/>
        <w:rPr>
          <w:sz w:val="20"/>
          <w:szCs w:val="20"/>
          <w:color w:val="auto"/>
        </w:rPr>
      </w:pPr>
    </w:p>
    <w:p>
      <w:pPr>
        <w:ind w:right="120" w:firstLine="386"/>
        <w:spacing w:after="0" w:line="276" w:lineRule="auto"/>
        <w:rPr>
          <w:sz w:val="20"/>
          <w:szCs w:val="20"/>
          <w:color w:val="auto"/>
        </w:rPr>
      </w:pPr>
      <w:r>
        <w:rPr>
          <w:rFonts w:ascii="Times New Roman" w:cs="Times New Roman" w:eastAsia="Times New Roman" w:hAnsi="Times New Roman"/>
          <w:sz w:val="16"/>
          <w:szCs w:val="16"/>
          <w:color w:val="auto"/>
        </w:rPr>
        <w:t>The fourth column reflects the number of shares of common stock beneficially owned by each selling stockholder, assuming the sale of all of the shares offered by the selling stockholders pursuant to this prospectus.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selling stockholders may sell all, some or none of their shares in this offering.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612775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pacing w:after="0" w:line="233" w:lineRule="exact"/>
        <w:rPr>
          <w:sz w:val="20"/>
          <w:szCs w:val="20"/>
          <w:color w:val="auto"/>
        </w:rPr>
      </w:pPr>
    </w:p>
    <w:tbl>
      <w:tblPr>
        <w:tblLayout w:type="fixed"/>
        <w:tblInd w:w="178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Maximum Number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 shares</w:t>
            </w:r>
          </w:p>
        </w:tc>
        <w:tc>
          <w:tcPr>
            <w:tcW w:w="0" w:type="dxa"/>
            <w:vAlign w:val="bottom"/>
          </w:tcPr>
          <w:p>
            <w:pPr>
              <w:spacing w:after="0"/>
              <w:rPr>
                <w:sz w:val="1"/>
                <w:szCs w:val="1"/>
                <w:color w:val="auto"/>
              </w:rPr>
            </w:pPr>
          </w:p>
        </w:tc>
      </w:tr>
      <w:tr>
        <w:trPr>
          <w:trHeight w:val="130"/>
        </w:trPr>
        <w:tc>
          <w:tcPr>
            <w:tcW w:w="20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4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4"/>
              </w:rPr>
              <w:t>of shares of</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6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3"/>
                <w:szCs w:val="13"/>
                <w:b w:val="1"/>
                <w:bCs w:val="1"/>
                <w:color w:val="auto"/>
                <w:w w:val="96"/>
              </w:rPr>
              <w:t>of Common Stock</w:t>
            </w:r>
          </w:p>
        </w:tc>
        <w:tc>
          <w:tcPr>
            <w:tcW w:w="134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Common Stock to</w:t>
            </w:r>
          </w:p>
        </w:tc>
        <w:tc>
          <w:tcPr>
            <w:tcW w:w="12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of Common Stock</w:t>
            </w:r>
          </w:p>
        </w:tc>
        <w:tc>
          <w:tcPr>
            <w:tcW w:w="0" w:type="dxa"/>
            <w:vAlign w:val="bottom"/>
          </w:tcPr>
          <w:p>
            <w:pPr>
              <w:spacing w:after="0"/>
              <w:rPr>
                <w:sz w:val="1"/>
                <w:szCs w:val="1"/>
                <w:color w:val="auto"/>
              </w:rPr>
            </w:pPr>
          </w:p>
        </w:tc>
      </w:tr>
      <w:tr>
        <w:trPr>
          <w:trHeight w:val="130"/>
        </w:trPr>
        <w:tc>
          <w:tcPr>
            <w:tcW w:w="2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Name of Selling Stockholder</w:t>
            </w:r>
          </w:p>
        </w:tc>
        <w:tc>
          <w:tcPr>
            <w:tcW w:w="1860" w:type="dxa"/>
            <w:vAlign w:val="bottom"/>
          </w:tcPr>
          <w:p>
            <w:pPr>
              <w:spacing w:after="0"/>
              <w:rPr>
                <w:sz w:val="11"/>
                <w:szCs w:val="11"/>
                <w:color w:val="auto"/>
              </w:rPr>
            </w:pPr>
          </w:p>
        </w:tc>
        <w:tc>
          <w:tcPr>
            <w:tcW w:w="136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3"/>
                <w:szCs w:val="13"/>
                <w:b w:val="1"/>
                <w:bCs w:val="1"/>
                <w:color w:val="auto"/>
                <w:w w:val="96"/>
              </w:rPr>
              <w:t>Owned Prior to</w:t>
            </w:r>
          </w:p>
        </w:tc>
        <w:tc>
          <w:tcPr>
            <w:tcW w:w="134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3"/>
                <w:szCs w:val="13"/>
                <w:b w:val="1"/>
                <w:bCs w:val="1"/>
                <w:color w:val="auto"/>
                <w:w w:val="96"/>
              </w:rPr>
              <w:t>be Sold Pursuant to</w:t>
            </w:r>
          </w:p>
        </w:tc>
        <w:tc>
          <w:tcPr>
            <w:tcW w:w="126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Owned After</w:t>
            </w:r>
          </w:p>
        </w:tc>
        <w:tc>
          <w:tcPr>
            <w:tcW w:w="0" w:type="dxa"/>
            <w:vAlign w:val="bottom"/>
          </w:tcPr>
          <w:p>
            <w:pPr>
              <w:spacing w:after="0"/>
              <w:rPr>
                <w:sz w:val="1"/>
                <w:szCs w:val="1"/>
                <w:color w:val="auto"/>
              </w:rPr>
            </w:pPr>
          </w:p>
        </w:tc>
      </w:tr>
      <w:tr>
        <w:trPr>
          <w:trHeight w:val="144"/>
        </w:trPr>
        <w:tc>
          <w:tcPr>
            <w:tcW w:w="2040" w:type="dxa"/>
            <w:vAlign w:val="bottom"/>
            <w:tcBorders>
              <w:bottom w:val="single" w:sz="8" w:color="auto"/>
            </w:tcBorders>
            <w:vMerge w:val="continue"/>
          </w:tcPr>
          <w:p>
            <w:pPr>
              <w:spacing w:after="0"/>
              <w:rPr>
                <w:sz w:val="12"/>
                <w:szCs w:val="12"/>
                <w:color w:val="auto"/>
              </w:rPr>
            </w:pPr>
          </w:p>
        </w:tc>
        <w:tc>
          <w:tcPr>
            <w:tcW w:w="186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0" w:type="dxa"/>
            <w:vAlign w:val="bottom"/>
          </w:tcPr>
          <w:p>
            <w:pPr>
              <w:spacing w:after="0"/>
              <w:rPr>
                <w:sz w:val="12"/>
                <w:szCs w:val="12"/>
                <w:color w:val="auto"/>
              </w:rPr>
            </w:pPr>
          </w:p>
        </w:tc>
        <w:tc>
          <w:tcPr>
            <w:tcW w:w="124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5"/>
              </w:rPr>
              <w:t>this Prospectus</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0" w:type="dxa"/>
            <w:vAlign w:val="bottom"/>
          </w:tcPr>
          <w:p>
            <w:pPr>
              <w:spacing w:after="0"/>
              <w:rPr>
                <w:sz w:val="1"/>
                <w:szCs w:val="1"/>
                <w:color w:val="auto"/>
              </w:rPr>
            </w:pPr>
          </w:p>
        </w:tc>
      </w:tr>
    </w:tbl>
    <w:p>
      <w:pPr>
        <w:sectPr>
          <w:pgSz w:w="11900" w:h="16838" w:orient="portrait"/>
          <w:cols w:equalWidth="0" w:num="1">
            <w:col w:w="9640"/>
          </w:cols>
          <w:pgMar w:left="1120" w:top="251" w:right="11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Annex 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Selling Stockholder Notice and Questionnaire</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undersigned owner of Registrable Securities (as such term is defined in the Registration Rights Agreement) of Disc Medicine, Inc.,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understands that the Company has filed or intends to file with the Securities and Exchange Commission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a Registration Statement for the registration and resale under Rule 415 of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Registrable Securities, in accordance with the terms of the Registration Rights Agreement dated as of [•], 2022 to which the Company and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undersigned are parties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A copy of the Registration Rights Agreement is available from the Company upon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request at the address set forth below. All capitalized terms not otherwise defined herein shall have the meanings ascribed thereto in the Registration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Rights Agreement.</w:t>
      </w:r>
    </w:p>
    <w:p>
      <w:pPr>
        <w:spacing w:after="0" w:line="177" w:lineRule="exact"/>
        <w:rPr>
          <w:sz w:val="20"/>
          <w:szCs w:val="20"/>
          <w:color w:val="auto"/>
        </w:rPr>
      </w:pPr>
    </w:p>
    <w:p>
      <w:pPr>
        <w:ind w:right="40" w:firstLine="386"/>
        <w:spacing w:after="0" w:line="261" w:lineRule="auto"/>
        <w:rPr>
          <w:sz w:val="20"/>
          <w:szCs w:val="20"/>
          <w:color w:val="auto"/>
        </w:rPr>
      </w:pPr>
      <w:r>
        <w:rPr>
          <w:rFonts w:ascii="Times New Roman" w:cs="Times New Roman" w:eastAsia="Times New Roman" w:hAnsi="Times New Roman"/>
          <w:sz w:val="16"/>
          <w:szCs w:val="16"/>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w:t>
      </w:r>
    </w:p>
    <w:p>
      <w:pPr>
        <w:spacing w:after="0" w:line="196" w:lineRule="exact"/>
        <w:rPr>
          <w:sz w:val="20"/>
          <w:szCs w:val="20"/>
          <w:color w:val="auto"/>
        </w:rPr>
      </w:pPr>
    </w:p>
    <w:p>
      <w:pPr>
        <w:ind w:right="120" w:firstLine="386"/>
        <w:spacing w:after="0" w:line="276" w:lineRule="auto"/>
        <w:rPr>
          <w:sz w:val="20"/>
          <w:szCs w:val="20"/>
          <w:color w:val="auto"/>
        </w:rPr>
      </w:pPr>
      <w:r>
        <w:rPr>
          <w:rFonts w:ascii="Times New Roman" w:cs="Times New Roman" w:eastAsia="Times New Roman" w:hAnsi="Times New Roman"/>
          <w:sz w:val="16"/>
          <w:szCs w:val="16"/>
          <w:color w:val="auto"/>
        </w:rPr>
        <w:t>The undersigned beneficial owner (the “</w:t>
      </w:r>
      <w:r>
        <w:rPr>
          <w:rFonts w:ascii="Times New Roman" w:cs="Times New Roman" w:eastAsia="Times New Roman" w:hAnsi="Times New Roman"/>
          <w:sz w:val="16"/>
          <w:szCs w:val="16"/>
          <w:u w:val="single" w:color="auto"/>
          <w:color w:val="auto"/>
        </w:rPr>
        <w:t>Selling Stockholder</w:t>
      </w:r>
      <w:r>
        <w:rPr>
          <w:rFonts w:ascii="Times New Roman" w:cs="Times New Roman" w:eastAsia="Times New Roman" w:hAnsi="Times New Roman"/>
          <w:sz w:val="16"/>
          <w:szCs w:val="16"/>
          <w:color w:val="auto"/>
        </w:rPr>
        <w:t>”) of Registrable Securities hereby elects to include the Registrable Securities owned by it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612775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pacing w:after="0" w:line="3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undersigned hereby provides the following information to the Company and represents and warrants that such information is accurate: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1.    Name.</w:t>
            </w:r>
          </w:p>
        </w:tc>
        <w:tc>
          <w:tcPr>
            <w:tcW w:w="8800" w:type="dxa"/>
            <w:vAlign w:val="bottom"/>
          </w:tcPr>
          <w:p>
            <w:pPr>
              <w:ind w:left="3320"/>
              <w:spacing w:after="0"/>
              <w:rPr>
                <w:sz w:val="20"/>
                <w:szCs w:val="20"/>
                <w:color w:val="auto"/>
              </w:rPr>
            </w:pPr>
            <w:r>
              <w:rPr>
                <w:rFonts w:ascii="Times New Roman" w:cs="Times New Roman" w:eastAsia="Times New Roman" w:hAnsi="Times New Roman"/>
                <w:sz w:val="16"/>
                <w:szCs w:val="16"/>
                <w:b w:val="1"/>
                <w:bCs w:val="1"/>
                <w:color w:val="auto"/>
              </w:rPr>
              <w:t>QUESTIONNAIRE</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8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    </w:t>
            </w: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Full Legal Name of Selling Stockholder</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8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    </w:t>
            </w: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Full Legal Name of Registered Holder (if not the same as (a) above) through which Registrable Securities are held:</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8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    </w:t>
            </w: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w w:val="98"/>
              </w:rPr>
              <w:t>Full Legal Name of Natural Control Person (which means a natural person who directly or indirectly alone or with others has power to vote</w:t>
            </w: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6"/>
                <w:szCs w:val="16"/>
                <w:color w:val="auto"/>
              </w:rPr>
              <w:t>or dispose of the securities covered by this Questionnaire):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532130</wp:posOffset>
            </wp:positionH>
            <wp:positionV relativeFrom="paragraph">
              <wp:posOffset>120015</wp:posOffset>
            </wp:positionV>
            <wp:extent cx="559498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94985" cy="762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Address for Notices to Selling Stockholder: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-8255</wp:posOffset>
            </wp:positionV>
            <wp:extent cx="50546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0546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111760</wp:posOffset>
            </wp:positionV>
            <wp:extent cx="8509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0900" cy="762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-8255</wp:posOffset>
            </wp:positionV>
            <wp:extent cx="507936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793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111760</wp:posOffset>
            </wp:positionV>
            <wp:extent cx="125095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50950" cy="7620"/>
                    </a:xfrm>
                    <a:prstGeom prst="rect">
                      <a:avLst/>
                    </a:prstGeom>
                    <a:noFill/>
                  </pic:spPr>
                </pic:pic>
              </a:graphicData>
            </a:graphic>
          </wp:anchor>
        </w:drawing>
      </w:r>
    </w:p>
    <w:p>
      <w:pPr>
        <w:sectPr>
          <w:pgSz w:w="11900" w:h="16838" w:orient="portrait"/>
          <w:cols w:equalWidth="0" w:num="1">
            <w:col w:w="9640"/>
          </w:cols>
          <w:pgMar w:left="1120" w:top="251" w:right="11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-8255</wp:posOffset>
            </wp:positionV>
            <wp:extent cx="542988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29885" cy="762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73"/>
              </w:rPr>
              <w:t>3. </w:t>
            </w:r>
          </w:p>
        </w:tc>
        <w:tc>
          <w:tcPr>
            <w:tcW w:w="9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Broker-Dealer Status:</w:t>
            </w:r>
          </w:p>
        </w:tc>
      </w:tr>
      <w:tr>
        <w:trPr>
          <w:trHeight w:val="284"/>
        </w:trPr>
        <w:tc>
          <w:tcPr>
            <w:tcW w:w="20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    </w:t>
            </w: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Are you a broker-dealer?</w:t>
            </w:r>
          </w:p>
        </w:tc>
      </w:tr>
      <w:tr>
        <w:trPr>
          <w:trHeight w:val="300"/>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80" w:type="dxa"/>
            <w:vAlign w:val="bottom"/>
          </w:tcPr>
          <w:p>
            <w:pPr>
              <w:ind w:left="40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68"/>
        </w:trPr>
        <w:tc>
          <w:tcPr>
            <w:tcW w:w="200" w:type="dxa"/>
            <w:vAlign w:val="bottom"/>
          </w:tcPr>
          <w:p>
            <w:pPr>
              <w:spacing w:after="0"/>
              <w:rPr>
                <w:sz w:val="23"/>
                <w:szCs w:val="23"/>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    </w:t>
            </w: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If “yes” to Section 3(a), did you receive your Registrable Securities as compensation for investment banking services to the Company?</w:t>
            </w:r>
          </w:p>
        </w:tc>
      </w:tr>
      <w:tr>
        <w:trPr>
          <w:trHeight w:val="300"/>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80" w:type="dxa"/>
            <w:vAlign w:val="bottom"/>
          </w:tcPr>
          <w:p>
            <w:pPr>
              <w:ind w:left="40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68"/>
        </w:trPr>
        <w:tc>
          <w:tcPr>
            <w:tcW w:w="200" w:type="dxa"/>
            <w:vAlign w:val="bottom"/>
          </w:tcPr>
          <w:p>
            <w:pPr>
              <w:spacing w:after="0"/>
              <w:rPr>
                <w:sz w:val="23"/>
                <w:szCs w:val="23"/>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Note: If “no” to Section 3(b), the Commission’s staff has indicated that you should be identified as an underwriter in the Registration Statement.</w:t>
            </w:r>
          </w:p>
        </w:tc>
      </w:tr>
      <w:tr>
        <w:trPr>
          <w:trHeight w:val="284"/>
        </w:trPr>
        <w:tc>
          <w:tcPr>
            <w:tcW w:w="20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    </w:t>
            </w: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Are you an affiliate of a broker-dealer?</w:t>
            </w:r>
          </w:p>
        </w:tc>
      </w:tr>
      <w:tr>
        <w:trPr>
          <w:trHeight w:val="300"/>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80" w:type="dxa"/>
            <w:vAlign w:val="bottom"/>
          </w:tcPr>
          <w:p>
            <w:pPr>
              <w:ind w:left="40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51"/>
        </w:trPr>
        <w:tc>
          <w:tcPr>
            <w:tcW w:w="20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    </w:t>
            </w: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w w:val="99"/>
              </w:rPr>
              <w:t>If you are an affiliate of a broker-dealer, do you certify that you purchased the Registrable Securities in the ordinary course of business, and</w:t>
            </w:r>
          </w:p>
        </w:tc>
      </w:tr>
      <w:tr>
        <w:trPr>
          <w:trHeight w:val="189"/>
        </w:trPr>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at the time of the purchase of the Registrable Securities to be resold, you had no agreements or understandings, directly or indirectly, with</w:t>
            </w:r>
          </w:p>
        </w:tc>
      </w:tr>
      <w:tr>
        <w:trPr>
          <w:trHeight w:val="206"/>
        </w:trPr>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any person to distribute the Registrable Securities?</w:t>
            </w:r>
          </w:p>
        </w:tc>
      </w:tr>
      <w:tr>
        <w:trPr>
          <w:trHeight w:val="300"/>
        </w:trPr>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80" w:type="dxa"/>
            <w:vAlign w:val="bottom"/>
          </w:tcPr>
          <w:p>
            <w:pPr>
              <w:ind w:left="40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268"/>
        </w:trPr>
        <w:tc>
          <w:tcPr>
            <w:tcW w:w="200" w:type="dxa"/>
            <w:vAlign w:val="bottom"/>
          </w:tcPr>
          <w:p>
            <w:pPr>
              <w:spacing w:after="0"/>
              <w:rPr>
                <w:sz w:val="23"/>
                <w:szCs w:val="23"/>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Note: If “no” to Section 3(d), the Commission’s staff has indicated that you should be identified as an underwriter in the Registration Statement.</w:t>
            </w:r>
          </w:p>
        </w:tc>
      </w:tr>
      <w:tr>
        <w:trPr>
          <w:trHeight w:val="378"/>
        </w:trPr>
        <w:tc>
          <w:tcPr>
            <w:tcW w:w="9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4.    Ownership of Securities of the Company Owned by the Selling Stockholder.</w:t>
            </w:r>
          </w:p>
        </w:tc>
      </w:tr>
      <w:tr>
        <w:trPr>
          <w:trHeight w:val="265"/>
        </w:trPr>
        <w:tc>
          <w:tcPr>
            <w:tcW w:w="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w w:val="74"/>
              </w:rPr>
              <w:t>   </w:t>
            </w:r>
          </w:p>
        </w:tc>
        <w:tc>
          <w:tcPr>
            <w:tcW w:w="94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  Except as set forth below in this Item 4, the undersigned is not the beneficial or registered owner of any securities of the Company other than the</w:t>
            </w:r>
          </w:p>
        </w:tc>
      </w:tr>
      <w:tr>
        <w:trPr>
          <w:trHeight w:val="208"/>
        </w:trPr>
        <w:tc>
          <w:tcPr>
            <w:tcW w:w="20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securities issuable pursuant to the Purchase Agreement.</w:t>
            </w:r>
          </w:p>
        </w:tc>
      </w:tr>
      <w:tr>
        <w:trPr>
          <w:trHeight w:val="284"/>
        </w:trPr>
        <w:tc>
          <w:tcPr>
            <w:tcW w:w="20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    </w:t>
            </w:r>
          </w:p>
        </w:tc>
        <w:tc>
          <w:tcPr>
            <w:tcW w:w="8880" w:type="dxa"/>
            <w:vAlign w:val="bottom"/>
          </w:tcPr>
          <w:p>
            <w:pPr>
              <w:spacing w:after="0"/>
              <w:rPr>
                <w:sz w:val="20"/>
                <w:szCs w:val="20"/>
                <w:color w:val="auto"/>
              </w:rPr>
            </w:pPr>
            <w:r>
              <w:rPr>
                <w:rFonts w:ascii="Times New Roman" w:cs="Times New Roman" w:eastAsia="Times New Roman" w:hAnsi="Times New Roman"/>
                <w:sz w:val="16"/>
                <w:szCs w:val="16"/>
                <w:color w:val="auto"/>
              </w:rPr>
              <w:t>Type and Amount of other Company securities owned by the Selling Stockholder (including beneficially owned, as applicable):</w:t>
            </w:r>
          </w:p>
        </w:tc>
      </w:tr>
      <w:tr>
        <w:trPr>
          <w:trHeight w:val="189"/>
        </w:trPr>
        <w:tc>
          <w:tcPr>
            <w:tcW w:w="760" w:type="dxa"/>
            <w:vAlign w:val="bottom"/>
            <w:gridSpan w:val="2"/>
          </w:tcPr>
          <w:p>
            <w:pPr>
              <w:spacing w:after="0"/>
              <w:rPr>
                <w:sz w:val="16"/>
                <w:szCs w:val="16"/>
                <w:color w:val="auto"/>
              </w:rPr>
            </w:pPr>
          </w:p>
        </w:tc>
        <w:tc>
          <w:tcPr>
            <w:tcW w:w="8880" w:type="dxa"/>
            <w:vAlign w:val="bottom"/>
            <w:tcBorders>
              <w:bottom w:val="single" w:sz="8" w:color="auto"/>
            </w:tcBorders>
          </w:tcPr>
          <w:p>
            <w:pPr>
              <w:spacing w:after="0"/>
              <w:rPr>
                <w:sz w:val="16"/>
                <w:szCs w:val="16"/>
                <w:color w:val="auto"/>
              </w:rPr>
            </w:pPr>
          </w:p>
        </w:tc>
      </w:tr>
      <w:tr>
        <w:trPr>
          <w:trHeight w:val="193"/>
        </w:trPr>
        <w:tc>
          <w:tcPr>
            <w:tcW w:w="760" w:type="dxa"/>
            <w:vAlign w:val="bottom"/>
            <w:gridSpan w:val="2"/>
          </w:tcPr>
          <w:p>
            <w:pPr>
              <w:spacing w:after="0"/>
              <w:rPr>
                <w:sz w:val="16"/>
                <w:szCs w:val="16"/>
                <w:color w:val="auto"/>
              </w:rPr>
            </w:pPr>
          </w:p>
        </w:tc>
        <w:tc>
          <w:tcPr>
            <w:tcW w:w="8880" w:type="dxa"/>
            <w:vAlign w:val="bottom"/>
            <w:tcBorders>
              <w:bottom w:val="single" w:sz="8" w:color="auto"/>
            </w:tcBorders>
          </w:tcPr>
          <w:p>
            <w:pPr>
              <w:spacing w:after="0"/>
              <w:rPr>
                <w:sz w:val="16"/>
                <w:szCs w:val="16"/>
                <w:color w:val="auto"/>
              </w:rPr>
            </w:pPr>
          </w:p>
        </w:tc>
      </w:tr>
      <w:tr>
        <w:trPr>
          <w:trHeight w:val="383"/>
        </w:trPr>
        <w:tc>
          <w:tcPr>
            <w:tcW w:w="9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5.    Relationships with the Company:</w:t>
            </w:r>
          </w:p>
        </w:tc>
      </w:tr>
      <w:tr>
        <w:trPr>
          <w:trHeight w:val="265"/>
        </w:trPr>
        <w:tc>
          <w:tcPr>
            <w:tcW w:w="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w w:val="74"/>
              </w:rPr>
              <w:t>   </w:t>
            </w:r>
          </w:p>
        </w:tc>
        <w:tc>
          <w:tcPr>
            <w:tcW w:w="94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w w:val="99"/>
              </w:rPr>
              <w:t>  Except as set forth below, neither the undersigned nor any of its affiliates, officers, directors or principal equity holders (owners of 5% of more of</w:t>
            </w:r>
          </w:p>
        </w:tc>
      </w:tr>
      <w:tr>
        <w:trPr>
          <w:trHeight w:val="189"/>
        </w:trPr>
        <w:tc>
          <w:tcPr>
            <w:tcW w:w="200" w:type="dxa"/>
            <w:vAlign w:val="bottom"/>
          </w:tcPr>
          <w:p>
            <w:pPr>
              <w:spacing w:after="0"/>
              <w:rPr>
                <w:sz w:val="16"/>
                <w:szCs w:val="16"/>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the equity securities of the undersigned) has held any position or office or has had any other material relationship with the Company (or its</w:t>
            </w:r>
          </w:p>
        </w:tc>
      </w:tr>
      <w:tr>
        <w:trPr>
          <w:trHeight w:val="208"/>
        </w:trPr>
        <w:tc>
          <w:tcPr>
            <w:tcW w:w="20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predecessors or affiliates) during the past three years.</w:t>
            </w:r>
          </w:p>
        </w:tc>
      </w:tr>
    </w:tbl>
    <w:p>
      <w:pPr>
        <w:sectPr>
          <w:pgSz w:w="11900" w:h="16838" w:orient="portrait"/>
          <w:cols w:equalWidth="0" w:num="1">
            <w:col w:w="9640"/>
          </w:cols>
          <w:pgMar w:left="1120" w:top="442" w:right="11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133985</wp:posOffset>
            </wp:positionV>
            <wp:extent cx="576008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60085" cy="7620"/>
                    </a:xfrm>
                    <a:prstGeom prst="rect">
                      <a:avLst/>
                    </a:prstGeom>
                    <a:noFill/>
                  </pic:spPr>
                </pic:pic>
              </a:graphicData>
            </a:graphic>
          </wp:anchor>
        </w:drawing>
      </w:r>
    </w:p>
    <w:p>
      <w:pPr>
        <w:spacing w:after="0" w:line="305" w:lineRule="exact"/>
        <w:rPr>
          <w:sz w:val="20"/>
          <w:szCs w:val="20"/>
          <w:color w:val="auto"/>
        </w:rPr>
      </w:pPr>
    </w:p>
    <w:p>
      <w:pPr>
        <w:ind w:firstLine="315"/>
        <w:spacing w:after="0" w:line="261" w:lineRule="auto"/>
        <w:rPr>
          <w:sz w:val="20"/>
          <w:szCs w:val="20"/>
          <w:color w:val="auto"/>
        </w:rPr>
      </w:pPr>
      <w:r>
        <w:rPr>
          <w:rFonts w:ascii="Times New Roman" w:cs="Times New Roman" w:eastAsia="Times New Roman" w:hAnsi="Times New Roman"/>
          <w:sz w:val="16"/>
          <w:szCs w:val="16"/>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62" w:lineRule="exact"/>
        <w:rPr>
          <w:sz w:val="20"/>
          <w:szCs w:val="20"/>
          <w:color w:val="auto"/>
        </w:rPr>
      </w:pPr>
    </w:p>
    <w:p>
      <w:pPr>
        <w:ind w:right="120" w:firstLine="315"/>
        <w:spacing w:after="0" w:line="256" w:lineRule="auto"/>
        <w:rPr>
          <w:sz w:val="20"/>
          <w:szCs w:val="20"/>
          <w:color w:val="auto"/>
        </w:rPr>
      </w:pPr>
      <w:r>
        <w:rPr>
          <w:rFonts w:ascii="Times New Roman" w:cs="Times New Roman" w:eastAsia="Times New Roman" w:hAnsi="Times New Roman"/>
          <w:sz w:val="16"/>
          <w:szCs w:val="16"/>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66" w:lineRule="exact"/>
        <w:rPr>
          <w:sz w:val="20"/>
          <w:szCs w:val="20"/>
          <w:color w:val="auto"/>
        </w:rPr>
      </w:pPr>
    </w:p>
    <w:p>
      <w:pPr>
        <w:ind w:right="80" w:firstLine="315"/>
        <w:spacing w:after="0" w:line="276" w:lineRule="auto"/>
        <w:rPr>
          <w:sz w:val="20"/>
          <w:szCs w:val="20"/>
          <w:color w:val="auto"/>
        </w:rPr>
      </w:pPr>
      <w:r>
        <w:rPr>
          <w:rFonts w:ascii="Times New Roman" w:cs="Times New Roman" w:eastAsia="Times New Roman" w:hAnsi="Times New Roman"/>
          <w:sz w:val="16"/>
          <w:szCs w:val="16"/>
          <w:color w:val="auto"/>
        </w:rPr>
        <w:t>IN WITNESS WHEREOF the undersigned, by authority duly given, has caused this Notice and Questionnaire to be executed and delivered either in person or by its duly authorized agent.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4060" w:type="dxa"/>
            <w:vAlign w:val="bottom"/>
          </w:tcPr>
          <w:p>
            <w:pPr>
              <w:spacing w:after="0"/>
              <w:rPr>
                <w:sz w:val="16"/>
                <w:szCs w:val="16"/>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4"/>
              </w:rPr>
              <w:t>Beneficial</w:t>
            </w:r>
          </w:p>
        </w:tc>
      </w:tr>
      <w:tr>
        <w:trPr>
          <w:trHeight w:val="209"/>
        </w:trPr>
        <w:tc>
          <w:tcPr>
            <w:tcW w:w="380" w:type="dxa"/>
            <w:vAlign w:val="bottom"/>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Owner:</w:t>
            </w:r>
          </w:p>
        </w:tc>
      </w:tr>
      <w:tr>
        <w:trPr>
          <w:trHeight w:val="350"/>
        </w:trPr>
        <w:tc>
          <w:tcPr>
            <w:tcW w:w="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By:</w:t>
            </w:r>
          </w:p>
        </w:tc>
      </w:tr>
      <w:tr>
        <w:trPr>
          <w:trHeight w:val="189"/>
        </w:trPr>
        <w:tc>
          <w:tcPr>
            <w:tcW w:w="3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Name:</w:t>
            </w:r>
          </w:p>
        </w:tc>
      </w:tr>
      <w:tr>
        <w:trPr>
          <w:trHeight w:val="206"/>
        </w:trPr>
        <w:tc>
          <w:tcPr>
            <w:tcW w:w="3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-120015</wp:posOffset>
            </wp:positionV>
            <wp:extent cx="27559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55900" cy="7620"/>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-480695</wp:posOffset>
            </wp:positionV>
            <wp:extent cx="275590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55900" cy="762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PLEASE FAX A COPY (OR EMAIL A .PDF COPY) OF THE COMPLETED AND EXECUTED NOTICE AND QUESTIONNAIRE TO:</w:t>
      </w:r>
    </w:p>
    <w:p>
      <w:pPr>
        <w:sectPr>
          <w:pgSz w:w="11900" w:h="16838" w:orient="portrait"/>
          <w:cols w:equalWidth="0" w:num="1">
            <w:col w:w="9600"/>
          </w:cols>
          <w:pgMar w:left="1120" w:top="348" w:right="117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Annex 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HOLDER REPRESENTATION LETTER</w:t>
      </w:r>
    </w:p>
    <w:p>
      <w:pPr>
        <w:spacing w:after="0" w:line="177" w:lineRule="exact"/>
        <w:rPr>
          <w:sz w:val="20"/>
          <w:szCs w:val="20"/>
          <w:color w:val="auto"/>
        </w:rPr>
      </w:pPr>
    </w:p>
    <w:p>
      <w:pPr>
        <w:ind w:left="900" w:hanging="74"/>
        <w:spacing w:after="0"/>
        <w:tabs>
          <w:tab w:leader="none" w:pos="90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w:t>
      </w:r>
    </w:p>
    <w:p>
      <w:pPr>
        <w:spacing w:after="0" w:line="9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7533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533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Goodwin Procter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100 Northern Ave.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 02110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Whom It May Concern: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(the “</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hereby requests that the federal securities law restrictive legend be removed from the book entries representing</w:t>
      </w:r>
    </w:p>
    <w:p>
      <w:pPr>
        <w:spacing w:after="0" w:line="22" w:lineRule="exact"/>
        <w:rPr>
          <w:sz w:val="20"/>
          <w:szCs w:val="20"/>
          <w:color w:val="auto"/>
        </w:rPr>
      </w:pPr>
    </w:p>
    <w:p>
      <w:pPr>
        <w:ind w:right="180" w:firstLine="670"/>
        <w:spacing w:after="0" w:line="253" w:lineRule="auto"/>
        <w:rPr>
          <w:sz w:val="20"/>
          <w:szCs w:val="20"/>
          <w:color w:val="auto"/>
        </w:rPr>
      </w:pPr>
      <w:r>
        <w:rPr>
          <w:rFonts w:ascii="Times New Roman" w:cs="Times New Roman" w:eastAsia="Times New Roman" w:hAnsi="Times New Roman"/>
          <w:sz w:val="16"/>
          <w:szCs w:val="16"/>
          <w:color w:val="auto"/>
        </w:rPr>
        <w:t>of shares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of common stock, par value $0.0001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of Disc Medicine,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In connection with the legend removal, Holder hereby represents to, and agrees with, you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40005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0050" cy="7620"/>
                    </a:xfrm>
                    <a:prstGeom prst="rect">
                      <a:avLst/>
                    </a:prstGeom>
                    <a:noFill/>
                  </pic:spPr>
                </pic:pic>
              </a:graphicData>
            </a:graphic>
          </wp:anchor>
        </w:drawing>
      </w:r>
    </w:p>
    <w:p>
      <w:pPr>
        <w:spacing w:after="0" w:line="60" w:lineRule="exact"/>
        <w:rPr>
          <w:sz w:val="20"/>
          <w:szCs w:val="20"/>
          <w:color w:val="auto"/>
        </w:rPr>
      </w:pPr>
    </w:p>
    <w:p>
      <w:pPr>
        <w:ind w:left="860" w:hanging="483"/>
        <w:spacing w:after="0"/>
        <w:tabs>
          <w:tab w:leader="none" w:pos="8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are owned of record and beneficially by Holder.</w:t>
      </w:r>
    </w:p>
    <w:p>
      <w:pPr>
        <w:spacing w:after="0" w:line="111" w:lineRule="exact"/>
        <w:rPr>
          <w:rFonts w:ascii="Times New Roman" w:cs="Times New Roman" w:eastAsia="Times New Roman" w:hAnsi="Times New Roman"/>
          <w:sz w:val="16"/>
          <w:szCs w:val="16"/>
          <w:color w:val="auto"/>
        </w:rPr>
      </w:pPr>
    </w:p>
    <w:p>
      <w:pPr>
        <w:ind w:left="860" w:right="40" w:hanging="483"/>
        <w:spacing w:after="0" w:line="251" w:lineRule="auto"/>
        <w:tabs>
          <w:tab w:leader="none" w:pos="8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agrees that, if the Shares are not eligible to be sold pursuant to Rule 144 promulgated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any offer, sale or transfer of, or other transaction involving, the Shares will only be made (i) pursuant to the Company’s Registration Statement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filed pursuant to the Securities Act, in a transaction contemplated in the “Plan of Distribution” section of the prospectus included in the Registration Statement and in accordance with the terms and conditions set forth in the Registration Rights Agreement, dated [ ], 2022, by and among Disc Medicine, Inc. and Purchasers (the “</w:t>
      </w:r>
      <w:r>
        <w:rPr>
          <w:rFonts w:ascii="Times New Roman" w:cs="Times New Roman" w:eastAsia="Times New Roman" w:hAnsi="Times New Roman"/>
          <w:sz w:val="16"/>
          <w:szCs w:val="16"/>
          <w:u w:val="single" w:color="auto"/>
          <w:color w:val="auto"/>
        </w:rPr>
        <w:t>RRA</w:t>
      </w:r>
      <w:r>
        <w:rPr>
          <w:rFonts w:ascii="Times New Roman" w:cs="Times New Roman" w:eastAsia="Times New Roman" w:hAnsi="Times New Roman"/>
          <w:sz w:val="16"/>
          <w:szCs w:val="16"/>
          <w:color w:val="auto"/>
        </w:rPr>
        <w:t>”), including, but not limited to, the restrictions upon sales that may be imposed as set forth in the RRA or (ii) to an exemption from the registration requirements of the Securities Act subject to receipt of a legal opinion from Goodwin Procter LLP or other counsel acceptable to the Company that such offer, sale or transfer is exempt from the registration requirements of the Securities Act;</w:t>
      </w:r>
    </w:p>
    <w:p>
      <w:pPr>
        <w:spacing w:after="0" w:line="80" w:lineRule="exact"/>
        <w:rPr>
          <w:rFonts w:ascii="Times New Roman" w:cs="Times New Roman" w:eastAsia="Times New Roman" w:hAnsi="Times New Roman"/>
          <w:sz w:val="16"/>
          <w:szCs w:val="16"/>
          <w:color w:val="auto"/>
        </w:rPr>
      </w:pPr>
    </w:p>
    <w:p>
      <w:pPr>
        <w:ind w:left="860" w:right="40" w:hanging="483"/>
        <w:spacing w:after="0" w:line="279" w:lineRule="auto"/>
        <w:tabs>
          <w:tab w:leader="none" w:pos="860"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 agrees, for the benefit of the Company and Goodwin Procter LLP, that it will (i) not offer and sell, or cause or permit to be offered or sold, any Shares in violation of federal and state securities laws, including, without limitation, prospectus delivery requirements of the Securities Act and (ii) immediately stop selling or transferring Shares pursuant to the Registration Statement upon receipt of written notice from the Company that the Registration Statement may not be used to effect offers, sales or other transfers of the Shares;</w:t>
      </w:r>
    </w:p>
    <w:p>
      <w:pPr>
        <w:spacing w:after="0" w:line="61" w:lineRule="exact"/>
        <w:rPr>
          <w:rFonts w:ascii="Times New Roman" w:cs="Times New Roman" w:eastAsia="Times New Roman" w:hAnsi="Times New Roman"/>
          <w:sz w:val="15"/>
          <w:szCs w:val="15"/>
          <w:color w:val="auto"/>
        </w:rPr>
      </w:pPr>
    </w:p>
    <w:p>
      <w:pPr>
        <w:jc w:val="both"/>
        <w:ind w:left="860" w:right="60" w:hanging="483"/>
        <w:spacing w:after="0" w:line="261" w:lineRule="auto"/>
        <w:tabs>
          <w:tab w:leader="none" w:pos="8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(or, in the case of individuals, Holder’s employer) has in place internal policies and procedures to monitor and ensure that no offer, sale or transfer of, or other transaction involving, the Shares is made in violation of the foregoing restrictions, and Holder will monitor all transactions involving the Shares for the purpose of ensuring that they comply with all federal and state securities laws;</w:t>
      </w:r>
    </w:p>
    <w:p>
      <w:pPr>
        <w:spacing w:after="0" w:line="73" w:lineRule="exact"/>
        <w:rPr>
          <w:rFonts w:ascii="Times New Roman" w:cs="Times New Roman" w:eastAsia="Times New Roman" w:hAnsi="Times New Roman"/>
          <w:sz w:val="16"/>
          <w:szCs w:val="16"/>
          <w:color w:val="auto"/>
        </w:rPr>
      </w:pPr>
    </w:p>
    <w:p>
      <w:pPr>
        <w:ind w:left="860" w:right="400" w:hanging="483"/>
        <w:spacing w:after="0" w:line="261" w:lineRule="auto"/>
        <w:tabs>
          <w:tab w:leader="none" w:pos="86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agrees that, in the event the Company in the future reasonably determines that the Shares should be evidenced by a certificate bearing appropriate restrictive transfer legends (and/or a book-entry including a notation of restricted security status) because the Registration Statement is not available for the resale of the Shares and the Shares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-1797050</wp:posOffset>
            </wp:positionV>
            <wp:extent cx="10033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0330" cy="7620"/>
                    </a:xfrm>
                    <a:prstGeom prst="rect">
                      <a:avLst/>
                    </a:prstGeom>
                    <a:noFill/>
                  </pic:spPr>
                </pic:pic>
              </a:graphicData>
            </a:graphic>
          </wp:anchor>
        </w:drawing>
      </w:r>
    </w:p>
    <w:p>
      <w:pPr>
        <w:sectPr>
          <w:pgSz w:w="11900" w:h="16838" w:orient="portrait"/>
          <w:cols w:equalWidth="0" w:num="1">
            <w:col w:w="9640"/>
          </w:cols>
          <w:pgMar w:left="1120" w:top="251" w:right="1139" w:bottom="1440" w:gutter="0" w:footer="0" w:header="0"/>
        </w:sectPr>
      </w:pPr>
    </w:p>
    <w:bookmarkStart w:id="175" w:name="page176"/>
    <w:bookmarkEnd w:id="175"/>
    <w:p>
      <w:pPr>
        <w:jc w:val="both"/>
        <w:ind w:left="540" w:right="2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eligible to be sold pursuant to Rule 144 promulgated under the Securities Act, the undersigned will take all reasonable action to cause all Shares it then owns or controls to be delivered promptly to the Company’s transfer agent in exchange for one or more stock certificates or warrant certificates bearing restrictive legends (and/or book-entries including a notation of restricted security status) deemed appropriate by the Company;</w:t>
      </w:r>
    </w:p>
    <w:p>
      <w:pPr>
        <w:spacing w:after="0" w:line="78" w:lineRule="exact"/>
        <w:rPr>
          <w:sz w:val="20"/>
          <w:szCs w:val="20"/>
          <w:color w:val="auto"/>
        </w:rPr>
      </w:pPr>
    </w:p>
    <w:p>
      <w:pPr>
        <w:ind w:left="540" w:right="80" w:hanging="483"/>
        <w:spacing w:after="0" w:line="254" w:lineRule="auto"/>
        <w:tabs>
          <w:tab w:leader="none" w:pos="5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acknowledges that the Shares shall remain “restricted securities” as that term is defined for purposes of the Securities Act notwithstanding the removal of their federal securities law restrictive legend, and Holder agrees that it will inform its brokers of the fact that such securities are “restricted securities” before any offer, sale or transfer of, or other transaction involving, the Shares. In addition, Holder shall notify the Company of all brokers in whose name, or on whose behalf, any of the Shares are being held on behalf of Holder; and</w:t>
      </w:r>
    </w:p>
    <w:p>
      <w:pPr>
        <w:spacing w:after="0" w:line="78" w:lineRule="exact"/>
        <w:rPr>
          <w:rFonts w:ascii="Times New Roman" w:cs="Times New Roman" w:eastAsia="Times New Roman" w:hAnsi="Times New Roman"/>
          <w:sz w:val="16"/>
          <w:szCs w:val="16"/>
          <w:color w:val="auto"/>
        </w:rPr>
      </w:pPr>
    </w:p>
    <w:p>
      <w:pPr>
        <w:ind w:left="540" w:hanging="483"/>
        <w:spacing w:after="0" w:line="254" w:lineRule="auto"/>
        <w:tabs>
          <w:tab w:leader="none" w:pos="54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 is familiar with the requirements for effecting resales or transfers of, or other transactions involving, the Shares in compliance with federal and state securities laws and acknowledges and agrees that the Company and Goodwin Procter LLP (together, the “</w:t>
      </w:r>
      <w:r>
        <w:rPr>
          <w:rFonts w:ascii="Times New Roman" w:cs="Times New Roman" w:eastAsia="Times New Roman" w:hAnsi="Times New Roman"/>
          <w:sz w:val="16"/>
          <w:szCs w:val="16"/>
          <w:u w:val="single" w:color="auto"/>
          <w:color w:val="auto"/>
        </w:rPr>
        <w:t>Indemnified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are relying on Holder’s representations and agreements in this letter. Holder will indemnify and hold harmless the Indemnified Parties against any and all loss, damage, claim, liability and expense arising out of or resulting from the breach of any such representation or agreement.</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[HOLDER]</w:t>
      </w:r>
    </w:p>
    <w:p>
      <w:pPr>
        <w:spacing w:after="0" w:line="1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13970</wp:posOffset>
            </wp:positionV>
            <wp:extent cx="212534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25345" cy="7620"/>
                    </a:xfrm>
                    <a:prstGeom prst="rect">
                      <a:avLst/>
                    </a:prstGeom>
                    <a:noFill/>
                  </pic:spPr>
                </pic:pic>
              </a:graphicData>
            </a:graphic>
          </wp:anchor>
        </w:drawing>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260"/>
          </w:cols>
          <w:pgMar w:left="1440" w:top="253" w:right="1199"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FORM OF CONTINGENT VALUE RIGHTS AGREEMENT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BETWEEN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[GEM]</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and</w:t>
      </w:r>
    </w:p>
    <w:p>
      <w:pPr>
        <w:spacing w:after="0" w:line="1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[______________]</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Dated as of [•]</w:t>
      </w:r>
    </w:p>
    <w:p>
      <w:pPr>
        <w:sectPr>
          <w:pgSz w:w="11900" w:h="16838" w:orient="portrait"/>
          <w:cols w:equalWidth="0" w:num="1">
            <w:col w:w="9019"/>
          </w:cols>
          <w:pgMar w:left="1440" w:top="251" w:right="1440" w:bottom="1440" w:gutter="0" w:footer="0" w:header="0"/>
        </w:sectPr>
      </w:pPr>
    </w:p>
    <w:bookmarkStart w:id="177" w:name="page178"/>
    <w:bookmarkEnd w:id="177"/>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FORM OF</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CONTINGENT VALUE RIGHTS AGREEMENT</w:t>
      </w:r>
    </w:p>
    <w:p>
      <w:pPr>
        <w:spacing w:after="0" w:line="194" w:lineRule="exact"/>
        <w:rPr>
          <w:sz w:val="20"/>
          <w:szCs w:val="20"/>
          <w:color w:val="auto"/>
        </w:rPr>
      </w:pPr>
    </w:p>
    <w:p>
      <w:pPr>
        <w:ind w:right="60" w:firstLine="386"/>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THIS CONTINGENT VALUE RIGHTS AGREEMENT </w:t>
      </w:r>
      <w:r>
        <w:rPr>
          <w:rFonts w:ascii="Times New Roman" w:cs="Times New Roman" w:eastAsia="Times New Roman" w:hAnsi="Times New Roman"/>
          <w:sz w:val="16"/>
          <w:szCs w:val="16"/>
          <w:color w:val="auto"/>
        </w:rPr>
        <w:t>(this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 is entered into by and among [Gem] a Delaware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[[___], as Holder’s Representative,] and [•], as initial Rights Agent (as defined herein).</w:t>
      </w: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PREAMBLE</w:t>
      </w:r>
    </w:p>
    <w:p>
      <w:pPr>
        <w:spacing w:after="0" w:line="196" w:lineRule="exact"/>
        <w:rPr>
          <w:sz w:val="20"/>
          <w:szCs w:val="20"/>
          <w:color w:val="auto"/>
        </w:rPr>
      </w:pPr>
    </w:p>
    <w:p>
      <w:pPr>
        <w:ind w:right="240" w:firstLine="386"/>
        <w:spacing w:after="0" w:line="256" w:lineRule="auto"/>
        <w:rPr>
          <w:sz w:val="20"/>
          <w:szCs w:val="20"/>
          <w:color w:val="auto"/>
        </w:rPr>
      </w:pPr>
      <w:r>
        <w:rPr>
          <w:rFonts w:ascii="Times New Roman" w:cs="Times New Roman" w:eastAsia="Times New Roman" w:hAnsi="Times New Roman"/>
          <w:sz w:val="16"/>
          <w:szCs w:val="16"/>
          <w:color w:val="auto"/>
        </w:rPr>
        <w:t>WHEREAS, Gem, [Gemstone Merger Sub, Inc.], a Delaware corporation and wholly-owned subsidiary of Gem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have entered into an Agreement and Plan of Merger and Reorganization, dated as of [•], 2022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pursuant to which Merger Sub will merge with and into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Company surviving the Merger as a wholly-owned subsidiary of Gem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firstLine="386"/>
        <w:spacing w:after="0" w:line="261" w:lineRule="auto"/>
        <w:rPr>
          <w:sz w:val="20"/>
          <w:szCs w:val="20"/>
          <w:color w:val="auto"/>
        </w:rPr>
      </w:pPr>
      <w:r>
        <w:rPr>
          <w:rFonts w:ascii="Times New Roman" w:cs="Times New Roman" w:eastAsia="Times New Roman" w:hAnsi="Times New Roman"/>
          <w:sz w:val="16"/>
          <w:szCs w:val="16"/>
          <w:color w:val="auto"/>
        </w:rPr>
        <w:t>WHEREAS, pursuant to the Merger Agreement, and in accordance with the terms and conditions thereof, Gem has agreed to provide to the Holders (as defined herein), who shall initially be Persons who are stockholders of Gem as of immediately prior to the Effective Time, contingent value rights as hereinafter described, by way of a dividend or distribution consistent with the Merger Agreement; and</w:t>
      </w:r>
    </w:p>
    <w:p>
      <w:pPr>
        <w:spacing w:after="0" w:line="157" w:lineRule="exact"/>
        <w:rPr>
          <w:sz w:val="20"/>
          <w:szCs w:val="20"/>
          <w:color w:val="auto"/>
        </w:rPr>
      </w:pPr>
    </w:p>
    <w:p>
      <w:pPr>
        <w:ind w:right="140" w:firstLine="386"/>
        <w:spacing w:after="0" w:line="276" w:lineRule="auto"/>
        <w:rPr>
          <w:sz w:val="20"/>
          <w:szCs w:val="20"/>
          <w:color w:val="auto"/>
        </w:rPr>
      </w:pPr>
      <w:r>
        <w:rPr>
          <w:rFonts w:ascii="Times New Roman" w:cs="Times New Roman" w:eastAsia="Times New Roman" w:hAnsi="Times New Roman"/>
          <w:sz w:val="16"/>
          <w:szCs w:val="16"/>
          <w:color w:val="auto"/>
        </w:rPr>
        <w:t>WHEREAS, the parties have done all things necessary to make the contingent value rights, when issued pursuant to the Merger Agreement and hereunder, the valid obligations of Gem and to make this Agreement a valid and binding agreement of Gem, in accordance with its terms.</w:t>
      </w:r>
    </w:p>
    <w:p>
      <w:pPr>
        <w:spacing w:after="0" w:line="145" w:lineRule="exact"/>
        <w:rPr>
          <w:sz w:val="20"/>
          <w:szCs w:val="20"/>
          <w:color w:val="auto"/>
        </w:rPr>
      </w:pPr>
    </w:p>
    <w:p>
      <w:pPr>
        <w:ind w:right="20" w:firstLine="386"/>
        <w:spacing w:after="0" w:line="276" w:lineRule="auto"/>
        <w:rPr>
          <w:sz w:val="20"/>
          <w:szCs w:val="20"/>
          <w:color w:val="auto"/>
        </w:rPr>
      </w:pPr>
      <w:r>
        <w:rPr>
          <w:rFonts w:ascii="Times New Roman" w:cs="Times New Roman" w:eastAsia="Times New Roman" w:hAnsi="Times New Roman"/>
          <w:sz w:val="16"/>
          <w:szCs w:val="16"/>
          <w:color w:val="auto"/>
        </w:rPr>
        <w:t>NOW, THEREFORE, in consideration of the premises and the consummation of the transactions referred to above, it is mutually covenanted and agreed, for the proportionate benefit of all Holders, as follows:</w:t>
      </w: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60" w:firstLine="386"/>
        <w:spacing w:after="0" w:line="276" w:lineRule="auto"/>
        <w:rPr>
          <w:sz w:val="20"/>
          <w:szCs w:val="20"/>
          <w:color w:val="auto"/>
        </w:rPr>
      </w:pPr>
      <w:r>
        <w:rPr>
          <w:rFonts w:ascii="Times New Roman" w:cs="Times New Roman" w:eastAsia="Times New Roman" w:hAnsi="Times New Roman"/>
          <w:sz w:val="16"/>
          <w:szCs w:val="16"/>
          <w:color w:val="auto"/>
        </w:rPr>
        <w:t>Capitalized terms used but not otherwise defined herein have the meanings ascribed thereto in the Merger Agreement. The following terms have the meanings ascribed to them as follows: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Acting Holders</w:t>
      </w:r>
      <w:r>
        <w:rPr>
          <w:rFonts w:ascii="Times New Roman" w:cs="Times New Roman" w:eastAsia="Times New Roman" w:hAnsi="Times New Roman"/>
          <w:sz w:val="16"/>
          <w:szCs w:val="16"/>
          <w:color w:val="auto"/>
        </w:rPr>
        <w:t>” means, at the time of determination, Holders of at least 25% of the outstanding CVRs as set forth on the CVR Register.</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Assignee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7.5</w:t>
      </w:r>
    </w:p>
    <w:p>
      <w:pPr>
        <w:sectPr>
          <w:pgSz w:w="11900" w:h="16838" w:orient="portrait"/>
          <w:cols w:equalWidth="0" w:num="1">
            <w:col w:w="9560"/>
          </w:cols>
          <w:pgMar w:left="1120" w:top="251" w:right="1219" w:bottom="1440" w:gutter="0" w:footer="0" w:header="0"/>
        </w:sectPr>
      </w:pPr>
    </w:p>
    <w:bookmarkStart w:id="178" w:name="page179"/>
    <w:bookmarkEnd w:id="178"/>
    <w:p>
      <w:pPr>
        <w:ind w:left="1" w:firstLine="386"/>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Calendar Quarter</w:t>
      </w:r>
      <w:r>
        <w:rPr>
          <w:rFonts w:ascii="Times New Roman" w:cs="Times New Roman" w:eastAsia="Times New Roman" w:hAnsi="Times New Roman"/>
          <w:sz w:val="16"/>
          <w:szCs w:val="16"/>
          <w:color w:val="auto"/>
        </w:rPr>
        <w:t>” means the successive periods of three (3) consecutive calendar months ending on March 31, June 30, September 30 or December 31, for so long as this Agreement is in effect; provided, however that (a) the first Calendar Quarter shall commence on the date of this Agreement and shall end on the first December 31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w:t>
      </w:r>
    </w:p>
    <w:p>
      <w:pPr>
        <w:spacing w:after="0" w:line="16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w:t>
      </w:r>
      <w:r>
        <w:rPr>
          <w:rFonts w:ascii="Times New Roman" w:cs="Times New Roman" w:eastAsia="Times New Roman" w:hAnsi="Times New Roman"/>
          <w:sz w:val="16"/>
          <w:szCs w:val="16"/>
          <w:color w:val="auto"/>
        </w:rPr>
        <w:t>” means a contingent contractual right of Holders to receive CVR Payments pursuant to the Merger Agreement and this Agreement.</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CVR Payment</w:t>
      </w:r>
      <w:r>
        <w:rPr>
          <w:rFonts w:ascii="Times New Roman" w:cs="Times New Roman" w:eastAsia="Times New Roman" w:hAnsi="Times New Roman"/>
          <w:sz w:val="15"/>
          <w:szCs w:val="15"/>
          <w:color w:val="auto"/>
        </w:rPr>
        <w:t>” means a number of shares of Gem Common Stock equal to (i) the CVR Proceeds for an applicable Calendar Quarter, divided by</w:t>
      </w:r>
    </w:p>
    <w:p>
      <w:pPr>
        <w:spacing w:after="0" w:line="34" w:lineRule="exact"/>
        <w:rPr>
          <w:sz w:val="20"/>
          <w:szCs w:val="20"/>
          <w:color w:val="auto"/>
        </w:rPr>
      </w:pPr>
    </w:p>
    <w:p>
      <w:pPr>
        <w:ind w:left="1" w:right="120" w:hanging="1"/>
        <w:spacing w:after="0" w:line="253" w:lineRule="auto"/>
        <w:tabs>
          <w:tab w:leader="none" w:pos="233"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volume weighted average of their closing market prices for the five (5) trading days ending the day prior to the date of issuance pursuant to this Agreement.</w:t>
      </w:r>
    </w:p>
    <w:p>
      <w:pPr>
        <w:spacing w:after="0" w:line="16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Period</w:t>
      </w:r>
      <w:r>
        <w:rPr>
          <w:rFonts w:ascii="Times New Roman" w:cs="Times New Roman" w:eastAsia="Times New Roman" w:hAnsi="Times New Roman"/>
          <w:sz w:val="16"/>
          <w:szCs w:val="16"/>
          <w:color w:val="auto"/>
        </w:rPr>
        <w:t>” means the period beginning immediately following the Effective Time and ending on the tenth anniversary of the Closing Date.</w:t>
      </w:r>
    </w:p>
    <w:p>
      <w:pPr>
        <w:spacing w:after="0" w:line="194" w:lineRule="exact"/>
        <w:rPr>
          <w:sz w:val="20"/>
          <w:szCs w:val="20"/>
          <w:color w:val="auto"/>
        </w:rPr>
      </w:pPr>
    </w:p>
    <w:p>
      <w:pPr>
        <w:jc w:val="both"/>
        <w:ind w:left="1" w:right="22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Proceeds</w:t>
      </w:r>
      <w:r>
        <w:rPr>
          <w:rFonts w:ascii="Times New Roman" w:cs="Times New Roman" w:eastAsia="Times New Roman" w:hAnsi="Times New Roman"/>
          <w:sz w:val="16"/>
          <w:szCs w:val="16"/>
          <w:color w:val="auto"/>
        </w:rPr>
        <w:t>” means the amount of Gross Proceeds received by Gem during an applicable Calendar Quarter, less the applicable accrued and reasonably documented Permitted Deductions, in each case as calculated in accordance with GAAP using the policies, methodologies, processes and procedures used to prepare Gem’s most recent year-end financial statements prior to the commencement of such Calendar Quarter.</w:t>
      </w:r>
    </w:p>
    <w:p>
      <w:pPr>
        <w:spacing w:after="0" w:line="157"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4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 means the sale, license, transfer, disposition or other monetizing event of any Potentially Transferable Asset (including any such sale or disposition or monetizing event of equity securities in any Subsidiary established by Gem during the Disposition Period to hold any right, title or interest in or to any Potentially Transferable Asset), in each case during the Disposition Period.</w:t>
      </w:r>
    </w:p>
    <w:p>
      <w:pPr>
        <w:spacing w:after="0" w:line="157" w:lineRule="exact"/>
        <w:rPr>
          <w:sz w:val="20"/>
          <w:szCs w:val="20"/>
          <w:color w:val="auto"/>
        </w:rPr>
      </w:pPr>
    </w:p>
    <w:p>
      <w:pPr>
        <w:ind w:left="1" w:right="74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 Period</w:t>
      </w:r>
      <w:r>
        <w:rPr>
          <w:rFonts w:ascii="Times New Roman" w:cs="Times New Roman" w:eastAsia="Times New Roman" w:hAnsi="Times New Roman"/>
          <w:sz w:val="16"/>
          <w:szCs w:val="16"/>
          <w:color w:val="auto"/>
        </w:rPr>
        <w:t>” means the period beginning on the execution date of the Merger Agreement and ending on the date that is twelve-months after the Closing Date.</w:t>
      </w:r>
    </w:p>
    <w:p>
      <w:pPr>
        <w:spacing w:after="0" w:line="145" w:lineRule="exact"/>
        <w:rPr>
          <w:sz w:val="20"/>
          <w:szCs w:val="20"/>
          <w:color w:val="auto"/>
        </w:rPr>
      </w:pPr>
    </w:p>
    <w:p>
      <w:pPr>
        <w:ind w:left="1" w:right="20" w:firstLine="386"/>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Gross Proceeds</w:t>
      </w:r>
      <w:r>
        <w:rPr>
          <w:rFonts w:ascii="Times New Roman" w:cs="Times New Roman" w:eastAsia="Times New Roman" w:hAnsi="Times New Roman"/>
          <w:sz w:val="16"/>
          <w:szCs w:val="16"/>
          <w:color w:val="auto"/>
        </w:rPr>
        <w:t>” means, without duplication, any and all consideration of any kind that is paid to Gem, or is received by, Gem or any of its Affiliates during the CVR Period in respect of a Disposition. The value of any securities (whether debt or equity) or other non-cash property constituting Gross Proceeds shall be determined as follows: (A) the value of securities for which there is an established public market shall be equal to the volume weighted average of their closing market prices for the five (5) trading days ending the day prior to the date of payment to, or receipt by, Gem or its relevant Affiliate, and (B) the value of securities that have no established public market and the value of consideration that consists of other non-cash property, shall be the fair market value thereof as of the date of payment to, or receipt by, Gem or its relevant Affiliate.</w:t>
      </w:r>
    </w:p>
    <w:p>
      <w:pPr>
        <w:sectPr>
          <w:pgSz w:w="11900" w:h="16838" w:orient="portrait"/>
          <w:cols w:equalWidth="0" w:num="1">
            <w:col w:w="9641"/>
          </w:cols>
          <w:pgMar w:left="1119" w:top="253" w:right="1139" w:bottom="1440" w:gutter="0" w:footer="0" w:header="0"/>
        </w:sectPr>
      </w:pPr>
    </w:p>
    <w:bookmarkStart w:id="179" w:name="page180"/>
    <w:bookmarkEnd w:id="179"/>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means, at the relevant time, a Person in whose name CVRs are registered in the CVR Register.</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Majority of Holders</w:t>
      </w:r>
      <w:r>
        <w:rPr>
          <w:rFonts w:ascii="Times New Roman" w:cs="Times New Roman" w:eastAsia="Times New Roman" w:hAnsi="Times New Roman"/>
          <w:sz w:val="16"/>
          <w:szCs w:val="16"/>
          <w:color w:val="auto"/>
        </w:rPr>
        <w:t>” means, at any time, the registered Holder or Holders of more than 50% of the total number of CVRs registered at such time, as set forth on the CVR Register.</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18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Officer’s Certificate</w:t>
      </w:r>
      <w:r>
        <w:rPr>
          <w:rFonts w:ascii="Times New Roman" w:cs="Times New Roman" w:eastAsia="Times New Roman" w:hAnsi="Times New Roman"/>
          <w:sz w:val="16"/>
          <w:szCs w:val="16"/>
          <w:color w:val="auto"/>
        </w:rPr>
        <w:t>” means a certificate signed by the chief executive officer and the chief financial officer of Gem, in their respective official capacities.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Deductions</w:t>
      </w:r>
      <w:r>
        <w:rPr>
          <w:rFonts w:ascii="Times New Roman" w:cs="Times New Roman" w:eastAsia="Times New Roman" w:hAnsi="Times New Roman"/>
          <w:sz w:val="16"/>
          <w:szCs w:val="16"/>
          <w:color w:val="auto"/>
        </w:rPr>
        <w:t>” means the following costs or expenses, without duplication:</w:t>
      </w:r>
    </w:p>
    <w:p>
      <w:pPr>
        <w:spacing w:after="0" w:line="100" w:lineRule="exact"/>
        <w:rPr>
          <w:sz w:val="20"/>
          <w:szCs w:val="20"/>
          <w:color w:val="auto"/>
        </w:rPr>
      </w:pPr>
    </w:p>
    <w:p>
      <w:pPr>
        <w:ind w:right="20" w:firstLine="867"/>
        <w:spacing w:after="0" w:line="250" w:lineRule="auto"/>
        <w:tabs>
          <w:tab w:leader="none" w:pos="1083"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applicable Tax (including any unreimbursed applicable value added or sales taxes) imposed on Gross Proceeds and payable by Gem, the Company or any of their respective Affiliates (regardless of whether the due date for such Taxes arises during or after the Disposition Period) to any tax authority and, without duplication, any income or other similar Taxes payable by Gem, the Company or any of their respective Affiliates that would not have been incurred by Gem, the Company or any of their respective Affiliates but for the Gross Proceeds; provided that, for purposes of calculating income Taxes incurred by Gem, the Company or any of their respective Affiliates in respect of the Gross Proceeds, any such income Taxes shall be computed after taking into account any net operating loss carryforwards or other Tax attributes (including Tax credits) of Gem, the Company or any of their respective Affiliates as of the Closing Date that are available to offset such gain after taking into account any limits of the usability of such attributes, including under Section 382 of the Code (as defined herein) as reasonably determined by a nationally recognized tax advisor (and for the sake of clarity such income taxes shall be calculated without taking into account any net operating losses or other Tax attributes generated by Gem, the Company or any of their respective Affiliates after the Closing Date);</w:t>
      </w:r>
    </w:p>
    <w:p>
      <w:pPr>
        <w:spacing w:after="0" w:line="70" w:lineRule="exact"/>
        <w:rPr>
          <w:rFonts w:ascii="Times New Roman" w:cs="Times New Roman" w:eastAsia="Times New Roman" w:hAnsi="Times New Roman"/>
          <w:sz w:val="16"/>
          <w:szCs w:val="16"/>
          <w:color w:val="auto"/>
        </w:rPr>
      </w:pPr>
    </w:p>
    <w:p>
      <w:pPr>
        <w:ind w:right="40" w:firstLine="867"/>
        <w:spacing w:after="0" w:line="254" w:lineRule="auto"/>
        <w:tabs>
          <w:tab w:leader="none" w:pos="1092"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reasonable and documented out-of-pocket expenses incurred by Gem or any of its Affiliates in respect of its performance of this Agreement following the Closing Date or in respect of its performance of any agreement in connection with any Potentially Transferable Asset, including any costs related to the prosecution, maintenance or enforcement by Gem or any of its Subsidiaries of the intellectual property rights of any such Potentially Transferable Asset (but excluding any costs related to a breach of this Agreement, including costs incurred in litigation in respect of the same);</w:t>
      </w:r>
    </w:p>
    <w:p>
      <w:pPr>
        <w:spacing w:after="0" w:line="67" w:lineRule="exact"/>
        <w:rPr>
          <w:rFonts w:ascii="Times New Roman" w:cs="Times New Roman" w:eastAsia="Times New Roman" w:hAnsi="Times New Roman"/>
          <w:sz w:val="16"/>
          <w:szCs w:val="16"/>
          <w:color w:val="auto"/>
        </w:rPr>
      </w:pPr>
    </w:p>
    <w:p>
      <w:pPr>
        <w:ind w:right="160" w:firstLine="867"/>
        <w:spacing w:after="0" w:line="256" w:lineRule="auto"/>
        <w:tabs>
          <w:tab w:leader="none" w:pos="1083"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reasonable and documented out-of-pocket expenses incurred or accrued by Gem or any of its Affiliates in connection with the negotiation, entry into and closing of any Disposition of any Potentially Transferable Asset, including any brokerage fee, finder’s fee, opinion fee, success fee, transaction fee, service fee or other fee, commission or expense owed to any broker, finder, investment bank, auditor, accountant, counsel, advisor or other third party acting on behalf of Gem or its Affiliates in relation thereto;</w:t>
      </w:r>
    </w:p>
    <w:p>
      <w:pPr>
        <w:sectPr>
          <w:pgSz w:w="11900" w:h="16838" w:orient="portrait"/>
          <w:cols w:equalWidth="0" w:num="1">
            <w:col w:w="9640"/>
          </w:cols>
          <w:pgMar w:left="1120" w:top="253" w:right="1139" w:bottom="1440" w:gutter="0" w:footer="0" w:header="0"/>
        </w:sectPr>
      </w:pPr>
    </w:p>
    <w:bookmarkStart w:id="180" w:name="page181"/>
    <w:bookmarkEnd w:id="180"/>
    <w:p>
      <w:pPr>
        <w:ind w:right="40" w:firstLine="867"/>
        <w:spacing w:after="0" w:line="261" w:lineRule="auto"/>
        <w:tabs>
          <w:tab w:leader="none" w:pos="109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any Losses incurred and paid by Gem or any of its Affiliates arising out of any third party claims, demands, actions or other proceedings relating to or in connection with any Disposition, including Losses actually incurred or paid (or reasonably expected to be actually incurred or paid) in connection with indemnification obligations of Gem or any of its Affiliates set forth in any Sale Agreement;</w:t>
      </w:r>
    </w:p>
    <w:p>
      <w:pPr>
        <w:spacing w:after="0" w:line="62" w:lineRule="exact"/>
        <w:rPr>
          <w:rFonts w:ascii="Times New Roman" w:cs="Times New Roman" w:eastAsia="Times New Roman" w:hAnsi="Times New Roman"/>
          <w:sz w:val="16"/>
          <w:szCs w:val="16"/>
          <w:color w:val="auto"/>
        </w:rPr>
      </w:pPr>
    </w:p>
    <w:p>
      <w:pPr>
        <w:ind w:right="220" w:firstLine="867"/>
        <w:spacing w:after="0" w:line="261" w:lineRule="auto"/>
        <w:tabs>
          <w:tab w:leader="none" w:pos="1083"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borne by Gem or any of its Affiliates pursuant to Contracts related to Potentially Transferable Assets, including costs arising from the termination thereof (in each case only to the extent not included in the calculation of Gem Net Cash (as defined in the Merger Agreement); and</w:t>
      </w:r>
    </w:p>
    <w:p>
      <w:pPr>
        <w:spacing w:after="0" w:line="62" w:lineRule="exact"/>
        <w:rPr>
          <w:rFonts w:ascii="Times New Roman" w:cs="Times New Roman" w:eastAsia="Times New Roman" w:hAnsi="Times New Roman"/>
          <w:sz w:val="16"/>
          <w:szCs w:val="16"/>
          <w:color w:val="auto"/>
        </w:rPr>
      </w:pPr>
    </w:p>
    <w:p>
      <w:pPr>
        <w:ind w:firstLine="867"/>
        <w:spacing w:after="0" w:line="254" w:lineRule="auto"/>
        <w:tabs>
          <w:tab w:leader="none" w:pos="1065"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which Gem reasonably and in good faith determines (with the approval of the Special Committee) should have been, but were not, deducted from “Gem Net Cash” (as defined in the Merger Agreement) pursuant to clause (B) of such definition, in connection with the Closing of the Merger, to the extent that deduction of such Liabilities would have resulted in a change in the Exchange Ratio under the Merger Agreement were such amounts properly deducted (including after giving effect to the Higher Gem Net Cash Amount and the Lower Gem Net Cash Amount);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provided that (a) no Permitted Deductions shall be deducted until the aggregate amount of Permitted Deductions exceeds the CVR Expenditure Amount and (b) no Permitted Deductions shall be deducted if they are otherwise deducted from the calculation of Gem Net Cash (as defined in the Merger Agreement).</w:t>
      </w:r>
    </w:p>
    <w:p>
      <w:pPr>
        <w:spacing w:after="0" w:line="155" w:lineRule="exact"/>
        <w:rPr>
          <w:sz w:val="20"/>
          <w:szCs w:val="20"/>
          <w:color w:val="auto"/>
        </w:rPr>
      </w:pPr>
    </w:p>
    <w:p>
      <w:pPr>
        <w:ind w:firstLine="386"/>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w:t>
      </w:r>
      <w:r>
        <w:rPr>
          <w:rFonts w:ascii="Times New Roman" w:cs="Times New Roman" w:eastAsia="Times New Roman" w:hAnsi="Times New Roman"/>
          <w:sz w:val="16"/>
          <w:szCs w:val="16"/>
          <w:color w:val="auto"/>
        </w:rPr>
        <w:t xml:space="preserve">” means a Transfer of one or more CVRs (i) upon death of a Holder by will or intestacy; (ii) by instrument to an </w:t>
      </w:r>
      <w:r>
        <w:rPr>
          <w:rFonts w:ascii="Times New Roman" w:cs="Times New Roman" w:eastAsia="Times New Roman" w:hAnsi="Times New Roman"/>
          <w:sz w:val="16"/>
          <w:szCs w:val="16"/>
          <w:i w:val="1"/>
          <w:iCs w:val="1"/>
          <w:color w:val="auto"/>
        </w:rPr>
        <w:t>inter vivos</w:t>
      </w:r>
      <w:r>
        <w:rPr>
          <w:rFonts w:ascii="Times New Roman" w:cs="Times New Roman" w:eastAsia="Times New Roman" w:hAnsi="Times New Roman"/>
          <w:sz w:val="16"/>
          <w:szCs w:val="16"/>
          <w:color w:val="auto"/>
        </w:rPr>
        <w:t xml:space="preserve"> or testamentary trust in which the CVRs are to be passed to beneficiaries upon the death of the trustee; (iii) made pursuant to a court order of a court of competent jurisdiction (such as in connection with divorce, bankruptcy or liquidation); (iv) if the Holder is a partnership or limited liability company, a distribution by the transferring partnership or limited liability company to its partners or members, as applicable (v) made by operation of law (including a consolidation or merger) or without consideration in connection with the dissolution, liquidation or termination of any corporation, limited liability company, partnership or other entity; (vi) in the case of CVRs payable to a nominee, from a nominee to a beneficial owner (and, if applicable, through an intermediary) or from such nominee to another nominee for the same beneficial owner, in each case as permitted by The Depository Trust Company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xml:space="preserve">”); (vii) to Gem or its Affiliates; or (viii) as provided in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right="58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mean any individual, partnership, joint venture, limited liability company, firm, corporation, unincorporated association or organization, trust or other entity, and shall include any successor (by merger or otherwise) of any such Person.</w:t>
      </w:r>
    </w:p>
    <w:p>
      <w:pPr>
        <w:spacing w:after="0" w:line="145" w:lineRule="exact"/>
        <w:rPr>
          <w:sz w:val="20"/>
          <w:szCs w:val="20"/>
          <w:color w:val="auto"/>
        </w:rPr>
      </w:pPr>
    </w:p>
    <w:p>
      <w:pPr>
        <w:ind w:right="2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Potentially Transferrable Asset</w:t>
      </w:r>
      <w:r>
        <w:rPr>
          <w:rFonts w:ascii="Times New Roman" w:cs="Times New Roman" w:eastAsia="Times New Roman" w:hAnsi="Times New Roman"/>
          <w:sz w:val="16"/>
          <w:szCs w:val="16"/>
          <w:color w:val="auto"/>
        </w:rPr>
        <w:t>” means any and all assets, tangible and intangible, including, without limitation, patents, patent applications, know-how, trade secrets and other intellectual property rights, data, documentation, agreements and licenses, inventory related to drug products and raw materials, and biological materials, which Gem or any of its Subsidiaries owned or had rights to, as of immediately prior to the Effective Time.</w:t>
      </w:r>
    </w:p>
    <w:p>
      <w:pPr>
        <w:sectPr>
          <w:pgSz w:w="11900" w:h="16838" w:orient="portrait"/>
          <w:cols w:equalWidth="0" w:num="1">
            <w:col w:w="9620"/>
          </w:cols>
          <w:pgMar w:left="1120" w:top="253" w:right="1159" w:bottom="1440" w:gutter="0" w:footer="0" w:header="0"/>
        </w:sectPr>
      </w:pPr>
    </w:p>
    <w:bookmarkStart w:id="181" w:name="page182"/>
    <w:bookmarkEnd w:id="181"/>
    <w:p>
      <w:pPr>
        <w:ind w:right="80" w:firstLine="386"/>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Rights Agent</w:t>
      </w:r>
      <w:r>
        <w:rPr>
          <w:rFonts w:ascii="Times New Roman" w:cs="Times New Roman" w:eastAsia="Times New Roman" w:hAnsi="Times New Roman"/>
          <w:sz w:val="16"/>
          <w:szCs w:val="16"/>
          <w:color w:val="auto"/>
        </w:rPr>
        <w:t>” means the Rights Agent named in the first paragraph of this Agreement, until a successor Rights Agent shall have been appointed pursuant to Article 3 of this Agreement, and thereafter “Rights Agent” will mean such successor Rights Agent.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Sale Agreement</w:t>
      </w:r>
      <w:r>
        <w:rPr>
          <w:rFonts w:ascii="Times New Roman" w:cs="Times New Roman" w:eastAsia="Times New Roman" w:hAnsi="Times New Roman"/>
          <w:sz w:val="16"/>
          <w:szCs w:val="16"/>
          <w:color w:val="auto"/>
        </w:rPr>
        <w:t>” has the meaning set forth in Section 4.2.</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Special Committee</w:t>
      </w:r>
      <w:r>
        <w:rPr>
          <w:rFonts w:ascii="Times New Roman" w:cs="Times New Roman" w:eastAsia="Times New Roman" w:hAnsi="Times New Roman"/>
          <w:sz w:val="16"/>
          <w:szCs w:val="16"/>
          <w:color w:val="auto"/>
        </w:rPr>
        <w:t>” has the meaning set forth in Section 4.2.</w:t>
      </w:r>
    </w:p>
    <w:p>
      <w:pPr>
        <w:spacing w:after="0" w:line="194" w:lineRule="exact"/>
        <w:rPr>
          <w:sz w:val="20"/>
          <w:szCs w:val="20"/>
          <w:color w:val="auto"/>
        </w:rPr>
      </w:pPr>
    </w:p>
    <w:p>
      <w:pPr>
        <w:ind w:right="24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CONTINGENT VALUE RIGHTS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i w:val="1"/>
          <w:iCs w:val="1"/>
          <w:color w:val="auto"/>
        </w:rPr>
        <w:t>Holders of CVRs; Appointment of Rights Agent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right="160" w:firstLine="867"/>
        <w:spacing w:after="0" w:line="261" w:lineRule="auto"/>
        <w:tabs>
          <w:tab w:leader="none" w:pos="1083"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CVRs shall be issued and distributed by Gem in the form of a dividend, in connection with the Merger, to the Persons who as of immediately prior to the Effective Time are stockholders of record of Gem or have the right to receive Gem Common Stock as of immediately prior to the Effective Time, as contemplated by the Merger Agreement.</w:t>
      </w:r>
    </w:p>
    <w:p>
      <w:pPr>
        <w:spacing w:after="0" w:line="62" w:lineRule="exact"/>
        <w:rPr>
          <w:rFonts w:ascii="Times New Roman" w:cs="Times New Roman" w:eastAsia="Times New Roman" w:hAnsi="Times New Roman"/>
          <w:sz w:val="16"/>
          <w:szCs w:val="16"/>
          <w:color w:val="auto"/>
        </w:rPr>
      </w:pPr>
    </w:p>
    <w:p>
      <w:pPr>
        <w:ind w:right="140" w:firstLine="867"/>
        <w:spacing w:after="0" w:line="276" w:lineRule="auto"/>
        <w:tabs>
          <w:tab w:leader="none" w:pos="1092"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hereby appoints the Rights Agent to act as rights agent for Gem in accordance with the express terms and conditions set forth in this Agreement, and the Rights Agent hereby accepts such appointment.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i w:val="1"/>
          <w:iCs w:val="1"/>
          <w:color w:val="auto"/>
        </w:rPr>
        <w:t>Non-transferable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386"/>
        <w:spacing w:after="0" w:line="310" w:lineRule="auto"/>
        <w:rPr>
          <w:sz w:val="20"/>
          <w:szCs w:val="20"/>
          <w:color w:val="auto"/>
        </w:rPr>
      </w:pPr>
      <w:r>
        <w:rPr>
          <w:rFonts w:ascii="Times New Roman" w:cs="Times New Roman" w:eastAsia="Times New Roman" w:hAnsi="Times New Roman"/>
          <w:sz w:val="15"/>
          <w:szCs w:val="15"/>
          <w:color w:val="auto"/>
        </w:rPr>
        <w:t xml:space="preserve">A Holder may not at any time Transfer CVRs, other than pursuant to a Permitted Transfer. Any attempted Transfer that is not a Permitted Transfer, in whole or in part, will be void </w:t>
      </w:r>
      <w:r>
        <w:rPr>
          <w:rFonts w:ascii="Times New Roman" w:cs="Times New Roman" w:eastAsia="Times New Roman" w:hAnsi="Times New Roman"/>
          <w:sz w:val="15"/>
          <w:szCs w:val="15"/>
          <w:i w:val="1"/>
          <w:iCs w:val="1"/>
          <w:color w:val="auto"/>
        </w:rPr>
        <w:t>ab initio</w:t>
      </w:r>
      <w:r>
        <w:rPr>
          <w:rFonts w:ascii="Times New Roman" w:cs="Times New Roman" w:eastAsia="Times New Roman" w:hAnsi="Times New Roman"/>
          <w:sz w:val="15"/>
          <w:szCs w:val="15"/>
          <w:color w:val="auto"/>
        </w:rPr>
        <w:t xml:space="preserve"> and of no effect. The CVRs will not be listed on any quotation system or traded on any securities exchange.</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i w:val="1"/>
          <w:iCs w:val="1"/>
          <w:color w:val="auto"/>
        </w:rPr>
        <w:t>No Certificate; Registration; Registration of Transfer; Change of Address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080" w:hanging="213"/>
        <w:spacing w:after="0"/>
        <w:tabs>
          <w:tab w:leader="none" w:pos="10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rights and obligations in respect of CVRs derive solely from this Agreement; CVRs will not be evidenced by a certificate or</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instrument.</w:t>
      </w:r>
    </w:p>
    <w:p>
      <w:pPr>
        <w:sectPr>
          <w:pgSz w:w="11900" w:h="16838" w:orient="portrait"/>
          <w:cols w:equalWidth="0" w:num="1">
            <w:col w:w="9640"/>
          </w:cols>
          <w:pgMar w:left="1120" w:top="253" w:right="1139" w:bottom="1440" w:gutter="0" w:footer="0" w:header="0"/>
        </w:sectPr>
      </w:pPr>
    </w:p>
    <w:bookmarkStart w:id="182" w:name="page183"/>
    <w:bookmarkEnd w:id="182"/>
    <w:p>
      <w:pPr>
        <w:ind w:left="1101" w:hanging="233"/>
        <w:spacing w:after="0"/>
        <w:tabs>
          <w:tab w:leader="none" w:pos="1101"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Rights Agent will maintain an up-to-date register (the “</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for the purposes of (i) identifying the Holders of CVRs,</w:t>
      </w:r>
    </w:p>
    <w:p>
      <w:pPr>
        <w:spacing w:after="0" w:line="22" w:lineRule="exact"/>
        <w:rPr>
          <w:rFonts w:ascii="Times New Roman" w:cs="Times New Roman" w:eastAsia="Times New Roman" w:hAnsi="Times New Roman"/>
          <w:sz w:val="16"/>
          <w:szCs w:val="16"/>
          <w:color w:val="auto"/>
        </w:rPr>
      </w:pPr>
    </w:p>
    <w:p>
      <w:pPr>
        <w:ind w:left="1" w:right="60" w:hanging="1"/>
        <w:spacing w:after="0" w:line="248" w:lineRule="auto"/>
        <w:tabs>
          <w:tab w:leader="none" w:pos="233"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Holders’ entitlement to CVRs and (iii) registering the CVRs and Permitted Transfers thereof. The CVR Register will initially show one position for the Rights Agent representing all of the CVRs provided to the holders of shares of Gem Common Stock held immediately prior to Closing. Gem and the Rights Agent may require evidence of payment of a sum sufficient to cover any stamp, documentary, registration, or other tax or governmental charge that is imposed in connection with (and would not have been imposed in connection with (and would have been imposed but for)) any such registration of transfer (or evidence that such taxes and charges are not applicable).</w:t>
      </w:r>
    </w:p>
    <w:p>
      <w:pPr>
        <w:spacing w:after="0" w:line="72" w:lineRule="exact"/>
        <w:rPr>
          <w:rFonts w:ascii="Times New Roman" w:cs="Times New Roman" w:eastAsia="Times New Roman" w:hAnsi="Times New Roman"/>
          <w:sz w:val="16"/>
          <w:szCs w:val="16"/>
          <w:color w:val="auto"/>
        </w:rPr>
      </w:pPr>
    </w:p>
    <w:p>
      <w:pPr>
        <w:ind w:left="1" w:right="20" w:firstLine="867"/>
        <w:spacing w:after="0" w:line="249" w:lineRule="auto"/>
        <w:tabs>
          <w:tab w:leader="none" w:pos="1084"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restriction on transferability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every request made to Transfer CVRs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CVRs in the CVR Register. All Transfers of CVRs registered in the CVR Register will be the valid obligations of Gem, evidencing the same right, and entitling the transferee to the same benefits and rights under this Agreement, as those held by the transferor. No transfer of CVRs shall be valid until registered in the CVR Register and any transfer not duly registered in the CVR Register shall be void. Gem shall not be responsible for any costs and expenses related to any transfer or assignment of the CVRs (including the cost of any transfer tax).</w:t>
      </w:r>
    </w:p>
    <w:p>
      <w:pPr>
        <w:spacing w:after="0" w:line="74" w:lineRule="exact"/>
        <w:rPr>
          <w:rFonts w:ascii="Times New Roman" w:cs="Times New Roman" w:eastAsia="Times New Roman" w:hAnsi="Times New Roman"/>
          <w:sz w:val="16"/>
          <w:szCs w:val="16"/>
          <w:color w:val="auto"/>
        </w:rPr>
      </w:pPr>
    </w:p>
    <w:p>
      <w:pPr>
        <w:ind w:left="1" w:right="20" w:firstLine="867"/>
        <w:spacing w:after="0" w:line="261" w:lineRule="auto"/>
        <w:tabs>
          <w:tab w:leader="none" w:pos="1093"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w:t>
      </w:r>
    </w:p>
    <w:p>
      <w:pPr>
        <w:spacing w:after="0" w:line="15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i w:val="1"/>
          <w:iCs w:val="1"/>
          <w:color w:val="auto"/>
        </w:rPr>
        <w:t>Payment Procedures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 w:right="40" w:firstLine="867"/>
        <w:spacing w:after="0" w:line="275" w:lineRule="auto"/>
        <w:tabs>
          <w:tab w:leader="none" w:pos="1084" w:val="left"/>
        </w:tabs>
        <w:numPr>
          <w:ilvl w:val="1"/>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later than forty-five (45) days following the end of each Calendar Quarter following the Closing, Gem shall (i) deliver to the Rights Agent, a certificate (each, a “</w:t>
      </w:r>
      <w:r>
        <w:rPr>
          <w:rFonts w:ascii="Times New Roman" w:cs="Times New Roman" w:eastAsia="Times New Roman" w:hAnsi="Times New Roman"/>
          <w:sz w:val="15"/>
          <w:szCs w:val="15"/>
          <w:u w:val="single" w:color="auto"/>
          <w:color w:val="auto"/>
        </w:rPr>
        <w:t>CVR Certificate</w:t>
      </w:r>
      <w:r>
        <w:rPr>
          <w:rFonts w:ascii="Times New Roman" w:cs="Times New Roman" w:eastAsia="Times New Roman" w:hAnsi="Times New Roman"/>
          <w:sz w:val="15"/>
          <w:szCs w:val="15"/>
          <w:color w:val="auto"/>
        </w:rPr>
        <w:t>”) certifying to and specifying in reasonable detail, for such Calendar Quarter, the aggregate amount of</w:t>
      </w:r>
    </w:p>
    <w:p>
      <w:pPr>
        <w:ind w:left="1" w:hanging="1"/>
        <w:spacing w:after="0" w:line="248" w:lineRule="auto"/>
        <w:tabs>
          <w:tab w:leader="none" w:pos="259"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 Proceeds received by Gem or its Affiliates during such fiscal quarter (or, in the case of the first delivery of a CVR Certificate hereunder, all CVR Proceeds received through the end of such Calendar Quarter); (B) the Permitted Deductions reflected in such CVR Proceeds; and (C) the CVR Payment payable to Holders, if any, in respect of such CVR Proceeds and (ii) deliver to the Rights Agent, or as the Rights Agent directs, the aggregate CVR Payment (if any). With respect to each Holder, the Rights Agent shall deliver, or cause to be delivered, a number of shares equal to the product determined by multiplying (i) the quotient determined by dividing (A) the number of shares representing the aggregate CVR Payment by (B) the total number of CVRs registered in the CVR Register at such time, by</w:t>
      </w:r>
    </w:p>
    <w:p>
      <w:pPr>
        <w:sectPr>
          <w:pgSz w:w="11900" w:h="16838" w:orient="portrait"/>
          <w:cols w:equalWidth="0" w:num="1">
            <w:col w:w="9641"/>
          </w:cols>
          <w:pgMar w:left="1119" w:top="253" w:right="1139" w:bottom="1440" w:gutter="0" w:footer="0" w:header="0"/>
        </w:sectPr>
      </w:pPr>
    </w:p>
    <w:bookmarkStart w:id="183" w:name="page184"/>
    <w:bookmarkEnd w:id="183"/>
    <w:p>
      <w:pPr>
        <w:ind w:left="1" w:right="120" w:hanging="1"/>
        <w:spacing w:after="0" w:line="261" w:lineRule="auto"/>
        <w:tabs>
          <w:tab w:leader="none" w:pos="233"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the number of CVRs registered to such Holder in the CVR Register at such time. For the avoidance of doubt Gem shall have no further liability in respect of the relevant CVR Payment upon delivery of such CVR Payment in accordance with this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and the satisfaction of each of Gem’s obligations set forth in this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w:t>
      </w:r>
    </w:p>
    <w:p>
      <w:pPr>
        <w:spacing w:after="0" w:line="62" w:lineRule="exact"/>
        <w:rPr>
          <w:rFonts w:ascii="Times New Roman" w:cs="Times New Roman" w:eastAsia="Times New Roman" w:hAnsi="Times New Roman"/>
          <w:sz w:val="16"/>
          <w:szCs w:val="16"/>
          <w:color w:val="auto"/>
        </w:rPr>
      </w:pPr>
    </w:p>
    <w:p>
      <w:pPr>
        <w:jc w:val="both"/>
        <w:ind w:left="1" w:firstLine="867"/>
        <w:spacing w:after="0" w:line="256" w:lineRule="auto"/>
        <w:tabs>
          <w:tab w:leader="none" w:pos="1093"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to treat the distribution of the CVRs as constituting a nontaxable stock distribution under Section 305 of the U.S. Internal Revenue Code of 1986, as amended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and the receipt of CVR Payments as a nontaxable exercise of the right to receive stock under the CVRs. The parties hereto will not take any position to the contrary on any Tax Return or for other Tax purposes except as required by a change in or clarification to applicable Law after the date hereof.</w:t>
      </w:r>
    </w:p>
    <w:p>
      <w:pPr>
        <w:spacing w:after="0" w:line="66" w:lineRule="exact"/>
        <w:rPr>
          <w:rFonts w:ascii="Times New Roman" w:cs="Times New Roman" w:eastAsia="Times New Roman" w:hAnsi="Times New Roman"/>
          <w:sz w:val="16"/>
          <w:szCs w:val="16"/>
          <w:color w:val="auto"/>
        </w:rPr>
      </w:pPr>
    </w:p>
    <w:p>
      <w:pPr>
        <w:ind w:left="1" w:firstLine="867"/>
        <w:spacing w:after="0" w:line="249" w:lineRule="auto"/>
        <w:tabs>
          <w:tab w:leader="none" w:pos="1084"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and the Rights Agent will be entitled to deduct and withhold, or cause to be deducted and withheld, from any CVR Payment otherwise payable pursuant to this Agreement, such amounts as it is required to deduct and withhold with respect to the making of such payment under any provision of applicable Law relating to Taxes. To the extent that amounts are so deducted and withheld, such deducted and withheld amounts will be treated for all purposes of this Agreement as having been paid to the Holder in respect of which such deduction and withholding was made. The Rights Agent shall request from each Holder an IRS Form W-9 or applicable IRS Form W-8 at such time or times as is necessary to permit any payment under this Agreement to be made without U.S. federal backup withholding. Prior to making any such Tax deductions or withholdings or causing any such Tax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the time period for payment of a CVR Payment by the Rights Agent set forth in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will be extended by a period equal to any delay caused by the Holder providing such forms,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further</w:t>
      </w:r>
      <w:r>
        <w:rPr>
          <w:rFonts w:ascii="Times New Roman" w:cs="Times New Roman" w:eastAsia="Times New Roman" w:hAnsi="Times New Roman"/>
          <w:sz w:val="16"/>
          <w:szCs w:val="16"/>
          <w:color w:val="auto"/>
        </w:rPr>
        <w:t>, that in no event shall such period be extended for more than ten (10) Business Days, unless otherwise requested by the Holder for the purpose of delivering such forms and agreed to by the Rights Agent.</w:t>
      </w:r>
    </w:p>
    <w:p>
      <w:pPr>
        <w:spacing w:after="0" w:line="74" w:lineRule="exact"/>
        <w:rPr>
          <w:rFonts w:ascii="Times New Roman" w:cs="Times New Roman" w:eastAsia="Times New Roman" w:hAnsi="Times New Roman"/>
          <w:sz w:val="16"/>
          <w:szCs w:val="16"/>
          <w:color w:val="auto"/>
        </w:rPr>
      </w:pPr>
    </w:p>
    <w:p>
      <w:pPr>
        <w:ind w:left="1" w:right="120" w:firstLine="867"/>
        <w:spacing w:after="0" w:line="256" w:lineRule="auto"/>
        <w:tabs>
          <w:tab w:leader="none" w:pos="1093"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portion of a CVR Payment that remains undistributed to the Holders six (6) months after the end of the applicable Calendar Quarter (including by means of invalid addresses on the CVR Register) will be delivered by the Rights Agent to Gem or a person nominated in writing by Gem (with written notice thereof from Gem to the Rights Agent), and any Holder will thereafter look only to Gem for payment of such CVR Payment (which shall be without interest).</w:t>
      </w:r>
    </w:p>
    <w:p>
      <w:pPr>
        <w:spacing w:after="0" w:line="159"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i w:val="1"/>
          <w:iCs w:val="1"/>
          <w:color w:val="auto"/>
        </w:rPr>
        <w:t>No Voting, Dividends or Interest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081" w:hanging="213"/>
        <w:spacing w:after="0"/>
        <w:tabs>
          <w:tab w:leader="none" w:pos="1081"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 will not have any voting or dividend rights, and interest will not accrue on any amounts payable in respect of CVRs.</w:t>
      </w:r>
    </w:p>
    <w:p>
      <w:pPr>
        <w:spacing w:after="0" w:line="99" w:lineRule="exact"/>
        <w:rPr>
          <w:rFonts w:ascii="Times New Roman" w:cs="Times New Roman" w:eastAsia="Times New Roman" w:hAnsi="Times New Roman"/>
          <w:sz w:val="16"/>
          <w:szCs w:val="16"/>
          <w:color w:val="auto"/>
        </w:rPr>
      </w:pPr>
    </w:p>
    <w:p>
      <w:pPr>
        <w:ind w:left="1" w:right="140" w:firstLine="867"/>
        <w:spacing w:after="0" w:line="261" w:lineRule="auto"/>
        <w:tabs>
          <w:tab w:leader="none" w:pos="1093"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 will not represent any equity or ownership interests in Gem or any of its Subsidiaries or in the Surviving Corporation. The sole right of the Holders to receive property hereunder is the right to receive CVR Payments, if any, in accordance with the terms hereof. It is hereby acknowledged and agreed that a CVR shall not constitute a security of Gem or any of its Subsidiaries or of the Surviving Corporation.</w:t>
      </w:r>
    </w:p>
    <w:p>
      <w:pPr>
        <w:sectPr>
          <w:pgSz w:w="11900" w:h="16838" w:orient="portrait"/>
          <w:cols w:equalWidth="0" w:num="1">
            <w:col w:w="9641"/>
          </w:cols>
          <w:pgMar w:left="1119" w:top="253" w:right="1139" w:bottom="1440" w:gutter="0" w:footer="0" w:header="0"/>
        </w:sectPr>
      </w:pPr>
    </w:p>
    <w:bookmarkStart w:id="184" w:name="page185"/>
    <w:bookmarkEnd w:id="184"/>
    <w:p>
      <w:pPr>
        <w:ind w:firstLine="867"/>
        <w:spacing w:after="0" w:line="269" w:lineRule="auto"/>
        <w:tabs>
          <w:tab w:leader="none" w:pos="1083"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By voting in favor of the adoption of the Merger Agreement, the approval of the principal terms of the Merger, and the consummation of the Merger or participating in the Merger and receiving the benefits thereof, including the right to receive CVRs and any consideration payable in connection with the CVRs, each Holder hereby acknowledges and agrees that the CVRs and the possibility of any payment hereunder with respect thereto are highly speculative and subject to numerous factors outside of Gem’s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It is further acknowledged and agreed that neither Gem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5"/>
          <w:szCs w:val="15"/>
          <w:u w:val="single" w:color="auto"/>
          <w:color w:val="auto"/>
        </w:rPr>
        <w:t>Section 2.5(b)</w:t>
      </w:r>
      <w:r>
        <w:rPr>
          <w:rFonts w:ascii="Times New Roman" w:cs="Times New Roman" w:eastAsia="Times New Roman" w:hAnsi="Times New Roman"/>
          <w:sz w:val="15"/>
          <w:szCs w:val="15"/>
          <w:color w:val="auto"/>
        </w:rPr>
        <w:t xml:space="preserve"> is an essential and material term of this Agreement.</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i w:val="1"/>
          <w:iCs w:val="1"/>
          <w:color w:val="auto"/>
        </w:rPr>
        <w:t>Ability to Abandon CVR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20" w:firstLine="386"/>
        <w:spacing w:after="0" w:line="254" w:lineRule="auto"/>
        <w:rPr>
          <w:sz w:val="20"/>
          <w:szCs w:val="20"/>
          <w:color w:val="auto"/>
        </w:rPr>
      </w:pPr>
      <w:r>
        <w:rPr>
          <w:rFonts w:ascii="Times New Roman" w:cs="Times New Roman" w:eastAsia="Times New Roman" w:hAnsi="Times New Roman"/>
          <w:sz w:val="16"/>
          <w:szCs w:val="16"/>
          <w:color w:val="auto"/>
        </w:rPr>
        <w:t>A Holder may at any time, at such Holder’s option, abandon all of such Holder’s remaining rights represented by CVRs by transferring such CVR to Gem or a person nominated in writing by Gem (with written notice thereof from Gem to the Rights Agent) without consideration in compensation therefor, and such rights will be cancelled, with the Rights Agent being promptly notified in writing by Gem of such transfer and cancellation. Nothing in this Agreement is intended to prohibit Gem or its Affiliates from offering to acquire or acquiring CVRs, in private transactions or otherwise, for consideration in its sole discretion.</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RIGHTS AGENT</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i w:val="1"/>
          <w:iCs w:val="1"/>
          <w:color w:val="auto"/>
        </w:rPr>
        <w:t>Certain Duties and Responsibilities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80" w:firstLine="867"/>
        <w:spacing w:after="0" w:line="258" w:lineRule="auto"/>
        <w:tabs>
          <w:tab w:leader="none" w:pos="1083"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have any liability for any actions taken or not taken in connection with this Agreement, except to the extent such liability arises as a result of the willful misconduct, bad faith or gross negligence of the Rights Agent (in each case as determined by a</w:t>
      </w:r>
    </w:p>
    <w:p>
      <w:pPr>
        <w:ind w:right="120"/>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final non-appealable judgment of court of competent jurisdiction). Notwithstanding anything in this Agreement to the contrary, any liability of the Rights Agent under this Agreement will be limited to the amount of annual fees paid by Gem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ectPr>
          <w:pgSz w:w="11900" w:h="16838" w:orient="portrait"/>
          <w:cols w:equalWidth="0" w:num="1">
            <w:col w:w="9620"/>
          </w:cols>
          <w:pgMar w:left="1120" w:top="253" w:right="1159" w:bottom="1440" w:gutter="0" w:footer="0" w:header="0"/>
        </w:sectPr>
      </w:pPr>
    </w:p>
    <w:bookmarkStart w:id="185" w:name="page186"/>
    <w:bookmarkEnd w:id="185"/>
    <w:p>
      <w:pPr>
        <w:ind w:right="140" w:firstLine="867"/>
        <w:spacing w:after="0" w:line="252" w:lineRule="auto"/>
        <w:tabs>
          <w:tab w:leader="none" w:pos="1092"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Gem or the Company.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i w:val="1"/>
          <w:iCs w:val="1"/>
          <w:color w:val="auto"/>
        </w:rPr>
        <w:t>Certain Rights of Rights Agent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867"/>
        <w:spacing w:after="0" w:line="276" w:lineRule="auto"/>
        <w:tabs>
          <w:tab w:leader="none" w:pos="108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49" w:lineRule="exact"/>
        <w:rPr>
          <w:rFonts w:ascii="Times New Roman" w:cs="Times New Roman" w:eastAsia="Times New Roman" w:hAnsi="Times New Roman"/>
          <w:sz w:val="16"/>
          <w:szCs w:val="16"/>
          <w:color w:val="auto"/>
        </w:rPr>
      </w:pPr>
    </w:p>
    <w:p>
      <w:pPr>
        <w:ind w:right="20" w:firstLine="867"/>
        <w:spacing w:after="0" w:line="261" w:lineRule="auto"/>
        <w:tabs>
          <w:tab w:leader="none" w:pos="109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rely and will be protected by Gem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Gem.</w:t>
      </w:r>
    </w:p>
    <w:p>
      <w:pPr>
        <w:spacing w:after="0" w:line="62" w:lineRule="exact"/>
        <w:rPr>
          <w:rFonts w:ascii="Times New Roman" w:cs="Times New Roman" w:eastAsia="Times New Roman" w:hAnsi="Times New Roman"/>
          <w:sz w:val="16"/>
          <w:szCs w:val="16"/>
          <w:color w:val="auto"/>
        </w:rPr>
      </w:pPr>
    </w:p>
    <w:p>
      <w:pPr>
        <w:jc w:val="both"/>
        <w:ind w:right="140" w:firstLine="867"/>
        <w:spacing w:after="0" w:line="261" w:lineRule="auto"/>
        <w:tabs>
          <w:tab w:leader="none" w:pos="1083"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Rights Agent deems it desirable that a matter be proved or established prior to taking or omitting any action hereunder, the Rights Agent may (i) rely upon an Officer’s Certificate and (ii) incur no liability and be held harmless by Gem for or in respect of any action taken or omitted to be taken by it under the provisions of this Agreement in reliance upon such Officer’s Certificate.</w:t>
      </w:r>
    </w:p>
    <w:p>
      <w:pPr>
        <w:spacing w:after="0" w:line="62" w:lineRule="exact"/>
        <w:rPr>
          <w:rFonts w:ascii="Times New Roman" w:cs="Times New Roman" w:eastAsia="Times New Roman" w:hAnsi="Times New Roman"/>
          <w:sz w:val="16"/>
          <w:szCs w:val="16"/>
          <w:color w:val="auto"/>
        </w:rPr>
      </w:pPr>
    </w:p>
    <w:p>
      <w:pPr>
        <w:ind w:right="120" w:firstLine="867"/>
        <w:spacing w:after="0" w:line="256" w:lineRule="auto"/>
        <w:tabs>
          <w:tab w:leader="none" w:pos="109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spacing w:after="0" w:line="66"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permissive rights of the Rights Agent hereunder will not be construed as a duty.</w:t>
      </w:r>
    </w:p>
    <w:p>
      <w:pPr>
        <w:spacing w:after="0" w:line="99" w:lineRule="exact"/>
        <w:rPr>
          <w:rFonts w:ascii="Times New Roman" w:cs="Times New Roman" w:eastAsia="Times New Roman" w:hAnsi="Times New Roman"/>
          <w:sz w:val="16"/>
          <w:szCs w:val="16"/>
          <w:color w:val="auto"/>
        </w:rPr>
      </w:pPr>
    </w:p>
    <w:p>
      <w:pPr>
        <w:ind w:left="1060" w:hanging="193"/>
        <w:spacing w:after="0"/>
        <w:tabs>
          <w:tab w:leader="none" w:pos="106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be required to give any note or surety in respect of the execution of its powers or otherwise under this</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82" w:lineRule="exact"/>
        <w:rPr>
          <w:rFonts w:ascii="Times New Roman" w:cs="Times New Roman" w:eastAsia="Times New Roman" w:hAnsi="Times New Roman"/>
          <w:sz w:val="16"/>
          <w:szCs w:val="16"/>
          <w:color w:val="auto"/>
        </w:rPr>
      </w:pPr>
    </w:p>
    <w:p>
      <w:pPr>
        <w:ind w:firstLine="867"/>
        <w:spacing w:after="0" w:line="254" w:lineRule="auto"/>
        <w:tabs>
          <w:tab w:leader="none" w:pos="109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w:t>
      </w:r>
    </w:p>
    <w:p>
      <w:pPr>
        <w:sectPr>
          <w:pgSz w:w="11900" w:h="16838" w:orient="portrait"/>
          <w:cols w:equalWidth="0" w:num="1">
            <w:col w:w="9640"/>
          </w:cols>
          <w:pgMar w:left="1120" w:top="253" w:right="1139" w:bottom="1440" w:gutter="0" w:footer="0" w:header="0"/>
        </w:sectPr>
      </w:pPr>
    </w:p>
    <w:bookmarkStart w:id="186" w:name="page187"/>
    <w:bookmarkEnd w:id="186"/>
    <w:p>
      <w:pPr>
        <w:jc w:val="both"/>
        <w:ind w:right="8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w:t>
      </w:r>
    </w:p>
    <w:p>
      <w:pPr>
        <w:spacing w:after="0" w:line="62" w:lineRule="exact"/>
        <w:rPr>
          <w:sz w:val="20"/>
          <w:szCs w:val="20"/>
          <w:color w:val="auto"/>
        </w:rPr>
      </w:pPr>
    </w:p>
    <w:p>
      <w:pPr>
        <w:ind w:firstLine="867"/>
        <w:spacing w:after="0" w:line="250" w:lineRule="auto"/>
        <w:tabs>
          <w:tab w:leader="none" w:pos="109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indemnification provided under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 xml:space="preserve">, Gem agrees (i) to pay the fees of the Rights Agent in connection with the Rights Agent’s performance of its obligations hereunder, as agreed upon in writing by the Rights Agent and Gem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Gem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 xml:space="preserve"> if Gem is found by a court of competent jurisdiction to be liable to the Rights Agent or the Holders, as applicable in such suit.</w:t>
      </w:r>
    </w:p>
    <w:p>
      <w:pPr>
        <w:spacing w:after="0" w:line="72" w:lineRule="exact"/>
        <w:rPr>
          <w:rFonts w:ascii="Times New Roman" w:cs="Times New Roman" w:eastAsia="Times New Roman" w:hAnsi="Times New Roman"/>
          <w:sz w:val="16"/>
          <w:szCs w:val="16"/>
          <w:color w:val="auto"/>
        </w:rPr>
      </w:pPr>
    </w:p>
    <w:p>
      <w:pPr>
        <w:jc w:val="both"/>
        <w:ind w:right="60" w:firstLine="867"/>
        <w:spacing w:after="0" w:line="261" w:lineRule="auto"/>
        <w:tabs>
          <w:tab w:leader="none" w:pos="105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62" w:lineRule="exact"/>
        <w:rPr>
          <w:rFonts w:ascii="Times New Roman" w:cs="Times New Roman" w:eastAsia="Times New Roman" w:hAnsi="Times New Roman"/>
          <w:sz w:val="16"/>
          <w:szCs w:val="16"/>
          <w:color w:val="auto"/>
        </w:rPr>
      </w:pPr>
    </w:p>
    <w:p>
      <w:pPr>
        <w:ind w:right="40" w:firstLine="867"/>
        <w:spacing w:after="0" w:line="261" w:lineRule="auto"/>
        <w:tabs>
          <w:tab w:leader="none" w:pos="105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spacing w:after="0" w:line="62" w:lineRule="exact"/>
        <w:rPr>
          <w:rFonts w:ascii="Times New Roman" w:cs="Times New Roman" w:eastAsia="Times New Roman" w:hAnsi="Times New Roman"/>
          <w:sz w:val="16"/>
          <w:szCs w:val="16"/>
          <w:color w:val="auto"/>
        </w:rPr>
      </w:pPr>
    </w:p>
    <w:p>
      <w:pPr>
        <w:ind w:right="40" w:firstLine="867"/>
        <w:spacing w:after="0" w:line="254" w:lineRule="auto"/>
        <w:tabs>
          <w:tab w:leader="none" w:pos="109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Gem or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67" w:lineRule="exact"/>
        <w:rPr>
          <w:rFonts w:ascii="Times New Roman" w:cs="Times New Roman" w:eastAsia="Times New Roman" w:hAnsi="Times New Roman"/>
          <w:sz w:val="16"/>
          <w:szCs w:val="16"/>
          <w:color w:val="auto"/>
        </w:rPr>
      </w:pPr>
    </w:p>
    <w:p>
      <w:pPr>
        <w:ind w:firstLine="867"/>
        <w:spacing w:after="0" w:line="261" w:lineRule="auto"/>
        <w:tabs>
          <w:tab w:leader="none" w:pos="105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sectPr>
          <w:pgSz w:w="11900" w:h="16838" w:orient="portrait"/>
          <w:cols w:equalWidth="0" w:num="1">
            <w:col w:w="9620"/>
          </w:cols>
          <w:pgMar w:left="1120" w:top="253" w:right="1159" w:bottom="1440" w:gutter="0" w:footer="0" w:header="0"/>
        </w:sectPr>
      </w:pPr>
    </w:p>
    <w:bookmarkStart w:id="187" w:name="page188"/>
    <w:bookmarkEnd w:id="187"/>
    <w:p>
      <w:pPr>
        <w:jc w:val="both"/>
        <w:ind w:left="-320" w:firstLine="867"/>
        <w:spacing w:after="0" w:line="310" w:lineRule="auto"/>
        <w:tabs>
          <w:tab w:leader="none" w:pos="816"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Gem only.</w:t>
      </w:r>
    </w:p>
    <w:p>
      <w:pPr>
        <w:spacing w:after="0" w:line="27" w:lineRule="exact"/>
        <w:rPr>
          <w:rFonts w:ascii="Times New Roman" w:cs="Times New Roman" w:eastAsia="Times New Roman" w:hAnsi="Times New Roman"/>
          <w:sz w:val="15"/>
          <w:szCs w:val="15"/>
          <w:color w:val="auto"/>
        </w:rPr>
      </w:pPr>
    </w:p>
    <w:p>
      <w:pPr>
        <w:ind w:left="-320" w:right="200" w:firstLine="867"/>
        <w:spacing w:after="0" w:line="256" w:lineRule="auto"/>
        <w:tabs>
          <w:tab w:leader="none" w:pos="772"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act hereunder solely as agent for Gem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Gem, including, without limiting the generality of the foregoing, any duty or responsibility to initiate or attempt to initiate any proceedings at law or otherwise or to make any demand upon Gem.</w:t>
      </w:r>
    </w:p>
    <w:p>
      <w:pPr>
        <w:spacing w:after="0" w:line="66" w:lineRule="exact"/>
        <w:rPr>
          <w:rFonts w:ascii="Times New Roman" w:cs="Times New Roman" w:eastAsia="Times New Roman" w:hAnsi="Times New Roman"/>
          <w:sz w:val="16"/>
          <w:szCs w:val="16"/>
          <w:color w:val="auto"/>
        </w:rPr>
      </w:pPr>
    </w:p>
    <w:p>
      <w:pPr>
        <w:ind w:left="-320" w:right="60" w:firstLine="867"/>
        <w:spacing w:after="0" w:line="256" w:lineRule="auto"/>
        <w:tabs>
          <w:tab w:leader="none" w:pos="772"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66" w:lineRule="exact"/>
        <w:rPr>
          <w:rFonts w:ascii="Times New Roman" w:cs="Times New Roman" w:eastAsia="Times New Roman" w:hAnsi="Times New Roman"/>
          <w:sz w:val="16"/>
          <w:szCs w:val="16"/>
          <w:color w:val="auto"/>
        </w:rPr>
      </w:pPr>
    </w:p>
    <w:p>
      <w:pPr>
        <w:ind w:left="-320" w:right="120" w:firstLine="867"/>
        <w:spacing w:after="0" w:line="261" w:lineRule="auto"/>
        <w:tabs>
          <w:tab w:leader="none" w:pos="772"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not be liable or responsible for any failure of Gem to comply with any of its obligations relating to any registration statement filed with the Securities and Exchange Commission or this Agreement, including without limitation obligations under applicable regulation or law.</w:t>
      </w:r>
    </w:p>
    <w:p>
      <w:pPr>
        <w:spacing w:after="0" w:line="62" w:lineRule="exact"/>
        <w:rPr>
          <w:rFonts w:ascii="Times New Roman" w:cs="Times New Roman" w:eastAsia="Times New Roman" w:hAnsi="Times New Roman"/>
          <w:sz w:val="16"/>
          <w:szCs w:val="16"/>
          <w:color w:val="auto"/>
        </w:rPr>
      </w:pPr>
    </w:p>
    <w:p>
      <w:pPr>
        <w:ind w:left="-320" w:right="580" w:firstLine="867"/>
        <w:spacing w:after="0" w:line="276" w:lineRule="auto"/>
        <w:tabs>
          <w:tab w:leader="none" w:pos="772"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obligations of Gem and the rights of the Rights Agent under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shall survive the expiration of the CVRs and the termination of this Agreement and the resignation, replacement or removal of the Rights Agent.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i w:val="1"/>
          <w:iCs w:val="1"/>
          <w:color w:val="auto"/>
        </w:rPr>
        <w:t>Resignation and Removal; Appointment of Successor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320" w:right="20" w:firstLine="867"/>
        <w:spacing w:after="0" w:line="261" w:lineRule="auto"/>
        <w:tabs>
          <w:tab w:leader="none" w:pos="763"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resign at any time by written notice to Gem.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62" w:lineRule="exact"/>
        <w:rPr>
          <w:rFonts w:ascii="Times New Roman" w:cs="Times New Roman" w:eastAsia="Times New Roman" w:hAnsi="Times New Roman"/>
          <w:sz w:val="16"/>
          <w:szCs w:val="16"/>
          <w:color w:val="auto"/>
        </w:rPr>
      </w:pPr>
    </w:p>
    <w:p>
      <w:pPr>
        <w:ind w:left="-320" w:right="260" w:firstLine="867"/>
        <w:spacing w:after="0" w:line="261" w:lineRule="auto"/>
        <w:tabs>
          <w:tab w:leader="none" w:pos="772"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62" w:lineRule="exact"/>
        <w:rPr>
          <w:rFonts w:ascii="Times New Roman" w:cs="Times New Roman" w:eastAsia="Times New Roman" w:hAnsi="Times New Roman"/>
          <w:sz w:val="16"/>
          <w:szCs w:val="16"/>
          <w:color w:val="auto"/>
        </w:rPr>
      </w:pPr>
    </w:p>
    <w:p>
      <w:pPr>
        <w:ind w:left="-320" w:right="20" w:firstLine="867"/>
        <w:spacing w:after="0" w:line="254" w:lineRule="auto"/>
        <w:tabs>
          <w:tab w:leader="none" w:pos="763"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Rights Agent resigns, is removed or becomes incapable of acting, Gem will promptly appoint a qualified successor Rights Agent. Notwithstanding the foregoing, if Gem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become the Rights Agent for all purposes hereunder.</w:t>
      </w:r>
    </w:p>
    <w:p>
      <w:pPr>
        <w:sectPr>
          <w:pgSz w:w="11900" w:h="16838" w:orient="portrait"/>
          <w:cols w:equalWidth="0" w:num="1">
            <w:col w:w="9320"/>
          </w:cols>
          <w:pgMar w:left="1440" w:top="253" w:right="1139" w:bottom="1440" w:gutter="0" w:footer="0" w:header="0"/>
        </w:sectPr>
      </w:pPr>
    </w:p>
    <w:bookmarkStart w:id="188" w:name="page189"/>
    <w:bookmarkEnd w:id="188"/>
    <w:p>
      <w:pPr>
        <w:jc w:val="both"/>
        <w:ind w:right="260" w:firstLine="867"/>
        <w:spacing w:after="0" w:line="256" w:lineRule="auto"/>
        <w:tabs>
          <w:tab w:leader="none" w:pos="1092"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Gem will give notice to the Holders of each resignation or removal of the Rights Agent and each appointment of a successor Rights Agent in accordance with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Each notice will include the name and address of the successor Rights Agent. If Gem fails to send such notice within ten (10) Business Days after acceptance of appointment by a successor Rights Agent, the successor Rights Agent will cause the notice to be mailed at the expense of Gem.</w:t>
      </w:r>
    </w:p>
    <w:p>
      <w:pPr>
        <w:spacing w:after="0" w:line="161" w:lineRule="exact"/>
        <w:rPr>
          <w:rFonts w:ascii="Times New Roman" w:cs="Times New Roman" w:eastAsia="Times New Roman" w:hAnsi="Times New Roman"/>
          <w:sz w:val="16"/>
          <w:szCs w:val="16"/>
          <w:color w:val="auto"/>
        </w:rPr>
      </w:pPr>
    </w:p>
    <w:p>
      <w:pPr>
        <w:ind w:right="20" w:firstLine="867"/>
        <w:spacing w:after="0" w:line="261" w:lineRule="auto"/>
        <w:tabs>
          <w:tab w:leader="none" w:pos="1083"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unless consented to in writing by the Acting Holders, Gem will not appoint as a successor Rights Agent any Person that is not a stock transfer agent of national reputation or the corporate trust department of a commercial bank.</w:t>
      </w:r>
    </w:p>
    <w:p>
      <w:pPr>
        <w:spacing w:after="0" w:line="156" w:lineRule="exact"/>
        <w:rPr>
          <w:rFonts w:ascii="Times New Roman" w:cs="Times New Roman" w:eastAsia="Times New Roman" w:hAnsi="Times New Roman"/>
          <w:sz w:val="16"/>
          <w:szCs w:val="16"/>
          <w:color w:val="auto"/>
        </w:rPr>
      </w:pPr>
    </w:p>
    <w:p>
      <w:pPr>
        <w:ind w:firstLine="867"/>
        <w:spacing w:after="0" w:line="256" w:lineRule="auto"/>
        <w:tabs>
          <w:tab w:leader="none" w:pos="1065"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reasonably cooperate with Gem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i w:val="1"/>
          <w:iCs w:val="1"/>
          <w:color w:val="auto"/>
        </w:rPr>
        <w:t>Acceptance of Appointment by Successor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4" w:lineRule="auto"/>
        <w:rPr>
          <w:sz w:val="20"/>
          <w:szCs w:val="20"/>
          <w:color w:val="auto"/>
        </w:rPr>
      </w:pPr>
      <w:r>
        <w:rPr>
          <w:rFonts w:ascii="Times New Roman" w:cs="Times New Roman" w:eastAsia="Times New Roman" w:hAnsi="Times New Roman"/>
          <w:sz w:val="16"/>
          <w:szCs w:val="16"/>
          <w:color w:val="auto"/>
        </w:rPr>
        <w:t xml:space="preserve">Every successor Rights Agent appointed hereunder will, at or prior to such appointment, execute, acknowledge and deliver to Gem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upon the request of Gem or the successor Rights Agent, such resigning or removed Rights Agent will execute and deliver an instrument transferring to such successor Rights Agent all the rights, powers and trusts of such resigning or removed Rights Agent.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i w:val="1"/>
          <w:iCs w:val="1"/>
          <w:color w:val="auto"/>
        </w:rPr>
        <w:t>List of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Gem will furnish or cause to be furnished to the Rights Agent, in such form as Gem receives from Gem’s transfer agent (or other agent performing similar services for Gem), the names and addresses of the Holders within fifteen (15) Business Days following the Closing Date.</w:t>
      </w:r>
    </w:p>
    <w:p>
      <w:pPr>
        <w:sectPr>
          <w:pgSz w:w="11900" w:h="16838" w:orient="portrait"/>
          <w:cols w:equalWidth="0" w:num="1">
            <w:col w:w="9640"/>
          </w:cols>
          <w:pgMar w:left="1120" w:top="253" w:right="1139" w:bottom="1440" w:gutter="0" w:footer="0" w:header="0"/>
        </w:sectPr>
      </w:pPr>
    </w:p>
    <w:bookmarkStart w:id="189" w:name="page190"/>
    <w:bookmarkEnd w:id="189"/>
    <w:p>
      <w:pPr>
        <w:ind w:left="38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4.2 </w:t>
      </w:r>
      <w:r>
        <w:rPr>
          <w:rFonts w:ascii="Times New Roman" w:cs="Times New Roman" w:eastAsia="Times New Roman" w:hAnsi="Times New Roman"/>
          <w:sz w:val="16"/>
          <w:szCs w:val="16"/>
          <w:i w:val="1"/>
          <w:iCs w:val="1"/>
          <w:color w:val="auto"/>
        </w:rPr>
        <w:t>CVR Committee; Efforts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right="140" w:firstLine="867"/>
        <w:spacing w:after="0" w:line="211" w:lineRule="auto"/>
        <w:tabs>
          <w:tab w:leader="none" w:pos="1084"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Gem Board has delegated, to a special committee of the Gem Board comprised exclusively of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Special Committee</w:t>
      </w:r>
      <w:r>
        <w:rPr>
          <w:rFonts w:ascii="Times New Roman" w:cs="Times New Roman" w:eastAsia="Times New Roman" w:hAnsi="Times New Roman"/>
          <w:sz w:val="16"/>
          <w:szCs w:val="16"/>
          <w:color w:val="auto"/>
        </w:rPr>
        <w:t>”) the sole responsibility, authority and discretion during the Disposition Period with respect to (i) managing the Potentially Transferable Assets, and</w:t>
      </w:r>
    </w:p>
    <w:p>
      <w:pPr>
        <w:spacing w:after="0" w:line="1" w:lineRule="exact"/>
        <w:rPr>
          <w:rFonts w:ascii="Times New Roman" w:cs="Times New Roman" w:eastAsia="Times New Roman" w:hAnsi="Times New Roman"/>
          <w:sz w:val="16"/>
          <w:szCs w:val="16"/>
          <w:color w:val="auto"/>
        </w:rPr>
      </w:pPr>
    </w:p>
    <w:p>
      <w:pPr>
        <w:ind w:left="1" w:right="100" w:hanging="1"/>
        <w:spacing w:after="0" w:line="249" w:lineRule="auto"/>
        <w:tabs>
          <w:tab w:leader="none" w:pos="233"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any sale or transfer process (including engagement of advisors) with respect to a Disposition during the Disposition Period. The Special Committee shall also be empowered with the authority to authorize and direct any officer of Gem to negotiate, execute and deliver a definitive written agreement with respect to a Disposition (a “</w:t>
      </w:r>
      <w:r>
        <w:rPr>
          <w:rFonts w:ascii="Times New Roman" w:cs="Times New Roman" w:eastAsia="Times New Roman" w:hAnsi="Times New Roman"/>
          <w:sz w:val="16"/>
          <w:szCs w:val="16"/>
          <w:u w:val="single" w:color="auto"/>
          <w:color w:val="auto"/>
        </w:rPr>
        <w:t>Sale Agreement</w:t>
      </w:r>
      <w:r>
        <w:rPr>
          <w:rFonts w:ascii="Times New Roman" w:cs="Times New Roman" w:eastAsia="Times New Roman" w:hAnsi="Times New Roman"/>
          <w:sz w:val="16"/>
          <w:szCs w:val="16"/>
          <w:color w:val="auto"/>
        </w:rPr>
        <w:t>”) in the name and on behalf of Gem, as well as to identify and retain advisers and consultants.</w:t>
      </w:r>
    </w:p>
    <w:p>
      <w:pPr>
        <w:spacing w:after="0" w:line="165" w:lineRule="exact"/>
        <w:rPr>
          <w:rFonts w:ascii="Times New Roman" w:cs="Times New Roman" w:eastAsia="Times New Roman" w:hAnsi="Times New Roman"/>
          <w:sz w:val="16"/>
          <w:szCs w:val="16"/>
          <w:color w:val="auto"/>
        </w:rPr>
      </w:pPr>
    </w:p>
    <w:p>
      <w:pPr>
        <w:ind w:left="1" w:right="40" w:firstLine="867"/>
        <w:spacing w:after="0" w:line="254" w:lineRule="auto"/>
        <w:tabs>
          <w:tab w:leader="none" w:pos="1093"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delegation of responsibility and authority to the Special Committee set forth in Section 4.2(a) shall not be revoked or modified at any time during the Disposition Period. The Special Committee and the Gem Board shall not have any liability to the Holders for any actions taken or not taken in connection with the matters set forth herein. No provision of this Agreement shall require the Special Committee or any members thereof to expend or risk its, his or her own funds or otherwise incur any financial liability in the performance of any duties hereunder or in the exercise of any rights or powers.</w:t>
      </w:r>
    </w:p>
    <w:p>
      <w:pPr>
        <w:spacing w:after="0" w:line="161" w:lineRule="exact"/>
        <w:rPr>
          <w:rFonts w:ascii="Times New Roman" w:cs="Times New Roman" w:eastAsia="Times New Roman" w:hAnsi="Times New Roman"/>
          <w:sz w:val="16"/>
          <w:szCs w:val="16"/>
          <w:color w:val="auto"/>
        </w:rPr>
      </w:pPr>
    </w:p>
    <w:p>
      <w:pPr>
        <w:jc w:val="both"/>
        <w:ind w:left="1" w:right="80" w:firstLine="867"/>
        <w:spacing w:after="0" w:line="256" w:lineRule="auto"/>
        <w:tabs>
          <w:tab w:leader="none" w:pos="1084"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Holders shall be intended third-party beneficiaries of the provisions of this Agreement and shall be entitled to specifically enforce the terms hereof; provided, that under no circumstances shall the rights of Holders as third-party beneficiaries pursuant to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be enforceable by such Holders or any other Person acting for or on their behalf other than the Special Committee. The Special Committee has the sole power and authority to act on behalf of the Holders in enforcing any of their rights hereunder.</w:t>
      </w:r>
    </w:p>
    <w:p>
      <w:pPr>
        <w:spacing w:after="0" w:line="161" w:lineRule="exact"/>
        <w:rPr>
          <w:rFonts w:ascii="Times New Roman" w:cs="Times New Roman" w:eastAsia="Times New Roman" w:hAnsi="Times New Roman"/>
          <w:sz w:val="16"/>
          <w:szCs w:val="16"/>
          <w:color w:val="auto"/>
        </w:rPr>
      </w:pPr>
    </w:p>
    <w:p>
      <w:pPr>
        <w:ind w:left="1" w:right="100" w:firstLine="867"/>
        <w:spacing w:after="0" w:line="254" w:lineRule="auto"/>
        <w:tabs>
          <w:tab w:leader="none" w:pos="1093"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Disposition Period, Gem will, and will cause its Subsidiaries to, use commercially reasonable efforts (i) to utilize the CVR Expenditure Amount to maintain the Potentially Transferable Assets unless otherwise approved by the Special Committee, and (ii) effectuate a Disposition of the Potentially Transferable Assets, at the direction of the Special Committee, including the negotiation and execution of a Sale Agreement and completion of the transactions contemplated thereby. Further, Gem will not take any actions for the primary purpose of frustrating the payment of CVR Proceeds.</w:t>
      </w:r>
    </w:p>
    <w:p>
      <w:pPr>
        <w:spacing w:after="0" w:line="161" w:lineRule="exact"/>
        <w:rPr>
          <w:rFonts w:ascii="Times New Roman" w:cs="Times New Roman" w:eastAsia="Times New Roman" w:hAnsi="Times New Roman"/>
          <w:sz w:val="16"/>
          <w:szCs w:val="16"/>
          <w:color w:val="auto"/>
        </w:rPr>
      </w:pPr>
    </w:p>
    <w:p>
      <w:pPr>
        <w:ind w:left="1" w:firstLine="867"/>
        <w:spacing w:after="0" w:line="251" w:lineRule="auto"/>
        <w:tabs>
          <w:tab w:leader="none" w:pos="1084" w:val="left"/>
        </w:tabs>
        <w:numPr>
          <w:ilvl w:val="1"/>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foregoing clause (d), (i) the Holders acknowledge that Gem has a fiduciary obligation to operate its business in the best interests of its stockholders, and any potential obligation to pay CVR Proceeds will not create any express or implied obligation to operate its business in any particular manner in order to maximize such CVR Proceeds, (ii) except as expressly set forth in this Agreement, the Holders are not relying on any representation of Gem or any other Person with regard to any Disposition or other action involving the Potentially Transferrable Assets following the Closing, and neither Gem nor any other Person has provided, or can provide, any assurance to the Holders that any CVR Proceeds will in fact be earned and paid, and (iii) none of Gem or any of its Subsidiaries, officers or directors shall have any obligation or liability whatsoever to any Person relating to or in connection with 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7564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54" w:lineRule="exact"/>
        <w:rPr>
          <w:sz w:val="20"/>
          <w:szCs w:val="20"/>
          <w:color w:val="auto"/>
        </w:rPr>
      </w:pPr>
    </w:p>
    <w:p>
      <w:pPr>
        <w:ind w:left="381" w:hanging="381"/>
        <w:spacing w:after="0"/>
        <w:tabs>
          <w:tab w:leader="none" w:pos="381" w:val="left"/>
        </w:tabs>
        <w:numPr>
          <w:ilvl w:val="0"/>
          <w:numId w:val="2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To be comprised of the independent continuing director(s) of Gem.</w:t>
      </w:r>
    </w:p>
    <w:p>
      <w:pPr>
        <w:sectPr>
          <w:pgSz w:w="11900" w:h="16838" w:orient="portrait"/>
          <w:cols w:equalWidth="0" w:num="1">
            <w:col w:w="9641"/>
          </w:cols>
          <w:pgMar w:left="1119" w:top="251" w:right="1139" w:bottom="1440" w:gutter="0" w:footer="0" w:header="0"/>
        </w:sectPr>
      </w:pPr>
    </w:p>
    <w:bookmarkStart w:id="190" w:name="page191"/>
    <w:bookmarkEnd w:id="190"/>
    <w:p>
      <w:pPr>
        <w:ind w:right="6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or failure to act, with respect to the sale of Potentially Transferable Assets. Gem and its Affiliates will not be required to expend any out-of-pocket amounts in excess of the CVR Expenditure Amount during the Disposition Period, but, for clarity, any amounts which are or will become payable upon consummation of the Disposition and/or the payment of CVR Proceeds and which constitute Permitted Deductions shall be disregarded for purposes of the first clause of this sentence.</w:t>
      </w:r>
    </w:p>
    <w:p>
      <w:pPr>
        <w:spacing w:after="0" w:line="161" w:lineRule="exact"/>
        <w:rPr>
          <w:sz w:val="20"/>
          <w:szCs w:val="20"/>
          <w:color w:val="auto"/>
        </w:rPr>
      </w:pPr>
    </w:p>
    <w:p>
      <w:pPr>
        <w:ind w:firstLine="867"/>
        <w:spacing w:after="0" w:line="276" w:lineRule="auto"/>
        <w:tabs>
          <w:tab w:leader="none" w:pos="1065"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Disposition Period, Gem shall be permitted to take any action in respect of the Potentially Transferable Assets in order to satisfy any wind-down and termination Liabilities of the Potentially Transferable Assets.</w:t>
      </w:r>
    </w:p>
    <w:p>
      <w:pPr>
        <w:spacing w:after="0" w:line="143" w:lineRule="exact"/>
        <w:rPr>
          <w:sz w:val="20"/>
          <w:szCs w:val="20"/>
          <w:color w:val="auto"/>
        </w:rPr>
      </w:pPr>
    </w:p>
    <w:p>
      <w:pPr>
        <w:ind w:right="60" w:firstLine="386"/>
        <w:spacing w:after="0" w:line="257" w:lineRule="auto"/>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i w:val="1"/>
          <w:iCs w:val="1"/>
          <w:color w:val="auto"/>
        </w:rPr>
        <w:t>Prohibited Actions</w:t>
      </w:r>
      <w:r>
        <w:rPr>
          <w:rFonts w:ascii="Times New Roman" w:cs="Times New Roman" w:eastAsia="Times New Roman" w:hAnsi="Times New Roman"/>
          <w:sz w:val="16"/>
          <w:szCs w:val="16"/>
          <w:color w:val="auto"/>
        </w:rPr>
        <w:t>. Unless approved by written consent or resolution by the Special Committee, prior to the end of the Disposition Period, (a) Gem shall not grant any lien, security interest, pledge or similar interest in, or otherwise sell or Transfer, any Potentially Transferable Assets or any CVR Proceeds, and (b) Gem shall not, and shall not permit its Affiliates to, grant, assign, transfer or otherwise convey any Potentially Transferable Assets (including any option to obtain rights) to any third party.</w:t>
      </w:r>
    </w:p>
    <w:p>
      <w:pPr>
        <w:spacing w:after="0" w:line="158" w:lineRule="exact"/>
        <w:rPr>
          <w:sz w:val="20"/>
          <w:szCs w:val="20"/>
          <w:color w:val="auto"/>
        </w:rPr>
      </w:pPr>
    </w:p>
    <w:p>
      <w:pPr>
        <w:ind w:right="280" w:firstLine="386"/>
        <w:spacing w:after="0" w:line="313" w:lineRule="auto"/>
        <w:rPr>
          <w:sz w:val="20"/>
          <w:szCs w:val="20"/>
          <w:color w:val="auto"/>
        </w:rPr>
      </w:pPr>
      <w:r>
        <w:rPr>
          <w:rFonts w:ascii="Times New Roman" w:cs="Times New Roman" w:eastAsia="Times New Roman" w:hAnsi="Times New Roman"/>
          <w:sz w:val="15"/>
          <w:szCs w:val="15"/>
          <w:i w:val="1"/>
          <w:iCs w:val="1"/>
          <w:color w:val="auto"/>
        </w:rPr>
        <w:t xml:space="preserve">Section 4.4 Books and Records. </w:t>
      </w:r>
      <w:r>
        <w:rPr>
          <w:rFonts w:ascii="Times New Roman" w:cs="Times New Roman" w:eastAsia="Times New Roman" w:hAnsi="Times New Roman"/>
          <w:sz w:val="15"/>
          <w:szCs w:val="15"/>
          <w:color w:val="auto"/>
        </w:rPr>
        <w:t>Until the end of the CVR Period, Gem shall, and shall cause its Affiliates to, keep true, complete and accurate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records in sufficient detail to support the applicable CVR Payments payable hereunder in accordance with the terms specified in this Agreement.</w:t>
      </w:r>
    </w:p>
    <w:p>
      <w:pPr>
        <w:spacing w:after="0" w:line="118" w:lineRule="exact"/>
        <w:rPr>
          <w:sz w:val="20"/>
          <w:szCs w:val="20"/>
          <w:color w:val="auto"/>
        </w:rPr>
      </w:pPr>
    </w:p>
    <w:p>
      <w:pPr>
        <w:ind w:right="160" w:firstLine="386"/>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Section 4.5 Audits. </w:t>
      </w:r>
      <w:r>
        <w:rPr>
          <w:rFonts w:ascii="Times New Roman" w:cs="Times New Roman" w:eastAsia="Times New Roman" w:hAnsi="Times New Roman"/>
          <w:sz w:val="16"/>
          <w:szCs w:val="16"/>
          <w:color w:val="auto"/>
        </w:rPr>
        <w:t>Gem agrees to maintain, for at least two years after the last possible CVR Payment, all books and records relevant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calculation of the Permitted Deductions. Subject to reasonable advance written notice from the Acting Holders and prior execution and delivery by it and an independent accounting firm of national reputation chosen by the Acting Holders (the “</w:t>
      </w:r>
      <w:r>
        <w:rPr>
          <w:rFonts w:ascii="Times New Roman" w:cs="Times New Roman" w:eastAsia="Times New Roman" w:hAnsi="Times New Roman"/>
          <w:sz w:val="16"/>
          <w:szCs w:val="16"/>
          <w:u w:val="single" w:color="auto"/>
          <w:color w:val="auto"/>
        </w:rPr>
        <w:t>Accountant</w:t>
      </w:r>
      <w:r>
        <w:rPr>
          <w:rFonts w:ascii="Times New Roman" w:cs="Times New Roman" w:eastAsia="Times New Roman" w:hAnsi="Times New Roman"/>
          <w:sz w:val="16"/>
          <w:szCs w:val="16"/>
          <w:color w:val="auto"/>
        </w:rPr>
        <w:t>”) of a reasonable and customary confidentiality/nonuse agreement, which confidentiality/nonuse agreement shall not prohibit the Acting Holders from communicating any such information with the Holders who have a need to know such information, provided that any such recipients are subject to confidentiality obligations with respect thereto, Gem shall permit the Acting Holders and the Accountant, acting as agent of the Acting Holders, to have access during normal business hours to the books and records of Gem as may be reasonably necessary to audit the calculation of the CVR Payment and the Permitted Deductions. Notwithstanding anything in this Agreement to the contrary, in no event shall Gem be required to provide any tax returns or any other tax information it deems confidential to the Acting Holders or any other party pursuant to this Agreement.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5</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AMENDMENTS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i w:val="1"/>
          <w:iCs w:val="1"/>
          <w:color w:val="auto"/>
        </w:rPr>
        <w:t>Amendments Without Consent of Holders or Rights Agent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20" w:firstLine="867"/>
        <w:spacing w:after="0" w:line="261" w:lineRule="auto"/>
        <w:tabs>
          <w:tab w:leader="none" w:pos="1083"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at any time and from time to time, may (without the consent of any Person, other than the Rights Agent, with such consent not to be unreasonably withheld, conditioned or delayed) enter into one or more amendments to this Agreement for any of the following purposes, without the consent of any of the Holders,</w:t>
      </w:r>
    </w:p>
    <w:p>
      <w:pPr>
        <w:sectPr>
          <w:pgSz w:w="11900" w:h="16838" w:orient="portrait"/>
          <w:cols w:equalWidth="0" w:num="1">
            <w:col w:w="9620"/>
          </w:cols>
          <w:pgMar w:left="1120" w:top="253" w:right="1159" w:bottom="1440" w:gutter="0" w:footer="0" w:header="0"/>
        </w:sectPr>
      </w:pPr>
    </w:p>
    <w:bookmarkStart w:id="191" w:name="page192"/>
    <w:bookmarkEnd w:id="191"/>
    <w:p>
      <w:pPr>
        <w:ind w:left="1" w:right="60" w:firstLine="1253"/>
        <w:spacing w:after="0" w:line="276" w:lineRule="auto"/>
        <w:tabs>
          <w:tab w:leader="none" w:pos="1444"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to evidence the appointment of another Person as a successor Rights Agent and the assumption by any successor Rights Agent of the covenants and obligations of the Rights Agent herein in accordance with the provisions hereof;</w:t>
      </w:r>
    </w:p>
    <w:p>
      <w:pPr>
        <w:spacing w:after="0" w:line="144" w:lineRule="exact"/>
        <w:rPr>
          <w:rFonts w:ascii="Times New Roman" w:cs="Times New Roman" w:eastAsia="Times New Roman" w:hAnsi="Times New Roman"/>
          <w:sz w:val="16"/>
          <w:szCs w:val="16"/>
          <w:color w:val="auto"/>
        </w:rPr>
      </w:pPr>
    </w:p>
    <w:p>
      <w:pPr>
        <w:ind w:left="1" w:right="340" w:firstLine="1253"/>
        <w:spacing w:after="0" w:line="276" w:lineRule="auto"/>
        <w:tabs>
          <w:tab w:leader="none" w:pos="1488"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6.1, to evidence the succession of another person to Gem and the assumption of any such successor of the covenants of Gem outlined herein in a transaction contemplated by Section 6.1;</w:t>
      </w:r>
    </w:p>
    <w:p>
      <w:pPr>
        <w:spacing w:after="0" w:line="144" w:lineRule="exact"/>
        <w:rPr>
          <w:rFonts w:ascii="Times New Roman" w:cs="Times New Roman" w:eastAsia="Times New Roman" w:hAnsi="Times New Roman"/>
          <w:sz w:val="16"/>
          <w:szCs w:val="16"/>
          <w:color w:val="auto"/>
        </w:rPr>
      </w:pPr>
    </w:p>
    <w:p>
      <w:pPr>
        <w:jc w:val="both"/>
        <w:ind w:left="1" w:right="100" w:firstLine="1253"/>
        <w:spacing w:after="0" w:line="261" w:lineRule="auto"/>
        <w:tabs>
          <w:tab w:leader="none" w:pos="1532"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CVRs are not subject to registration under the U.S. Securities Act of 1933, as amended, or the U.S. Securities Exchange Act of 1934, as amended, and the rules and regulations made thereunder, or any applicable state securities or “blue sky” laws;</w:t>
      </w:r>
    </w:p>
    <w:p>
      <w:pPr>
        <w:spacing w:after="0" w:line="156" w:lineRule="exact"/>
        <w:rPr>
          <w:rFonts w:ascii="Times New Roman" w:cs="Times New Roman" w:eastAsia="Times New Roman" w:hAnsi="Times New Roman"/>
          <w:sz w:val="16"/>
          <w:szCs w:val="16"/>
          <w:color w:val="auto"/>
        </w:rPr>
      </w:pPr>
    </w:p>
    <w:p>
      <w:pPr>
        <w:ind w:left="1" w:right="340" w:firstLine="1253"/>
        <w:spacing w:after="0" w:line="276" w:lineRule="auto"/>
        <w:tabs>
          <w:tab w:leader="none" w:pos="1523"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Gem is not required to produce a prospectus or an admission document in order to comply with applicable Law;</w:t>
      </w:r>
    </w:p>
    <w:p>
      <w:pPr>
        <w:spacing w:after="0" w:line="144" w:lineRule="exact"/>
        <w:rPr>
          <w:rFonts w:ascii="Times New Roman" w:cs="Times New Roman" w:eastAsia="Times New Roman" w:hAnsi="Times New Roman"/>
          <w:sz w:val="16"/>
          <w:szCs w:val="16"/>
          <w:color w:val="auto"/>
        </w:rPr>
      </w:pPr>
    </w:p>
    <w:p>
      <w:pPr>
        <w:ind w:left="1" w:right="460" w:firstLine="1253"/>
        <w:spacing w:after="0" w:line="276" w:lineRule="auto"/>
        <w:tabs>
          <w:tab w:leader="none" w:pos="1479"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cancel CVRs (i) in the event that any Holder has abandoned its rights in accordance with Section 2.6, or (ii) following a transfer of such CVRs to Gem or its Affiliates in accordance with Section 2.2 or Section 2.3; or</w:t>
      </w:r>
    </w:p>
    <w:p>
      <w:pPr>
        <w:spacing w:after="0" w:line="144" w:lineRule="exact"/>
        <w:rPr>
          <w:rFonts w:ascii="Times New Roman" w:cs="Times New Roman" w:eastAsia="Times New Roman" w:hAnsi="Times New Roman"/>
          <w:sz w:val="16"/>
          <w:szCs w:val="16"/>
          <w:color w:val="auto"/>
        </w:rPr>
      </w:pPr>
    </w:p>
    <w:p>
      <w:pPr>
        <w:ind w:left="1521" w:hanging="267"/>
        <w:spacing w:after="0"/>
        <w:tabs>
          <w:tab w:leader="none" w:pos="1521"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Gem complies with applicable Law.</w:t>
      </w:r>
    </w:p>
    <w:p>
      <w:pPr>
        <w:spacing w:after="0" w:line="194" w:lineRule="exact"/>
        <w:rPr>
          <w:sz w:val="20"/>
          <w:szCs w:val="20"/>
          <w:color w:val="auto"/>
        </w:rPr>
      </w:pPr>
    </w:p>
    <w:p>
      <w:pPr>
        <w:ind w:left="1" w:right="20" w:hanging="1"/>
        <w:spacing w:after="0" w:line="276" w:lineRule="auto"/>
        <w:tabs>
          <w:tab w:leader="none" w:pos="224"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the execution by Gem of any amendment pursuant to this Section 5.1, Gem will (or will cause the Rights Agent to) notify the Holders in general terms of the substance of such amendment in accordance with Section 7.2.</w:t>
      </w:r>
    </w:p>
    <w:p>
      <w:pPr>
        <w:spacing w:after="0" w:line="14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i w:val="1"/>
          <w:iCs w:val="1"/>
          <w:color w:val="auto"/>
        </w:rPr>
        <w:t>Effect of Amendments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firstLine="386"/>
        <w:spacing w:after="0" w:line="252" w:lineRule="auto"/>
        <w:rPr>
          <w:sz w:val="20"/>
          <w:szCs w:val="20"/>
          <w:color w:val="auto"/>
        </w:rPr>
      </w:pPr>
      <w:r>
        <w:rPr>
          <w:rFonts w:ascii="Times New Roman" w:cs="Times New Roman" w:eastAsia="Times New Roman" w:hAnsi="Times New Roman"/>
          <w:sz w:val="16"/>
          <w:szCs w:val="16"/>
          <w:color w:val="auto"/>
        </w:rPr>
        <w:t xml:space="preserve">Upon the execution of any amendment under this </w:t>
      </w:r>
      <w:r>
        <w:rPr>
          <w:rFonts w:ascii="Times New Roman" w:cs="Times New Roman" w:eastAsia="Times New Roman" w:hAnsi="Times New Roman"/>
          <w:sz w:val="16"/>
          <w:szCs w:val="16"/>
          <w:u w:val="single" w:color="auto"/>
          <w:color w:val="auto"/>
        </w:rPr>
        <w:t>Article 5</w:t>
      </w:r>
      <w:r>
        <w:rPr>
          <w:rFonts w:ascii="Times New Roman" w:cs="Times New Roman" w:eastAsia="Times New Roman" w:hAnsi="Times New Roman"/>
          <w:sz w:val="16"/>
          <w:szCs w:val="16"/>
          <w:color w:val="auto"/>
        </w:rPr>
        <w:t xml:space="preserve">, this Agreement will be modified in accordance therewith, such amendment will form a part of this Agreement for all purposes and every Holder will be bound thereby. Upon the delivery of a certificate from an appropriate officer of Gem which states that the proposed supplement or amendment is in compliance with the terms of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ectPr>
          <w:pgSz w:w="11900" w:h="16838" w:orient="portrait"/>
          <w:cols w:equalWidth="0" w:num="1">
            <w:col w:w="9641"/>
          </w:cols>
          <w:pgMar w:left="1119" w:top="253" w:right="1139" w:bottom="1440" w:gutter="0" w:footer="0" w:header="0"/>
        </w:sectPr>
      </w:pPr>
    </w:p>
    <w:bookmarkStart w:id="192" w:name="page193"/>
    <w:bookmarkEnd w:id="192"/>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ARTICLE 6</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CONSOLIDATION, MERGER, SALE OR CONVEYANCE</w:t>
      </w:r>
    </w:p>
    <w:p>
      <w:pPr>
        <w:spacing w:after="0" w:line="175" w:lineRule="exact"/>
        <w:rPr>
          <w:sz w:val="20"/>
          <w:szCs w:val="20"/>
          <w:color w:val="auto"/>
        </w:rPr>
      </w:pPr>
    </w:p>
    <w:p>
      <w:pPr>
        <w:ind w:left="1" w:right="540" w:firstLine="386"/>
        <w:spacing w:after="0" w:line="278" w:lineRule="auto"/>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i w:val="1"/>
          <w:iCs w:val="1"/>
          <w:color w:val="auto"/>
        </w:rPr>
        <w:t>Gem May Not Consolidate, Etc</w:t>
      </w:r>
      <w:r>
        <w:rPr>
          <w:rFonts w:ascii="Times New Roman" w:cs="Times New Roman" w:eastAsia="Times New Roman" w:hAnsi="Times New Roman"/>
          <w:sz w:val="16"/>
          <w:szCs w:val="16"/>
          <w:color w:val="auto"/>
        </w:rPr>
        <w:t>. Gem shall not consolidate with or merge into any other Person or convey, transfer or lease its properties and assets substantially as an entirety to any Person or transfer all or substantially all of its business to any Person, unless:</w:t>
      </w:r>
    </w:p>
    <w:p>
      <w:pPr>
        <w:spacing w:after="0" w:line="143" w:lineRule="exact"/>
        <w:rPr>
          <w:sz w:val="20"/>
          <w:szCs w:val="20"/>
          <w:color w:val="auto"/>
        </w:rPr>
      </w:pPr>
    </w:p>
    <w:p>
      <w:pPr>
        <w:ind w:left="1" w:right="280" w:firstLine="867"/>
        <w:spacing w:after="0" w:line="256" w:lineRule="auto"/>
        <w:tabs>
          <w:tab w:leader="none" w:pos="1084"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formed by such consolidation or into which Gem is merged, the Person that acquires the properties and assets of Gem substantially as an entirety or the Person that acquires by conveyance or transfer, or that leases, the Gem substantially as an entirety (the “</w:t>
      </w:r>
      <w:r>
        <w:rPr>
          <w:rFonts w:ascii="Times New Roman" w:cs="Times New Roman" w:eastAsia="Times New Roman" w:hAnsi="Times New Roman"/>
          <w:sz w:val="16"/>
          <w:szCs w:val="16"/>
          <w:u w:val="single" w:color="auto"/>
          <w:color w:val="auto"/>
        </w:rPr>
        <w:t>Surviving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expressly assume payment of amounts on all CVRs and the performance of every duty and covenant of this Agreement on the part of Gem to be performed or observed; and</w:t>
      </w:r>
    </w:p>
    <w:p>
      <w:pPr>
        <w:spacing w:after="0" w:line="161" w:lineRule="exact"/>
        <w:rPr>
          <w:rFonts w:ascii="Times New Roman" w:cs="Times New Roman" w:eastAsia="Times New Roman" w:hAnsi="Times New Roman"/>
          <w:sz w:val="16"/>
          <w:szCs w:val="16"/>
          <w:color w:val="auto"/>
        </w:rPr>
      </w:pPr>
    </w:p>
    <w:p>
      <w:pPr>
        <w:ind w:left="1" w:right="140" w:firstLine="867"/>
        <w:spacing w:after="0" w:line="276" w:lineRule="auto"/>
        <w:tabs>
          <w:tab w:leader="none" w:pos="1093"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has delivered to the Rights Agent an Officer’s Certificate, stating that such consolidation, merger, conveyance, transfer or lease complies with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and that all conditions precedent herein provided for relating to such transaction have been complied with.</w:t>
      </w:r>
    </w:p>
    <w:p>
      <w:pPr>
        <w:spacing w:after="0" w:line="14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i w:val="1"/>
          <w:iCs w:val="1"/>
          <w:color w:val="auto"/>
        </w:rPr>
        <w:t>Successor Substituted</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firstLine="386"/>
        <w:spacing w:after="0" w:line="256" w:lineRule="auto"/>
        <w:rPr>
          <w:sz w:val="20"/>
          <w:szCs w:val="20"/>
          <w:color w:val="auto"/>
        </w:rPr>
      </w:pPr>
      <w:r>
        <w:rPr>
          <w:rFonts w:ascii="Times New Roman" w:cs="Times New Roman" w:eastAsia="Times New Roman" w:hAnsi="Times New Roman"/>
          <w:sz w:val="16"/>
          <w:szCs w:val="16"/>
          <w:color w:val="auto"/>
        </w:rPr>
        <w:t xml:space="preserve">Upon any consolidation of or merger by Gem with or into any other Person, or any conveyance, transfer or lease of the properties and assets substantially as an entirety to any Person in accordance with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the Surviving Person shall succeed to, and be substituted for, and may exercise every right and power of, and shall assume all of the obligations of Gem under this Agreement with the same effect as if the Surviving Person had been named as Gem herein.</w:t>
      </w:r>
    </w:p>
    <w:p>
      <w:pPr>
        <w:spacing w:after="0" w:line="3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ARTICLE 7</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7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i w:val="1"/>
          <w:iCs w:val="1"/>
          <w:color w:val="auto"/>
        </w:rPr>
        <w:t>Notices to Rights Agent and to Gem</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5"/>
          <w:szCs w:val="15"/>
          <w:color w:val="auto"/>
        </w:rPr>
        <w:t>All notices, requests and other communications (each, a “</w:t>
      </w: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to any party hereunder shall be in writing. Such Notice shall be deemed given</w:t>
      </w:r>
    </w:p>
    <w:p>
      <w:pPr>
        <w:spacing w:after="0" w:line="34" w:lineRule="exact"/>
        <w:rPr>
          <w:sz w:val="20"/>
          <w:szCs w:val="20"/>
          <w:color w:val="auto"/>
        </w:rPr>
      </w:pPr>
    </w:p>
    <w:p>
      <w:pPr>
        <w:ind w:left="1" w:right="120" w:hanging="1"/>
        <w:spacing w:after="0" w:line="249" w:lineRule="auto"/>
        <w:tabs>
          <w:tab w:leader="none" w:pos="216"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of delivery, if delivered in person, by Fedex or other internationally recognized overnight courier service or, (except with respect to any Person other than the Rights Agent), by e-mail (upon confirmation of receipt) prior to 5:00 p.m. in the time zone of the receiving party or on the next Business Day, if delivered after 5:00 p.m. in the time zone of the receiving party or (b) on the first Business Day following the date of dispatch, if delivered by FedEx or by other internationally recognized overnight courier service (upon proof of delivery), addressed as follows:</w:t>
      </w:r>
    </w:p>
    <w:p>
      <w:pPr>
        <w:spacing w:after="0" w:line="16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if to the Rights Agent, to:</w:t>
      </w:r>
    </w:p>
    <w:p>
      <w:pPr>
        <w:spacing w:after="0" w:line="194"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1">
            <w:col w:w="9601"/>
          </w:cols>
          <w:pgMar w:left="1119" w:top="251" w:right="1179" w:bottom="1440" w:gutter="0" w:footer="0" w:header="0"/>
        </w:sectPr>
      </w:pPr>
    </w:p>
    <w:bookmarkStart w:id="193" w:name="page194"/>
    <w:bookmarkEnd w:id="19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to Gem, to:</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Attention: [•]</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to such other address or facsimile number as such party may hereafter specify for the purpose by notice to the other parties hereto.</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i w:val="1"/>
          <w:iCs w:val="1"/>
          <w:color w:val="auto"/>
        </w:rPr>
        <w:t>Notice to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60" w:firstLine="386"/>
        <w:spacing w:after="0" w:line="261" w:lineRule="auto"/>
        <w:rPr>
          <w:sz w:val="20"/>
          <w:szCs w:val="20"/>
          <w:color w:val="auto"/>
        </w:rPr>
      </w:pPr>
      <w:r>
        <w:rPr>
          <w:rFonts w:ascii="Times New Roman" w:cs="Times New Roman" w:eastAsia="Times New Roman" w:hAnsi="Times New Roman"/>
          <w:sz w:val="16"/>
          <w:szCs w:val="16"/>
          <w:color w:val="auto"/>
        </w:rPr>
        <w:t>As between Gem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7.4 </w:t>
      </w:r>
      <w:r>
        <w:rPr>
          <w:rFonts w:ascii="Times New Roman" w:cs="Times New Roman" w:eastAsia="Times New Roman" w:hAnsi="Times New Roman"/>
          <w:sz w:val="16"/>
          <w:szCs w:val="16"/>
          <w:i w:val="1"/>
          <w:iCs w:val="1"/>
          <w:color w:val="auto"/>
        </w:rPr>
        <w:t>Merger or Consolidation or Change of Name of Rights Agent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40" w:firstLine="386"/>
        <w:spacing w:after="0" w:line="252" w:lineRule="auto"/>
        <w:rPr>
          <w:sz w:val="20"/>
          <w:szCs w:val="20"/>
          <w:color w:val="auto"/>
        </w:rPr>
      </w:pPr>
      <w:r>
        <w:rPr>
          <w:rFonts w:ascii="Times New Roman" w:cs="Times New Roman" w:eastAsia="Times New Roman" w:hAnsi="Times New Roman"/>
          <w:sz w:val="16"/>
          <w:szCs w:val="16"/>
          <w:color w:val="auto"/>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The purchase of the Rights Agent’s assets employed in the performance of transfer agent activities shall be deemed a merger or consolidation for purposes of this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7.5 </w:t>
      </w:r>
      <w:r>
        <w:rPr>
          <w:rFonts w:ascii="Times New Roman" w:cs="Times New Roman" w:eastAsia="Times New Roman" w:hAnsi="Times New Roman"/>
          <w:sz w:val="16"/>
          <w:szCs w:val="16"/>
          <w:i w:val="1"/>
          <w:iCs w:val="1"/>
          <w:color w:val="auto"/>
        </w:rPr>
        <w:t>Successors and Assigns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6" w:lineRule="auto"/>
        <w:rPr>
          <w:sz w:val="20"/>
          <w:szCs w:val="20"/>
          <w:color w:val="auto"/>
        </w:rPr>
      </w:pPr>
      <w:r>
        <w:rPr>
          <w:rFonts w:ascii="Times New Roman" w:cs="Times New Roman" w:eastAsia="Times New Roman" w:hAnsi="Times New Roman"/>
          <w:sz w:val="16"/>
          <w:szCs w:val="16"/>
          <w:color w:val="auto"/>
        </w:rPr>
        <w:t xml:space="preserve">This Agreement will be binding upon, and will be enforceable by and inure solely to the benefit of, the Holders, Gem and the Rights Agent and their respective successors and assigns. Except for assignments pursuant to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xml:space="preserve">, the Rights Agent may not assign this Agreement without Gem’s prior written consent. Gem or an Assignee may not otherwise assign this Agreement without the prior consent of the Majority of Holders. Any attempted assignment of this Agreement in violation of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will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of no effect.</w:t>
      </w:r>
    </w:p>
    <w:p>
      <w:pPr>
        <w:sectPr>
          <w:pgSz w:w="11900" w:h="16838" w:orient="portrait"/>
          <w:cols w:equalWidth="0" w:num="1">
            <w:col w:w="9600"/>
          </w:cols>
          <w:pgMar w:left="1120" w:top="253" w:right="1179" w:bottom="1440" w:gutter="0" w:footer="0" w:header="0"/>
        </w:sectPr>
      </w:pPr>
    </w:p>
    <w:bookmarkStart w:id="194" w:name="page195"/>
    <w:bookmarkEnd w:id="19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Section 7.6 </w:t>
      </w:r>
      <w:r>
        <w:rPr>
          <w:rFonts w:ascii="Times New Roman" w:cs="Times New Roman" w:eastAsia="Times New Roman" w:hAnsi="Times New Roman"/>
          <w:sz w:val="16"/>
          <w:szCs w:val="16"/>
          <w:i w:val="1"/>
          <w:iCs w:val="1"/>
          <w:color w:val="auto"/>
        </w:rPr>
        <w:t>Benefits of Agreement; Action by Acting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1" w:lineRule="auto"/>
        <w:rPr>
          <w:sz w:val="20"/>
          <w:szCs w:val="20"/>
          <w:color w:val="auto"/>
        </w:rPr>
      </w:pPr>
      <w:r>
        <w:rPr>
          <w:rFonts w:ascii="Times New Roman" w:cs="Times New Roman" w:eastAsia="Times New Roman" w:hAnsi="Times New Roman"/>
          <w:sz w:val="16"/>
          <w:szCs w:val="16"/>
          <w:color w:val="auto"/>
        </w:rPr>
        <w:t>Nothing in this Agreement, express or implied, will give to any Person (other than Gem,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Gem, the Rights Agent, the Holders and their permitted successors and assigns. The Holders will have no rights hereunder except as are expressly set forth herein. Except for the rights of the Rights Agent set forth herein, the Acting Holders and/or Acting Holders, in accordance with this agreement and as the case may be,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7.7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60" w:firstLine="386"/>
        <w:spacing w:after="0" w:line="276" w:lineRule="auto"/>
        <w:rPr>
          <w:sz w:val="20"/>
          <w:szCs w:val="20"/>
          <w:color w:val="auto"/>
        </w:rPr>
      </w:pPr>
      <w:r>
        <w:rPr>
          <w:rFonts w:ascii="Times New Roman" w:cs="Times New Roman" w:eastAsia="Times New Roman" w:hAnsi="Times New Roman"/>
          <w:sz w:val="16"/>
          <w:szCs w:val="16"/>
          <w:color w:val="auto"/>
        </w:rPr>
        <w:t>This Agreement and the CVRs will be governed by, and construed in accordance with, the laws of the State of Delaware without regard to the conflicts of law rules of such state.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7.8 </w:t>
      </w:r>
      <w:r>
        <w:rPr>
          <w:rFonts w:ascii="Times New Roman" w:cs="Times New Roman" w:eastAsia="Times New Roman" w:hAnsi="Times New Roman"/>
          <w:sz w:val="16"/>
          <w:szCs w:val="16"/>
          <w:i w:val="1"/>
          <w:iCs w:val="1"/>
          <w:color w:val="auto"/>
        </w:rPr>
        <w:t>Jurisdiction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0" w:lineRule="auto"/>
        <w:rPr>
          <w:sz w:val="20"/>
          <w:szCs w:val="20"/>
          <w:color w:val="auto"/>
        </w:rPr>
      </w:pPr>
      <w:r>
        <w:rPr>
          <w:rFonts w:ascii="Times New Roman" w:cs="Times New Roman" w:eastAsia="Times New Roman" w:hAnsi="Times New Roman"/>
          <w:sz w:val="16"/>
          <w:szCs w:val="16"/>
          <w:color w:val="auto"/>
        </w:rPr>
        <w:t xml:space="preserve">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Chancery Court of the State of Delaware, County of New Castle,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w:t>
      </w:r>
    </w:p>
    <w:p>
      <w:pPr>
        <w:spacing w:after="0"/>
        <w:rPr>
          <w:sz w:val="20"/>
          <w:szCs w:val="20"/>
          <w:color w:val="auto"/>
        </w:rPr>
      </w:pPr>
      <w:r>
        <w:rPr>
          <w:rFonts w:ascii="Times New Roman" w:cs="Times New Roman" w:eastAsia="Times New Roman" w:hAnsi="Times New Roman"/>
          <w:sz w:val="16"/>
          <w:szCs w:val="16"/>
          <w:color w:val="auto"/>
        </w:rPr>
        <w:t xml:space="preserve">with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of this Agreement.</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7.9 </w:t>
      </w:r>
      <w:r>
        <w:rPr>
          <w:rFonts w:ascii="Times New Roman" w:cs="Times New Roman" w:eastAsia="Times New Roman" w:hAnsi="Times New Roman"/>
          <w:sz w:val="16"/>
          <w:szCs w:val="16"/>
          <w:i w:val="1"/>
          <w:iCs w:val="1"/>
          <w:color w:val="auto"/>
        </w:rPr>
        <w:t>WAIVER OF JURY TRIAL</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80" w:firstLine="386"/>
        <w:spacing w:after="0" w:line="257" w:lineRule="auto"/>
        <w:rPr>
          <w:sz w:val="20"/>
          <w:szCs w:val="20"/>
          <w:color w:val="auto"/>
        </w:rPr>
      </w:pPr>
      <w:r>
        <w:rPr>
          <w:rFonts w:ascii="Times New Roman" w:cs="Times New Roman" w:eastAsia="Times New Roman" w:hAnsi="Times New Roman"/>
          <w:sz w:val="16"/>
          <w:szCs w:val="16"/>
          <w:b w:val="1"/>
          <w:bCs w:val="1"/>
          <w:color w:val="auto"/>
        </w:rPr>
        <w:t>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w:t>
      </w:r>
    </w:p>
    <w:p>
      <w:pPr>
        <w:sectPr>
          <w:pgSz w:w="11900" w:h="16838" w:orient="portrait"/>
          <w:cols w:equalWidth="0" w:num="1">
            <w:col w:w="9600"/>
          </w:cols>
          <w:pgMar w:left="1120" w:top="251" w:right="1179" w:bottom="1440" w:gutter="0" w:footer="0" w:header="0"/>
        </w:sectPr>
      </w:pPr>
    </w:p>
    <w:bookmarkStart w:id="195" w:name="page196"/>
    <w:bookmarkEnd w:id="195"/>
    <w:p>
      <w:pPr>
        <w:ind w:right="80"/>
        <w:spacing w:after="0" w:line="257"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7.9</w:t>
      </w:r>
      <w:r>
        <w:rPr>
          <w:rFonts w:ascii="Times New Roman" w:cs="Times New Roman" w:eastAsia="Times New Roman" w:hAnsi="Times New Roman"/>
          <w:sz w:val="16"/>
          <w:szCs w:val="16"/>
          <w:b w:val="1"/>
          <w:bCs w:val="1"/>
          <w:color w:val="auto"/>
        </w:rPr>
        <w: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i w:val="1"/>
          <w:iCs w:val="1"/>
          <w:color w:val="auto"/>
        </w:rPr>
        <w:t>Severability Clause</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40" w:firstLine="386"/>
        <w:spacing w:after="0" w:line="251" w:lineRule="auto"/>
        <w:rPr>
          <w:sz w:val="20"/>
          <w:szCs w:val="20"/>
          <w:color w:val="auto"/>
        </w:rPr>
      </w:pPr>
      <w:r>
        <w:rPr>
          <w:rFonts w:ascii="Times New Roman" w:cs="Times New Roman" w:eastAsia="Times New Roman" w:hAnsi="Times New Roman"/>
          <w:sz w:val="16"/>
          <w:szCs w:val="16"/>
          <w:color w:val="auto"/>
        </w:rPr>
        <w:t>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provided, however, that if an excluded provision shall affect the rights, immunities, liabilities, duties or obligations of the Rights Agent, the Rights Agent shall be entitled to resign immediately upon written notice to Gem.</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i w:val="1"/>
          <w:iCs w:val="1"/>
          <w:color w:val="auto"/>
        </w:rPr>
        <w:t>Counterparts; Effectiveness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2" w:lineRule="auto"/>
        <w:rPr>
          <w:sz w:val="20"/>
          <w:szCs w:val="20"/>
          <w:color w:val="auto"/>
        </w:rPr>
      </w:pPr>
      <w:r>
        <w:rPr>
          <w:rFonts w:ascii="Times New Roman" w:cs="Times New Roman" w:eastAsia="Times New Roman" w:hAnsi="Times New Roman"/>
          <w:sz w:val="16"/>
          <w:szCs w:val="16"/>
          <w:color w:val="auto"/>
        </w:rPr>
        <w:t>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7.12 </w:t>
      </w:r>
      <w:r>
        <w:rPr>
          <w:rFonts w:ascii="Times New Roman" w:cs="Times New Roman" w:eastAsia="Times New Roman" w:hAnsi="Times New Roman"/>
          <w:sz w:val="16"/>
          <w:szCs w:val="16"/>
          <w:i w:val="1"/>
          <w:iCs w:val="1"/>
          <w:color w:val="auto"/>
        </w:rPr>
        <w:t>Termination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80" w:firstLine="386"/>
        <w:spacing w:after="0" w:line="279" w:lineRule="auto"/>
        <w:rPr>
          <w:sz w:val="20"/>
          <w:szCs w:val="20"/>
          <w:color w:val="auto"/>
        </w:rPr>
      </w:pPr>
      <w:r>
        <w:rPr>
          <w:rFonts w:ascii="Times New Roman" w:cs="Times New Roman" w:eastAsia="Times New Roman" w:hAnsi="Times New Roman"/>
          <w:sz w:val="15"/>
          <w:szCs w:val="15"/>
          <w:color w:val="auto"/>
        </w:rPr>
        <w:t xml:space="preserve">This Agreement will automatically terminate and be of no further force or effect and, except as provided in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the parties hereto will have no further liability hereunder, and the CVRs will expire without any consideration or compensation therefor, upon the expiration of the CVR Period. The termination of this Agreement will not affect or limit the right of Holders to receive the CVR Payments under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to the extent earned prior to the termination of this Agreement, and the provisions applicable thereto will survive the expiration or termination of this Agreement.</w:t>
      </w:r>
    </w:p>
    <w:p>
      <w:pPr>
        <w:sectPr>
          <w:pgSz w:w="11900" w:h="16838" w:orient="portrait"/>
          <w:cols w:equalWidth="0" w:num="1">
            <w:col w:w="9640"/>
          </w:cols>
          <w:pgMar w:left="1120" w:top="251" w:right="1139" w:bottom="1440" w:gutter="0" w:footer="0" w:header="0"/>
        </w:sectPr>
      </w:pPr>
    </w:p>
    <w:bookmarkStart w:id="196" w:name="page197"/>
    <w:bookmarkEnd w:id="196"/>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7.13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Notwithstanding anything to the contrary contained herein, none of the Rights Agent, Gem or any of its Subsidiaries (except as it relates to the obligations of the Company under Article 3) will be liable for any delays or failures in performance resulting from acts beyond its reasonable control including acts of God, pandemics (including COVID-19),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7.14 </w:t>
      </w:r>
      <w:r>
        <w:rPr>
          <w:rFonts w:ascii="Times New Roman" w:cs="Times New Roman" w:eastAsia="Times New Roman" w:hAnsi="Times New Roman"/>
          <w:sz w:val="16"/>
          <w:szCs w:val="16"/>
          <w:i w:val="1"/>
          <w:iCs w:val="1"/>
          <w:color w:val="auto"/>
        </w:rPr>
        <w:t>Construction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40" w:firstLine="867"/>
        <w:spacing w:after="0" w:line="261" w:lineRule="auto"/>
        <w:tabs>
          <w:tab w:leader="none" w:pos="1083"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56" w:lineRule="exact"/>
        <w:rPr>
          <w:rFonts w:ascii="Times New Roman" w:cs="Times New Roman" w:eastAsia="Times New Roman" w:hAnsi="Times New Roman"/>
          <w:sz w:val="16"/>
          <w:szCs w:val="16"/>
          <w:color w:val="auto"/>
        </w:rPr>
      </w:pPr>
    </w:p>
    <w:p>
      <w:pPr>
        <w:ind w:right="160" w:firstLine="867"/>
        <w:spacing w:after="0" w:line="276" w:lineRule="auto"/>
        <w:tabs>
          <w:tab w:leader="none" w:pos="1092"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the words “include” and “including,” and variations thereof, will not be deemed to be terms of limitation, but rather will be deemed to be followed by the words “without limitation.”</w:t>
      </w:r>
    </w:p>
    <w:p>
      <w:pPr>
        <w:spacing w:after="0" w:line="144" w:lineRule="exact"/>
        <w:rPr>
          <w:rFonts w:ascii="Times New Roman" w:cs="Times New Roman" w:eastAsia="Times New Roman" w:hAnsi="Times New Roman"/>
          <w:sz w:val="16"/>
          <w:szCs w:val="16"/>
          <w:color w:val="auto"/>
        </w:rPr>
      </w:pPr>
    </w:p>
    <w:p>
      <w:pPr>
        <w:ind w:right="40" w:firstLine="867"/>
        <w:spacing w:after="0" w:line="276" w:lineRule="auto"/>
        <w:tabs>
          <w:tab w:leader="none" w:pos="1083"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144" w:lineRule="exact"/>
        <w:rPr>
          <w:rFonts w:ascii="Times New Roman" w:cs="Times New Roman" w:eastAsia="Times New Roman" w:hAnsi="Times New Roman"/>
          <w:sz w:val="16"/>
          <w:szCs w:val="16"/>
          <w:color w:val="auto"/>
        </w:rPr>
      </w:pPr>
    </w:p>
    <w:p>
      <w:pPr>
        <w:ind w:firstLine="867"/>
        <w:spacing w:after="0" w:line="256" w:lineRule="auto"/>
        <w:tabs>
          <w:tab w:leader="none" w:pos="1092"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in this Agreement to a date or time shall be deemed to be such date or time in New York City, United States, unless otherwise specified. The parties hereto and Gem have participated jointly in the negotiation and drafting of this Agreement. In the event an ambiguity or question of intent or interpretation arises, this Agreement shall be construed as if drafted jointly by the parties and Gem and no presumption or burden of proof shall arise favoring or disfavoring any Person by virtue of the authorship of any provision of this Agreement.</w:t>
      </w:r>
    </w:p>
    <w:p>
      <w:pPr>
        <w:spacing w:after="0" w:line="161"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references herein to “$” are to United States Dollars.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ectPr>
          <w:pgSz w:w="11900" w:h="16838" w:orient="portrait"/>
          <w:cols w:equalWidth="0" w:num="1">
            <w:col w:w="9640"/>
          </w:cols>
          <w:pgMar w:left="1120" w:top="251" w:right="1139" w:bottom="1440" w:gutter="0" w:footer="0" w:header="0"/>
        </w:sectPr>
      </w:pPr>
    </w:p>
    <w:bookmarkStart w:id="197" w:name="page198"/>
    <w:bookmarkEnd w:id="197"/>
    <w:p>
      <w:pPr>
        <w:ind w:left="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each of the parties has caused this Agreement to be executed as of the day and year first above written.</w:t>
      </w:r>
    </w:p>
    <w:p>
      <w:pPr>
        <w:sectPr>
          <w:pgSz w:w="11900" w:h="16838" w:orient="portrait"/>
          <w:cols w:equalWidth="0" w:num="1">
            <w:col w:w="9019"/>
          </w:cols>
          <w:pgMar w:left="1440" w:top="253" w:right="1440" w:bottom="1440" w:gutter="0" w:footer="0" w:header="0"/>
        </w:sectPr>
      </w:pPr>
    </w:p>
    <w:p>
      <w:pPr>
        <w:spacing w:after="0" w:line="23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[GEM]</w:t>
      </w:r>
    </w:p>
    <w:p>
      <w:pPr>
        <w:spacing w:after="0" w:line="19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color w:val="auto"/>
        </w:rPr>
        <w:t>[AGENT]</w:t>
      </w:r>
    </w:p>
    <w:p>
      <w:pPr>
        <w:spacing w:after="0" w:line="20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019"/>
          </w:cols>
          <w:pgMar w:left="1440" w:top="253" w:right="1440" w:bottom="1440" w:gutter="0" w:footer="0" w:header="0"/>
          <w:type w:val="continuous"/>
        </w:sectPr>
      </w:pPr>
    </w:p>
    <w:bookmarkStart w:id="198" w:name="page199"/>
    <w:bookmarkEnd w:id="198"/>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COMPANY STOCKHOLDER SUPPORT AGREEMENT</w:t>
      </w:r>
    </w:p>
    <w:p>
      <w:pPr>
        <w:spacing w:after="0" w:line="196" w:lineRule="exact"/>
        <w:rPr>
          <w:sz w:val="20"/>
          <w:szCs w:val="20"/>
          <w:color w:val="auto"/>
        </w:rPr>
      </w:pPr>
    </w:p>
    <w:p>
      <w:pPr>
        <w:ind w:right="80" w:firstLine="386"/>
        <w:spacing w:after="0" w:line="256" w:lineRule="auto"/>
        <w:rPr>
          <w:sz w:val="20"/>
          <w:szCs w:val="20"/>
          <w:color w:val="auto"/>
        </w:rPr>
      </w:pPr>
      <w:r>
        <w:rPr>
          <w:rFonts w:ascii="Times New Roman" w:cs="Times New Roman" w:eastAsia="Times New Roman" w:hAnsi="Times New Roman"/>
          <w:sz w:val="16"/>
          <w:szCs w:val="16"/>
          <w:color w:val="auto"/>
        </w:rPr>
        <w:t>This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 2022, by and among Disc Medicine,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Gemini Therapeutics, Inc., a Delaware 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and the undersigned stockholder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of the Company. Capitalized terms used herein but not otherwise defined shall have the respective meanings ascribed to such terms in the Merger Agreement (as defined below).</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6" w:lineRule="exact"/>
        <w:rPr>
          <w:sz w:val="20"/>
          <w:szCs w:val="20"/>
          <w:color w:val="auto"/>
        </w:rPr>
      </w:pPr>
    </w:p>
    <w:p>
      <w:pPr>
        <w:ind w:right="100" w:firstLine="386"/>
        <w:spacing w:after="0" w:line="254" w:lineRule="auto"/>
        <w:rPr>
          <w:sz w:val="20"/>
          <w:szCs w:val="20"/>
          <w:color w:val="auto"/>
        </w:rPr>
      </w:pPr>
      <w:r>
        <w:rPr>
          <w:rFonts w:ascii="Times New Roman" w:cs="Times New Roman" w:eastAsia="Times New Roman" w:hAnsi="Times New Roman"/>
          <w:sz w:val="16"/>
          <w:szCs w:val="16"/>
          <w:color w:val="auto"/>
        </w:rPr>
        <w:t>WHEREAS, concurrently with the execution and delivery hereof, Gem, the Company and Gemstone Merger Sub, Inc., a Delaware corporation and a wholly owned subsidiary of Gem (the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Merger Sub will merge with and into the Company, with the Company surviving the merger as the surviving corporation and a wholly owned subsidiary of Gem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upon the terms and subject to the conditions set forth in the Merger Agreement.</w:t>
      </w:r>
    </w:p>
    <w:p>
      <w:pPr>
        <w:spacing w:after="0" w:line="162" w:lineRule="exact"/>
        <w:rPr>
          <w:sz w:val="20"/>
          <w:szCs w:val="20"/>
          <w:color w:val="auto"/>
        </w:rPr>
      </w:pPr>
    </w:p>
    <w:p>
      <w:pPr>
        <w:ind w:right="160" w:firstLine="386"/>
        <w:spacing w:after="0" w:line="276" w:lineRule="auto"/>
        <w:rPr>
          <w:sz w:val="20"/>
          <w:szCs w:val="20"/>
          <w:color w:val="auto"/>
        </w:rPr>
      </w:pPr>
      <w:r>
        <w:rPr>
          <w:rFonts w:ascii="Times New Roman" w:cs="Times New Roman" w:eastAsia="Times New Roman" w:hAnsi="Times New Roman"/>
          <w:sz w:val="16"/>
          <w:szCs w:val="16"/>
          <w:color w:val="auto"/>
        </w:rPr>
        <w:t xml:space="preserve">WHEREAS, as of the date hereof, the Stockholder is the beneficial owner (as defined in Rule 13d-3 under the Exchange Act) of such number of shares of Company Capital Stock as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right="200" w:firstLine="386"/>
        <w:spacing w:after="0" w:line="276" w:lineRule="auto"/>
        <w:rPr>
          <w:sz w:val="20"/>
          <w:szCs w:val="20"/>
          <w:color w:val="auto"/>
        </w:rPr>
      </w:pPr>
      <w:r>
        <w:rPr>
          <w:rFonts w:ascii="Times New Roman" w:cs="Times New Roman" w:eastAsia="Times New Roman" w:hAnsi="Times New Roman"/>
          <w:sz w:val="16"/>
          <w:szCs w:val="16"/>
          <w:color w:val="auto"/>
        </w:rPr>
        <w:t>WHEREAS, as an inducement to the willingness of Gem to enter into the Merger Agreement, Gem has required that Stockholder enter into this Agreement.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NOW, THEREFORE, intending to be legally bound, the parties hereby agree as follows:</w:t>
      </w:r>
    </w:p>
    <w:p>
      <w:pPr>
        <w:spacing w:after="0" w:line="100" w:lineRule="exact"/>
        <w:rPr>
          <w:sz w:val="20"/>
          <w:szCs w:val="20"/>
          <w:color w:val="auto"/>
        </w:rPr>
      </w:pPr>
    </w:p>
    <w:p>
      <w:pPr>
        <w:ind w:right="40" w:firstLine="385"/>
        <w:spacing w:after="0" w:line="276" w:lineRule="auto"/>
        <w:tabs>
          <w:tab w:leader="none" w:pos="543"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49" w:lineRule="exact"/>
        <w:rPr>
          <w:rFonts w:ascii="Times New Roman" w:cs="Times New Roman" w:eastAsia="Times New Roman" w:hAnsi="Times New Roman"/>
          <w:sz w:val="16"/>
          <w:szCs w:val="16"/>
          <w:color w:val="auto"/>
        </w:rPr>
      </w:pPr>
    </w:p>
    <w:p>
      <w:pPr>
        <w:ind w:right="320" w:firstLine="867"/>
        <w:spacing w:after="0" w:line="256" w:lineRule="auto"/>
        <w:tabs>
          <w:tab w:leader="none" w:pos="1083"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Constructive Sale</w:t>
      </w:r>
      <w:r>
        <w:rPr>
          <w:rFonts w:ascii="Times New Roman" w:cs="Times New Roman" w:eastAsia="Times New Roman" w:hAnsi="Times New Roman"/>
          <w:sz w:val="16"/>
          <w:szCs w:val="16"/>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66" w:lineRule="exact"/>
        <w:rPr>
          <w:rFonts w:ascii="Times New Roman" w:cs="Times New Roman" w:eastAsia="Times New Roman" w:hAnsi="Times New Roman"/>
          <w:sz w:val="16"/>
          <w:szCs w:val="16"/>
          <w:color w:val="auto"/>
        </w:rPr>
      </w:pPr>
    </w:p>
    <w:p>
      <w:pPr>
        <w:ind w:right="80" w:firstLine="867"/>
        <w:spacing w:after="0" w:line="261" w:lineRule="auto"/>
        <w:tabs>
          <w:tab w:leader="none" w:pos="1092"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(i) all shares of Company Capital Stock beneficially owned by the Stockholder as of the date hereof, and (ii) all additional shares of Company Capital Stock acquired and beneficially owned by the Stockholder during the period commencing with the execution and delivery of this Agreement and expiring on the Closing Date.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w:t>
      </w:r>
    </w:p>
    <w:p>
      <w:pPr>
        <w:sectPr>
          <w:pgSz w:w="11900" w:h="16838" w:orient="portrait"/>
          <w:cols w:equalWidth="0" w:num="1">
            <w:col w:w="9640"/>
          </w:cols>
          <w:pgMar w:left="1120" w:top="121" w:right="1139" w:bottom="1440" w:gutter="0" w:footer="0" w:header="0"/>
        </w:sectPr>
      </w:pPr>
    </w:p>
    <w:bookmarkStart w:id="199" w:name="page200"/>
    <w:bookmarkEnd w:id="199"/>
    <w:p>
      <w:pPr>
        <w:ind w:left="-40" w:firstLine="867"/>
        <w:spacing w:after="0" w:line="251" w:lineRule="auto"/>
        <w:tabs>
          <w:tab w:leader="none" w:pos="1043"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Transferred</w:t>
      </w:r>
      <w:r>
        <w:rPr>
          <w:rFonts w:ascii="Times New Roman" w:cs="Times New Roman" w:eastAsia="Times New Roman" w:hAnsi="Times New Roman"/>
          <w:sz w:val="16"/>
          <w:szCs w:val="16"/>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beneficial ownership thereof, the offer to make such a sale, transfer, Constructive Sale or other disposition, and each agreement, arrangement or understanding, whether or not in writing, to effect any of the foregoing.</w:t>
      </w:r>
    </w:p>
    <w:p>
      <w:pPr>
        <w:spacing w:after="0" w:line="166" w:lineRule="exact"/>
        <w:rPr>
          <w:rFonts w:ascii="Times New Roman" w:cs="Times New Roman" w:eastAsia="Times New Roman" w:hAnsi="Times New Roman"/>
          <w:sz w:val="16"/>
          <w:szCs w:val="16"/>
          <w:color w:val="auto"/>
        </w:rPr>
      </w:pPr>
    </w:p>
    <w:p>
      <w:pPr>
        <w:ind w:left="500" w:hanging="155"/>
        <w:spacing w:after="0"/>
        <w:tabs>
          <w:tab w:leader="none" w:pos="50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and Voting Restrictions</w:t>
      </w:r>
      <w:r>
        <w:rPr>
          <w:rFonts w:ascii="Times New Roman" w:cs="Times New Roman" w:eastAsia="Times New Roman" w:hAnsi="Times New Roman"/>
          <w:sz w:val="16"/>
          <w:szCs w:val="16"/>
          <w:color w:val="auto"/>
        </w:rPr>
        <w:t>. The Stockholder covenants to Gem as follows:</w:t>
      </w:r>
    </w:p>
    <w:p>
      <w:pPr>
        <w:spacing w:after="0" w:line="99" w:lineRule="exact"/>
        <w:rPr>
          <w:rFonts w:ascii="Times New Roman" w:cs="Times New Roman" w:eastAsia="Times New Roman" w:hAnsi="Times New Roman"/>
          <w:sz w:val="16"/>
          <w:szCs w:val="16"/>
          <w:color w:val="auto"/>
        </w:rPr>
      </w:pPr>
    </w:p>
    <w:p>
      <w:pPr>
        <w:ind w:left="-40" w:right="120" w:firstLine="867"/>
        <w:spacing w:after="0" w:line="261" w:lineRule="auto"/>
        <w:tabs>
          <w:tab w:leader="none" w:pos="1043"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Section 2(c),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spacing w:after="0" w:line="62" w:lineRule="exact"/>
        <w:rPr>
          <w:rFonts w:ascii="Times New Roman" w:cs="Times New Roman" w:eastAsia="Times New Roman" w:hAnsi="Times New Roman"/>
          <w:sz w:val="16"/>
          <w:szCs w:val="16"/>
          <w:color w:val="auto"/>
        </w:rPr>
      </w:pPr>
    </w:p>
    <w:p>
      <w:pPr>
        <w:ind w:left="-40" w:right="20" w:firstLine="867"/>
        <w:spacing w:after="0" w:line="270" w:lineRule="auto"/>
        <w:tabs>
          <w:tab w:leader="none" w:pos="1052" w:val="left"/>
        </w:tabs>
        <w:numPr>
          <w:ilvl w:val="1"/>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the Amended and Restated Voting Agreement of the Company, dated as of August 23, 2021 (the “</w:t>
      </w:r>
      <w:r>
        <w:rPr>
          <w:rFonts w:ascii="Times New Roman" w:cs="Times New Roman" w:eastAsia="Times New Roman" w:hAnsi="Times New Roman"/>
          <w:sz w:val="15"/>
          <w:szCs w:val="15"/>
          <w:u w:val="single" w:color="auto"/>
          <w:color w:val="auto"/>
        </w:rPr>
        <w:t>Voting Agreement</w:t>
      </w:r>
      <w:r>
        <w:rPr>
          <w:rFonts w:ascii="Times New Roman" w:cs="Times New Roman" w:eastAsia="Times New Roman" w:hAnsi="Times New Roman"/>
          <w:sz w:val="15"/>
          <w:szCs w:val="15"/>
          <w:color w:val="auto"/>
        </w:rPr>
        <w: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execute and deliver the Company Stockholder Written Consent.</w:t>
      </w:r>
    </w:p>
    <w:p>
      <w:pPr>
        <w:spacing w:after="0" w:line="55" w:lineRule="exact"/>
        <w:rPr>
          <w:rFonts w:ascii="Times New Roman" w:cs="Times New Roman" w:eastAsia="Times New Roman" w:hAnsi="Times New Roman"/>
          <w:sz w:val="15"/>
          <w:szCs w:val="15"/>
          <w:color w:val="auto"/>
        </w:rPr>
      </w:pPr>
    </w:p>
    <w:p>
      <w:pPr>
        <w:ind w:left="-40" w:firstLine="867"/>
        <w:spacing w:after="0" w:line="268" w:lineRule="auto"/>
        <w:tabs>
          <w:tab w:leader="none" w:pos="1043" w:val="left"/>
        </w:tabs>
        <w:numPr>
          <w:ilvl w:val="1"/>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else herein to the contrary, the Stockholder may, at any time, Transfer Shares (i) by will or other testamentary document or by intestacy, (ii) to any investment fund or other entity controlled or managed by the Stockholder or the investment adviser of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in the cases of clauses (i)-(v) (x) such Transferred Shares shall continue to be bound by this Agreement and (y) the applicable direct transferee (if any) of such Transferred Shares shall have executed and delivered to Gem and the Company a support agreement substantially identical to this Agreement upon consummation of the Transfer or (vi) to the extent required by applicable Law.</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9560"/>
          </w:cols>
          <w:pgMar w:left="1160" w:top="253" w:right="1179" w:bottom="1440" w:gutter="0" w:footer="0" w:header="0"/>
        </w:sectPr>
      </w:pPr>
    </w:p>
    <w:bookmarkStart w:id="200" w:name="page201"/>
    <w:bookmarkEnd w:id="200"/>
    <w:p>
      <w:pPr>
        <w:ind w:left="540" w:hanging="155"/>
        <w:spacing w:after="0"/>
        <w:tabs>
          <w:tab w:leader="none" w:pos="54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Agreement to Vote Shares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ind w:firstLine="867"/>
        <w:spacing w:after="0" w:line="256" w:lineRule="auto"/>
        <w:tabs>
          <w:tab w:leader="none" w:pos="1083"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the Expiration Date, at any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and (C) against any Acquisition Proposal.</w:t>
      </w:r>
    </w:p>
    <w:p>
      <w:pPr>
        <w:spacing w:after="0" w:line="66" w:lineRule="exact"/>
        <w:rPr>
          <w:rFonts w:ascii="Times New Roman" w:cs="Times New Roman" w:eastAsia="Times New Roman" w:hAnsi="Times New Roman"/>
          <w:sz w:val="16"/>
          <w:szCs w:val="16"/>
          <w:color w:val="auto"/>
        </w:rPr>
      </w:pPr>
    </w:p>
    <w:p>
      <w:pPr>
        <w:ind w:firstLine="867"/>
        <w:spacing w:after="0" w:line="276" w:lineRule="auto"/>
        <w:tabs>
          <w:tab w:leader="none" w:pos="1092"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Stockholder is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6"/>
          <w:szCs w:val="16"/>
          <w:u w:val="single" w:color="auto"/>
          <w:color w:val="auto"/>
        </w:rPr>
        <w:t>Section 3.</w:t>
      </w:r>
    </w:p>
    <w:p>
      <w:pPr>
        <w:spacing w:after="0" w:line="49" w:lineRule="exact"/>
        <w:rPr>
          <w:rFonts w:ascii="Times New Roman" w:cs="Times New Roman" w:eastAsia="Times New Roman" w:hAnsi="Times New Roman"/>
          <w:sz w:val="16"/>
          <w:szCs w:val="16"/>
          <w:color w:val="auto"/>
        </w:rPr>
      </w:pPr>
    </w:p>
    <w:p>
      <w:pPr>
        <w:ind w:right="20" w:firstLine="867"/>
        <w:spacing w:after="0" w:line="256" w:lineRule="auto"/>
        <w:tabs>
          <w:tab w:leader="none" w:pos="1083" w:val="left"/>
        </w:tabs>
        <w:numPr>
          <w:ilvl w:val="1"/>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66" w:lineRule="exact"/>
        <w:rPr>
          <w:rFonts w:ascii="Times New Roman" w:cs="Times New Roman" w:eastAsia="Times New Roman" w:hAnsi="Times New Roman"/>
          <w:sz w:val="16"/>
          <w:szCs w:val="16"/>
          <w:color w:val="auto"/>
        </w:rPr>
      </w:pPr>
    </w:p>
    <w:p>
      <w:pPr>
        <w:ind w:right="160" w:firstLine="385"/>
        <w:spacing w:after="0" w:line="261" w:lineRule="auto"/>
        <w:tabs>
          <w:tab w:leader="none" w:pos="543"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 in Stockholder Capacity Only</w:t>
      </w:r>
      <w:r>
        <w:rPr>
          <w:rFonts w:ascii="Times New Roman" w:cs="Times New Roman" w:eastAsia="Times New Roman" w:hAnsi="Times New Roman"/>
          <w:sz w:val="16"/>
          <w:szCs w:val="16"/>
          <w:color w:val="auto"/>
        </w:rPr>
        <w:t>. The Stockholder is entering into this Agreement solely in the Stockholder’s capacity as the beneficial owner of its Shares and not in the Stockholder’s capacity as a director or officer of the Company. Nothing herein shall limit or affect the Stockholder’s ability to act as an officer or director of the Company.</w:t>
      </w:r>
    </w:p>
    <w:p>
      <w:pPr>
        <w:spacing w:after="0" w:line="62" w:lineRule="exact"/>
        <w:rPr>
          <w:rFonts w:ascii="Times New Roman" w:cs="Times New Roman" w:eastAsia="Times New Roman" w:hAnsi="Times New Roman"/>
          <w:sz w:val="16"/>
          <w:szCs w:val="16"/>
          <w:color w:val="auto"/>
        </w:rPr>
      </w:pPr>
    </w:p>
    <w:p>
      <w:pPr>
        <w:ind w:firstLine="385"/>
        <w:spacing w:after="0" w:line="249" w:lineRule="auto"/>
        <w:tabs>
          <w:tab w:leader="none" w:pos="543"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Irrevocable Proxy</w:t>
      </w:r>
      <w:r>
        <w:rPr>
          <w:rFonts w:ascii="Times New Roman" w:cs="Times New Roman" w:eastAsia="Times New Roman" w:hAnsi="Times New Roman"/>
          <w:sz w:val="16"/>
          <w:szCs w:val="16"/>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at any applicable meeting of the stockholders of the Company or pursuant to any applicable written consent of the stockholders of the Company, the Stockholder shall be deemed to have irrevocably granted to, and appointed, the Company, and any individual designated in writing by it, and each of them individually, as his, her or its proxy and attorney-in-fact (with full power of substitution), for and in its name, place and stead, to vote his, her or its Shares in any action by written consent of Company stockholders or at any meeting of the Company stockholders called with respect to any of the matters specified in, and in accordance and consistent with,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Agreement. The Company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9640"/>
          </w:cols>
          <w:pgMar w:left="1120" w:top="253" w:right="1139" w:bottom="1440" w:gutter="0" w:footer="0" w:header="0"/>
        </w:sectPr>
      </w:pPr>
    </w:p>
    <w:bookmarkStart w:id="201" w:name="page202"/>
    <w:bookmarkEnd w:id="201"/>
    <w:p>
      <w:pPr>
        <w:ind w:firstLine="385"/>
        <w:spacing w:after="0" w:line="251" w:lineRule="auto"/>
        <w:tabs>
          <w:tab w:leader="none" w:pos="543"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 Solicitation</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the Stockholder agrees not to, directly or indirectly, including through any of its officers, directors or agents, (a) solicit, seek or initiate or knowingly take any action to facilitate or encourage, any offers, inquiries or the making of any proposal or offer that constitutes, or could reasonably be expected to lead to, any Acquisition Proposal or Acquisition Inquiry or (b) enter into, continue or otherwise participate or engage in any discussions or negotiations regarding any Acquisition Proposal, or furnish to any person any non-public information or afford any person, other than Gem or the Company, as applicable, access to such party’s property, books or records (except as required by applicable Law or pursuant to a request by a Governmental Authority) in connection with, any Acquisition Proposal;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prevent the Stockholder from referring a person to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to the Merger Agreement.</w:t>
      </w:r>
    </w:p>
    <w:p>
      <w:pPr>
        <w:spacing w:after="0" w:line="72" w:lineRule="exact"/>
        <w:rPr>
          <w:rFonts w:ascii="Times New Roman" w:cs="Times New Roman" w:eastAsia="Times New Roman" w:hAnsi="Times New Roman"/>
          <w:sz w:val="16"/>
          <w:szCs w:val="16"/>
          <w:color w:val="auto"/>
        </w:rPr>
      </w:pPr>
    </w:p>
    <w:p>
      <w:pPr>
        <w:ind w:right="40" w:firstLine="385"/>
        <w:spacing w:after="0" w:line="252" w:lineRule="auto"/>
        <w:tabs>
          <w:tab w:leader="none" w:pos="543"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authorizes Gem and the Company to publish and disclose in all documents and schedules filed with the SEC, and any press release or other disclosure document that Gem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provided, that, Gem and the Company provide such documents, schedules, press release or other disclosure document to the Stockholder in advance for its review and comment. Each of Gem and the Company is an intended third-party beneficiary of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right="20" w:firstLine="385"/>
        <w:spacing w:after="0" w:line="268" w:lineRule="auto"/>
        <w:tabs>
          <w:tab w:leader="none" w:pos="543" w:val="left"/>
        </w:tabs>
        <w:numPr>
          <w:ilvl w:val="0"/>
          <w:numId w:val="2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Exercise of Appraisal Rights; Waivers</w:t>
      </w:r>
      <w:r>
        <w:rPr>
          <w:rFonts w:ascii="Times New Roman" w:cs="Times New Roman" w:eastAsia="Times New Roman" w:hAnsi="Times New Roman"/>
          <w:sz w:val="15"/>
          <w:szCs w:val="15"/>
          <w:color w:val="auto"/>
        </w:rPr>
        <w:t>.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breaches any duty that such Stockholder has (or may be alleged to have) to the Company or to the other Company stockholders; provided,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spacing w:after="0" w:line="57" w:lineRule="exact"/>
        <w:rPr>
          <w:rFonts w:ascii="Times New Roman" w:cs="Times New Roman" w:eastAsia="Times New Roman" w:hAnsi="Times New Roman"/>
          <w:sz w:val="15"/>
          <w:szCs w:val="15"/>
          <w:color w:val="auto"/>
        </w:rPr>
      </w:pPr>
    </w:p>
    <w:p>
      <w:pPr>
        <w:ind w:left="540" w:hanging="155"/>
        <w:spacing w:after="0"/>
        <w:tabs>
          <w:tab w:leader="none" w:pos="54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99" w:lineRule="exact"/>
        <w:rPr>
          <w:rFonts w:ascii="Times New Roman" w:cs="Times New Roman" w:eastAsia="Times New Roman" w:hAnsi="Times New Roman"/>
          <w:sz w:val="16"/>
          <w:szCs w:val="16"/>
          <w:color w:val="auto"/>
        </w:rPr>
      </w:pPr>
    </w:p>
    <w:p>
      <w:pPr>
        <w:ind w:right="80" w:firstLine="867"/>
        <w:spacing w:after="0" w:line="256" w:lineRule="auto"/>
        <w:tabs>
          <w:tab w:leader="none" w:pos="1083" w:val="left"/>
        </w:tabs>
        <w:numPr>
          <w:ilvl w:val="1"/>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The Stockholder is the beneficial owner of the shares of Company Capital Stock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(each of which shall be deemed to be “held” by the Stockholder for purposes of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unless otherwise expressly stated with respect to any shares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free and clear of any and all Encumbrances (except for any Encumbrance that may be imposed pursuant to this Agreement, the Voting Agreement, the Amended and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9640"/>
          </w:cols>
          <w:pgMar w:left="1120" w:top="253" w:right="1139" w:bottom="1440" w:gutter="0" w:footer="0" w:header="0"/>
        </w:sectPr>
      </w:pPr>
    </w:p>
    <w:bookmarkStart w:id="202" w:name="page203"/>
    <w:bookmarkEnd w:id="202"/>
    <w:p>
      <w:pPr>
        <w:ind w:right="6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Restated Investors’ Rights Agreement of the Company, dated as of August 23, 2021 (the “</w:t>
      </w:r>
      <w:r>
        <w:rPr>
          <w:rFonts w:ascii="Times New Roman" w:cs="Times New Roman" w:eastAsia="Times New Roman" w:hAnsi="Times New Roman"/>
          <w:sz w:val="16"/>
          <w:szCs w:val="16"/>
          <w:u w:val="single" w:color="auto"/>
          <w:color w:val="auto"/>
        </w:rPr>
        <w:t>Investor’s Rights Agreement</w:t>
      </w:r>
      <w:r>
        <w:rPr>
          <w:rFonts w:ascii="Times New Roman" w:cs="Times New Roman" w:eastAsia="Times New Roman" w:hAnsi="Times New Roman"/>
          <w:sz w:val="16"/>
          <w:szCs w:val="16"/>
          <w:color w:val="auto"/>
        </w:rPr>
        <w:t xml:space="preserve">”), or any lock-up agreement entered into by and between the Stockholder, the Company and Gem); and (ii) the Stockholder does not beneficially own any securities of the Company other than the shares of Company Capital Stock and rights to purchase shares Company Capital Stock set forth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62" w:lineRule="exact"/>
        <w:rPr>
          <w:sz w:val="20"/>
          <w:szCs w:val="20"/>
          <w:color w:val="auto"/>
        </w:rPr>
      </w:pPr>
    </w:p>
    <w:p>
      <w:pPr>
        <w:ind w:right="20" w:firstLine="867"/>
        <w:spacing w:after="0" w:line="251" w:lineRule="auto"/>
        <w:tabs>
          <w:tab w:leader="none" w:pos="1092"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except for the Voting Agreement,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72" w:lineRule="exact"/>
        <w:rPr>
          <w:rFonts w:ascii="Times New Roman" w:cs="Times New Roman" w:eastAsia="Times New Roman" w:hAnsi="Times New Roman"/>
          <w:sz w:val="16"/>
          <w:szCs w:val="16"/>
          <w:color w:val="auto"/>
        </w:rPr>
      </w:pPr>
    </w:p>
    <w:p>
      <w:pPr>
        <w:ind w:right="60" w:firstLine="867"/>
        <w:spacing w:after="0" w:line="251" w:lineRule="auto"/>
        <w:tabs>
          <w:tab w:leader="none" w:pos="1083"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69" w:lineRule="exact"/>
        <w:rPr>
          <w:rFonts w:ascii="Times New Roman" w:cs="Times New Roman" w:eastAsia="Times New Roman" w:hAnsi="Times New Roman"/>
          <w:sz w:val="16"/>
          <w:szCs w:val="16"/>
          <w:color w:val="auto"/>
        </w:rPr>
      </w:pPr>
    </w:p>
    <w:p>
      <w:pPr>
        <w:ind w:right="100" w:firstLine="867"/>
        <w:spacing w:after="0" w:line="256" w:lineRule="auto"/>
        <w:tabs>
          <w:tab w:leader="none" w:pos="1092"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66" w:lineRule="exact"/>
        <w:rPr>
          <w:rFonts w:ascii="Times New Roman" w:cs="Times New Roman" w:eastAsia="Times New Roman" w:hAnsi="Times New Roman"/>
          <w:sz w:val="16"/>
          <w:szCs w:val="16"/>
          <w:color w:val="auto"/>
        </w:rPr>
      </w:pPr>
    </w:p>
    <w:p>
      <w:pPr>
        <w:ind w:firstLine="867"/>
        <w:spacing w:after="0" w:line="251" w:lineRule="auto"/>
        <w:tabs>
          <w:tab w:leader="none" w:pos="1083"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Gem, the Company or any of their respective agents or representatives with respect to the tax consequences of the Merger and the Contemplated Transactions. The Stockholder understands that such Stockholder (and not Gem, the Company or the Surviving Corporation) shall be responsible for such Stockholder’s tax liability that may arise as a result of the Merger or the Contemplated Transactions. The Stockholder understands and acknowledges that the Company, Gem and Merger Sub are entering into the Merger Agreement in reliance upon the Stockholder’s execution, delivery and performance of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9640"/>
          </w:cols>
          <w:pgMar w:left="1120" w:top="253" w:right="1139" w:bottom="1440" w:gutter="0" w:footer="0" w:header="0"/>
        </w:sectPr>
      </w:pPr>
    </w:p>
    <w:bookmarkStart w:id="203" w:name="page204"/>
    <w:bookmarkEnd w:id="203"/>
    <w:p>
      <w:pPr>
        <w:jc w:val="both"/>
        <w:ind w:right="60" w:firstLine="867"/>
        <w:spacing w:after="0" w:line="256" w:lineRule="auto"/>
        <w:tabs>
          <w:tab w:leader="none" w:pos="1065" w:val="left"/>
        </w:tabs>
        <w:numPr>
          <w:ilvl w:val="1"/>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66" w:lineRule="exact"/>
        <w:rPr>
          <w:rFonts w:ascii="Times New Roman" w:cs="Times New Roman" w:eastAsia="Times New Roman" w:hAnsi="Times New Roman"/>
          <w:sz w:val="16"/>
          <w:szCs w:val="16"/>
          <w:color w:val="auto"/>
        </w:rPr>
      </w:pPr>
    </w:p>
    <w:p>
      <w:pPr>
        <w:ind w:right="40" w:firstLine="385"/>
        <w:spacing w:after="0" w:line="252" w:lineRule="auto"/>
        <w:tabs>
          <w:tab w:leader="none" w:pos="622"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shall terminate and shall cease to be of any further force or effect as of the earliest of (a) such date and time as the Merger Agreement shall have been terminated pursuant to the terms thereof as in effect on the date of this Agreement (and without giving effect to any amendments thereto unless consented to by the Stockholder), (b) the Effective Time and (c) the time this Agreement is terminated upon the written agreement of the Stockholder, the Company and Gem (the “</w:t>
      </w:r>
      <w:r>
        <w:rPr>
          <w:rFonts w:ascii="Times New Roman" w:cs="Times New Roman" w:eastAsia="Times New Roman" w:hAnsi="Times New Roman"/>
          <w:sz w:val="16"/>
          <w:szCs w:val="16"/>
          <w:b w:val="1"/>
          <w:bCs w:val="1"/>
          <w:i w:val="1"/>
          <w:iCs w:val="1"/>
          <w:color w:val="auto"/>
        </w:rPr>
        <w:t>Expiration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that (i)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shall survive the termination of this Agreement, and (ii) the termination of this Agreement shall not relieve any party hereto from any liability for any material and willful breach of this Agreement prior to the Effective Time.</w:t>
      </w:r>
    </w:p>
    <w:p>
      <w:pPr>
        <w:spacing w:after="0" w:line="70" w:lineRule="exact"/>
        <w:rPr>
          <w:rFonts w:ascii="Times New Roman" w:cs="Times New Roman" w:eastAsia="Times New Roman" w:hAnsi="Times New Roman"/>
          <w:sz w:val="16"/>
          <w:szCs w:val="16"/>
          <w:color w:val="auto"/>
        </w:rPr>
      </w:pPr>
    </w:p>
    <w:p>
      <w:pPr>
        <w:ind w:left="620" w:hanging="235"/>
        <w:spacing w:after="0"/>
        <w:tabs>
          <w:tab w:leader="none" w:pos="62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right="100" w:firstLine="867"/>
        <w:spacing w:after="0" w:line="276" w:lineRule="auto"/>
        <w:tabs>
          <w:tab w:leader="none" w:pos="1083" w:val="left"/>
        </w:tabs>
        <w:numPr>
          <w:ilvl w:val="1"/>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No amendment of this Agreement shall be effective against any party unless it shall be in writing and signed by each of the parties hereto.</w:t>
      </w:r>
    </w:p>
    <w:p>
      <w:pPr>
        <w:spacing w:after="0" w:line="49" w:lineRule="exact"/>
        <w:rPr>
          <w:rFonts w:ascii="Times New Roman" w:cs="Times New Roman" w:eastAsia="Times New Roman" w:hAnsi="Times New Roman"/>
          <w:sz w:val="16"/>
          <w:szCs w:val="16"/>
          <w:color w:val="auto"/>
        </w:rPr>
      </w:pPr>
    </w:p>
    <w:p>
      <w:pPr>
        <w:ind w:right="320" w:firstLine="867"/>
        <w:spacing w:after="0" w:line="276" w:lineRule="auto"/>
        <w:tabs>
          <w:tab w:leader="none" w:pos="1092" w:val="left"/>
        </w:tabs>
        <w:numPr>
          <w:ilvl w:val="1"/>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between the parties to this Agreement and supersedes all other prior agreements, arrangements and understandings, both written and oral, among the parties with respect to the subject matter hereof.</w:t>
      </w:r>
    </w:p>
    <w:p>
      <w:pPr>
        <w:spacing w:after="0" w:line="49" w:lineRule="exact"/>
        <w:rPr>
          <w:rFonts w:ascii="Times New Roman" w:cs="Times New Roman" w:eastAsia="Times New Roman" w:hAnsi="Times New Roman"/>
          <w:sz w:val="16"/>
          <w:szCs w:val="16"/>
          <w:color w:val="auto"/>
        </w:rPr>
      </w:pPr>
    </w:p>
    <w:p>
      <w:pPr>
        <w:ind w:right="80" w:firstLine="867"/>
        <w:spacing w:after="0" w:line="256" w:lineRule="auto"/>
        <w:tabs>
          <w:tab w:leader="none" w:pos="1083" w:val="left"/>
        </w:tabs>
        <w:numPr>
          <w:ilvl w:val="1"/>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matters arising out of or relating to this Agreement and the transactions contemplated hereby (including its interpretation, construction, performance and enforcement)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66" w:lineRule="exact"/>
        <w:rPr>
          <w:rFonts w:ascii="Times New Roman" w:cs="Times New Roman" w:eastAsia="Times New Roman" w:hAnsi="Times New Roman"/>
          <w:sz w:val="16"/>
          <w:szCs w:val="16"/>
          <w:color w:val="auto"/>
        </w:rPr>
      </w:pPr>
    </w:p>
    <w:p>
      <w:pPr>
        <w:ind w:firstLine="867"/>
        <w:spacing w:after="0" w:line="254" w:lineRule="auto"/>
        <w:tabs>
          <w:tab w:leader="none" w:pos="1092" w:val="left"/>
        </w:tabs>
        <w:numPr>
          <w:ilvl w:val="1"/>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9640"/>
          </w:cols>
          <w:pgMar w:left="1120" w:top="253" w:right="1139" w:bottom="1440" w:gutter="0" w:footer="0" w:header="0"/>
        </w:sectPr>
      </w:pPr>
    </w:p>
    <w:bookmarkStart w:id="204" w:name="page205"/>
    <w:bookmarkEnd w:id="204"/>
    <w:p>
      <w:pPr>
        <w:ind w:right="2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SECTION 11(d),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SECTION 11(j) OF THIS AGREEMENT AND (F) IRREVOCABLY WAIVES THE RIGHT TO TRIAL BY JURY.</w:t>
      </w:r>
    </w:p>
    <w:p>
      <w:pPr>
        <w:spacing w:after="0" w:line="72" w:lineRule="exact"/>
        <w:rPr>
          <w:sz w:val="20"/>
          <w:szCs w:val="20"/>
          <w:color w:val="auto"/>
        </w:rPr>
      </w:pPr>
    </w:p>
    <w:p>
      <w:pPr>
        <w:ind w:right="80" w:firstLine="867"/>
        <w:spacing w:after="0" w:line="254" w:lineRule="auto"/>
        <w:tabs>
          <w:tab w:leader="none" w:pos="1083"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EACH OF THE PARTIES TO THIS AGREEMENT HEREBY IRREVOCABLY WAIVES ALL RIGHT TO TRIAL BY JURY IN ANY ACTION, PROCEEDING OR COUNTERCLAIM (WHETHER BASED ON CONTRACT, TORT OR OTHERWISE) ARISING OUT OF OR RELATING TO THIS AGREEMENT OR THE TRANSACTIONS CONTEMPLATED HEREBY OR THE ACTIONS OF ANY PARTY TO THIS AGREEMENT IN THE NEGOTIATION, ADMINISTRATION, PERFORMANCE AND ENFORCEMENT OF THIS AGREEMENT.</w:t>
      </w:r>
    </w:p>
    <w:p>
      <w:pPr>
        <w:spacing w:after="0" w:line="67" w:lineRule="exact"/>
        <w:rPr>
          <w:rFonts w:ascii="Times New Roman" w:cs="Times New Roman" w:eastAsia="Times New Roman" w:hAnsi="Times New Roman"/>
          <w:sz w:val="16"/>
          <w:szCs w:val="16"/>
          <w:color w:val="auto"/>
        </w:rPr>
      </w:pPr>
    </w:p>
    <w:p>
      <w:pPr>
        <w:ind w:right="300" w:firstLine="867"/>
        <w:spacing w:after="0" w:line="254" w:lineRule="auto"/>
        <w:tabs>
          <w:tab w:leader="none" w:pos="1065"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Except as otherwise provided in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hereof, no party may assign any of its rights or delegate any of its performance obligations under this Agreement, in whole or in part, by operation of law or otherwise, without the prior written consent of the other parties hereto, and any such assignment without such prior written consent shall be null and void. Subject to the preceding sentence, this Agreement shall be binding upon, inure to the benefit of, and be enforceable by, the parties hereto and their respective successors and permitted assigns. Any purported assignment of rights or delegation of performance obligations in violation of this </w:t>
      </w:r>
      <w:r>
        <w:rPr>
          <w:rFonts w:ascii="Times New Roman" w:cs="Times New Roman" w:eastAsia="Times New Roman" w:hAnsi="Times New Roman"/>
          <w:sz w:val="16"/>
          <w:szCs w:val="16"/>
          <w:u w:val="single" w:color="auto"/>
          <w:color w:val="auto"/>
        </w:rPr>
        <w:t>Section 11(f)</w:t>
      </w:r>
      <w:r>
        <w:rPr>
          <w:rFonts w:ascii="Times New Roman" w:cs="Times New Roman" w:eastAsia="Times New Roman" w:hAnsi="Times New Roman"/>
          <w:sz w:val="16"/>
          <w:szCs w:val="16"/>
          <w:color w:val="auto"/>
        </w:rPr>
        <w:t xml:space="preserve"> is void.</w:t>
      </w:r>
    </w:p>
    <w:p>
      <w:pPr>
        <w:spacing w:after="0" w:line="67" w:lineRule="exact"/>
        <w:rPr>
          <w:rFonts w:ascii="Times New Roman" w:cs="Times New Roman" w:eastAsia="Times New Roman" w:hAnsi="Times New Roman"/>
          <w:sz w:val="16"/>
          <w:szCs w:val="16"/>
          <w:color w:val="auto"/>
        </w:rPr>
      </w:pPr>
    </w:p>
    <w:p>
      <w:pPr>
        <w:ind w:firstLine="867"/>
        <w:spacing w:after="0" w:line="276" w:lineRule="auto"/>
        <w:tabs>
          <w:tab w:leader="none" w:pos="1092"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 Party Rights</w:t>
      </w:r>
      <w:r>
        <w:rPr>
          <w:rFonts w:ascii="Times New Roman" w:cs="Times New Roman" w:eastAsia="Times New Roman" w:hAnsi="Times New Roman"/>
          <w:sz w:val="16"/>
          <w:szCs w:val="16"/>
          <w:color w:val="auto"/>
        </w:rPr>
        <w:t>. This Agreement is not intended to, and shall not, confer upon any other person any rights or remedies hereunder other than the parties hereto to the extent expressly set forth herein.</w:t>
      </w:r>
    </w:p>
    <w:p>
      <w:pPr>
        <w:spacing w:after="0" w:line="49" w:lineRule="exact"/>
        <w:rPr>
          <w:rFonts w:ascii="Times New Roman" w:cs="Times New Roman" w:eastAsia="Times New Roman" w:hAnsi="Times New Roman"/>
          <w:sz w:val="16"/>
          <w:szCs w:val="16"/>
          <w:color w:val="auto"/>
        </w:rPr>
      </w:pPr>
    </w:p>
    <w:p>
      <w:pPr>
        <w:ind w:right="20" w:firstLine="867"/>
        <w:spacing w:after="0" w:line="250" w:lineRule="auto"/>
        <w:tabs>
          <w:tab w:leader="none" w:pos="1092"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9640"/>
          </w:cols>
          <w:pgMar w:left="1120" w:top="253" w:right="1139" w:bottom="1440" w:gutter="0" w:footer="0" w:header="0"/>
        </w:sectPr>
      </w:pPr>
    </w:p>
    <w:bookmarkStart w:id="205" w:name="page206"/>
    <w:bookmarkEnd w:id="205"/>
    <w:p>
      <w:pPr>
        <w:ind w:left="-20" w:firstLine="867"/>
        <w:spacing w:after="0" w:line="256" w:lineRule="auto"/>
        <w:tabs>
          <w:tab w:leader="none" w:pos="1037"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Specific Performance</w:t>
      </w:r>
      <w:r>
        <w:rPr>
          <w:rFonts w:ascii="Times New Roman" w:cs="Times New Roman" w:eastAsia="Times New Roman" w:hAnsi="Times New Roman"/>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66" w:lineRule="exact"/>
        <w:rPr>
          <w:rFonts w:ascii="Times New Roman" w:cs="Times New Roman" w:eastAsia="Times New Roman" w:hAnsi="Times New Roman"/>
          <w:sz w:val="16"/>
          <w:szCs w:val="16"/>
          <w:color w:val="auto"/>
        </w:rPr>
      </w:pPr>
    </w:p>
    <w:p>
      <w:pPr>
        <w:ind w:left="-20" w:right="20" w:firstLine="867"/>
        <w:spacing w:after="0" w:line="251" w:lineRule="auto"/>
        <w:tabs>
          <w:tab w:leader="none" w:pos="1037"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hereunder shall be in writing and shall be deemed to have been duly delivered and received hereunder (i) three Business Days after being sent by registered or certified mail, return receipt requested, postage prepaid, (ii) one Business Day after being sent for next Business Day delivery, fees prepaid, via a reputable overnight courier service, (iii) upon delivery, in the case of delivery by hand, or (iv) on the date delivered in the place of delivery if sent by electronic mail or facsimile (with written or electronic confirmation of delivery) prior to 6:00 p.m., New York City time, otherwise on the next succeeding Business Day, in each case to the intended recipient as follows: (A) if to the Company or Gem, to the address, electronic mail address or facsimile provided in the Merger Agreement, including to the persons designated therein to receive copies; and/or (B) if to the Stockholder, to the Stockholder’s address, electronic mail address or facsimile shown below Stockholder’s signature to this Agreement.</w:t>
      </w:r>
    </w:p>
    <w:p>
      <w:pPr>
        <w:spacing w:after="0" w:line="69" w:lineRule="exact"/>
        <w:rPr>
          <w:rFonts w:ascii="Times New Roman" w:cs="Times New Roman" w:eastAsia="Times New Roman" w:hAnsi="Times New Roman"/>
          <w:sz w:val="16"/>
          <w:szCs w:val="16"/>
          <w:color w:val="auto"/>
        </w:rPr>
      </w:pPr>
    </w:p>
    <w:p>
      <w:pPr>
        <w:ind w:left="-20" w:firstLine="867"/>
        <w:spacing w:after="0" w:line="254" w:lineRule="auto"/>
        <w:tabs>
          <w:tab w:leader="none" w:pos="1072"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(including by facsimile, by an electronic scan delivered by electronic mail or any electronic signature),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by an electronic scan delivered by electronic mail or by delivery of any electronic signature.</w:t>
      </w:r>
    </w:p>
    <w:p>
      <w:pPr>
        <w:spacing w:after="0" w:line="67" w:lineRule="exact"/>
        <w:rPr>
          <w:rFonts w:ascii="Times New Roman" w:cs="Times New Roman" w:eastAsia="Times New Roman" w:hAnsi="Times New Roman"/>
          <w:sz w:val="16"/>
          <w:szCs w:val="16"/>
          <w:color w:val="auto"/>
        </w:rPr>
      </w:pPr>
    </w:p>
    <w:p>
      <w:pPr>
        <w:ind w:left="-20" w:right="120" w:firstLine="867"/>
        <w:spacing w:after="0" w:line="249" w:lineRule="auto"/>
        <w:tabs>
          <w:tab w:leader="none" w:pos="1037"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the Company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or as otherwise permitted pursuant to and in accordance with the terms of Section 3.4 of the Investors’ Rights Agreement. Neither the Stockholder nor any of its Affiliates (other than the Company,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Gem, except as may be required by applicable Law in which circumstance such announcing party shall make reasonable efforts to consult with the Company and Gem to the extent practicable. The Company is an intended third-party beneficiary of this </w:t>
      </w:r>
      <w:r>
        <w:rPr>
          <w:rFonts w:ascii="Times New Roman" w:cs="Times New Roman" w:eastAsia="Times New Roman" w:hAnsi="Times New Roman"/>
          <w:sz w:val="16"/>
          <w:szCs w:val="16"/>
          <w:u w:val="single" w:color="auto"/>
          <w:color w:val="auto"/>
        </w:rPr>
        <w:t>Section 11(l)</w:t>
      </w:r>
      <w:r>
        <w:rPr>
          <w:rFonts w:ascii="Times New Roman" w:cs="Times New Roman" w:eastAsia="Times New Roman" w:hAnsi="Times New Roman"/>
          <w:sz w:val="16"/>
          <w:szCs w:val="16"/>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9600"/>
          </w:cols>
          <w:pgMar w:left="1140" w:top="253" w:right="1159" w:bottom="1440" w:gutter="0" w:footer="0" w:header="0"/>
        </w:sectPr>
      </w:pPr>
    </w:p>
    <w:bookmarkStart w:id="206" w:name="page207"/>
    <w:bookmarkEnd w:id="206"/>
    <w:p>
      <w:pPr>
        <w:ind w:left="-40" w:firstLine="867"/>
        <w:spacing w:after="0" w:line="251" w:lineRule="auto"/>
        <w:tabs>
          <w:tab w:leader="none" w:pos="109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Interpretation</w:t>
      </w:r>
      <w:r>
        <w:rPr>
          <w:rFonts w:ascii="Times New Roman" w:cs="Times New Roman" w:eastAsia="Times New Roman" w:hAnsi="Times New Roman"/>
          <w:sz w:val="16"/>
          <w:szCs w:val="16"/>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Left Intentionally Blank]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9</w:t>
      </w:r>
    </w:p>
    <w:p>
      <w:pPr>
        <w:sectPr>
          <w:pgSz w:w="11900" w:h="16838" w:orient="portrait"/>
          <w:cols w:equalWidth="0" w:num="1">
            <w:col w:w="9560"/>
          </w:cols>
          <w:pgMar w:left="1160" w:top="253" w:right="1179" w:bottom="1440" w:gutter="0" w:footer="0" w:header="0"/>
        </w:sectPr>
      </w:pPr>
    </w:p>
    <w:bookmarkStart w:id="207" w:name="page208"/>
    <w:bookmarkEnd w:id="207"/>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undersigned have caused this Agreement to be duly executed as of the date 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his/her capacity as the Stockholder: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13970</wp:posOffset>
            </wp:positionV>
            <wp:extent cx="192976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29765" cy="762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244792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509270</wp:posOffset>
            </wp:positionV>
            <wp:extent cx="244792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704850</wp:posOffset>
            </wp:positionV>
            <wp:extent cx="244792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Page 10</w:t>
      </w:r>
    </w:p>
    <w:p>
      <w:pPr>
        <w:sectPr>
          <w:pgSz w:w="11900" w:h="16838" w:orient="portrait"/>
          <w:cols w:equalWidth="0" w:num="1">
            <w:col w:w="9339"/>
          </w:cols>
          <w:pgMar w:left="1120" w:top="253" w:right="1440"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Appendix A</w:t>
      </w:r>
    </w:p>
    <w:p>
      <w:pPr>
        <w:sectPr>
          <w:pgSz w:w="11900" w:h="16838" w:orient="portrait"/>
          <w:cols w:equalWidth="0" w:num="1">
            <w:col w:w="9019"/>
          </w:cols>
          <w:pgMar w:left="1440" w:top="253" w:right="1440"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GEM STOCKHOLDER SUPPORT AGREEMENT</w:t>
      </w:r>
    </w:p>
    <w:p>
      <w:pPr>
        <w:spacing w:after="0" w:line="196" w:lineRule="exact"/>
        <w:rPr>
          <w:sz w:val="20"/>
          <w:szCs w:val="20"/>
          <w:color w:val="auto"/>
        </w:rPr>
      </w:pPr>
    </w:p>
    <w:p>
      <w:pPr>
        <w:ind w:left="1" w:right="80" w:firstLine="386"/>
        <w:spacing w:after="0" w:line="256" w:lineRule="auto"/>
        <w:rPr>
          <w:sz w:val="20"/>
          <w:szCs w:val="20"/>
          <w:color w:val="auto"/>
        </w:rPr>
      </w:pPr>
      <w:r>
        <w:rPr>
          <w:rFonts w:ascii="Times New Roman" w:cs="Times New Roman" w:eastAsia="Times New Roman" w:hAnsi="Times New Roman"/>
          <w:sz w:val="16"/>
          <w:szCs w:val="16"/>
          <w:color w:val="auto"/>
        </w:rPr>
        <w:t>This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and entered into as of [•], 2022, by and among Disc Medicine,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Gemini Therapeutics, Inc., a Delaware 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and the undersigned stockholder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 of Gem. Capitalized terms used herein but not otherwise defined shall have the respective meanings ascribed to such terms in the Merger Agreement (as defined below).</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6" w:lineRule="exact"/>
        <w:rPr>
          <w:sz w:val="20"/>
          <w:szCs w:val="20"/>
          <w:color w:val="auto"/>
        </w:rPr>
      </w:pPr>
    </w:p>
    <w:p>
      <w:pPr>
        <w:ind w:left="1" w:right="100" w:firstLine="386"/>
        <w:spacing w:after="0" w:line="254" w:lineRule="auto"/>
        <w:rPr>
          <w:sz w:val="20"/>
          <w:szCs w:val="20"/>
          <w:color w:val="auto"/>
        </w:rPr>
      </w:pPr>
      <w:r>
        <w:rPr>
          <w:rFonts w:ascii="Times New Roman" w:cs="Times New Roman" w:eastAsia="Times New Roman" w:hAnsi="Times New Roman"/>
          <w:sz w:val="16"/>
          <w:szCs w:val="16"/>
          <w:color w:val="auto"/>
        </w:rPr>
        <w:t>WHEREAS, concurrently with the execution and delivery hereof, Gem, the Company and Gemstone Merger Sub, Inc., a Delaware corporation and a wholly owned subsidiary of Gem (the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have entered into an agreement and plan of merger (as such agreement may be amended or supplemented from time to time pursuant to the terms thereof,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Merger Sub will merge with and into the Company, with the Company surviving the merger as the surviving corporation and a wholly owned subsidiary of Gem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upon the terms and subject to the conditions set forth in the Merger Agreement.</w:t>
      </w:r>
    </w:p>
    <w:p>
      <w:pPr>
        <w:spacing w:after="0" w:line="162" w:lineRule="exact"/>
        <w:rPr>
          <w:sz w:val="20"/>
          <w:szCs w:val="20"/>
          <w:color w:val="auto"/>
        </w:rPr>
      </w:pPr>
    </w:p>
    <w:p>
      <w:pPr>
        <w:ind w:left="1" w:right="160" w:firstLine="386"/>
        <w:spacing w:after="0" w:line="276" w:lineRule="auto"/>
        <w:rPr>
          <w:sz w:val="20"/>
          <w:szCs w:val="20"/>
          <w:color w:val="auto"/>
        </w:rPr>
      </w:pPr>
      <w:r>
        <w:rPr>
          <w:rFonts w:ascii="Times New Roman" w:cs="Times New Roman" w:eastAsia="Times New Roman" w:hAnsi="Times New Roman"/>
          <w:sz w:val="16"/>
          <w:szCs w:val="16"/>
          <w:color w:val="auto"/>
        </w:rPr>
        <w:t xml:space="preserve">WHEREAS, as of the date hereof, the Stockholder is the beneficial owner (as defined in Rule 13d-3 under the Exchange Act) of such number of shares of Gem Common Stock as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1" w:right="20" w:firstLine="386"/>
        <w:spacing w:after="0" w:line="276" w:lineRule="auto"/>
        <w:rPr>
          <w:sz w:val="20"/>
          <w:szCs w:val="20"/>
          <w:color w:val="auto"/>
        </w:rPr>
      </w:pPr>
      <w:r>
        <w:rPr>
          <w:rFonts w:ascii="Times New Roman" w:cs="Times New Roman" w:eastAsia="Times New Roman" w:hAnsi="Times New Roman"/>
          <w:sz w:val="16"/>
          <w:szCs w:val="16"/>
          <w:color w:val="auto"/>
        </w:rPr>
        <w:t>WHEREAS, as an inducement to the willingness of the Company to enter into the Merger Agreement, the Company has required that Stockholder enter into this Agreement.</w:t>
      </w:r>
    </w:p>
    <w:p>
      <w:pPr>
        <w:spacing w:after="0" w:line="14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NOW, THEREFORE, intending to be legally bound, the parties hereby agree as follows:</w:t>
      </w:r>
    </w:p>
    <w:p>
      <w:pPr>
        <w:spacing w:after="0" w:line="100" w:lineRule="exact"/>
        <w:rPr>
          <w:sz w:val="20"/>
          <w:szCs w:val="20"/>
          <w:color w:val="auto"/>
        </w:rPr>
      </w:pPr>
    </w:p>
    <w:p>
      <w:pPr>
        <w:ind w:left="1" w:right="40" w:firstLine="385"/>
        <w:spacing w:after="0" w:line="276" w:lineRule="auto"/>
        <w:tabs>
          <w:tab w:leader="none" w:pos="545"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Capitalized terms used but not otherwise defined herein shall have the meanings ascribed thereto in the Merger Agreement. For all purposes of this Agreement, the following terms shall have the following respective meanings:</w:t>
      </w:r>
    </w:p>
    <w:p>
      <w:pPr>
        <w:spacing w:after="0" w:line="49" w:lineRule="exact"/>
        <w:rPr>
          <w:rFonts w:ascii="Times New Roman" w:cs="Times New Roman" w:eastAsia="Times New Roman" w:hAnsi="Times New Roman"/>
          <w:sz w:val="16"/>
          <w:szCs w:val="16"/>
          <w:color w:val="auto"/>
        </w:rPr>
      </w:pPr>
    </w:p>
    <w:p>
      <w:pPr>
        <w:ind w:left="1" w:right="320" w:firstLine="867"/>
        <w:spacing w:after="0" w:line="256" w:lineRule="auto"/>
        <w:tabs>
          <w:tab w:leader="none" w:pos="1084" w:val="left"/>
        </w:tabs>
        <w:numPr>
          <w:ilvl w:val="2"/>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Constructive Sale</w:t>
      </w:r>
      <w:r>
        <w:rPr>
          <w:rFonts w:ascii="Times New Roman" w:cs="Times New Roman" w:eastAsia="Times New Roman" w:hAnsi="Times New Roman"/>
          <w:sz w:val="16"/>
          <w:szCs w:val="16"/>
          <w:color w:val="auto"/>
        </w:rPr>
        <w:t>”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w:t>
      </w:r>
    </w:p>
    <w:p>
      <w:pPr>
        <w:spacing w:after="0" w:line="66" w:lineRule="exact"/>
        <w:rPr>
          <w:rFonts w:ascii="Times New Roman" w:cs="Times New Roman" w:eastAsia="Times New Roman" w:hAnsi="Times New Roman"/>
          <w:sz w:val="16"/>
          <w:szCs w:val="16"/>
          <w:color w:val="auto"/>
        </w:rPr>
      </w:pPr>
    </w:p>
    <w:p>
      <w:pPr>
        <w:ind w:left="1101" w:hanging="233"/>
        <w:spacing w:after="0"/>
        <w:tabs>
          <w:tab w:leader="none" w:pos="1101" w:val="left"/>
        </w:tabs>
        <w:numPr>
          <w:ilvl w:val="2"/>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(i) all shares of Gem Common Stock owned, beneficially or of record, by the Stockholder as of the date hereof, and</w:t>
      </w:r>
    </w:p>
    <w:p>
      <w:pPr>
        <w:spacing w:after="0" w:line="22" w:lineRule="exact"/>
        <w:rPr>
          <w:rFonts w:ascii="Times New Roman" w:cs="Times New Roman" w:eastAsia="Times New Roman" w:hAnsi="Times New Roman"/>
          <w:sz w:val="16"/>
          <w:szCs w:val="16"/>
          <w:color w:val="auto"/>
        </w:rPr>
      </w:pPr>
    </w:p>
    <w:p>
      <w:pPr>
        <w:ind w:left="1" w:right="620" w:hanging="1"/>
        <w:spacing w:after="0" w:line="253" w:lineRule="auto"/>
        <w:tabs>
          <w:tab w:leader="none" w:pos="233"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additional shares of Gem Common Stock acquired by the Stockholder, beneficially or of record, during the period commencing with the execution and delivery of this Agreement and expiring on the Closing Date.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w:t>
      </w:r>
    </w:p>
    <w:p>
      <w:pPr>
        <w:sectPr>
          <w:pgSz w:w="11900" w:h="16838" w:orient="portrait"/>
          <w:cols w:equalWidth="0" w:num="1">
            <w:col w:w="9641"/>
          </w:cols>
          <w:pgMar w:left="1119" w:top="121" w:right="1139" w:bottom="1440" w:gutter="0" w:footer="0" w:header="0"/>
        </w:sectPr>
      </w:pPr>
    </w:p>
    <w:bookmarkStart w:id="210" w:name="page211"/>
    <w:bookmarkEnd w:id="210"/>
    <w:p>
      <w:pPr>
        <w:ind w:left="-40" w:firstLine="867"/>
        <w:spacing w:after="0" w:line="251" w:lineRule="auto"/>
        <w:tabs>
          <w:tab w:leader="none" w:pos="1043"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Transferred</w:t>
      </w:r>
      <w:r>
        <w:rPr>
          <w:rFonts w:ascii="Times New Roman" w:cs="Times New Roman" w:eastAsia="Times New Roman" w:hAnsi="Times New Roman"/>
          <w:sz w:val="16"/>
          <w:szCs w:val="16"/>
          <w:color w:val="auto"/>
        </w:rPr>
        <w:t>”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72" w:lineRule="exact"/>
        <w:rPr>
          <w:rFonts w:ascii="Times New Roman" w:cs="Times New Roman" w:eastAsia="Times New Roman" w:hAnsi="Times New Roman"/>
          <w:sz w:val="16"/>
          <w:szCs w:val="16"/>
          <w:color w:val="auto"/>
        </w:rPr>
      </w:pPr>
    </w:p>
    <w:p>
      <w:pPr>
        <w:ind w:left="500" w:hanging="155"/>
        <w:spacing w:after="0"/>
        <w:tabs>
          <w:tab w:leader="none" w:pos="50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and Voting Restrictions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ind w:left="-40" w:right="120" w:firstLine="867"/>
        <w:spacing w:after="0" w:line="261" w:lineRule="auto"/>
        <w:tabs>
          <w:tab w:leader="none" w:pos="1043"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Section 2(c), during the period commencing with the execution and delivery of this Agreement and expiring on the Expiration Date (as defined below), the Stockholder shall not Transfer any of the Stockholder’s Shares, or publicly announce its intention to Transfer any of its Shares.</w:t>
      </w:r>
    </w:p>
    <w:p>
      <w:pPr>
        <w:spacing w:after="0" w:line="62" w:lineRule="exact"/>
        <w:rPr>
          <w:rFonts w:ascii="Times New Roman" w:cs="Times New Roman" w:eastAsia="Times New Roman" w:hAnsi="Times New Roman"/>
          <w:sz w:val="16"/>
          <w:szCs w:val="16"/>
          <w:color w:val="auto"/>
        </w:rPr>
      </w:pPr>
    </w:p>
    <w:p>
      <w:pPr>
        <w:ind w:left="-40" w:right="20" w:firstLine="867"/>
        <w:spacing w:after="0" w:line="251" w:lineRule="auto"/>
        <w:tabs>
          <w:tab w:leader="none" w:pos="1052" w:val="left"/>
        </w:tabs>
        <w:numPr>
          <w:ilvl w:val="1"/>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permitted by this Agreement or otherwise permitted or required or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vote the Stockholder’s Shares in favor of the Gem Stockholder Matters.</w:t>
      </w:r>
    </w:p>
    <w:p>
      <w:pPr>
        <w:spacing w:after="0" w:line="69" w:lineRule="exact"/>
        <w:rPr>
          <w:rFonts w:ascii="Times New Roman" w:cs="Times New Roman" w:eastAsia="Times New Roman" w:hAnsi="Times New Roman"/>
          <w:sz w:val="16"/>
          <w:szCs w:val="16"/>
          <w:color w:val="auto"/>
        </w:rPr>
      </w:pPr>
    </w:p>
    <w:p>
      <w:pPr>
        <w:ind w:left="-40" w:firstLine="867"/>
        <w:spacing w:after="0" w:line="268" w:lineRule="auto"/>
        <w:tabs>
          <w:tab w:leader="none" w:pos="1043" w:val="left"/>
        </w:tabs>
        <w:numPr>
          <w:ilvl w:val="1"/>
          <w:numId w:val="2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else herein to the contrary, the Stockholder may, at any time, Transfer Shares (i) by will or other testamentary document or by intestacy, (ii) to any investment fund or other entity controlled or managed by the Stockholder or the investment adviser of general partner of the Stockholder, or an entity under common control or management with the Stockholders (in each case, directly or indirectly) (iii) to any member of the Stockholder’s immediate family (or, if the Stockholder is a corporation, partnership or other entity, to an immediate family member of a beneficial owner of the Shares held by the Stockholder), (iv)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in the cases of clauses (i)-(v) (x) such Transferred Shares shall continue to be bound by this Agreement and (y) the applicable direct transferee (if any) of such Transferred Shares shall have executed and delivered to Gem and the Company a support agreement substantially identical to this Agreement upon consummation of the Transfer or (vi) to the extent required by applicable Law.</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9560"/>
          </w:cols>
          <w:pgMar w:left="1160" w:top="253" w:right="1179" w:bottom="1440" w:gutter="0" w:footer="0" w:header="0"/>
        </w:sectPr>
      </w:pPr>
    </w:p>
    <w:bookmarkStart w:id="211" w:name="page212"/>
    <w:bookmarkEnd w:id="211"/>
    <w:p>
      <w:pPr>
        <w:ind w:left="541" w:hanging="155"/>
        <w:spacing w:after="0"/>
        <w:tabs>
          <w:tab w:leader="none" w:pos="541" w:val="left"/>
        </w:tabs>
        <w:numPr>
          <w:ilvl w:val="1"/>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Agreement to Vote Shares</w:t>
      </w:r>
      <w:r>
        <w:rPr>
          <w:rFonts w:ascii="Times New Roman" w:cs="Times New Roman" w:eastAsia="Times New Roman" w:hAnsi="Times New Roman"/>
          <w:sz w:val="16"/>
          <w:szCs w:val="16"/>
          <w:color w:val="auto"/>
        </w:rPr>
        <w:t>. The Stockholder covenants to the Company as follows:</w:t>
      </w:r>
    </w:p>
    <w:p>
      <w:pPr>
        <w:spacing w:after="0" w:line="99" w:lineRule="exact"/>
        <w:rPr>
          <w:rFonts w:ascii="Times New Roman" w:cs="Times New Roman" w:eastAsia="Times New Roman" w:hAnsi="Times New Roman"/>
          <w:sz w:val="16"/>
          <w:szCs w:val="16"/>
          <w:color w:val="auto"/>
        </w:rPr>
      </w:pPr>
    </w:p>
    <w:p>
      <w:pPr>
        <w:jc w:val="both"/>
        <w:ind w:left="1" w:right="100" w:firstLine="867"/>
        <w:spacing w:after="0" w:line="271" w:lineRule="auto"/>
        <w:tabs>
          <w:tab w:leader="none" w:pos="1084" w:val="left"/>
        </w:tabs>
        <w:numPr>
          <w:ilvl w:val="2"/>
          <w:numId w:val="2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Until the Expiration Date (as defined below), at any meeting of the stockholders of Gem, however called, and at every adjournment or postponement thereof, and on every action or approval by written consent of the stockholders of Gem, the Stockholder shall be present (in person or by proxy) and vote, or exercise its right to consent with respect to, all Shares held by the Stockholder (A) in favor of the Gem Stockholder Matters and</w:t>
      </w:r>
    </w:p>
    <w:p>
      <w:pPr>
        <w:ind w:left="241" w:hanging="241"/>
        <w:spacing w:after="0"/>
        <w:tabs>
          <w:tab w:leader="none" w:pos="241"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against any Acquisition Proposal.</w:t>
      </w:r>
    </w:p>
    <w:p>
      <w:pPr>
        <w:spacing w:after="0" w:line="82" w:lineRule="exact"/>
        <w:rPr>
          <w:rFonts w:ascii="Times New Roman" w:cs="Times New Roman" w:eastAsia="Times New Roman" w:hAnsi="Times New Roman"/>
          <w:sz w:val="16"/>
          <w:szCs w:val="16"/>
          <w:color w:val="auto"/>
        </w:rPr>
      </w:pPr>
    </w:p>
    <w:p>
      <w:pPr>
        <w:ind w:left="1" w:right="100" w:firstLine="867"/>
        <w:spacing w:after="0" w:line="310" w:lineRule="auto"/>
        <w:tabs>
          <w:tab w:leader="none" w:pos="1093" w:val="left"/>
        </w:tabs>
        <w:numPr>
          <w:ilvl w:val="2"/>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5"/>
          <w:szCs w:val="15"/>
          <w:u w:val="single" w:color="auto"/>
          <w:color w:val="auto"/>
        </w:rPr>
        <w:t>Section 3.</w:t>
      </w:r>
    </w:p>
    <w:p>
      <w:pPr>
        <w:spacing w:after="0" w:line="27" w:lineRule="exact"/>
        <w:rPr>
          <w:rFonts w:ascii="Times New Roman" w:cs="Times New Roman" w:eastAsia="Times New Roman" w:hAnsi="Times New Roman"/>
          <w:sz w:val="15"/>
          <w:szCs w:val="15"/>
          <w:color w:val="auto"/>
        </w:rPr>
      </w:pPr>
    </w:p>
    <w:p>
      <w:pPr>
        <w:ind w:left="1" w:right="60" w:firstLine="867"/>
        <w:spacing w:after="0" w:line="256" w:lineRule="auto"/>
        <w:tabs>
          <w:tab w:leader="none" w:pos="1084" w:val="left"/>
        </w:tabs>
        <w:numPr>
          <w:ilvl w:val="2"/>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stock split, stock dividend or distribution, or any change in the capital stock of Gem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66" w:lineRule="exact"/>
        <w:rPr>
          <w:rFonts w:ascii="Times New Roman" w:cs="Times New Roman" w:eastAsia="Times New Roman" w:hAnsi="Times New Roman"/>
          <w:sz w:val="16"/>
          <w:szCs w:val="16"/>
          <w:color w:val="auto"/>
        </w:rPr>
      </w:pPr>
    </w:p>
    <w:p>
      <w:pPr>
        <w:ind w:left="1" w:right="180" w:firstLine="385"/>
        <w:spacing w:after="0" w:line="261" w:lineRule="auto"/>
        <w:tabs>
          <w:tab w:leader="none" w:pos="545" w:val="left"/>
        </w:tabs>
        <w:numPr>
          <w:ilvl w:val="1"/>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 in Stockholder Capacity Only</w:t>
      </w:r>
      <w:r>
        <w:rPr>
          <w:rFonts w:ascii="Times New Roman" w:cs="Times New Roman" w:eastAsia="Times New Roman" w:hAnsi="Times New Roman"/>
          <w:sz w:val="16"/>
          <w:szCs w:val="16"/>
          <w:color w:val="auto"/>
        </w:rPr>
        <w:t>. The Stockholder is entering into this Agreement solely in the Stockholder’s capacity as a record holder and beneficial owner, as applicable, of its Shares and not in the Stockholder’s capacity as a director or officer of Gem. Nothing herein shall limit or affect the Stockholder’s ability to act as an officer or director of Gem.</w:t>
      </w:r>
    </w:p>
    <w:p>
      <w:pPr>
        <w:spacing w:after="0" w:line="62" w:lineRule="exact"/>
        <w:rPr>
          <w:rFonts w:ascii="Times New Roman" w:cs="Times New Roman" w:eastAsia="Times New Roman" w:hAnsi="Times New Roman"/>
          <w:sz w:val="16"/>
          <w:szCs w:val="16"/>
          <w:color w:val="auto"/>
        </w:rPr>
      </w:pPr>
    </w:p>
    <w:p>
      <w:pPr>
        <w:ind w:left="1" w:firstLine="385"/>
        <w:spacing w:after="0" w:line="268" w:lineRule="auto"/>
        <w:tabs>
          <w:tab w:leader="none" w:pos="545" w:val="left"/>
        </w:tabs>
        <w:numPr>
          <w:ilvl w:val="1"/>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Irrevocable Proxy</w:t>
      </w:r>
      <w:r>
        <w:rPr>
          <w:rFonts w:ascii="Times New Roman" w:cs="Times New Roman" w:eastAsia="Times New Roman" w:hAnsi="Times New Roman"/>
          <w:sz w:val="15"/>
          <w:szCs w:val="15"/>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at any applicable meeting of the stockholders of Gem or pursuant to any applicable written consent of the stockholders of Gem, the Stockholder shall be deemed to have irrevocably granted to, and appointed, the Company, and any individual designated in writing by it, and each of them individually, as his, her or its proxy and attorney-in-fact (with full power of substitution), for and in its name, place and stead, to vote his, her or its Shares in any action by written consent of Gem stockholders or at any meeting of the Gem stockholders called with respect to any of the matters specified in, and in accordance and consistent with,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of this Agreement. Gem agrees not to exercise the proxy granted herein for any purpose other than the purposes described in this Agreement. Except as otherwise provided for herein,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9641"/>
          </w:cols>
          <w:pgMar w:left="1119" w:top="253" w:right="1139" w:bottom="1440" w:gutter="0" w:footer="0" w:header="0"/>
        </w:sectPr>
      </w:pPr>
    </w:p>
    <w:bookmarkStart w:id="212" w:name="page213"/>
    <w:bookmarkEnd w:id="212"/>
    <w:p>
      <w:pPr>
        <w:ind w:firstLine="385"/>
        <w:spacing w:after="0" w:line="251" w:lineRule="auto"/>
        <w:tabs>
          <w:tab w:leader="none" w:pos="543"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No Solicitation</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the Stockholder agrees not to, directly or indirectly, including through any of its officers, directors or agents, (a) solicit, seek or initiate or knowingly take any action to facilitate or encourage, any offers, inquiries or the making of any proposal or offer that constitutes, or could reasonably be expected to lead to, any Acquisition Proposal or (b) enter into, continue or otherwise participate or engage in any discussions or negotiations regarding any Acquisition Proposal, or furnish to any person any non-public information or afford any person, other than Gem or the Company, as applicable, access to such party’s property, books or records (except as required by applicable Law or pursuant to a request by a Governmental Authority) in connection with, any Acquisition Proposal;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prevent the Stockholder from referring a person to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or to the Merger Agreement.</w:t>
      </w:r>
    </w:p>
    <w:p>
      <w:pPr>
        <w:spacing w:after="0" w:line="72" w:lineRule="exact"/>
        <w:rPr>
          <w:rFonts w:ascii="Times New Roman" w:cs="Times New Roman" w:eastAsia="Times New Roman" w:hAnsi="Times New Roman"/>
          <w:sz w:val="16"/>
          <w:szCs w:val="16"/>
          <w:color w:val="auto"/>
        </w:rPr>
      </w:pPr>
    </w:p>
    <w:p>
      <w:pPr>
        <w:ind w:right="40" w:firstLine="385"/>
        <w:spacing w:after="0" w:line="252" w:lineRule="auto"/>
        <w:tabs>
          <w:tab w:leader="none" w:pos="543"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authorizes Gem and the Company to publish and disclose in all documents and schedules filed with the SEC, and any press release or other disclosure document that Gem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provided, that, Gem and the Company provide such documents, schedules, press release or other disclosure document to the Stockholder in advance for its review and comment. Each of Gem and the Company is an intended third-party beneficiary of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firstLine="385"/>
        <w:spacing w:after="0" w:line="250" w:lineRule="auto"/>
        <w:tabs>
          <w:tab w:leader="none" w:pos="543"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Exercise of Appraisal Rights; Waivers</w:t>
      </w:r>
      <w:r>
        <w:rPr>
          <w:rFonts w:ascii="Times New Roman" w:cs="Times New Roman" w:eastAsia="Times New Roman" w:hAnsi="Times New Roman"/>
          <w:sz w:val="16"/>
          <w:szCs w:val="16"/>
          <w:color w:val="auto"/>
        </w:rPr>
        <w:t>.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or the approval of the Merger Agreement by the Gem Board, breaches any fiduciary duty of the Gem Board or any member thereof; provided, that the Stockholder may defend against, contest or settle any such action, claim, suit or cause of action brought against the Stockholder that relates solely to the Stockholder’s capacity as a director, officer or securityholder of Gem.</w:t>
      </w:r>
    </w:p>
    <w:p>
      <w:pPr>
        <w:spacing w:after="0" w:line="72" w:lineRule="exact"/>
        <w:rPr>
          <w:rFonts w:ascii="Times New Roman" w:cs="Times New Roman" w:eastAsia="Times New Roman" w:hAnsi="Times New Roman"/>
          <w:sz w:val="16"/>
          <w:szCs w:val="16"/>
          <w:color w:val="auto"/>
        </w:rPr>
      </w:pPr>
    </w:p>
    <w:p>
      <w:pPr>
        <w:ind w:left="540" w:hanging="155"/>
        <w:spacing w:after="0"/>
        <w:tabs>
          <w:tab w:leader="none" w:pos="54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99" w:lineRule="exact"/>
        <w:rPr>
          <w:rFonts w:ascii="Times New Roman" w:cs="Times New Roman" w:eastAsia="Times New Roman" w:hAnsi="Times New Roman"/>
          <w:sz w:val="16"/>
          <w:szCs w:val="16"/>
          <w:color w:val="auto"/>
        </w:rPr>
      </w:pPr>
    </w:p>
    <w:p>
      <w:pPr>
        <w:ind w:right="100" w:firstLine="867"/>
        <w:spacing w:after="0" w:line="256" w:lineRule="auto"/>
        <w:tabs>
          <w:tab w:leader="none" w:pos="1083" w:val="left"/>
        </w:tabs>
        <w:numPr>
          <w:ilvl w:val="1"/>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The Stockholder is the beneficial or record owner of the shares of Gem Common Stock indicated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(each of which shall be deemed to be “held” by the Stockholder for purposes of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unless otherwise expressly stated with respect to any shares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free and clear of any and all Liens; and (ii) the Stockholder does not beneficially own any securities of Gem other than the shares of Gem Common Stock and rights to purchase shares Gem Common Stock set forth in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9640"/>
          </w:cols>
          <w:pgMar w:left="1120" w:top="253" w:right="1139" w:bottom="1440" w:gutter="0" w:footer="0" w:header="0"/>
        </w:sectPr>
      </w:pPr>
    </w:p>
    <w:bookmarkStart w:id="213" w:name="page214"/>
    <w:bookmarkEnd w:id="213"/>
    <w:p>
      <w:pPr>
        <w:ind w:firstLine="867"/>
        <w:spacing w:after="0" w:line="251" w:lineRule="auto"/>
        <w:tabs>
          <w:tab w:leader="none" w:pos="1092"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72" w:lineRule="exact"/>
        <w:rPr>
          <w:rFonts w:ascii="Times New Roman" w:cs="Times New Roman" w:eastAsia="Times New Roman" w:hAnsi="Times New Roman"/>
          <w:sz w:val="16"/>
          <w:szCs w:val="16"/>
          <w:color w:val="auto"/>
        </w:rPr>
      </w:pPr>
    </w:p>
    <w:p>
      <w:pPr>
        <w:ind w:right="60" w:firstLine="867"/>
        <w:spacing w:after="0" w:line="251" w:lineRule="auto"/>
        <w:tabs>
          <w:tab w:leader="none" w:pos="1083"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69" w:lineRule="exact"/>
        <w:rPr>
          <w:rFonts w:ascii="Times New Roman" w:cs="Times New Roman" w:eastAsia="Times New Roman" w:hAnsi="Times New Roman"/>
          <w:sz w:val="16"/>
          <w:szCs w:val="16"/>
          <w:color w:val="auto"/>
        </w:rPr>
      </w:pPr>
    </w:p>
    <w:p>
      <w:pPr>
        <w:ind w:right="100" w:firstLine="867"/>
        <w:spacing w:after="0" w:line="261" w:lineRule="auto"/>
        <w:tabs>
          <w:tab w:leader="none" w:pos="1092"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the Stockholder’s legal counsel. The Stockholder understands and acknowledges that the Company is entering into the Merger Agreement in reliance upon the Stockholder’s execution, delivery and performance of this Agreement.</w:t>
      </w:r>
    </w:p>
    <w:p>
      <w:pPr>
        <w:spacing w:after="0" w:line="62" w:lineRule="exact"/>
        <w:rPr>
          <w:rFonts w:ascii="Times New Roman" w:cs="Times New Roman" w:eastAsia="Times New Roman" w:hAnsi="Times New Roman"/>
          <w:sz w:val="16"/>
          <w:szCs w:val="16"/>
          <w:color w:val="auto"/>
        </w:rPr>
      </w:pPr>
    </w:p>
    <w:p>
      <w:pPr>
        <w:ind w:right="100" w:firstLine="867"/>
        <w:spacing w:after="0" w:line="256" w:lineRule="auto"/>
        <w:tabs>
          <w:tab w:leader="none" w:pos="1083"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66" w:lineRule="exact"/>
        <w:rPr>
          <w:rFonts w:ascii="Times New Roman" w:cs="Times New Roman" w:eastAsia="Times New Roman" w:hAnsi="Times New Roman"/>
          <w:sz w:val="16"/>
          <w:szCs w:val="16"/>
          <w:color w:val="auto"/>
        </w:rPr>
      </w:pPr>
    </w:p>
    <w:p>
      <w:pPr>
        <w:ind w:firstLine="867"/>
        <w:spacing w:after="0" w:line="251" w:lineRule="auto"/>
        <w:tabs>
          <w:tab w:leader="none" w:pos="1065"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Gem, the Company or any of their respective agents or representatives with respect to the tax consequences of the Merger and the Contemplated Transactions. The Stockholder understands that such Stockholder (and not Gem, the Company or the Surviving Corporation) shall be responsible for such Stockholder’s tax liability that may arise as a result of the Merger or the Contemplated Transactions. The Stockholder understands and acknowledges that the Company, Gem and Merger Sub are entering into the Merger Agreement in reliance upon the Stockholder’s execution, delivery and performance of this Agreement.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9640"/>
          </w:cols>
          <w:pgMar w:left="1120" w:top="253" w:right="1139" w:bottom="1440" w:gutter="0" w:footer="0" w:header="0"/>
        </w:sectPr>
      </w:pPr>
    </w:p>
    <w:bookmarkStart w:id="214" w:name="page215"/>
    <w:bookmarkEnd w:id="214"/>
    <w:p>
      <w:pPr>
        <w:jc w:val="both"/>
        <w:ind w:left="1" w:right="60" w:firstLine="867"/>
        <w:spacing w:after="0" w:line="256" w:lineRule="auto"/>
        <w:tabs>
          <w:tab w:leader="none" w:pos="1093" w:val="left"/>
        </w:tabs>
        <w:numPr>
          <w:ilvl w:val="2"/>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66" w:lineRule="exact"/>
        <w:rPr>
          <w:rFonts w:ascii="Times New Roman" w:cs="Times New Roman" w:eastAsia="Times New Roman" w:hAnsi="Times New Roman"/>
          <w:sz w:val="16"/>
          <w:szCs w:val="16"/>
          <w:color w:val="auto"/>
        </w:rPr>
      </w:pPr>
    </w:p>
    <w:p>
      <w:pPr>
        <w:ind w:left="1" w:firstLine="385"/>
        <w:spacing w:after="0" w:line="275" w:lineRule="auto"/>
        <w:tabs>
          <w:tab w:leader="none" w:pos="623" w:val="left"/>
        </w:tabs>
        <w:numPr>
          <w:ilvl w:val="1"/>
          <w:numId w:val="2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This Agreement shall terminate and shall cease to be of any further force or effect as of the earlier of (a) such date and time as the Merger Agreement shall have been terminated pursuant to the terms thereof or (b) the Effective Time (the “</w:t>
      </w:r>
      <w:r>
        <w:rPr>
          <w:rFonts w:ascii="Times New Roman" w:cs="Times New Roman" w:eastAsia="Times New Roman" w:hAnsi="Times New Roman"/>
          <w:sz w:val="15"/>
          <w:szCs w:val="15"/>
          <w:b w:val="1"/>
          <w:bCs w:val="1"/>
          <w:i w:val="1"/>
          <w:iCs w:val="1"/>
          <w:color w:val="auto"/>
        </w:rPr>
        <w:t>Expiration 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that</w:t>
      </w:r>
    </w:p>
    <w:p>
      <w:pPr>
        <w:ind w:left="1" w:right="340" w:hanging="1"/>
        <w:spacing w:after="0" w:line="253" w:lineRule="auto"/>
        <w:tabs>
          <w:tab w:leader="none" w:pos="189"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shall survive the termination of this Agreement, and (ii) the termination of this Agreement shall not relieve any party hereto from any liability for any material and willful breach of this Agreement prior to the Effective Time.</w:t>
      </w:r>
    </w:p>
    <w:p>
      <w:pPr>
        <w:spacing w:after="0" w:line="67" w:lineRule="exact"/>
        <w:rPr>
          <w:rFonts w:ascii="Times New Roman" w:cs="Times New Roman" w:eastAsia="Times New Roman" w:hAnsi="Times New Roman"/>
          <w:sz w:val="16"/>
          <w:szCs w:val="16"/>
          <w:color w:val="auto"/>
        </w:rPr>
      </w:pPr>
    </w:p>
    <w:p>
      <w:pPr>
        <w:ind w:left="621" w:hanging="235"/>
        <w:spacing w:after="0"/>
        <w:tabs>
          <w:tab w:leader="none" w:pos="621" w:val="left"/>
        </w:tabs>
        <w:numPr>
          <w:ilvl w:val="1"/>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 Provisions</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left="1" w:right="100" w:firstLine="867"/>
        <w:spacing w:after="0" w:line="276" w:lineRule="auto"/>
        <w:tabs>
          <w:tab w:leader="none" w:pos="1084" w:val="left"/>
        </w:tabs>
        <w:numPr>
          <w:ilvl w:val="2"/>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No amendment of this Agreement shall be effective against any party unless it shall be in writing and signed by each of the parties hereto.</w:t>
      </w:r>
    </w:p>
    <w:p>
      <w:pPr>
        <w:spacing w:after="0" w:line="49" w:lineRule="exact"/>
        <w:rPr>
          <w:rFonts w:ascii="Times New Roman" w:cs="Times New Roman" w:eastAsia="Times New Roman" w:hAnsi="Times New Roman"/>
          <w:sz w:val="16"/>
          <w:szCs w:val="16"/>
          <w:color w:val="auto"/>
        </w:rPr>
      </w:pPr>
    </w:p>
    <w:p>
      <w:pPr>
        <w:ind w:left="1" w:right="320" w:firstLine="867"/>
        <w:spacing w:after="0" w:line="276" w:lineRule="auto"/>
        <w:tabs>
          <w:tab w:leader="none" w:pos="1093" w:val="left"/>
        </w:tabs>
        <w:numPr>
          <w:ilvl w:val="2"/>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entire agreement between the parties to this Agreement and supersedes all other prior agreements, arrangements and understandings, both written and oral, among the parties with respect to the subject matter hereof.</w:t>
      </w:r>
    </w:p>
    <w:p>
      <w:pPr>
        <w:spacing w:after="0" w:line="49" w:lineRule="exact"/>
        <w:rPr>
          <w:rFonts w:ascii="Times New Roman" w:cs="Times New Roman" w:eastAsia="Times New Roman" w:hAnsi="Times New Roman"/>
          <w:sz w:val="16"/>
          <w:szCs w:val="16"/>
          <w:color w:val="auto"/>
        </w:rPr>
      </w:pPr>
    </w:p>
    <w:p>
      <w:pPr>
        <w:ind w:left="1" w:right="80" w:firstLine="867"/>
        <w:spacing w:after="0" w:line="256" w:lineRule="auto"/>
        <w:tabs>
          <w:tab w:leader="none" w:pos="1084" w:val="left"/>
        </w:tabs>
        <w:numPr>
          <w:ilvl w:val="2"/>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matters arising out of or relating to this Agreement and the transactions contemplated hereby (including its interpretation, construction, performance and enforcement)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66" w:lineRule="exact"/>
        <w:rPr>
          <w:rFonts w:ascii="Times New Roman" w:cs="Times New Roman" w:eastAsia="Times New Roman" w:hAnsi="Times New Roman"/>
          <w:sz w:val="16"/>
          <w:szCs w:val="16"/>
          <w:color w:val="auto"/>
        </w:rPr>
      </w:pPr>
    </w:p>
    <w:p>
      <w:pPr>
        <w:ind w:left="1" w:firstLine="867"/>
        <w:spacing w:after="0" w:line="250" w:lineRule="auto"/>
        <w:tabs>
          <w:tab w:leader="none" w:pos="1093" w:val="left"/>
        </w:tabs>
        <w:numPr>
          <w:ilvl w:val="2"/>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xml:space="preserve">. Each of the parties to this Agreement (i) consents to submit itself to the exclusive personal jurisdiction of the Court of Chancery of the State of Delaware, New Castle County, or, if that court does not have jurisdiction, a federal court sitting in Wilmington, Delaware in any action or proceeding arising out of or relating to this Agreement or any of the transactions contemplated by this Agreement, (ii) agrees that all claims in respect of such action or proceeding shall be heard and determined in any such court, (iii) agrees that it shall not attempt to deny or defeat such personal jurisdiction by motion or other request for leave from any such court and (iv) agrees not to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party with respect thereto. Any party may make service on another party by sending or delivering a copy of the process to the party to be served at the address and in the manner provided for the giving of notices in </w:t>
      </w:r>
      <w:r>
        <w:rPr>
          <w:rFonts w:ascii="Times New Roman" w:cs="Times New Roman" w:eastAsia="Times New Roman" w:hAnsi="Times New Roman"/>
          <w:sz w:val="16"/>
          <w:szCs w:val="16"/>
          <w:u w:val="single" w:color="auto"/>
          <w:color w:val="auto"/>
        </w:rPr>
        <w:t>Section 11(j)</w:t>
      </w:r>
      <w:r>
        <w:rPr>
          <w:rFonts w:ascii="Times New Roman" w:cs="Times New Roman" w:eastAsia="Times New Roman" w:hAnsi="Times New Roman"/>
          <w:sz w:val="16"/>
          <w:szCs w:val="16"/>
          <w:color w:val="auto"/>
        </w:rPr>
        <w:t xml:space="preserve">. Nothing in this </w:t>
      </w:r>
      <w:r>
        <w:rPr>
          <w:rFonts w:ascii="Times New Roman" w:cs="Times New Roman" w:eastAsia="Times New Roman" w:hAnsi="Times New Roman"/>
          <w:sz w:val="16"/>
          <w:szCs w:val="16"/>
          <w:u w:val="single" w:color="auto"/>
          <w:color w:val="auto"/>
        </w:rPr>
        <w:t>Section 11(d)</w:t>
      </w:r>
      <w:r>
        <w:rPr>
          <w:rFonts w:ascii="Times New Roman" w:cs="Times New Roman" w:eastAsia="Times New Roman" w:hAnsi="Times New Roman"/>
          <w:sz w:val="16"/>
          <w:szCs w:val="16"/>
          <w:color w:val="auto"/>
        </w:rPr>
        <w:t>, however, shall affect the right of any party to serve legal process in any other manner permitted by law.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9641"/>
          </w:cols>
          <w:pgMar w:left="1119" w:top="253" w:right="1139" w:bottom="1440" w:gutter="0" w:footer="0" w:header="0"/>
        </w:sectPr>
      </w:pPr>
    </w:p>
    <w:bookmarkStart w:id="215" w:name="page216"/>
    <w:bookmarkEnd w:id="215"/>
    <w:p>
      <w:pPr>
        <w:ind w:left="1" w:right="80" w:firstLine="867"/>
        <w:spacing w:after="0" w:line="254" w:lineRule="auto"/>
        <w:tabs>
          <w:tab w:leader="none" w:pos="1084"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WAIVER OF JURY TRIAL</w:t>
      </w:r>
      <w:r>
        <w:rPr>
          <w:rFonts w:ascii="Times New Roman" w:cs="Times New Roman" w:eastAsia="Times New Roman" w:hAnsi="Times New Roman"/>
          <w:sz w:val="16"/>
          <w:szCs w:val="16"/>
          <w:color w:val="auto"/>
        </w:rPr>
        <w:t>. EACH OF THE PARTIES TO THIS AGREEMENT HEREBY IRREVOCABLY WAIVES ALL RIGHT TO TRIAL BY JURY IN ANY ACTION, PROCEEDING OR COUNTERCLAIM (WHETHER BASED ON CONTRACT, TORT OR OTHERWISE) ARISING OUT OF OR RELATING TO THIS AGREEMENT OR THE TRANSACTIONS CONTEMPLATED HEREBY OR THE ACTIONS OF ANY PARTY TO THIS AGREEMENT IN THE NEGOTIATION, ADMINISTRATION, PERFORMANCE AND ENFORCEMENT OF THIS AGREEMENT.</w:t>
      </w:r>
    </w:p>
    <w:p>
      <w:pPr>
        <w:spacing w:after="0" w:line="67" w:lineRule="exact"/>
        <w:rPr>
          <w:rFonts w:ascii="Times New Roman" w:cs="Times New Roman" w:eastAsia="Times New Roman" w:hAnsi="Times New Roman"/>
          <w:sz w:val="16"/>
          <w:szCs w:val="16"/>
          <w:color w:val="auto"/>
        </w:rPr>
      </w:pPr>
    </w:p>
    <w:p>
      <w:pPr>
        <w:ind w:left="1" w:right="300" w:firstLine="867"/>
        <w:spacing w:after="0" w:line="254" w:lineRule="auto"/>
        <w:tabs>
          <w:tab w:leader="none" w:pos="1067"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Except as otherwise provided in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hereof, no party may assign any of its rights or delegate any of its performance obligations under this Agreement, in whole or in part, by operation of law or otherwise, without the prior written consent of the other parties hereto, and any such assignment without such prior written consent shall be null and void. Subject to the preceding sentence, this Agreement shall be binding upon, inure to the benefit of, and be enforceable by, the parties hereto and their respective successors and permitted assigns. Any purported assignment of rights or delegation of performance obligations in violation of this </w:t>
      </w:r>
      <w:r>
        <w:rPr>
          <w:rFonts w:ascii="Times New Roman" w:cs="Times New Roman" w:eastAsia="Times New Roman" w:hAnsi="Times New Roman"/>
          <w:sz w:val="16"/>
          <w:szCs w:val="16"/>
          <w:u w:val="single" w:color="auto"/>
          <w:color w:val="auto"/>
        </w:rPr>
        <w:t>Section 11(f)</w:t>
      </w:r>
      <w:r>
        <w:rPr>
          <w:rFonts w:ascii="Times New Roman" w:cs="Times New Roman" w:eastAsia="Times New Roman" w:hAnsi="Times New Roman"/>
          <w:sz w:val="16"/>
          <w:szCs w:val="16"/>
          <w:color w:val="auto"/>
        </w:rPr>
        <w:t xml:space="preserve"> is void.</w:t>
      </w:r>
    </w:p>
    <w:p>
      <w:pPr>
        <w:spacing w:after="0" w:line="67" w:lineRule="exact"/>
        <w:rPr>
          <w:rFonts w:ascii="Times New Roman" w:cs="Times New Roman" w:eastAsia="Times New Roman" w:hAnsi="Times New Roman"/>
          <w:sz w:val="16"/>
          <w:szCs w:val="16"/>
          <w:color w:val="auto"/>
        </w:rPr>
      </w:pPr>
    </w:p>
    <w:p>
      <w:pPr>
        <w:ind w:left="1" w:firstLine="867"/>
        <w:spacing w:after="0" w:line="276" w:lineRule="auto"/>
        <w:tabs>
          <w:tab w:leader="none" w:pos="1093"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 Party Rights</w:t>
      </w:r>
      <w:r>
        <w:rPr>
          <w:rFonts w:ascii="Times New Roman" w:cs="Times New Roman" w:eastAsia="Times New Roman" w:hAnsi="Times New Roman"/>
          <w:sz w:val="16"/>
          <w:szCs w:val="16"/>
          <w:color w:val="auto"/>
        </w:rPr>
        <w:t>. This Agreement is not intended to, and shall not, confer upon any other person any rights or remedies hereunder other than the parties hereto to the extent expressly set forth herein.</w:t>
      </w:r>
    </w:p>
    <w:p>
      <w:pPr>
        <w:spacing w:after="0" w:line="49" w:lineRule="exact"/>
        <w:rPr>
          <w:rFonts w:ascii="Times New Roman" w:cs="Times New Roman" w:eastAsia="Times New Roman" w:hAnsi="Times New Roman"/>
          <w:sz w:val="16"/>
          <w:szCs w:val="16"/>
          <w:color w:val="auto"/>
        </w:rPr>
      </w:pPr>
    </w:p>
    <w:p>
      <w:pPr>
        <w:ind w:left="1" w:right="20" w:firstLine="867"/>
        <w:spacing w:after="0" w:line="250" w:lineRule="auto"/>
        <w:tabs>
          <w:tab w:leader="none" w:pos="1093"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72" w:lineRule="exact"/>
        <w:rPr>
          <w:rFonts w:ascii="Times New Roman" w:cs="Times New Roman" w:eastAsia="Times New Roman" w:hAnsi="Times New Roman"/>
          <w:sz w:val="16"/>
          <w:szCs w:val="16"/>
          <w:color w:val="auto"/>
        </w:rPr>
      </w:pPr>
    </w:p>
    <w:p>
      <w:pPr>
        <w:ind w:left="1" w:right="20" w:firstLine="867"/>
        <w:spacing w:after="0" w:line="256" w:lineRule="auto"/>
        <w:tabs>
          <w:tab w:leader="none" w:pos="1058" w:val="left"/>
        </w:tabs>
        <w:numPr>
          <w:ilvl w:val="1"/>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this being in addition to any other remedy to which they are entitled at law or in equity.</w:t>
      </w:r>
    </w:p>
    <w:p>
      <w:pPr>
        <w:spacing w:after="0" w:line="66" w:lineRule="exact"/>
        <w:rPr>
          <w:rFonts w:ascii="Times New Roman" w:cs="Times New Roman" w:eastAsia="Times New Roman" w:hAnsi="Times New Roman"/>
          <w:sz w:val="16"/>
          <w:szCs w:val="16"/>
          <w:color w:val="auto"/>
        </w:rPr>
      </w:pPr>
    </w:p>
    <w:p>
      <w:pPr>
        <w:ind w:left="1" w:firstLine="867"/>
        <w:spacing w:after="0" w:line="269" w:lineRule="auto"/>
        <w:tabs>
          <w:tab w:leader="none" w:pos="1058" w:val="left"/>
        </w:tabs>
        <w:numPr>
          <w:ilvl w:val="1"/>
          <w:numId w:val="2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and other communications hereunder shall be in writing and shall be deemed duly delivered (i) three Business Days after being sent by registered or certified mail, return receipt requested, postage prepaid, or (ii) one Business Day after being sent for next Business Day delivery, fees prepaid, via a reputable overnight courier service, in each case to the intended recipient as follows: (A) if to the Company or Gem, to the address, electronic mail address or facsimile provided in the Merger Agreement, including to the persons designated therein to receive copies; and/or</w:t>
      </w:r>
    </w:p>
    <w:p>
      <w:pPr>
        <w:ind w:left="241" w:hanging="241"/>
        <w:spacing w:after="0"/>
        <w:tabs>
          <w:tab w:leader="none" w:pos="241"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Stockholder, to the Stockholder’s address, electronic mail address or facsimile shown below Stockholder’s signature to this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9641"/>
          </w:cols>
          <w:pgMar w:left="1119" w:top="253" w:right="1139" w:bottom="1440" w:gutter="0" w:footer="0" w:header="0"/>
        </w:sectPr>
      </w:pPr>
    </w:p>
    <w:bookmarkStart w:id="216" w:name="page217"/>
    <w:bookmarkEnd w:id="216"/>
    <w:p>
      <w:pPr>
        <w:ind w:left="-20" w:firstLine="867"/>
        <w:spacing w:after="0" w:line="254" w:lineRule="auto"/>
        <w:tabs>
          <w:tab w:leader="none" w:pos="1072"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Counterparts</w:t>
      </w:r>
      <w:r>
        <w:rPr>
          <w:rFonts w:ascii="Times New Roman" w:cs="Times New Roman" w:eastAsia="Times New Roman" w:hAnsi="Times New Roman"/>
          <w:sz w:val="16"/>
          <w:szCs w:val="16"/>
          <w:color w:val="auto"/>
        </w:rPr>
        <w:t>. This Agreement may be executed in two or more counterparts (including by facsimile, by an electronic scan delivered by electronic mail or any electronic signature),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This Agreement may be executed and delivered by facsimile, by an electronic scan delivered by electronic mail or by delivery of any electronic signature.</w:t>
      </w:r>
    </w:p>
    <w:p>
      <w:pPr>
        <w:spacing w:after="0" w:line="67" w:lineRule="exact"/>
        <w:rPr>
          <w:rFonts w:ascii="Times New Roman" w:cs="Times New Roman" w:eastAsia="Times New Roman" w:hAnsi="Times New Roman"/>
          <w:sz w:val="16"/>
          <w:szCs w:val="16"/>
          <w:color w:val="auto"/>
        </w:rPr>
      </w:pPr>
    </w:p>
    <w:p>
      <w:pPr>
        <w:ind w:left="-20" w:firstLine="867"/>
        <w:spacing w:after="0" w:line="250" w:lineRule="auto"/>
        <w:tabs>
          <w:tab w:leader="none" w:pos="1037"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Gem has publicly disclosed its entry into the Merger Agreement and this Agreement; provided, however, that the Stockholder may disclose such information to its Affiliates, partners, members, stockholders, parents, subsidiaries, attorneys, accountants, consultants, trustees, beneficiaries and other representatives (provided that such Persons are subject to confidentiality obligations at least as restrictive as those contained herein). Neither the Stockholder nor any of its Affiliates (other than Gem,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Gem, except as may be required by applicable Law in which circumstance such announcing party shall make reasonable efforts to consult with the Company and Gem to the extent practicable. The Company is an intended third-party beneficiary of this </w:t>
      </w:r>
      <w:r>
        <w:rPr>
          <w:rFonts w:ascii="Times New Roman" w:cs="Times New Roman" w:eastAsia="Times New Roman" w:hAnsi="Times New Roman"/>
          <w:sz w:val="16"/>
          <w:szCs w:val="16"/>
          <w:u w:val="single" w:color="auto"/>
          <w:color w:val="auto"/>
        </w:rPr>
        <w:t>Section 11(l)</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left="-20" w:right="20" w:firstLine="867"/>
        <w:spacing w:after="0" w:line="251" w:lineRule="auto"/>
        <w:tabs>
          <w:tab w:leader="none" w:pos="1115"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Left Intentionally Blank]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9600"/>
          </w:cols>
          <w:pgMar w:left="1140" w:top="253" w:right="1159" w:bottom="1440" w:gutter="0" w:footer="0" w:header="0"/>
        </w:sectPr>
      </w:pPr>
    </w:p>
    <w:bookmarkStart w:id="217" w:name="page218"/>
    <w:bookmarkEnd w:id="217"/>
    <w:p>
      <w:pPr>
        <w:ind w:left="3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 WITNESS WHEREOF, the undersigned have caused this Agreement to be duly executed as of the date 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 Medicine,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244792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his/her capacity as the Stockholder: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13970</wp:posOffset>
            </wp:positionV>
            <wp:extent cx="192976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929765" cy="762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244792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509270</wp:posOffset>
            </wp:positionV>
            <wp:extent cx="244792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4479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764540</wp:posOffset>
            </wp:positionV>
            <wp:extent cx="244792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47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Page 9</w:t>
      </w:r>
    </w:p>
    <w:p>
      <w:pPr>
        <w:sectPr>
          <w:pgSz w:w="11900" w:h="16838" w:orient="portrait"/>
          <w:cols w:equalWidth="0" w:num="1">
            <w:col w:w="9339"/>
          </w:cols>
          <w:pgMar w:left="1120" w:top="253" w:right="1440"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Appendix A</w:t>
      </w:r>
    </w:p>
    <w:p>
      <w:pPr>
        <w:sectPr>
          <w:pgSz w:w="11900" w:h="16838" w:orient="portrait"/>
          <w:cols w:equalWidth="0" w:num="1">
            <w:col w:w="9019"/>
          </w:cols>
          <w:pgMar w:left="1440" w:top="253" w:right="1440"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LOCK-UP AGREEMENT</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297 Boston Post Road #248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Wayland, MA 01778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0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The undersigned signatory of this lock-up agreement (this “</w:t>
      </w:r>
      <w:r>
        <w:rPr>
          <w:rFonts w:ascii="Times New Roman" w:cs="Times New Roman" w:eastAsia="Times New Roman" w:hAnsi="Times New Roman"/>
          <w:sz w:val="16"/>
          <w:szCs w:val="16"/>
          <w:u w:val="single" w:color="auto"/>
          <w:color w:val="auto"/>
        </w:rPr>
        <w:t>Lock-Up Agreement</w:t>
      </w:r>
      <w:r>
        <w:rPr>
          <w:rFonts w:ascii="Times New Roman" w:cs="Times New Roman" w:eastAsia="Times New Roman" w:hAnsi="Times New Roman"/>
          <w:sz w:val="16"/>
          <w:szCs w:val="16"/>
          <w:color w:val="auto"/>
        </w:rPr>
        <w:t>”) understands that Gemini Therapeutics, Inc., a Delaware corporation (“</w:t>
      </w:r>
      <w:r>
        <w:rPr>
          <w:rFonts w:ascii="Times New Roman" w:cs="Times New Roman" w:eastAsia="Times New Roman" w:hAnsi="Times New Roman"/>
          <w:sz w:val="16"/>
          <w:szCs w:val="16"/>
          <w:u w:val="single" w:color="auto"/>
          <w:color w:val="auto"/>
        </w:rPr>
        <w:t>Gem</w:t>
      </w:r>
      <w:r>
        <w:rPr>
          <w:rFonts w:ascii="Times New Roman" w:cs="Times New Roman" w:eastAsia="Times New Roman" w:hAnsi="Times New Roman"/>
          <w:sz w:val="16"/>
          <w:szCs w:val="16"/>
          <w:color w:val="auto"/>
        </w:rPr>
        <w:t>”), has entered into an Agreement and Plan of Merger and Reorganization, dated as of [•], 2022 (as the same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with Gemstone Merger Sub, Inc., a Delaware corporation and a wholly owned subsidiary of Gem, and Disc Medicine,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Capitalized terms used but not otherwise defined herein shall have the respective meanings ascribed to such terms in the Merger Agreement.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As a condition and inducement to Gem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Gem, the undersigned will not, during the period commencing upon the Closing and ending on the date that is 180 days after the Closing Date (the “</w:t>
      </w:r>
      <w:r>
        <w:rPr>
          <w:rFonts w:ascii="Times New Roman" w:cs="Times New Roman" w:eastAsia="Times New Roman" w:hAnsi="Times New Roman"/>
          <w:sz w:val="16"/>
          <w:szCs w:val="16"/>
          <w:u w:val="single" w:color="auto"/>
          <w:color w:val="auto"/>
        </w:rPr>
        <w:t>Restricted Period</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firstLine="385"/>
        <w:spacing w:after="0" w:line="252" w:lineRule="auto"/>
        <w:tabs>
          <w:tab w:leader="none" w:pos="60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 pledge, sell, contract to sell, sell any option or contract to purchase, purchase any option or contract to sell, grant any option, right or warrant to purchase, or otherwise transfer or dispose of, directly or indirectly, any shares of Gem Common Stock or any securities convertible into or exercisable or exchangeable for shares of Gem Common Stock (including without limitation, shares of Gem Common Stock or such other securities which may be deemed to be beneficially owned by the undersigned in accordance with the rules and regulations of the SEC and securities of Gem which may be issued upon exercise of an option to purchase shares of Gem Common Stock or a warrant to purchase shares of Gem Common Stock) that are currently or hereafter owned by the undersigned, except as set forth below (collectively, the “</w:t>
      </w:r>
      <w:r>
        <w:rPr>
          <w:rFonts w:ascii="Times New Roman" w:cs="Times New Roman" w:eastAsia="Times New Roman" w:hAnsi="Times New Roman"/>
          <w:sz w:val="16"/>
          <w:szCs w:val="16"/>
          <w:u w:val="single" w:color="auto"/>
          <w:color w:val="auto"/>
        </w:rPr>
        <w:t>Undersigned’s Shares</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right="40" w:firstLine="385"/>
        <w:spacing w:after="0" w:line="261" w:lineRule="auto"/>
        <w:tabs>
          <w:tab w:leader="none" w:pos="60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Gem Common Stock or other securities, in cash or otherwise;</w:t>
      </w:r>
    </w:p>
    <w:p>
      <w:pPr>
        <w:spacing w:after="0" w:line="156" w:lineRule="exact"/>
        <w:rPr>
          <w:rFonts w:ascii="Times New Roman" w:cs="Times New Roman" w:eastAsia="Times New Roman" w:hAnsi="Times New Roman"/>
          <w:sz w:val="16"/>
          <w:szCs w:val="16"/>
          <w:color w:val="auto"/>
        </w:rPr>
      </w:pPr>
    </w:p>
    <w:p>
      <w:pPr>
        <w:ind w:right="160" w:firstLine="385"/>
        <w:spacing w:after="0" w:line="276" w:lineRule="auto"/>
        <w:tabs>
          <w:tab w:leader="none" w:pos="60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demand for, or exercise any right with respect to, the registration of any shares of Gem Common Stock or any security convertible into or exercisable or exchangeable for shares of Gem Common Stock (other than such rights set forth in the Merger Agreement); or</w:t>
      </w:r>
    </w:p>
    <w:p>
      <w:pPr>
        <w:spacing w:after="0" w:line="144"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publicly disclose the intention to do any of the foregoing.</w:t>
      </w:r>
    </w:p>
    <w:p>
      <w:pPr>
        <w:sectPr>
          <w:pgSz w:w="11900" w:h="16838" w:orient="portrait"/>
          <w:cols w:equalWidth="0" w:num="1">
            <w:col w:w="9640"/>
          </w:cols>
          <w:pgMar w:left="1120" w:top="121" w:right="11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restrictions and obligations contemplated by this Lock-Up Agreement shall not apply to:</w:t>
      </w:r>
    </w:p>
    <w:p>
      <w:pPr>
        <w:spacing w:after="0" w:line="194" w:lineRule="exact"/>
        <w:rPr>
          <w:sz w:val="20"/>
          <w:szCs w:val="20"/>
          <w:color w:val="auto"/>
        </w:rPr>
      </w:pPr>
    </w:p>
    <w:p>
      <w:pPr>
        <w:ind w:left="600" w:hanging="215"/>
        <w:spacing w:after="0"/>
        <w:tabs>
          <w:tab w:leader="none" w:pos="6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the Undersigned’s Shares:</w:t>
      </w:r>
    </w:p>
    <w:p>
      <w:pPr>
        <w:spacing w:after="0" w:line="194" w:lineRule="exact"/>
        <w:rPr>
          <w:rFonts w:ascii="Times New Roman" w:cs="Times New Roman" w:eastAsia="Times New Roman" w:hAnsi="Times New Roman"/>
          <w:sz w:val="16"/>
          <w:szCs w:val="16"/>
          <w:color w:val="auto"/>
        </w:rPr>
      </w:pPr>
    </w:p>
    <w:p>
      <w:pPr>
        <w:ind w:firstLine="867"/>
        <w:spacing w:after="0" w:line="252" w:lineRule="auto"/>
        <w:tabs>
          <w:tab w:leader="none" w:pos="1092"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to any person related to the undersigned (or to an ultimate beneficial owner of the undersigned) by blood or adoption who is an immediate family member of the undersigned, or by marriage or domestic partnership (a “</w:t>
      </w:r>
      <w:r>
        <w:rPr>
          <w:rFonts w:ascii="Times New Roman" w:cs="Times New Roman" w:eastAsia="Times New Roman" w:hAnsi="Times New Roman"/>
          <w:sz w:val="16"/>
          <w:szCs w:val="16"/>
          <w:u w:val="single" w:color="auto"/>
          <w:color w:val="auto"/>
        </w:rPr>
        <w:t>Family Member</w:t>
      </w:r>
      <w:r>
        <w:rPr>
          <w:rFonts w:ascii="Times New Roman" w:cs="Times New Roman" w:eastAsia="Times New Roman" w:hAnsi="Times New Roman"/>
          <w:sz w:val="16"/>
          <w:szCs w:val="16"/>
          <w:color w:val="auto"/>
        </w:rPr>
        <w:t>”),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165" w:lineRule="exact"/>
        <w:rPr>
          <w:rFonts w:ascii="Times New Roman" w:cs="Times New Roman" w:eastAsia="Times New Roman" w:hAnsi="Times New Roman"/>
          <w:sz w:val="16"/>
          <w:szCs w:val="16"/>
          <w:color w:val="auto"/>
        </w:rPr>
      </w:pPr>
    </w:p>
    <w:p>
      <w:pPr>
        <w:ind w:right="40" w:firstLine="867"/>
        <w:spacing w:after="0" w:line="251" w:lineRule="auto"/>
        <w:tabs>
          <w:tab w:leader="none" w:pos="1092"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undersigned is a </w:t>
      </w:r>
      <w:r>
        <w:rPr>
          <w:rFonts w:ascii="Times New Roman" w:cs="Times New Roman" w:eastAsia="Times New Roman" w:hAnsi="Times New Roman"/>
          <w:sz w:val="16"/>
          <w:szCs w:val="16"/>
          <w:u w:val="single" w:color="auto"/>
          <w:color w:val="auto"/>
        </w:rPr>
        <w:t>corporation, partnership, limited liability company or other entity</w:t>
      </w:r>
      <w:r>
        <w:rPr>
          <w:rFonts w:ascii="Times New Roman" w:cs="Times New Roman" w:eastAsia="Times New Roman" w:hAnsi="Times New Roman"/>
          <w:sz w:val="16"/>
          <w:szCs w:val="16"/>
          <w:color w:val="auto"/>
        </w:rPr>
        <w:t>, (A) to another corporation, partnership, limited liability company or other entity that is a direct or indirect affiliate (as defined under Rule 12b-2 of the Exchange Act) of the undersigned, including investment funds or other entities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spacing w:after="0" w:line="163" w:lineRule="exact"/>
        <w:rPr>
          <w:rFonts w:ascii="Times New Roman" w:cs="Times New Roman" w:eastAsia="Times New Roman" w:hAnsi="Times New Roman"/>
          <w:sz w:val="16"/>
          <w:szCs w:val="16"/>
          <w:color w:val="auto"/>
        </w:rPr>
      </w:pPr>
    </w:p>
    <w:p>
      <w:pPr>
        <w:ind w:left="1100" w:hanging="233"/>
        <w:spacing w:after="0"/>
        <w:tabs>
          <w:tab w:leader="none" w:pos="1100"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undersigned is a </w:t>
      </w:r>
      <w:r>
        <w:rPr>
          <w:rFonts w:ascii="Times New Roman" w:cs="Times New Roman" w:eastAsia="Times New Roman" w:hAnsi="Times New Roman"/>
          <w:sz w:val="16"/>
          <w:szCs w:val="16"/>
          <w:u w:val="single" w:color="auto"/>
          <w:color w:val="auto"/>
        </w:rPr>
        <w:t>trust</w:t>
      </w:r>
      <w:r>
        <w:rPr>
          <w:rFonts w:ascii="Times New Roman" w:cs="Times New Roman" w:eastAsia="Times New Roman" w:hAnsi="Times New Roman"/>
          <w:sz w:val="16"/>
          <w:szCs w:val="16"/>
          <w:color w:val="auto"/>
        </w:rPr>
        <w:t>, to any grantors or beneficiaries of the trust;</w:t>
      </w:r>
    </w:p>
    <w:p>
      <w:pPr>
        <w:spacing w:after="0" w:line="194"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in the case of any transfer or distribution pursuant to this clause (a), such transfer is not for value (other than transfers pursuant to 1(A), 1(E) or 2(A)) and each donee, heir, beneficiary or other transferee or distributee shall sign and deliver to Gem a lock-up agreement in the form of this Lock-Up Agreement with respect to the shares of Gem Common Stock or such other securities that have been so transferred or distributed;</w:t>
      </w:r>
    </w:p>
    <w:p>
      <w:pPr>
        <w:spacing w:after="0" w:line="140" w:lineRule="exact"/>
        <w:rPr>
          <w:sz w:val="20"/>
          <w:szCs w:val="20"/>
          <w:color w:val="auto"/>
        </w:rPr>
      </w:pPr>
    </w:p>
    <w:p>
      <w:pPr>
        <w:ind w:right="60" w:firstLine="385"/>
        <w:spacing w:after="0" w:line="254" w:lineRule="auto"/>
        <w:tabs>
          <w:tab w:leader="none" w:pos="60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exercise of an option to purchase shares of Gem Common Stock (including a net or cashless exercise of an option to purchase shares of Gem Common Stock ), and any related transfer of shares of Gem Common Stock to Gem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underlying shares of Gem Common Stock shall continue to be subject to the restrictions on transfer set forth in this Lock-Up Agreement;</w:t>
      </w:r>
    </w:p>
    <w:p>
      <w:pPr>
        <w:spacing w:after="0" w:line="161" w:lineRule="exact"/>
        <w:rPr>
          <w:rFonts w:ascii="Times New Roman" w:cs="Times New Roman" w:eastAsia="Times New Roman" w:hAnsi="Times New Roman"/>
          <w:sz w:val="16"/>
          <w:szCs w:val="16"/>
          <w:color w:val="auto"/>
        </w:rPr>
      </w:pPr>
    </w:p>
    <w:p>
      <w:pPr>
        <w:ind w:right="20" w:firstLine="385"/>
        <w:spacing w:after="0" w:line="261" w:lineRule="auto"/>
        <w:tabs>
          <w:tab w:leader="none" w:pos="60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transfers to Gem in connection with the net settlement of any other equity award that represents the right to receive in the future shares of Gem Common Stock, settled in shares of Gem Common Stock, to pay any tax withholding obligations;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avoidance of doubt, the underlying shares of Gem Common Stock shall continue to be subject to the restrictions on transfer set forth in this Lock-Up Agreement;</w:t>
      </w:r>
    </w:p>
    <w:p>
      <w:pPr>
        <w:sectPr>
          <w:pgSz w:w="11900" w:h="16838" w:orient="portrait"/>
          <w:cols w:equalWidth="0" w:num="1">
            <w:col w:w="9640"/>
          </w:cols>
          <w:pgMar w:left="1120" w:top="253" w:right="1139" w:bottom="1440" w:gutter="0" w:footer="0" w:header="0"/>
        </w:sectPr>
      </w:pPr>
    </w:p>
    <w:bookmarkStart w:id="221" w:name="page222"/>
    <w:bookmarkEnd w:id="221"/>
    <w:p>
      <w:pPr>
        <w:ind w:right="520" w:firstLine="385"/>
        <w:spacing w:after="0" w:line="276" w:lineRule="auto"/>
        <w:tabs>
          <w:tab w:leader="none" w:pos="609"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the establishment of a trading plan pursuant to Rule 10b5-1 under the Exchange Act for the transfer of shares of Gem Common Stock;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plan does not provide for any transfers of shares of Gem Common Stock during the Restricted Period;</w:t>
      </w:r>
    </w:p>
    <w:p>
      <w:pPr>
        <w:spacing w:after="0" w:line="144" w:lineRule="exact"/>
        <w:rPr>
          <w:rFonts w:ascii="Times New Roman" w:cs="Times New Roman" w:eastAsia="Times New Roman" w:hAnsi="Times New Roman"/>
          <w:sz w:val="16"/>
          <w:szCs w:val="16"/>
          <w:color w:val="auto"/>
        </w:rPr>
      </w:pPr>
    </w:p>
    <w:p>
      <w:pPr>
        <w:ind w:right="280" w:firstLine="385"/>
        <w:spacing w:after="0" w:line="276" w:lineRule="auto"/>
        <w:tabs>
          <w:tab w:leader="none" w:pos="60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by the undersigned of shares of Gem Common Stock purchased by the undersigned on the open market or in a public offering by Gem, in each case following the date of the Merger Agreement;</w:t>
      </w:r>
    </w:p>
    <w:p>
      <w:pPr>
        <w:spacing w:after="0" w:line="144" w:lineRule="exact"/>
        <w:rPr>
          <w:rFonts w:ascii="Times New Roman" w:cs="Times New Roman" w:eastAsia="Times New Roman" w:hAnsi="Times New Roman"/>
          <w:sz w:val="16"/>
          <w:szCs w:val="16"/>
          <w:color w:val="auto"/>
        </w:rPr>
      </w:pPr>
    </w:p>
    <w:p>
      <w:pPr>
        <w:ind w:firstLine="385"/>
        <w:spacing w:after="0" w:line="261" w:lineRule="auto"/>
        <w:tabs>
          <w:tab w:leader="none" w:pos="583"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pursuant to a bona-fide third party tender offer, merger, consolidation or other similar transaction made to all holders of Gem’s capital stock involving a change of control of Gem,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that such tender offer, merger, consolidation or other such transaction is not completed, the Undersigned’s Shares shall remain subject to the restrictions contained in this Lock-Up Agreement;</w:t>
      </w:r>
    </w:p>
    <w:p>
      <w:pPr>
        <w:spacing w:after="0" w:line="156"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order of a court or regulatory agency; or</w:t>
      </w:r>
    </w:p>
    <w:p>
      <w:pPr>
        <w:spacing w:after="0" w:line="194" w:lineRule="exact"/>
        <w:rPr>
          <w:rFonts w:ascii="Times New Roman" w:cs="Times New Roman" w:eastAsia="Times New Roman" w:hAnsi="Times New Roman"/>
          <w:sz w:val="16"/>
          <w:szCs w:val="16"/>
          <w:color w:val="auto"/>
        </w:rPr>
      </w:pPr>
    </w:p>
    <w:p>
      <w:pPr>
        <w:ind w:right="80" w:firstLine="385"/>
        <w:spacing w:after="0" w:line="276" w:lineRule="auto"/>
        <w:tabs>
          <w:tab w:leader="none" w:pos="609"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by the undersigned of shares of Gem Common Stock issued pursuant to the Merger Agreement in respect of shares of the Company, if any, purchased from the Company on or about the Closing Date but prior to the Closing.</w:t>
      </w:r>
    </w:p>
    <w:p>
      <w:pPr>
        <w:spacing w:after="0" w:line="14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Gem Common Stock or any securities convertible into or exercisable or exchangeable for Gem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Gem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the lock-up agreement.</w:t>
      </w:r>
    </w:p>
    <w:p>
      <w:pPr>
        <w:spacing w:after="0" w:line="1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For purposes of this Lock-Up Agreement, “change of control” shall mean the transfer (whether by tender offer, merger, consolidation or other similar transaction), in one transaction or a series of related transactions, to a person or group of affiliated persons,, of the Company’s voting securities if, after such transfer, the Company’s stockholders as of immediately prior to such transfer do not hold a majority of the outstanding voting securities of the Company (or the surviving entity).</w:t>
      </w:r>
    </w:p>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Gem. In furtherance of the foregoing, the undersigned agrees that Gem and any duly appointed transfer agent for the registration or transfer of the securities described herein are</w:t>
      </w:r>
    </w:p>
    <w:p>
      <w:pPr>
        <w:sectPr>
          <w:pgSz w:w="11900" w:h="16838" w:orient="portrait"/>
          <w:cols w:equalWidth="0" w:num="1">
            <w:col w:w="9600"/>
          </w:cols>
          <w:pgMar w:left="1120" w:top="253" w:right="1179" w:bottom="1440" w:gutter="0" w:footer="0" w:header="0"/>
        </w:sectPr>
      </w:pPr>
    </w:p>
    <w:bookmarkStart w:id="222" w:name="page223"/>
    <w:bookmarkEnd w:id="222"/>
    <w:p>
      <w:pPr>
        <w:ind w:right="14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hereby authorized to decline to make any transfer of securities if such transfer would constitute a violation or breach of this Lock-Up Agreement. Gem may cause the legend set forth below, or a legend substantially equivalent thereto, to be placed upon any certificate(s) or other documents, ledgers or instruments evidencing the undersigned’s ownership of Gem Common Stock:</w:t>
      </w:r>
    </w:p>
    <w:p>
      <w:pPr>
        <w:spacing w:after="0" w:line="62" w:lineRule="exact"/>
        <w:rPr>
          <w:sz w:val="20"/>
          <w:szCs w:val="20"/>
          <w:color w:val="auto"/>
        </w:rPr>
      </w:pPr>
    </w:p>
    <w:p>
      <w:pPr>
        <w:ind w:left="860" w:right="540"/>
        <w:spacing w:after="0" w:line="261" w:lineRule="auto"/>
        <w:rPr>
          <w:sz w:val="20"/>
          <w:szCs w:val="20"/>
          <w:color w:val="auto"/>
        </w:rPr>
      </w:pPr>
      <w:r>
        <w:rPr>
          <w:rFonts w:ascii="Times New Roman" w:cs="Times New Roman" w:eastAsia="Times New Roman" w:hAnsi="Times New Roman"/>
          <w:sz w:val="16"/>
          <w:szCs w:val="16"/>
          <w:color w:val="auto"/>
        </w:rPr>
        <w:t>THE SHARES REPRESENTED BY THIS CERTIFICATE ARE SUBJECT TO AND MAY ONLY BE TRANSFERRED IN COMPLIANCE WITH A LOCK-UP AGREEMENT, A COPY OF WHICH IS ON FILE AT THE PRINCIPAL OFFICE OF THE COMPANY.</w:t>
      </w:r>
    </w:p>
    <w:p>
      <w:pPr>
        <w:spacing w:after="0" w:line="15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undersigned understands that if the Merger Agreement is terminated for any reason, the undersigned shall be released from all obligations under this Lock-Up Agreement. The undersigned understands that Gem is proceeding with the transactions contemplated by the Merger Agreement in reliance upon this Lock-Up Agreement.</w:t>
      </w:r>
    </w:p>
    <w:p>
      <w:pPr>
        <w:spacing w:after="0" w:line="15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Any and all remedies herein expressly conferred upon Gem will be deemed cumulative with and not exclusive of any other remedy conferred hereby, or by Law or equity, and the exercise by Gem of any one remedy will not preclude the exercise of any other remedy. The undersigned agrees that irreparable damage would occur to Gem in the event that any provision of this Lock-Up Agreement was not performed in accordance with its specific terms or were otherwise breached. It is accordingly agreed that Gem shall be entitled to seek an injunction or injunctions to prevent breaches of this Lock-Up Agreement and to enforce specifically the terms and provisions hereof in any court of the United States or any state having jurisdiction, this being in addition to any other remedy to which Gem is entitled at Law or in equity, and the undersigned waives any bond, surety or other security that might be required of Gem with respect thereto.</w:t>
      </w:r>
    </w:p>
    <w:p>
      <w:pPr>
        <w:spacing w:after="0" w:line="16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In the event that any holder of Gem’s securities that are subject to a substantially similar agreement entered into by such holder, other than the undersigned, is permitted by Gem to sell or otherwise transfer or dispose of shares of Gem Common Stock for value other than as permitted by this or a substantially similar agreement entered into by such holder (whether in one or multiple releases or waivers), the same percentage of shares of Gem Common Stock held by the undersigned on the date of such release or waiver as the percentage of the total number of outstanding shares of Gem Common Stock held by such holder on the date of such release or waiver that are the subject of such release or waiver shall be immediately and fully released on the same terms from any remaining restrictions set forth herein (the “</w:t>
      </w:r>
      <w:r>
        <w:rPr>
          <w:rFonts w:ascii="Times New Roman" w:cs="Times New Roman" w:eastAsia="Times New Roman" w:hAnsi="Times New Roman"/>
          <w:sz w:val="16"/>
          <w:szCs w:val="16"/>
          <w:u w:val="single" w:color="auto"/>
          <w:color w:val="auto"/>
        </w:rPr>
        <w:t>Pro-Rata Release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Pro-Rata Release shall not be applied unless and until permission has been granted by Gem to an equity holder or equity holders to sell or otherwise transfer or dispose of all or a portion of such equity holders shares of Gem Common Stock in an aggregate amount in excess of 1% of the number of shares of Gem Common Stock subject to a substantially similar agreement.</w:t>
      </w:r>
    </w:p>
    <w:p>
      <w:pPr>
        <w:sectPr>
          <w:pgSz w:w="11900" w:h="16838" w:orient="portrait"/>
          <w:cols w:equalWidth="0" w:num="1">
            <w:col w:w="9640"/>
          </w:cols>
          <w:pgMar w:left="1120" w:top="253" w:right="1139" w:bottom="1440" w:gutter="0" w:footer="0" w:header="0"/>
        </w:sectPr>
      </w:pPr>
    </w:p>
    <w:bookmarkStart w:id="223" w:name="page224"/>
    <w:bookmarkEnd w:id="223"/>
    <w:p>
      <w:pPr>
        <w:ind w:right="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Upon the release of any of the Undersigned’s Shares from this Lock-Up Agreement, Gem will promptly cooperate with the undersigned to facilitate the timely preparation and delivery of certificates representing the Undersigned Shares without the restrictive legend above or the withdrawal of any stop transfer instructions by virtue of this Lock-Up Agreement.</w:t>
      </w:r>
    </w:p>
    <w:p>
      <w:pPr>
        <w:spacing w:after="0" w:line="15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spacing w:after="0" w:line="14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6"/>
          <w:szCs w:val="16"/>
          <w:color w:val="auto"/>
        </w:rPr>
        <w:t>This Lock-Up Agreement may be executed in several counterparts, each of which shall be deemed an original and all of which shall constitute one and the same instrument. The exchange of a fully executed Lock-Up Agreement (in counterparts or otherwise) by Gem and the undersigned by facsimile or electronic transmission in .pdf format shall be sufficient to bind such parties to the terms and conditions of this Lock-Up Agreement.</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ectPr>
          <w:pgSz w:w="11900" w:h="16838" w:orient="portrait"/>
          <w:cols w:equalWidth="0" w:num="1">
            <w:col w:w="9580"/>
          </w:cols>
          <w:pgMar w:left="1120" w:top="253" w:right="1199" w:bottom="1440" w:gutter="0" w:footer="0" w:header="0"/>
        </w:sectPr>
      </w:pPr>
    </w:p>
    <w:bookmarkStart w:id="224" w:name="page225"/>
    <w:bookmarkEnd w:id="224"/>
    <w:p>
      <w:pPr>
        <w:ind w:left="63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Very truly yours,</w:t>
      </w:r>
    </w:p>
    <w:p>
      <w:pPr>
        <w:spacing w:after="0" w:line="19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6"/>
          <w:szCs w:val="16"/>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254000</wp:posOffset>
            </wp:positionV>
            <wp:extent cx="189992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899920" cy="7620"/>
                    </a:xfrm>
                    <a:prstGeom prst="rect">
                      <a:avLst/>
                    </a:prstGeom>
                    <a:noFill/>
                  </pic:spPr>
                </pic:pic>
              </a:graphicData>
            </a:graphic>
          </wp:anchor>
        </w:drawing>
      </w:r>
    </w:p>
    <w:p>
      <w:pPr>
        <w:spacing w:after="0" w:line="387" w:lineRule="exact"/>
        <w:rPr>
          <w:sz w:val="20"/>
          <w:szCs w:val="20"/>
          <w:color w:val="auto"/>
        </w:rPr>
      </w:pPr>
    </w:p>
    <w:p>
      <w:pPr>
        <w:jc w:val="right"/>
        <w:ind w:right="959"/>
        <w:spacing w:after="0"/>
        <w:rPr>
          <w:sz w:val="20"/>
          <w:szCs w:val="20"/>
          <w:color w:val="auto"/>
        </w:rPr>
      </w:pPr>
      <w:r>
        <w:rPr>
          <w:rFonts w:ascii="Times New Roman" w:cs="Times New Roman" w:eastAsia="Times New Roman" w:hAnsi="Times New Roman"/>
          <w:sz w:val="16"/>
          <w:szCs w:val="16"/>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254000</wp:posOffset>
            </wp:positionV>
            <wp:extent cx="189992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899920" cy="7620"/>
                    </a:xfrm>
                    <a:prstGeom prst="rect">
                      <a:avLst/>
                    </a:prstGeom>
                    <a:noFill/>
                  </pic:spPr>
                </pic:pic>
              </a:graphicData>
            </a:graphic>
          </wp:anchor>
        </w:drawing>
      </w:r>
    </w:p>
    <w:p>
      <w:pPr>
        <w:spacing w:after="0" w:line="38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Signature (for entities):</w:t>
      </w:r>
    </w:p>
    <w:p>
      <w:pPr>
        <w:spacing w:after="0" w:line="19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13970</wp:posOffset>
            </wp:positionV>
            <wp:extent cx="154686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46860" cy="7620"/>
                    </a:xfrm>
                    <a:prstGeom prst="rect">
                      <a:avLst/>
                    </a:prstGeom>
                    <a:noFill/>
                  </pic:spPr>
                </pic:pic>
              </a:graphicData>
            </a:graphic>
          </wp:anchor>
        </w:drawing>
      </w:r>
    </w:p>
    <w:p>
      <w:pPr>
        <w:spacing w:after="0" w:line="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Lock-Up Agreement]</w:t>
      </w:r>
    </w:p>
    <w:p>
      <w:pPr>
        <w:sectPr>
          <w:pgSz w:w="11900" w:h="16838" w:orient="portrait"/>
          <w:cols w:equalWidth="0" w:num="1">
            <w:col w:w="9019"/>
          </w:cols>
          <w:pgMar w:left="1440" w:top="253"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Accepted and Agreed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Gemini Therapeutics,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13970</wp:posOffset>
            </wp:positionV>
            <wp:extent cx="224536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Name:</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Title:</w:t>
      </w:r>
    </w:p>
    <w:p>
      <w:pPr>
        <w:spacing w:after="0" w:line="1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5"/>
          <w:szCs w:val="15"/>
          <w:i w:val="1"/>
          <w:iCs w:val="1"/>
          <w:color w:val="auto"/>
        </w:rPr>
        <w:t>[Signature Page to Lock-Up Agreement]</w:t>
      </w:r>
    </w:p>
    <w:p>
      <w:pPr>
        <w:sectPr>
          <w:pgSz w:w="11900" w:h="16838" w:orient="portrait"/>
          <w:cols w:equalWidth="0" w:num="1">
            <w:col w:w="9339"/>
          </w:cols>
          <w:pgMar w:left="1120" w:top="253" w:right="1440"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FORM OF CONTINGENT VALUE RIGHTS AGREEMENT</w:t>
      </w:r>
    </w:p>
    <w:p>
      <w:pPr>
        <w:spacing w:after="0" w:line="2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BETWEEN</w:t>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and</w:t>
      </w:r>
    </w:p>
    <w:p>
      <w:pPr>
        <w:spacing w:after="0" w:line="1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color w:val="auto"/>
        </w:rPr>
        <w:t>[______________]</w:t>
      </w:r>
    </w:p>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Dated as of [•]</w:t>
      </w:r>
    </w:p>
    <w:p>
      <w:pPr>
        <w:sectPr>
          <w:pgSz w:w="11900" w:h="16838" w:orient="portrait"/>
          <w:cols w:equalWidth="0" w:num="1">
            <w:col w:w="9320"/>
          </w:cols>
          <w:pgMar w:left="1440" w:top="121" w:right="1139" w:bottom="1440" w:gutter="0" w:footer="0" w:header="0"/>
        </w:sectPr>
      </w:pPr>
    </w:p>
    <w:bookmarkStart w:id="227" w:name="page228"/>
    <w:bookmarkEnd w:id="227"/>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FORM OF</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CONTINGENT VALUE RIGHTS AGREEMENT</w:t>
      </w:r>
    </w:p>
    <w:p>
      <w:pPr>
        <w:spacing w:after="0" w:line="194" w:lineRule="exact"/>
        <w:rPr>
          <w:sz w:val="20"/>
          <w:szCs w:val="20"/>
          <w:color w:val="auto"/>
        </w:rPr>
      </w:pPr>
    </w:p>
    <w:p>
      <w:pPr>
        <w:jc w:val="both"/>
        <w:ind w:right="780" w:firstLine="386"/>
        <w:spacing w:after="0" w:line="313" w:lineRule="auto"/>
        <w:rPr>
          <w:sz w:val="20"/>
          <w:szCs w:val="20"/>
          <w:color w:val="auto"/>
        </w:rPr>
      </w:pPr>
      <w:r>
        <w:rPr>
          <w:rFonts w:ascii="Times New Roman" w:cs="Times New Roman" w:eastAsia="Times New Roman" w:hAnsi="Times New Roman"/>
          <w:sz w:val="15"/>
          <w:szCs w:val="15"/>
          <w:b w:val="1"/>
          <w:bCs w:val="1"/>
          <w:color w:val="auto"/>
        </w:rPr>
        <w:t xml:space="preserve">THIS CONTINGENT VALUE RIGHTS AGREEMENT </w:t>
      </w:r>
      <w:r>
        <w:rPr>
          <w:rFonts w:ascii="Times New Roman" w:cs="Times New Roman" w:eastAsia="Times New Roman" w:hAnsi="Times New Roman"/>
          <w:sz w:val="15"/>
          <w:szCs w:val="15"/>
          <w:color w:val="auto"/>
        </w:rPr>
        <w:t>(this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 is entered into by and among Gemini</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Therapeutics, Inc. a Delaware corporation (“</w:t>
      </w:r>
      <w:r>
        <w:rPr>
          <w:rFonts w:ascii="Times New Roman" w:cs="Times New Roman" w:eastAsia="Times New Roman" w:hAnsi="Times New Roman"/>
          <w:sz w:val="15"/>
          <w:szCs w:val="15"/>
          <w:u w:val="single" w:color="auto"/>
          <w:color w:val="auto"/>
        </w:rPr>
        <w:t>Gem</w:t>
      </w:r>
      <w:r>
        <w:rPr>
          <w:rFonts w:ascii="Times New Roman" w:cs="Times New Roman" w:eastAsia="Times New Roman" w:hAnsi="Times New Roman"/>
          <w:sz w:val="15"/>
          <w:szCs w:val="15"/>
          <w:color w:val="auto"/>
        </w:rPr>
        <w:t>”), [[___], as Holder’s Representative,] and [•], as initial Rights Agent (as defined herein).</w:t>
      </w: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PREAMBLE</w:t>
      </w:r>
    </w:p>
    <w:p>
      <w:pPr>
        <w:spacing w:after="0" w:line="196" w:lineRule="exact"/>
        <w:rPr>
          <w:sz w:val="20"/>
          <w:szCs w:val="20"/>
          <w:color w:val="auto"/>
        </w:rPr>
      </w:pPr>
    </w:p>
    <w:p>
      <w:pPr>
        <w:ind w:firstLine="386"/>
        <w:spacing w:after="0" w:line="256" w:lineRule="auto"/>
        <w:rPr>
          <w:sz w:val="20"/>
          <w:szCs w:val="20"/>
          <w:color w:val="auto"/>
        </w:rPr>
      </w:pPr>
      <w:r>
        <w:rPr>
          <w:rFonts w:ascii="Times New Roman" w:cs="Times New Roman" w:eastAsia="Times New Roman" w:hAnsi="Times New Roman"/>
          <w:sz w:val="16"/>
          <w:szCs w:val="16"/>
          <w:color w:val="auto"/>
        </w:rPr>
        <w:t>WHEREAS, Gem, Gemstone Merger Sub, Inc., a Delaware corporation and wholly-owned subsidiary of Gem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Disc Medicine,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have entered into an Agreement and Plan of Merger and Reorganization, dated as of [•], 2022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pursuant to which Merger Sub will merge with and into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Company surviving the Merger as a wholly-owned subsidiary of Gem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20" w:firstLine="386"/>
        <w:spacing w:after="0" w:line="261" w:lineRule="auto"/>
        <w:rPr>
          <w:sz w:val="20"/>
          <w:szCs w:val="20"/>
          <w:color w:val="auto"/>
        </w:rPr>
      </w:pPr>
      <w:r>
        <w:rPr>
          <w:rFonts w:ascii="Times New Roman" w:cs="Times New Roman" w:eastAsia="Times New Roman" w:hAnsi="Times New Roman"/>
          <w:sz w:val="16"/>
          <w:szCs w:val="16"/>
          <w:color w:val="auto"/>
        </w:rPr>
        <w:t>WHEREAS, pursuant to the Merger Agreement, and in accordance with the terms and conditions thereof, Gem has agreed to provide to the Holders (as defined herein), who shall initially be Persons who are stockholders of Gem as of immediately prior to the Effective Time, contingent value rights as hereinafter described, by way of a dividend or distribution consistent with the Merger Agreement; and</w:t>
      </w:r>
    </w:p>
    <w:p>
      <w:pPr>
        <w:spacing w:after="0" w:line="157" w:lineRule="exact"/>
        <w:rPr>
          <w:sz w:val="20"/>
          <w:szCs w:val="20"/>
          <w:color w:val="auto"/>
        </w:rPr>
      </w:pPr>
    </w:p>
    <w:p>
      <w:pPr>
        <w:ind w:right="160" w:firstLine="386"/>
        <w:spacing w:after="0" w:line="276" w:lineRule="auto"/>
        <w:rPr>
          <w:sz w:val="20"/>
          <w:szCs w:val="20"/>
          <w:color w:val="auto"/>
        </w:rPr>
      </w:pPr>
      <w:r>
        <w:rPr>
          <w:rFonts w:ascii="Times New Roman" w:cs="Times New Roman" w:eastAsia="Times New Roman" w:hAnsi="Times New Roman"/>
          <w:sz w:val="16"/>
          <w:szCs w:val="16"/>
          <w:color w:val="auto"/>
        </w:rPr>
        <w:t>WHEREAS, the parties have done all things necessary to make the contingent value rights, when issued pursuant to the Merger Agreement and hereunder, the valid obligations of Gem and to make this Agreement a valid and binding agreement of Gem, in accordance with its terms.</w:t>
      </w:r>
    </w:p>
    <w:p>
      <w:pPr>
        <w:spacing w:after="0" w:line="145" w:lineRule="exact"/>
        <w:rPr>
          <w:sz w:val="20"/>
          <w:szCs w:val="20"/>
          <w:color w:val="auto"/>
        </w:rPr>
      </w:pPr>
    </w:p>
    <w:p>
      <w:pPr>
        <w:ind w:right="40" w:firstLine="386"/>
        <w:spacing w:after="0" w:line="276" w:lineRule="auto"/>
        <w:rPr>
          <w:sz w:val="20"/>
          <w:szCs w:val="20"/>
          <w:color w:val="auto"/>
        </w:rPr>
      </w:pPr>
      <w:r>
        <w:rPr>
          <w:rFonts w:ascii="Times New Roman" w:cs="Times New Roman" w:eastAsia="Times New Roman" w:hAnsi="Times New Roman"/>
          <w:sz w:val="16"/>
          <w:szCs w:val="16"/>
          <w:color w:val="auto"/>
        </w:rPr>
        <w:t>NOW, THEREFORE, in consideration of the premises and the consummation of the transactions referred to above, it is mutually covenanted and agreed, for the proportionate benefit of all Holders, as follows:</w:t>
      </w: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80" w:firstLine="386"/>
        <w:spacing w:after="0" w:line="276" w:lineRule="auto"/>
        <w:rPr>
          <w:sz w:val="20"/>
          <w:szCs w:val="20"/>
          <w:color w:val="auto"/>
        </w:rPr>
      </w:pPr>
      <w:r>
        <w:rPr>
          <w:rFonts w:ascii="Times New Roman" w:cs="Times New Roman" w:eastAsia="Times New Roman" w:hAnsi="Times New Roman"/>
          <w:sz w:val="16"/>
          <w:szCs w:val="16"/>
          <w:color w:val="auto"/>
        </w:rPr>
        <w:t>Capitalized terms used but not otherwise defined herein have the meanings ascribed thereto in the Merger Agreement. The following terms have the meanings ascribed to them as follows: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Acting Holders</w:t>
      </w:r>
      <w:r>
        <w:rPr>
          <w:rFonts w:ascii="Times New Roman" w:cs="Times New Roman" w:eastAsia="Times New Roman" w:hAnsi="Times New Roman"/>
          <w:sz w:val="16"/>
          <w:szCs w:val="16"/>
          <w:color w:val="auto"/>
        </w:rPr>
        <w:t>” means, at the time of determination, Holders of at least 25% of the outstanding CVRs as set forth on the CVR Register.</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Assignee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7.5</w:t>
      </w:r>
    </w:p>
    <w:p>
      <w:pPr>
        <w:sectPr>
          <w:pgSz w:w="11900" w:h="16838" w:orient="portrait"/>
          <w:cols w:equalWidth="0" w:num="1">
            <w:col w:w="9580"/>
          </w:cols>
          <w:pgMar w:left="1120" w:top="251" w:right="1199" w:bottom="1440" w:gutter="0" w:footer="0" w:header="0"/>
        </w:sectPr>
      </w:pPr>
    </w:p>
    <w:bookmarkStart w:id="228" w:name="page229"/>
    <w:bookmarkEnd w:id="228"/>
    <w:p>
      <w:pPr>
        <w:ind w:left="1" w:firstLine="386"/>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Calendar Quarter</w:t>
      </w:r>
      <w:r>
        <w:rPr>
          <w:rFonts w:ascii="Times New Roman" w:cs="Times New Roman" w:eastAsia="Times New Roman" w:hAnsi="Times New Roman"/>
          <w:sz w:val="16"/>
          <w:szCs w:val="16"/>
          <w:color w:val="auto"/>
        </w:rPr>
        <w:t>” means the successive periods of three (3) consecutive calendar months ending on March 31, June 30, September 30 or December 31, for so long as this Agreement is in effect; provided, however that (a) the first Calendar Quarter shall commence on the date of this Agreement and shall end on the first December 31 thereafter, and (b) the last Calendar Quarter shall commence on the first day after the full Calendar Quarter immediately preceding the effective date of the termination or expiration of this Agreement and shall end on the effective date of the termination or expiration of this Agreement.</w:t>
      </w:r>
    </w:p>
    <w:p>
      <w:pPr>
        <w:spacing w:after="0" w:line="162"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w:t>
      </w:r>
      <w:r>
        <w:rPr>
          <w:rFonts w:ascii="Times New Roman" w:cs="Times New Roman" w:eastAsia="Times New Roman" w:hAnsi="Times New Roman"/>
          <w:sz w:val="16"/>
          <w:szCs w:val="16"/>
          <w:color w:val="auto"/>
        </w:rPr>
        <w:t>” means a contingent contractual right of Holders to receive CVR Payments pursuant to the Merger Agreement and this Agreement.</w:t>
      </w:r>
    </w:p>
    <w:p>
      <w:pPr>
        <w:spacing w:after="0" w:line="194"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CVR Payment</w:t>
      </w:r>
      <w:r>
        <w:rPr>
          <w:rFonts w:ascii="Times New Roman" w:cs="Times New Roman" w:eastAsia="Times New Roman" w:hAnsi="Times New Roman"/>
          <w:sz w:val="15"/>
          <w:szCs w:val="15"/>
          <w:color w:val="auto"/>
        </w:rPr>
        <w:t>” means a number of shares of Gem Common Stock equal to (i) the CVR Proceeds for an applicable Calendar Quarter, divided by</w:t>
      </w:r>
    </w:p>
    <w:p>
      <w:pPr>
        <w:spacing w:after="0" w:line="34" w:lineRule="exact"/>
        <w:rPr>
          <w:sz w:val="20"/>
          <w:szCs w:val="20"/>
          <w:color w:val="auto"/>
        </w:rPr>
      </w:pPr>
    </w:p>
    <w:p>
      <w:pPr>
        <w:ind w:left="1" w:right="120" w:hanging="1"/>
        <w:spacing w:after="0" w:line="253" w:lineRule="auto"/>
        <w:tabs>
          <w:tab w:leader="none" w:pos="233"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volume weighted average of their closing market prices for the five (5) trading days ending the day prior to the date of issuance pursuant to this Agreement.</w:t>
      </w:r>
    </w:p>
    <w:p>
      <w:pPr>
        <w:spacing w:after="0" w:line="16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Period</w:t>
      </w:r>
      <w:r>
        <w:rPr>
          <w:rFonts w:ascii="Times New Roman" w:cs="Times New Roman" w:eastAsia="Times New Roman" w:hAnsi="Times New Roman"/>
          <w:sz w:val="16"/>
          <w:szCs w:val="16"/>
          <w:color w:val="auto"/>
        </w:rPr>
        <w:t>” means the period beginning immediately following the Effective Time and ending on the tenth anniversary of the Closing Date.</w:t>
      </w:r>
    </w:p>
    <w:p>
      <w:pPr>
        <w:spacing w:after="0" w:line="194" w:lineRule="exact"/>
        <w:rPr>
          <w:sz w:val="20"/>
          <w:szCs w:val="20"/>
          <w:color w:val="auto"/>
        </w:rPr>
      </w:pPr>
    </w:p>
    <w:p>
      <w:pPr>
        <w:jc w:val="both"/>
        <w:ind w:left="1" w:right="22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Proceeds</w:t>
      </w:r>
      <w:r>
        <w:rPr>
          <w:rFonts w:ascii="Times New Roman" w:cs="Times New Roman" w:eastAsia="Times New Roman" w:hAnsi="Times New Roman"/>
          <w:sz w:val="16"/>
          <w:szCs w:val="16"/>
          <w:color w:val="auto"/>
        </w:rPr>
        <w:t>” means the amount of Gross Proceeds received by Gem during an applicable Calendar Quarter, less the applicable accrued and reasonably documented Permitted Deductions, in each case as calculated in accordance with GAAP using the policies, methodologies, processes and procedures used to prepare Gem’s most recent year-end financial statements prior to the commencement of such Calendar Quarter.</w:t>
      </w:r>
    </w:p>
    <w:p>
      <w:pPr>
        <w:spacing w:after="0" w:line="157"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2.3(b)</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4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w:t>
      </w:r>
      <w:r>
        <w:rPr>
          <w:rFonts w:ascii="Times New Roman" w:cs="Times New Roman" w:eastAsia="Times New Roman" w:hAnsi="Times New Roman"/>
          <w:sz w:val="16"/>
          <w:szCs w:val="16"/>
          <w:color w:val="auto"/>
        </w:rPr>
        <w:t>” means the sale, license, transfer, disposition or other monetizing event of any Potentially Transferable Asset (including any such sale or disposition or monetizing event of equity securities in any Subsidiary established by Gem during the Disposition Period to hold any right, title or interest in or to any Potentially Transferable Asset), in each case during the Disposition Period.</w:t>
      </w:r>
    </w:p>
    <w:p>
      <w:pPr>
        <w:spacing w:after="0" w:line="157" w:lineRule="exact"/>
        <w:rPr>
          <w:sz w:val="20"/>
          <w:szCs w:val="20"/>
          <w:color w:val="auto"/>
        </w:rPr>
      </w:pPr>
    </w:p>
    <w:p>
      <w:pPr>
        <w:ind w:left="1" w:right="74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Disposition Period</w:t>
      </w:r>
      <w:r>
        <w:rPr>
          <w:rFonts w:ascii="Times New Roman" w:cs="Times New Roman" w:eastAsia="Times New Roman" w:hAnsi="Times New Roman"/>
          <w:sz w:val="16"/>
          <w:szCs w:val="16"/>
          <w:color w:val="auto"/>
        </w:rPr>
        <w:t>” means the period beginning on the execution date of the Merger Agreement and ending on the date that is twelve-months after the Closing Date.</w:t>
      </w:r>
    </w:p>
    <w:p>
      <w:pPr>
        <w:spacing w:after="0" w:line="145" w:lineRule="exact"/>
        <w:rPr>
          <w:sz w:val="20"/>
          <w:szCs w:val="20"/>
          <w:color w:val="auto"/>
        </w:rPr>
      </w:pPr>
    </w:p>
    <w:p>
      <w:pPr>
        <w:ind w:left="1" w:right="20" w:firstLine="386"/>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Gross Proceeds</w:t>
      </w:r>
      <w:r>
        <w:rPr>
          <w:rFonts w:ascii="Times New Roman" w:cs="Times New Roman" w:eastAsia="Times New Roman" w:hAnsi="Times New Roman"/>
          <w:sz w:val="16"/>
          <w:szCs w:val="16"/>
          <w:color w:val="auto"/>
        </w:rPr>
        <w:t>” means, without duplication, any and all consideration of any kind that is paid to Gem, or is received by, Gem or any of its Affiliates during the CVR Period in respect of a Disposition. The value of any securities (whether debt or equity) or other non-cash property constituting Gross Proceeds shall be determined as follows: (A) the value of securities for which there is an established public market shall be equal to the volume weighted average of their closing market prices for the five (5) trading days ending the day prior to the date of payment to, or receipt by, Gem or its relevant Affiliate, and (B) the value of securities that have no established public market and the value of consideration that consists of other non-cash property, shall be the fair market value thereof as of the date of payment to, or receipt by, Gem or its relevant Affiliate.</w:t>
      </w:r>
    </w:p>
    <w:p>
      <w:pPr>
        <w:sectPr>
          <w:pgSz w:w="11900" w:h="16838" w:orient="portrait"/>
          <w:cols w:equalWidth="0" w:num="1">
            <w:col w:w="9641"/>
          </w:cols>
          <w:pgMar w:left="1119" w:top="253" w:right="1139" w:bottom="1440" w:gutter="0" w:footer="0" w:header="0"/>
        </w:sectPr>
      </w:pPr>
    </w:p>
    <w:bookmarkStart w:id="229" w:name="page230"/>
    <w:bookmarkEnd w:id="229"/>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means, at the relevant time, a Person in whose name CVRs are registered in the CVR Register.</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Majority of Holders</w:t>
      </w:r>
      <w:r>
        <w:rPr>
          <w:rFonts w:ascii="Times New Roman" w:cs="Times New Roman" w:eastAsia="Times New Roman" w:hAnsi="Times New Roman"/>
          <w:sz w:val="16"/>
          <w:szCs w:val="16"/>
          <w:color w:val="auto"/>
        </w:rPr>
        <w:t>” means, at any time, the registered Holder or Holders of more than 50% of the total number of CVRs registered at such time, as set forth on the CVR Register.</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18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Officer’s Certificate</w:t>
      </w:r>
      <w:r>
        <w:rPr>
          <w:rFonts w:ascii="Times New Roman" w:cs="Times New Roman" w:eastAsia="Times New Roman" w:hAnsi="Times New Roman"/>
          <w:sz w:val="16"/>
          <w:szCs w:val="16"/>
          <w:color w:val="auto"/>
        </w:rPr>
        <w:t>” means a certificate signed by the chief executive officer and the chief financial officer of Gem, in their respective official capacities.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Deductions</w:t>
      </w:r>
      <w:r>
        <w:rPr>
          <w:rFonts w:ascii="Times New Roman" w:cs="Times New Roman" w:eastAsia="Times New Roman" w:hAnsi="Times New Roman"/>
          <w:sz w:val="16"/>
          <w:szCs w:val="16"/>
          <w:color w:val="auto"/>
        </w:rPr>
        <w:t>” means the following costs or expenses, without duplication:</w:t>
      </w:r>
    </w:p>
    <w:p>
      <w:pPr>
        <w:spacing w:after="0" w:line="100" w:lineRule="exact"/>
        <w:rPr>
          <w:sz w:val="20"/>
          <w:szCs w:val="20"/>
          <w:color w:val="auto"/>
        </w:rPr>
      </w:pPr>
    </w:p>
    <w:p>
      <w:pPr>
        <w:ind w:right="20" w:firstLine="867"/>
        <w:spacing w:after="0" w:line="250" w:lineRule="auto"/>
        <w:tabs>
          <w:tab w:leader="none" w:pos="1083"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applicable Tax (including any unreimbursed applicable value added or sales taxes) imposed on Gross Proceeds and payable by Gem, the Company or any of their respective Affiliates (regardless of whether the due date for such Taxes arises during or after the Disposition Period) to any tax authority and, without duplication, any income or other similar Taxes payable by Gem, the Company or any of their respective Affiliates that would not have been incurred by Gem, the Company or any of their respective Affiliates but for the Gross Proceeds; provided that, for purposes of calculating income Taxes incurred by Gem, the Company or any of their respective Affiliates in respect of the Gross Proceeds, any such income Taxes shall be computed after taking into account any net operating loss carryforwards or other Tax attributes (including Tax credits) of Gem, the Company or any of their respective Affiliates as of the Closing Date that are available to offset such gain after taking into account any limits of the usability of such attributes, including under Section 382 of the Code (as defined herein) as reasonably determined by a nationally recognized tax advisor (and for the sake of clarity such income taxes shall be calculated without taking into account any net operating losses or other Tax attributes generated by Gem, the Company or any of their respective Affiliates after the Closing Date);</w:t>
      </w:r>
    </w:p>
    <w:p>
      <w:pPr>
        <w:spacing w:after="0" w:line="70" w:lineRule="exact"/>
        <w:rPr>
          <w:rFonts w:ascii="Times New Roman" w:cs="Times New Roman" w:eastAsia="Times New Roman" w:hAnsi="Times New Roman"/>
          <w:sz w:val="16"/>
          <w:szCs w:val="16"/>
          <w:color w:val="auto"/>
        </w:rPr>
      </w:pPr>
    </w:p>
    <w:p>
      <w:pPr>
        <w:ind w:right="40" w:firstLine="867"/>
        <w:spacing w:after="0" w:line="254" w:lineRule="auto"/>
        <w:tabs>
          <w:tab w:leader="none" w:pos="1092"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reasonable and documented out-of-pocket expenses incurred by Gem or any of its Affiliates in respect of its performance of this Agreement following the Closing Date or in respect of its performance of any agreement in connection with any Potentially Transferable Asset, including any costs related to the prosecution, maintenance or enforcement by Gem or any of its Subsidiaries of the intellectual property rights of any such Potentially Transferable Asset (but excluding any costs related to a breach of this Agreement, including costs incurred in litigation in respect of the same);</w:t>
      </w:r>
    </w:p>
    <w:p>
      <w:pPr>
        <w:spacing w:after="0" w:line="67" w:lineRule="exact"/>
        <w:rPr>
          <w:rFonts w:ascii="Times New Roman" w:cs="Times New Roman" w:eastAsia="Times New Roman" w:hAnsi="Times New Roman"/>
          <w:sz w:val="16"/>
          <w:szCs w:val="16"/>
          <w:color w:val="auto"/>
        </w:rPr>
      </w:pPr>
    </w:p>
    <w:p>
      <w:pPr>
        <w:ind w:right="160" w:firstLine="867"/>
        <w:spacing w:after="0" w:line="256" w:lineRule="auto"/>
        <w:tabs>
          <w:tab w:leader="none" w:pos="1083"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reasonable and documented out-of-pocket expenses incurred or accrued by Gem or any of its Affiliates in connection with the negotiation, entry into and closing of any Disposition of any Potentially Transferable Asset, including any brokerage fee, finder’s fee, opinion fee, success fee, transaction fee, service fee or other fee, commission or expense owed to any broker, finder, investment bank, auditor, accountant, counsel, advisor or other third party acting on behalf of Gem or its Affiliates in relation thereto;</w:t>
      </w:r>
    </w:p>
    <w:p>
      <w:pPr>
        <w:sectPr>
          <w:pgSz w:w="11900" w:h="16838" w:orient="portrait"/>
          <w:cols w:equalWidth="0" w:num="1">
            <w:col w:w="9640"/>
          </w:cols>
          <w:pgMar w:left="1120" w:top="253" w:right="1139" w:bottom="1440" w:gutter="0" w:footer="0" w:header="0"/>
        </w:sectPr>
      </w:pPr>
    </w:p>
    <w:bookmarkStart w:id="230" w:name="page231"/>
    <w:bookmarkEnd w:id="230"/>
    <w:p>
      <w:pPr>
        <w:ind w:right="40" w:firstLine="867"/>
        <w:spacing w:after="0" w:line="261" w:lineRule="auto"/>
        <w:tabs>
          <w:tab w:leader="none" w:pos="1092"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any Losses incurred and paid by Gem or any of its Affiliates arising out of any third party claims, demands, actions or other proceedings relating to or in connection with any Disposition, including Losses actually incurred or paid (or reasonably expected to be actually incurred or paid) in connection with indemnification obligations of Gem or any of its Affiliates set forth in any Sale Agreement;</w:t>
      </w:r>
    </w:p>
    <w:p>
      <w:pPr>
        <w:spacing w:after="0" w:line="62" w:lineRule="exact"/>
        <w:rPr>
          <w:rFonts w:ascii="Times New Roman" w:cs="Times New Roman" w:eastAsia="Times New Roman" w:hAnsi="Times New Roman"/>
          <w:sz w:val="16"/>
          <w:szCs w:val="16"/>
          <w:color w:val="auto"/>
        </w:rPr>
      </w:pPr>
    </w:p>
    <w:p>
      <w:pPr>
        <w:ind w:right="220" w:firstLine="867"/>
        <w:spacing w:after="0" w:line="261" w:lineRule="auto"/>
        <w:tabs>
          <w:tab w:leader="none" w:pos="1083"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borne by Gem or any of its Affiliates pursuant to Contracts related to Potentially Transferable Assets, including costs arising from the termination thereof (in each case only to the extent not included in the calculation of Gem Net Cash (as defined in the Merger Agreement); and</w:t>
      </w:r>
    </w:p>
    <w:p>
      <w:pPr>
        <w:spacing w:after="0" w:line="62" w:lineRule="exact"/>
        <w:rPr>
          <w:rFonts w:ascii="Times New Roman" w:cs="Times New Roman" w:eastAsia="Times New Roman" w:hAnsi="Times New Roman"/>
          <w:sz w:val="16"/>
          <w:szCs w:val="16"/>
          <w:color w:val="auto"/>
        </w:rPr>
      </w:pPr>
    </w:p>
    <w:p>
      <w:pPr>
        <w:ind w:firstLine="867"/>
        <w:spacing w:after="0" w:line="254" w:lineRule="auto"/>
        <w:tabs>
          <w:tab w:leader="none" w:pos="1065"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Liabilities which Gem reasonably and in good faith determines (with the approval of the Special Committee) should have been, but were not, deducted from “Gem Net Cash” (as defined in the Merger Agreement) pursuant to clause (B) of such definition, in connection with the Closing of the Merger, to the extent that deduction of such Liabilities would have resulted in a change in the Exchange Ratio under the Merger Agreement were such amounts properly deducted (including after giving effect to the Higher Gem Net Cash Amount and the Lower Gem Net Cash Amount);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provided that (a) no Permitted Deductions shall be deducted until the aggregate amount of Permitted Deductions exceeds the CVR Expenditure Amount and (b) no Permitted Deductions shall be deducted if they are otherwise deducted from the calculation of Gem Net Cash (as defined in the Merger Agreement).</w:t>
      </w:r>
    </w:p>
    <w:p>
      <w:pPr>
        <w:spacing w:after="0" w:line="155" w:lineRule="exact"/>
        <w:rPr>
          <w:sz w:val="20"/>
          <w:szCs w:val="20"/>
          <w:color w:val="auto"/>
        </w:rPr>
      </w:pPr>
    </w:p>
    <w:p>
      <w:pPr>
        <w:ind w:firstLine="386"/>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w:t>
      </w:r>
      <w:r>
        <w:rPr>
          <w:rFonts w:ascii="Times New Roman" w:cs="Times New Roman" w:eastAsia="Times New Roman" w:hAnsi="Times New Roman"/>
          <w:sz w:val="16"/>
          <w:szCs w:val="16"/>
          <w:color w:val="auto"/>
        </w:rPr>
        <w:t xml:space="preserve">” means a Transfer of one or more CVRs (i) upon death of a Holder by will or intestacy; (ii) by instrument to an </w:t>
      </w:r>
      <w:r>
        <w:rPr>
          <w:rFonts w:ascii="Times New Roman" w:cs="Times New Roman" w:eastAsia="Times New Roman" w:hAnsi="Times New Roman"/>
          <w:sz w:val="16"/>
          <w:szCs w:val="16"/>
          <w:i w:val="1"/>
          <w:iCs w:val="1"/>
          <w:color w:val="auto"/>
        </w:rPr>
        <w:t>inter vivos</w:t>
      </w:r>
      <w:r>
        <w:rPr>
          <w:rFonts w:ascii="Times New Roman" w:cs="Times New Roman" w:eastAsia="Times New Roman" w:hAnsi="Times New Roman"/>
          <w:sz w:val="16"/>
          <w:szCs w:val="16"/>
          <w:color w:val="auto"/>
        </w:rPr>
        <w:t xml:space="preserve"> or testamentary trust in which the CVRs are to be passed to beneficiaries upon the death of the trustee; (iii) made pursuant to a court order of a court of competent jurisdiction (such as in connection with divorce, bankruptcy or liquidation); (iv) if the Holder is a partnership or limited liability company, a distribution by the transferring partnership or limited liability company to its partners or members, as applicable (v) made by operation of law (including a consolidation or merger) or without consideration in connection with the dissolution, liquidation or termination of any corporation, limited liability company, partnership or other entity; (vi) in the case of CVRs payable to a nominee, from a nominee to a beneficial owner (and, if applicable, through an intermediary) or from such nominee to another nominee for the same beneficial owner, in each case as permitted by The Depository Trust Company (“</w:t>
      </w:r>
      <w:r>
        <w:rPr>
          <w:rFonts w:ascii="Times New Roman" w:cs="Times New Roman" w:eastAsia="Times New Roman" w:hAnsi="Times New Roman"/>
          <w:sz w:val="16"/>
          <w:szCs w:val="16"/>
          <w:u w:val="single" w:color="auto"/>
          <w:color w:val="auto"/>
        </w:rPr>
        <w:t>DTC</w:t>
      </w:r>
      <w:r>
        <w:rPr>
          <w:rFonts w:ascii="Times New Roman" w:cs="Times New Roman" w:eastAsia="Times New Roman" w:hAnsi="Times New Roman"/>
          <w:sz w:val="16"/>
          <w:szCs w:val="16"/>
          <w:color w:val="auto"/>
        </w:rPr>
        <w:t xml:space="preserve">”); (vii) to Gem or its Affiliates; or (viii) as provided in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right="580" w:firstLine="386"/>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mean any individual, partnership, joint venture, limited liability company, firm, corporation, unincorporated association or organization, trust or other entity, and shall include any successor (by merger or otherwise) of any such Person.</w:t>
      </w:r>
    </w:p>
    <w:p>
      <w:pPr>
        <w:spacing w:after="0" w:line="145" w:lineRule="exact"/>
        <w:rPr>
          <w:sz w:val="20"/>
          <w:szCs w:val="20"/>
          <w:color w:val="auto"/>
        </w:rPr>
      </w:pPr>
    </w:p>
    <w:p>
      <w:pPr>
        <w:ind w:right="2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Potentially Transferrable Asset</w:t>
      </w:r>
      <w:r>
        <w:rPr>
          <w:rFonts w:ascii="Times New Roman" w:cs="Times New Roman" w:eastAsia="Times New Roman" w:hAnsi="Times New Roman"/>
          <w:sz w:val="16"/>
          <w:szCs w:val="16"/>
          <w:color w:val="auto"/>
        </w:rPr>
        <w:t>” means any and all assets, tangible and intangible, including, without limitation, patents, patent applications, know-how, trade secrets and other intellectual property rights, data, documentation, agreements and licenses, inventory related to drug products and raw materials, and biological materials, which Gem or any of its Subsidiaries owned or had rights to, as of immediately prior to the Effective Time.</w:t>
      </w:r>
    </w:p>
    <w:p>
      <w:pPr>
        <w:sectPr>
          <w:pgSz w:w="11900" w:h="16838" w:orient="portrait"/>
          <w:cols w:equalWidth="0" w:num="1">
            <w:col w:w="9620"/>
          </w:cols>
          <w:pgMar w:left="1120" w:top="253" w:right="1159" w:bottom="1440" w:gutter="0" w:footer="0" w:header="0"/>
        </w:sectPr>
      </w:pPr>
    </w:p>
    <w:bookmarkStart w:id="231" w:name="page232"/>
    <w:bookmarkEnd w:id="231"/>
    <w:p>
      <w:pPr>
        <w:ind w:right="80" w:firstLine="386"/>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Rights Agent</w:t>
      </w:r>
      <w:r>
        <w:rPr>
          <w:rFonts w:ascii="Times New Roman" w:cs="Times New Roman" w:eastAsia="Times New Roman" w:hAnsi="Times New Roman"/>
          <w:sz w:val="16"/>
          <w:szCs w:val="16"/>
          <w:color w:val="auto"/>
        </w:rPr>
        <w:t>” means the Rights Agent named in the first paragraph of this Agreement, until a successor Rights Agent shall have been appointed pursuant to Article 3 of this Agreement, and thereafter “Rights Agent” will mean such successor Rights Agent.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Sale Agreement</w:t>
      </w:r>
      <w:r>
        <w:rPr>
          <w:rFonts w:ascii="Times New Roman" w:cs="Times New Roman" w:eastAsia="Times New Roman" w:hAnsi="Times New Roman"/>
          <w:sz w:val="16"/>
          <w:szCs w:val="16"/>
          <w:color w:val="auto"/>
        </w:rPr>
        <w:t>” has the meaning set forth in Section 4.2.</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Special Committee</w:t>
      </w:r>
      <w:r>
        <w:rPr>
          <w:rFonts w:ascii="Times New Roman" w:cs="Times New Roman" w:eastAsia="Times New Roman" w:hAnsi="Times New Roman"/>
          <w:sz w:val="16"/>
          <w:szCs w:val="16"/>
          <w:color w:val="auto"/>
        </w:rPr>
        <w:t>” has the meaning set forth in Section 4.2.</w:t>
      </w:r>
    </w:p>
    <w:p>
      <w:pPr>
        <w:spacing w:after="0" w:line="194" w:lineRule="exact"/>
        <w:rPr>
          <w:sz w:val="20"/>
          <w:szCs w:val="20"/>
          <w:color w:val="auto"/>
        </w:rPr>
      </w:pPr>
    </w:p>
    <w:p>
      <w:pPr>
        <w:ind w:right="240" w:firstLine="386"/>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CONTINGENT VALUE RIGHTS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i w:val="1"/>
          <w:iCs w:val="1"/>
          <w:color w:val="auto"/>
        </w:rPr>
        <w:t>Holders of CVRs; Appointment of Rights Agent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jc w:val="both"/>
        <w:ind w:right="160" w:firstLine="867"/>
        <w:spacing w:after="0" w:line="261" w:lineRule="auto"/>
        <w:tabs>
          <w:tab w:leader="none" w:pos="1083"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CVRs shall be issued and distributed by Gem in the form of a dividend, in connection with the Merger, to the Persons who as of immediately prior to the Effective Time are stockholders of record of Gem or have the right to receive Gem Common Stock as of immediately prior to the Effective Time, as contemplated by the Merger Agreement.</w:t>
      </w:r>
    </w:p>
    <w:p>
      <w:pPr>
        <w:spacing w:after="0" w:line="62" w:lineRule="exact"/>
        <w:rPr>
          <w:rFonts w:ascii="Times New Roman" w:cs="Times New Roman" w:eastAsia="Times New Roman" w:hAnsi="Times New Roman"/>
          <w:sz w:val="16"/>
          <w:szCs w:val="16"/>
          <w:color w:val="auto"/>
        </w:rPr>
      </w:pPr>
    </w:p>
    <w:p>
      <w:pPr>
        <w:ind w:right="140" w:firstLine="867"/>
        <w:spacing w:after="0" w:line="276" w:lineRule="auto"/>
        <w:tabs>
          <w:tab w:leader="none" w:pos="1092"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hereby appoints the Rights Agent to act as rights agent for Gem in accordance with the express terms and conditions set forth in this Agreement, and the Rights Agent hereby accepts such appointment.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i w:val="1"/>
          <w:iCs w:val="1"/>
          <w:color w:val="auto"/>
        </w:rPr>
        <w:t>Non-transferable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386"/>
        <w:spacing w:after="0" w:line="310" w:lineRule="auto"/>
        <w:rPr>
          <w:sz w:val="20"/>
          <w:szCs w:val="20"/>
          <w:color w:val="auto"/>
        </w:rPr>
      </w:pPr>
      <w:r>
        <w:rPr>
          <w:rFonts w:ascii="Times New Roman" w:cs="Times New Roman" w:eastAsia="Times New Roman" w:hAnsi="Times New Roman"/>
          <w:sz w:val="15"/>
          <w:szCs w:val="15"/>
          <w:color w:val="auto"/>
        </w:rPr>
        <w:t xml:space="preserve">A Holder may not at any time Transfer CVRs, other than pursuant to a Permitted Transfer. Any attempted Transfer that is not a Permitted Transfer, in whole or in part, will be void </w:t>
      </w:r>
      <w:r>
        <w:rPr>
          <w:rFonts w:ascii="Times New Roman" w:cs="Times New Roman" w:eastAsia="Times New Roman" w:hAnsi="Times New Roman"/>
          <w:sz w:val="15"/>
          <w:szCs w:val="15"/>
          <w:i w:val="1"/>
          <w:iCs w:val="1"/>
          <w:color w:val="auto"/>
        </w:rPr>
        <w:t>ab initio</w:t>
      </w:r>
      <w:r>
        <w:rPr>
          <w:rFonts w:ascii="Times New Roman" w:cs="Times New Roman" w:eastAsia="Times New Roman" w:hAnsi="Times New Roman"/>
          <w:sz w:val="15"/>
          <w:szCs w:val="15"/>
          <w:color w:val="auto"/>
        </w:rPr>
        <w:t xml:space="preserve"> and of no effect. The CVRs will not be listed on any quotation system or traded on any securities exchange.</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i w:val="1"/>
          <w:iCs w:val="1"/>
          <w:color w:val="auto"/>
        </w:rPr>
        <w:t>No Certificate; Registration; Registration of Transfer; Change of Address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080" w:hanging="213"/>
        <w:spacing w:after="0"/>
        <w:tabs>
          <w:tab w:leader="none" w:pos="10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rights and obligations in respect of CVRs derive solely from this Agreement; CVRs will not be evidenced by a certificate or</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instrument.</w:t>
      </w:r>
    </w:p>
    <w:p>
      <w:pPr>
        <w:sectPr>
          <w:pgSz w:w="11900" w:h="16838" w:orient="portrait"/>
          <w:cols w:equalWidth="0" w:num="1">
            <w:col w:w="9640"/>
          </w:cols>
          <w:pgMar w:left="1120" w:top="253" w:right="1139" w:bottom="1440" w:gutter="0" w:footer="0" w:header="0"/>
        </w:sectPr>
      </w:pPr>
    </w:p>
    <w:bookmarkStart w:id="232" w:name="page233"/>
    <w:bookmarkEnd w:id="232"/>
    <w:p>
      <w:pPr>
        <w:ind w:left="1101" w:hanging="233"/>
        <w:spacing w:after="0"/>
        <w:tabs>
          <w:tab w:leader="none" w:pos="1101" w:val="left"/>
        </w:tabs>
        <w:numPr>
          <w:ilvl w:val="1"/>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Rights Agent will maintain an up-to-date register (the “</w:t>
      </w:r>
      <w:r>
        <w:rPr>
          <w:rFonts w:ascii="Times New Roman" w:cs="Times New Roman" w:eastAsia="Times New Roman" w:hAnsi="Times New Roman"/>
          <w:sz w:val="16"/>
          <w:szCs w:val="16"/>
          <w:u w:val="single" w:color="auto"/>
          <w:color w:val="auto"/>
        </w:rPr>
        <w:t>CVR Register</w:t>
      </w:r>
      <w:r>
        <w:rPr>
          <w:rFonts w:ascii="Times New Roman" w:cs="Times New Roman" w:eastAsia="Times New Roman" w:hAnsi="Times New Roman"/>
          <w:sz w:val="16"/>
          <w:szCs w:val="16"/>
          <w:color w:val="auto"/>
        </w:rPr>
        <w:t>”) for the purposes of (i) identifying the Holders of CVRs,</w:t>
      </w:r>
    </w:p>
    <w:p>
      <w:pPr>
        <w:spacing w:after="0" w:line="22" w:lineRule="exact"/>
        <w:rPr>
          <w:rFonts w:ascii="Times New Roman" w:cs="Times New Roman" w:eastAsia="Times New Roman" w:hAnsi="Times New Roman"/>
          <w:sz w:val="16"/>
          <w:szCs w:val="16"/>
          <w:color w:val="auto"/>
        </w:rPr>
      </w:pPr>
    </w:p>
    <w:p>
      <w:pPr>
        <w:ind w:left="1" w:right="60" w:hanging="1"/>
        <w:spacing w:after="0" w:line="248" w:lineRule="auto"/>
        <w:tabs>
          <w:tab w:leader="none" w:pos="233"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Holders’ entitlement to CVRs and (iii) registering the CVRs and Permitted Transfers thereof. The CVR Register will initially show one position for the Rights Agent representing all of the CVRs provided to the holders of shares of Gem Common Stock held immediately prior to Closing. Gem and the Rights Agent may require evidence of payment of a sum sufficient to cover any stamp, documentary, registration, or other tax or governmental charge that is imposed in connection with (and would not have been imposed in connection with (and would have been imposed but for)) any such registration of transfer (or evidence that such taxes and charges are not applicable).</w:t>
      </w:r>
    </w:p>
    <w:p>
      <w:pPr>
        <w:spacing w:after="0" w:line="72" w:lineRule="exact"/>
        <w:rPr>
          <w:rFonts w:ascii="Times New Roman" w:cs="Times New Roman" w:eastAsia="Times New Roman" w:hAnsi="Times New Roman"/>
          <w:sz w:val="16"/>
          <w:szCs w:val="16"/>
          <w:color w:val="auto"/>
        </w:rPr>
      </w:pPr>
    </w:p>
    <w:p>
      <w:pPr>
        <w:ind w:left="1" w:right="20" w:firstLine="867"/>
        <w:spacing w:after="0" w:line="249" w:lineRule="auto"/>
        <w:tabs>
          <w:tab w:leader="none" w:pos="1084"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restriction on transferability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every request made to Transfer CVRs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CVRs in the CVR Register. All Transfers of CVRs registered in the CVR Register will be the valid obligations of Gem, evidencing the same right, and entitling the transferee to the same benefits and rights under this Agreement, as those held by the transferor. No transfer of CVRs shall be valid until registered in the CVR Register and any transfer not duly registered in the CVR Register shall be void. Gem shall not be responsible for any costs and expenses related to any transfer or assignment of the CVRs (including the cost of any transfer tax).</w:t>
      </w:r>
    </w:p>
    <w:p>
      <w:pPr>
        <w:spacing w:after="0" w:line="74" w:lineRule="exact"/>
        <w:rPr>
          <w:rFonts w:ascii="Times New Roman" w:cs="Times New Roman" w:eastAsia="Times New Roman" w:hAnsi="Times New Roman"/>
          <w:sz w:val="16"/>
          <w:szCs w:val="16"/>
          <w:color w:val="auto"/>
        </w:rPr>
      </w:pPr>
    </w:p>
    <w:p>
      <w:pPr>
        <w:ind w:left="1" w:right="20" w:firstLine="867"/>
        <w:spacing w:after="0" w:line="261" w:lineRule="auto"/>
        <w:tabs>
          <w:tab w:leader="none" w:pos="1093"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w:t>
      </w:r>
    </w:p>
    <w:p>
      <w:pPr>
        <w:spacing w:after="0" w:line="15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i w:val="1"/>
          <w:iCs w:val="1"/>
          <w:color w:val="auto"/>
        </w:rPr>
        <w:t>Payment Procedures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 w:right="40" w:firstLine="867"/>
        <w:spacing w:after="0" w:line="275" w:lineRule="auto"/>
        <w:tabs>
          <w:tab w:leader="none" w:pos="1084" w:val="left"/>
        </w:tabs>
        <w:numPr>
          <w:ilvl w:val="1"/>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later than forty-five (45) days following the end of each Calendar Quarter following the Closing, Gem shall (i) deliver to the Rights Agent, a certificate (each, a “</w:t>
      </w:r>
      <w:r>
        <w:rPr>
          <w:rFonts w:ascii="Times New Roman" w:cs="Times New Roman" w:eastAsia="Times New Roman" w:hAnsi="Times New Roman"/>
          <w:sz w:val="15"/>
          <w:szCs w:val="15"/>
          <w:u w:val="single" w:color="auto"/>
          <w:color w:val="auto"/>
        </w:rPr>
        <w:t>CVR Certificate</w:t>
      </w:r>
      <w:r>
        <w:rPr>
          <w:rFonts w:ascii="Times New Roman" w:cs="Times New Roman" w:eastAsia="Times New Roman" w:hAnsi="Times New Roman"/>
          <w:sz w:val="15"/>
          <w:szCs w:val="15"/>
          <w:color w:val="auto"/>
        </w:rPr>
        <w:t>”) certifying to and specifying in reasonable detail, for such Calendar Quarter, the aggregate amount of</w:t>
      </w:r>
    </w:p>
    <w:p>
      <w:pPr>
        <w:ind w:left="1" w:hanging="1"/>
        <w:spacing w:after="0" w:line="248" w:lineRule="auto"/>
        <w:tabs>
          <w:tab w:leader="none" w:pos="259"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 Proceeds received by Gem or its Affiliates during such fiscal quarter (or, in the case of the first delivery of a CVR Certificate hereunder, all CVR Proceeds received through the end of such Calendar Quarter); (B) the Permitted Deductions reflected in such CVR Proceeds; and (C) the CVR Payment payable to Holders, if any, in respect of such CVR Proceeds and (ii) deliver to the Rights Agent, or as the Rights Agent directs, the aggregate CVR Payment (if any). With respect to each Holder, the Rights Agent shall deliver, or cause to be delivered, a number of shares equal to the product determined by multiplying (i) the quotient determined by dividing (A) the number of shares representing the aggregate CVR Payment by (B) the total number of CVRs registered in the CVR Register at such time, by</w:t>
      </w:r>
    </w:p>
    <w:p>
      <w:pPr>
        <w:sectPr>
          <w:pgSz w:w="11900" w:h="16838" w:orient="portrait"/>
          <w:cols w:equalWidth="0" w:num="1">
            <w:col w:w="9641"/>
          </w:cols>
          <w:pgMar w:left="1119" w:top="253" w:right="1139" w:bottom="1440" w:gutter="0" w:footer="0" w:header="0"/>
        </w:sectPr>
      </w:pPr>
    </w:p>
    <w:bookmarkStart w:id="233" w:name="page234"/>
    <w:bookmarkEnd w:id="233"/>
    <w:p>
      <w:pPr>
        <w:ind w:left="1" w:right="120" w:hanging="1"/>
        <w:spacing w:after="0" w:line="261" w:lineRule="auto"/>
        <w:tabs>
          <w:tab w:leader="none" w:pos="233"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the number of CVRs registered to such Holder in the CVR Register at such time. For the avoidance of doubt Gem shall have no further liability in respect of the relevant CVR Payment upon delivery of such CVR Payment in accordance with this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and the satisfaction of each of Gem’s obligations set forth in this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w:t>
      </w:r>
    </w:p>
    <w:p>
      <w:pPr>
        <w:spacing w:after="0" w:line="62" w:lineRule="exact"/>
        <w:rPr>
          <w:rFonts w:ascii="Times New Roman" w:cs="Times New Roman" w:eastAsia="Times New Roman" w:hAnsi="Times New Roman"/>
          <w:sz w:val="16"/>
          <w:szCs w:val="16"/>
          <w:color w:val="auto"/>
        </w:rPr>
      </w:pPr>
    </w:p>
    <w:p>
      <w:pPr>
        <w:jc w:val="both"/>
        <w:ind w:left="1" w:firstLine="867"/>
        <w:spacing w:after="0" w:line="256" w:lineRule="auto"/>
        <w:tabs>
          <w:tab w:leader="none" w:pos="1093"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agree to treat the distribution of the CVRs as constituting a nontaxable stock distribution under Section 305 of the U.S. Internal Revenue Code of 1986, as amended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and the receipt of CVR Payments as a nontaxable exercise of the right to receive stock under the CVRs. The parties hereto will not take any position to the contrary on any Tax Return or for other Tax purposes except as required by a change in or clarification to applicable Law after the date hereof.</w:t>
      </w:r>
    </w:p>
    <w:p>
      <w:pPr>
        <w:spacing w:after="0" w:line="66" w:lineRule="exact"/>
        <w:rPr>
          <w:rFonts w:ascii="Times New Roman" w:cs="Times New Roman" w:eastAsia="Times New Roman" w:hAnsi="Times New Roman"/>
          <w:sz w:val="16"/>
          <w:szCs w:val="16"/>
          <w:color w:val="auto"/>
        </w:rPr>
      </w:pPr>
    </w:p>
    <w:p>
      <w:pPr>
        <w:ind w:left="1" w:firstLine="867"/>
        <w:spacing w:after="0" w:line="249" w:lineRule="auto"/>
        <w:tabs>
          <w:tab w:leader="none" w:pos="1084"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and the Rights Agent will be entitled to deduct and withhold, or cause to be deducted and withheld, from any CVR Payment otherwise payable pursuant to this Agreement, such amounts as it is required to deduct and withhold with respect to the making of such payment under any provision of applicable Law relating to Taxes. To the extent that amounts are so deducted and withheld, such deducted and withheld amounts will be treated for all purposes of this Agreement as having been paid to the Holder in respect of which such deduction and withholding was made. The Rights Agent shall request from each Holder an IRS Form W-9 or applicable IRS Form W-8 at such time or times as is necessary to permit any payment under this Agreement to be made without U.S. federal backup withholding. Prior to making any such Tax deductions or withholdings or causing any such Tax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the time period for payment of a CVR Payment by the Rights Agent set forth in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will be extended by a period equal to any delay caused by the Holder providing such forms,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further</w:t>
      </w:r>
      <w:r>
        <w:rPr>
          <w:rFonts w:ascii="Times New Roman" w:cs="Times New Roman" w:eastAsia="Times New Roman" w:hAnsi="Times New Roman"/>
          <w:sz w:val="16"/>
          <w:szCs w:val="16"/>
          <w:color w:val="auto"/>
        </w:rPr>
        <w:t>, that in no event shall such period be extended for more than ten (10) Business Days, unless otherwise requested by the Holder for the purpose of delivering such forms and agreed to by the Rights Agent.</w:t>
      </w:r>
    </w:p>
    <w:p>
      <w:pPr>
        <w:spacing w:after="0" w:line="74" w:lineRule="exact"/>
        <w:rPr>
          <w:rFonts w:ascii="Times New Roman" w:cs="Times New Roman" w:eastAsia="Times New Roman" w:hAnsi="Times New Roman"/>
          <w:sz w:val="16"/>
          <w:szCs w:val="16"/>
          <w:color w:val="auto"/>
        </w:rPr>
      </w:pPr>
    </w:p>
    <w:p>
      <w:pPr>
        <w:ind w:left="1" w:right="120" w:firstLine="867"/>
        <w:spacing w:after="0" w:line="256" w:lineRule="auto"/>
        <w:tabs>
          <w:tab w:leader="none" w:pos="1093" w:val="left"/>
        </w:tabs>
        <w:numPr>
          <w:ilvl w:val="1"/>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portion of a CVR Payment that remains undistributed to the Holders six (6) months after the end of the applicable Calendar Quarter (including by means of invalid addresses on the CVR Register) will be delivered by the Rights Agent to Gem or a person nominated in writing by Gem (with written notice thereof from Gem to the Rights Agent), and any Holder will thereafter look only to Gem for payment of such CVR Payment (which shall be without interest).</w:t>
      </w:r>
    </w:p>
    <w:p>
      <w:pPr>
        <w:spacing w:after="0" w:line="159"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i w:val="1"/>
          <w:iCs w:val="1"/>
          <w:color w:val="auto"/>
        </w:rPr>
        <w:t>No Voting, Dividends or Interest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1081" w:hanging="213"/>
        <w:spacing w:after="0"/>
        <w:tabs>
          <w:tab w:leader="none" w:pos="1081"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 will not have any voting or dividend rights, and interest will not accrue on any amounts payable in respect of CVRs.</w:t>
      </w:r>
    </w:p>
    <w:p>
      <w:pPr>
        <w:spacing w:after="0" w:line="99" w:lineRule="exact"/>
        <w:rPr>
          <w:rFonts w:ascii="Times New Roman" w:cs="Times New Roman" w:eastAsia="Times New Roman" w:hAnsi="Times New Roman"/>
          <w:sz w:val="16"/>
          <w:szCs w:val="16"/>
          <w:color w:val="auto"/>
        </w:rPr>
      </w:pPr>
    </w:p>
    <w:p>
      <w:pPr>
        <w:ind w:left="1" w:right="140" w:firstLine="867"/>
        <w:spacing w:after="0" w:line="261" w:lineRule="auto"/>
        <w:tabs>
          <w:tab w:leader="none" w:pos="1093"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CVRs will not represent any equity or ownership interests in Gem or any of its Subsidiaries or in the Surviving Corporation. The sole right of the Holders to receive property hereunder is the right to receive CVR Payments, if any, in accordance with the terms hereof. It is hereby acknowledged and agreed that a CVR shall not constitute a security of Gem or any of its Subsidiaries or of the Surviving Corporation.</w:t>
      </w:r>
    </w:p>
    <w:p>
      <w:pPr>
        <w:sectPr>
          <w:pgSz w:w="11900" w:h="16838" w:orient="portrait"/>
          <w:cols w:equalWidth="0" w:num="1">
            <w:col w:w="9641"/>
          </w:cols>
          <w:pgMar w:left="1119" w:top="253" w:right="1139" w:bottom="1440" w:gutter="0" w:footer="0" w:header="0"/>
        </w:sectPr>
      </w:pPr>
    </w:p>
    <w:bookmarkStart w:id="234" w:name="page235"/>
    <w:bookmarkEnd w:id="234"/>
    <w:p>
      <w:pPr>
        <w:ind w:firstLine="867"/>
        <w:spacing w:after="0" w:line="269" w:lineRule="auto"/>
        <w:tabs>
          <w:tab w:leader="none" w:pos="1083"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By voting in favor of the adoption of the Merger Agreement, the approval of the principal terms of the Merger, and the consummation of the Merger or participating in the Merger and receiving the benefits thereof, including the right to receive CVRs and any consideration payable in connection with the CVRs, each Holder hereby acknowledges and agrees that the CVRs and the possibility of any payment hereunder with respect thereto are highly speculative and subject to numerous factors outside of Gem’s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It is further acknowledged and agreed that neither Gem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5"/>
          <w:szCs w:val="15"/>
          <w:u w:val="single" w:color="auto"/>
          <w:color w:val="auto"/>
        </w:rPr>
        <w:t>Section 2.5(b)</w:t>
      </w:r>
      <w:r>
        <w:rPr>
          <w:rFonts w:ascii="Times New Roman" w:cs="Times New Roman" w:eastAsia="Times New Roman" w:hAnsi="Times New Roman"/>
          <w:sz w:val="15"/>
          <w:szCs w:val="15"/>
          <w:color w:val="auto"/>
        </w:rPr>
        <w:t xml:space="preserve"> is an essential and material term of this Agreement.</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i w:val="1"/>
          <w:iCs w:val="1"/>
          <w:color w:val="auto"/>
        </w:rPr>
        <w:t>Ability to Abandon CVR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20" w:firstLine="386"/>
        <w:spacing w:after="0" w:line="254" w:lineRule="auto"/>
        <w:rPr>
          <w:sz w:val="20"/>
          <w:szCs w:val="20"/>
          <w:color w:val="auto"/>
        </w:rPr>
      </w:pPr>
      <w:r>
        <w:rPr>
          <w:rFonts w:ascii="Times New Roman" w:cs="Times New Roman" w:eastAsia="Times New Roman" w:hAnsi="Times New Roman"/>
          <w:sz w:val="16"/>
          <w:szCs w:val="16"/>
          <w:color w:val="auto"/>
        </w:rPr>
        <w:t>A Holder may at any time, at such Holder’s option, abandon all of such Holder’s remaining rights represented by CVRs by transferring such CVR to Gem or a person nominated in writing by Gem (with written notice thereof from Gem to the Rights Agent) without consideration in compensation therefor, and such rights will be cancelled, with the Rights Agent being promptly notified in writing by Gem of such transfer and cancellation. Nothing in this Agreement is intended to prohibit Gem or its Affiliates from offering to acquire or acquiring CVRs, in private transactions or otherwise, for consideration in its sole discretion.</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RIGHTS AGENT</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i w:val="1"/>
          <w:iCs w:val="1"/>
          <w:color w:val="auto"/>
        </w:rPr>
        <w:t>Certain Duties and Responsibilities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80" w:firstLine="867"/>
        <w:spacing w:after="0" w:line="258" w:lineRule="auto"/>
        <w:tabs>
          <w:tab w:leader="none" w:pos="1083"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have any liability for any actions taken or not taken in connection with this Agreement, except to the extent such liability arises as a result of the willful misconduct, bad faith or gross negligence of the Rights Agent (in each case as determined by a</w:t>
      </w:r>
    </w:p>
    <w:p>
      <w:pPr>
        <w:ind w:right="120"/>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final non-appealable judgment of court of competent jurisdiction). Notwithstanding anything in this Agreement to the contrary, any liability of the Rights Agent under this Agreement will be limited to the amount of annual fees paid by Gem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ectPr>
          <w:pgSz w:w="11900" w:h="16838" w:orient="portrait"/>
          <w:cols w:equalWidth="0" w:num="1">
            <w:col w:w="9620"/>
          </w:cols>
          <w:pgMar w:left="1120" w:top="253" w:right="1159" w:bottom="1440" w:gutter="0" w:footer="0" w:header="0"/>
        </w:sectPr>
      </w:pPr>
    </w:p>
    <w:bookmarkStart w:id="235" w:name="page236"/>
    <w:bookmarkEnd w:id="235"/>
    <w:p>
      <w:pPr>
        <w:ind w:right="140" w:firstLine="867"/>
        <w:spacing w:after="0" w:line="252" w:lineRule="auto"/>
        <w:tabs>
          <w:tab w:leader="none" w:pos="1092"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Gem or the Company.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i w:val="1"/>
          <w:iCs w:val="1"/>
          <w:color w:val="auto"/>
        </w:rPr>
        <w:t>Certain Rights of Rights Agent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867"/>
        <w:spacing w:after="0" w:line="276" w:lineRule="auto"/>
        <w:tabs>
          <w:tab w:leader="none" w:pos="1083"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49" w:lineRule="exact"/>
        <w:rPr>
          <w:rFonts w:ascii="Times New Roman" w:cs="Times New Roman" w:eastAsia="Times New Roman" w:hAnsi="Times New Roman"/>
          <w:sz w:val="16"/>
          <w:szCs w:val="16"/>
          <w:color w:val="auto"/>
        </w:rPr>
      </w:pPr>
    </w:p>
    <w:p>
      <w:pPr>
        <w:ind w:right="20" w:firstLine="867"/>
        <w:spacing w:after="0" w:line="261" w:lineRule="auto"/>
        <w:tabs>
          <w:tab w:leader="none" w:pos="1092"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rely and will be protected by Gem in acting or refraining from acting upon any resolution, certificate, statement, instrument, opinion, report, notice, request, direction, consent, order or other paper or document believed by it in the absence of bad faith to be genuine and to have been signed or presented by or on behalf of Gem.</w:t>
      </w:r>
    </w:p>
    <w:p>
      <w:pPr>
        <w:spacing w:after="0" w:line="62" w:lineRule="exact"/>
        <w:rPr>
          <w:rFonts w:ascii="Times New Roman" w:cs="Times New Roman" w:eastAsia="Times New Roman" w:hAnsi="Times New Roman"/>
          <w:sz w:val="16"/>
          <w:szCs w:val="16"/>
          <w:color w:val="auto"/>
        </w:rPr>
      </w:pPr>
    </w:p>
    <w:p>
      <w:pPr>
        <w:jc w:val="both"/>
        <w:ind w:right="140" w:firstLine="867"/>
        <w:spacing w:after="0" w:line="261" w:lineRule="auto"/>
        <w:tabs>
          <w:tab w:leader="none" w:pos="1083"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Rights Agent deems it desirable that a matter be proved or established prior to taking or omitting any action hereunder, the Rights Agent may (i) rely upon an Officer’s Certificate and (ii) incur no liability and be held harmless by Gem for or in respect of any action taken or omitted to be taken by it under the provisions of this Agreement in reliance upon such Officer’s Certificate.</w:t>
      </w:r>
    </w:p>
    <w:p>
      <w:pPr>
        <w:spacing w:after="0" w:line="62" w:lineRule="exact"/>
        <w:rPr>
          <w:rFonts w:ascii="Times New Roman" w:cs="Times New Roman" w:eastAsia="Times New Roman" w:hAnsi="Times New Roman"/>
          <w:sz w:val="16"/>
          <w:szCs w:val="16"/>
          <w:color w:val="auto"/>
        </w:rPr>
      </w:pPr>
    </w:p>
    <w:p>
      <w:pPr>
        <w:ind w:right="120" w:firstLine="867"/>
        <w:spacing w:after="0" w:line="256" w:lineRule="auto"/>
        <w:tabs>
          <w:tab w:leader="none" w:pos="1092"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spacing w:after="0" w:line="66"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permissive rights of the Rights Agent hereunder will not be construed as a duty.</w:t>
      </w:r>
    </w:p>
    <w:p>
      <w:pPr>
        <w:spacing w:after="0" w:line="99" w:lineRule="exact"/>
        <w:rPr>
          <w:rFonts w:ascii="Times New Roman" w:cs="Times New Roman" w:eastAsia="Times New Roman" w:hAnsi="Times New Roman"/>
          <w:sz w:val="16"/>
          <w:szCs w:val="16"/>
          <w:color w:val="auto"/>
        </w:rPr>
      </w:pPr>
    </w:p>
    <w:p>
      <w:pPr>
        <w:ind w:left="1060" w:hanging="193"/>
        <w:spacing w:after="0"/>
        <w:tabs>
          <w:tab w:leader="none" w:pos="106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be required to give any note or surety in respect of the execution of its powers or otherwise under this</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82" w:lineRule="exact"/>
        <w:rPr>
          <w:rFonts w:ascii="Times New Roman" w:cs="Times New Roman" w:eastAsia="Times New Roman" w:hAnsi="Times New Roman"/>
          <w:sz w:val="16"/>
          <w:szCs w:val="16"/>
          <w:color w:val="auto"/>
        </w:rPr>
      </w:pPr>
    </w:p>
    <w:p>
      <w:pPr>
        <w:ind w:firstLine="867"/>
        <w:spacing w:after="0" w:line="254" w:lineRule="auto"/>
        <w:tabs>
          <w:tab w:leader="none" w:pos="1092"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w:t>
      </w:r>
    </w:p>
    <w:p>
      <w:pPr>
        <w:sectPr>
          <w:pgSz w:w="11900" w:h="16838" w:orient="portrait"/>
          <w:cols w:equalWidth="0" w:num="1">
            <w:col w:w="9640"/>
          </w:cols>
          <w:pgMar w:left="1120" w:top="253" w:right="1139" w:bottom="1440" w:gutter="0" w:footer="0" w:header="0"/>
        </w:sectPr>
      </w:pPr>
    </w:p>
    <w:bookmarkStart w:id="236" w:name="page237"/>
    <w:bookmarkEnd w:id="236"/>
    <w:p>
      <w:pPr>
        <w:jc w:val="both"/>
        <w:ind w:right="8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w:t>
      </w:r>
    </w:p>
    <w:p>
      <w:pPr>
        <w:spacing w:after="0" w:line="62" w:lineRule="exact"/>
        <w:rPr>
          <w:sz w:val="20"/>
          <w:szCs w:val="20"/>
          <w:color w:val="auto"/>
        </w:rPr>
      </w:pPr>
    </w:p>
    <w:p>
      <w:pPr>
        <w:ind w:firstLine="867"/>
        <w:spacing w:after="0" w:line="250" w:lineRule="auto"/>
        <w:tabs>
          <w:tab w:leader="none" w:pos="1092"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indemnification provided under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 xml:space="preserve">, Gem agrees (i) to pay the fees of the Rights Agent in connection with the Rights Agent’s performance of its obligations hereunder, as agreed upon in writing by the Rights Agent and Gem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Gem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cs="Times New Roman" w:eastAsia="Times New Roman" w:hAnsi="Times New Roman"/>
          <w:sz w:val="16"/>
          <w:szCs w:val="16"/>
          <w:u w:val="single" w:color="auto"/>
          <w:color w:val="auto"/>
        </w:rPr>
        <w:t>Section 2.4(a)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3.2(g),</w:t>
      </w:r>
      <w:r>
        <w:rPr>
          <w:rFonts w:ascii="Times New Roman" w:cs="Times New Roman" w:eastAsia="Times New Roman" w:hAnsi="Times New Roman"/>
          <w:sz w:val="16"/>
          <w:szCs w:val="16"/>
          <w:color w:val="auto"/>
        </w:rPr>
        <w:t xml:space="preserve"> if Gem is found by a court of competent jurisdiction to be liable to the Rights Agent or the Holders, as applicable in such suit.</w:t>
      </w:r>
    </w:p>
    <w:p>
      <w:pPr>
        <w:spacing w:after="0" w:line="72" w:lineRule="exact"/>
        <w:rPr>
          <w:rFonts w:ascii="Times New Roman" w:cs="Times New Roman" w:eastAsia="Times New Roman" w:hAnsi="Times New Roman"/>
          <w:sz w:val="16"/>
          <w:szCs w:val="16"/>
          <w:color w:val="auto"/>
        </w:rPr>
      </w:pPr>
    </w:p>
    <w:p>
      <w:pPr>
        <w:jc w:val="both"/>
        <w:ind w:right="60" w:firstLine="867"/>
        <w:spacing w:after="0" w:line="261" w:lineRule="auto"/>
        <w:tabs>
          <w:tab w:leader="none" w:pos="105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62" w:lineRule="exact"/>
        <w:rPr>
          <w:rFonts w:ascii="Times New Roman" w:cs="Times New Roman" w:eastAsia="Times New Roman" w:hAnsi="Times New Roman"/>
          <w:sz w:val="16"/>
          <w:szCs w:val="16"/>
          <w:color w:val="auto"/>
        </w:rPr>
      </w:pPr>
    </w:p>
    <w:p>
      <w:pPr>
        <w:ind w:right="40" w:firstLine="867"/>
        <w:spacing w:after="0" w:line="261" w:lineRule="auto"/>
        <w:tabs>
          <w:tab w:leader="none" w:pos="105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spacing w:after="0" w:line="62" w:lineRule="exact"/>
        <w:rPr>
          <w:rFonts w:ascii="Times New Roman" w:cs="Times New Roman" w:eastAsia="Times New Roman" w:hAnsi="Times New Roman"/>
          <w:sz w:val="16"/>
          <w:szCs w:val="16"/>
          <w:color w:val="auto"/>
        </w:rPr>
      </w:pPr>
    </w:p>
    <w:p>
      <w:pPr>
        <w:ind w:right="40" w:firstLine="867"/>
        <w:spacing w:after="0" w:line="254" w:lineRule="auto"/>
        <w:tabs>
          <w:tab w:leader="none" w:pos="1092"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Gem or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67" w:lineRule="exact"/>
        <w:rPr>
          <w:rFonts w:ascii="Times New Roman" w:cs="Times New Roman" w:eastAsia="Times New Roman" w:hAnsi="Times New Roman"/>
          <w:sz w:val="16"/>
          <w:szCs w:val="16"/>
          <w:color w:val="auto"/>
        </w:rPr>
      </w:pPr>
    </w:p>
    <w:p>
      <w:pPr>
        <w:ind w:firstLine="867"/>
        <w:spacing w:after="0" w:line="261" w:lineRule="auto"/>
        <w:tabs>
          <w:tab w:leader="none" w:pos="1057"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sectPr>
          <w:pgSz w:w="11900" w:h="16838" w:orient="portrait"/>
          <w:cols w:equalWidth="0" w:num="1">
            <w:col w:w="9620"/>
          </w:cols>
          <w:pgMar w:left="1120" w:top="253" w:right="1159" w:bottom="1440" w:gutter="0" w:footer="0" w:header="0"/>
        </w:sectPr>
      </w:pPr>
    </w:p>
    <w:bookmarkStart w:id="237" w:name="page238"/>
    <w:bookmarkEnd w:id="237"/>
    <w:p>
      <w:pPr>
        <w:jc w:val="both"/>
        <w:ind w:left="-320" w:firstLine="867"/>
        <w:spacing w:after="0" w:line="310" w:lineRule="auto"/>
        <w:tabs>
          <w:tab w:leader="none" w:pos="816"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Gem only.</w:t>
      </w:r>
    </w:p>
    <w:p>
      <w:pPr>
        <w:spacing w:after="0" w:line="27" w:lineRule="exact"/>
        <w:rPr>
          <w:rFonts w:ascii="Times New Roman" w:cs="Times New Roman" w:eastAsia="Times New Roman" w:hAnsi="Times New Roman"/>
          <w:sz w:val="15"/>
          <w:szCs w:val="15"/>
          <w:color w:val="auto"/>
        </w:rPr>
      </w:pPr>
    </w:p>
    <w:p>
      <w:pPr>
        <w:ind w:left="-320" w:right="200" w:firstLine="867"/>
        <w:spacing w:after="0" w:line="256" w:lineRule="auto"/>
        <w:tabs>
          <w:tab w:leader="none" w:pos="772"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act hereunder solely as agent for Gem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Gem, including, without limiting the generality of the foregoing, any duty or responsibility to initiate or attempt to initiate any proceedings at law or otherwise or to make any demand upon Gem.</w:t>
      </w:r>
    </w:p>
    <w:p>
      <w:pPr>
        <w:spacing w:after="0" w:line="66" w:lineRule="exact"/>
        <w:rPr>
          <w:rFonts w:ascii="Times New Roman" w:cs="Times New Roman" w:eastAsia="Times New Roman" w:hAnsi="Times New Roman"/>
          <w:sz w:val="16"/>
          <w:szCs w:val="16"/>
          <w:color w:val="auto"/>
        </w:rPr>
      </w:pPr>
    </w:p>
    <w:p>
      <w:pPr>
        <w:ind w:left="-320" w:right="60" w:firstLine="867"/>
        <w:spacing w:after="0" w:line="256" w:lineRule="auto"/>
        <w:tabs>
          <w:tab w:leader="none" w:pos="772"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66" w:lineRule="exact"/>
        <w:rPr>
          <w:rFonts w:ascii="Times New Roman" w:cs="Times New Roman" w:eastAsia="Times New Roman" w:hAnsi="Times New Roman"/>
          <w:sz w:val="16"/>
          <w:szCs w:val="16"/>
          <w:color w:val="auto"/>
        </w:rPr>
      </w:pPr>
    </w:p>
    <w:p>
      <w:pPr>
        <w:ind w:left="-320" w:right="120" w:firstLine="867"/>
        <w:spacing w:after="0" w:line="261" w:lineRule="auto"/>
        <w:tabs>
          <w:tab w:leader="none" w:pos="772"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shall not be liable or responsible for any failure of Gem to comply with any of its obligations relating to any registration statement filed with the Securities and Exchange Commission or this Agreement, including without limitation obligations under applicable regulation or law.</w:t>
      </w:r>
    </w:p>
    <w:p>
      <w:pPr>
        <w:spacing w:after="0" w:line="62" w:lineRule="exact"/>
        <w:rPr>
          <w:rFonts w:ascii="Times New Roman" w:cs="Times New Roman" w:eastAsia="Times New Roman" w:hAnsi="Times New Roman"/>
          <w:sz w:val="16"/>
          <w:szCs w:val="16"/>
          <w:color w:val="auto"/>
        </w:rPr>
      </w:pPr>
    </w:p>
    <w:p>
      <w:pPr>
        <w:ind w:left="-320" w:right="580" w:firstLine="867"/>
        <w:spacing w:after="0" w:line="276" w:lineRule="auto"/>
        <w:tabs>
          <w:tab w:leader="none" w:pos="772"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obligations of Gem and the rights of the Rights Agent under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shall survive the expiration of the CVRs and the termination of this Agreement and the resignation, replacement or removal of the Rights Agent.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i w:val="1"/>
          <w:iCs w:val="1"/>
          <w:color w:val="auto"/>
        </w:rPr>
        <w:t>Resignation and Removal; Appointment of Successor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320" w:right="20" w:firstLine="867"/>
        <w:spacing w:after="0" w:line="261" w:lineRule="auto"/>
        <w:tabs>
          <w:tab w:leader="none" w:pos="763"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may resign at any time by written notice to Gem.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62" w:lineRule="exact"/>
        <w:rPr>
          <w:rFonts w:ascii="Times New Roman" w:cs="Times New Roman" w:eastAsia="Times New Roman" w:hAnsi="Times New Roman"/>
          <w:sz w:val="16"/>
          <w:szCs w:val="16"/>
          <w:color w:val="auto"/>
        </w:rPr>
      </w:pPr>
    </w:p>
    <w:p>
      <w:pPr>
        <w:ind w:left="-320" w:right="260" w:firstLine="867"/>
        <w:spacing w:after="0" w:line="261" w:lineRule="auto"/>
        <w:tabs>
          <w:tab w:leader="none" w:pos="772"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62" w:lineRule="exact"/>
        <w:rPr>
          <w:rFonts w:ascii="Times New Roman" w:cs="Times New Roman" w:eastAsia="Times New Roman" w:hAnsi="Times New Roman"/>
          <w:sz w:val="16"/>
          <w:szCs w:val="16"/>
          <w:color w:val="auto"/>
        </w:rPr>
      </w:pPr>
    </w:p>
    <w:p>
      <w:pPr>
        <w:ind w:left="-320" w:right="20" w:firstLine="867"/>
        <w:spacing w:after="0" w:line="254" w:lineRule="auto"/>
        <w:tabs>
          <w:tab w:leader="none" w:pos="763"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Rights Agent resigns, is removed or becomes incapable of acting, Gem will promptly appoint a qualified successor Rights Agent. Notwithstanding the foregoing, if Gem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6"/>
          <w:szCs w:val="16"/>
          <w:u w:val="single" w:color="auto"/>
          <w:color w:val="auto"/>
        </w:rPr>
        <w:t>Section 3.3(c)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become the Rights Agent for all purposes hereunder.</w:t>
      </w:r>
    </w:p>
    <w:p>
      <w:pPr>
        <w:sectPr>
          <w:pgSz w:w="11900" w:h="16838" w:orient="portrait"/>
          <w:cols w:equalWidth="0" w:num="1">
            <w:col w:w="9320"/>
          </w:cols>
          <w:pgMar w:left="1440" w:top="253" w:right="1139" w:bottom="1440" w:gutter="0" w:footer="0" w:header="0"/>
        </w:sectPr>
      </w:pPr>
    </w:p>
    <w:bookmarkStart w:id="238" w:name="page239"/>
    <w:bookmarkEnd w:id="238"/>
    <w:p>
      <w:pPr>
        <w:jc w:val="both"/>
        <w:ind w:right="260" w:firstLine="867"/>
        <w:spacing w:after="0" w:line="256" w:lineRule="auto"/>
        <w:tabs>
          <w:tab w:leader="none" w:pos="1092"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Gem will give notice to the Holders of each resignation or removal of the Rights Agent and each appointment of a successor Rights Agent in accordance with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Each notice will include the name and address of the successor Rights Agent. If Gem fails to send such notice within ten (10) Business Days after acceptance of appointment by a successor Rights Agent, the successor Rights Agent will cause the notice to be mailed at the expense of Gem.</w:t>
      </w:r>
    </w:p>
    <w:p>
      <w:pPr>
        <w:spacing w:after="0" w:line="161" w:lineRule="exact"/>
        <w:rPr>
          <w:rFonts w:ascii="Times New Roman" w:cs="Times New Roman" w:eastAsia="Times New Roman" w:hAnsi="Times New Roman"/>
          <w:sz w:val="16"/>
          <w:szCs w:val="16"/>
          <w:color w:val="auto"/>
        </w:rPr>
      </w:pPr>
    </w:p>
    <w:p>
      <w:pPr>
        <w:ind w:right="20" w:firstLine="867"/>
        <w:spacing w:after="0" w:line="261" w:lineRule="auto"/>
        <w:tabs>
          <w:tab w:leader="none" w:pos="1083"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unless consented to in writing by the Acting Holders, Gem will not appoint as a successor Rights Agent any Person that is not a stock transfer agent of national reputation or the corporate trust department of a commercial bank.</w:t>
      </w:r>
    </w:p>
    <w:p>
      <w:pPr>
        <w:spacing w:after="0" w:line="156" w:lineRule="exact"/>
        <w:rPr>
          <w:rFonts w:ascii="Times New Roman" w:cs="Times New Roman" w:eastAsia="Times New Roman" w:hAnsi="Times New Roman"/>
          <w:sz w:val="16"/>
          <w:szCs w:val="16"/>
          <w:color w:val="auto"/>
        </w:rPr>
      </w:pPr>
    </w:p>
    <w:p>
      <w:pPr>
        <w:ind w:firstLine="867"/>
        <w:spacing w:after="0" w:line="256" w:lineRule="auto"/>
        <w:tabs>
          <w:tab w:leader="none" w:pos="1065"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Agent will reasonably cooperate with Gem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i w:val="1"/>
          <w:iCs w:val="1"/>
          <w:color w:val="auto"/>
        </w:rPr>
        <w:t>Acceptance of Appointment by Successor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4" w:lineRule="auto"/>
        <w:rPr>
          <w:sz w:val="20"/>
          <w:szCs w:val="20"/>
          <w:color w:val="auto"/>
        </w:rPr>
      </w:pPr>
      <w:r>
        <w:rPr>
          <w:rFonts w:ascii="Times New Roman" w:cs="Times New Roman" w:eastAsia="Times New Roman" w:hAnsi="Times New Roman"/>
          <w:sz w:val="16"/>
          <w:szCs w:val="16"/>
          <w:color w:val="auto"/>
        </w:rPr>
        <w:t xml:space="preserve">Every successor Rights Agent appointed hereunder will, at or prior to such appointment, execute, acknowledge and deliver to Gem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color w:val="auto"/>
        </w:rPr>
        <w:t xml:space="preserve"> that upon the request of Gem or the successor Rights Agent, such resigning or removed Rights Agent will execute and deliver an instrument transferring to such successor Rights Agent all the rights, powers and trusts of such resigning or removed Rights Agent.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4</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i w:val="1"/>
          <w:iCs w:val="1"/>
          <w:color w:val="auto"/>
        </w:rPr>
        <w:t>List of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Gem will furnish or cause to be furnished to the Rights Agent, in such form as Gem receives from Gem’s transfer agent (or other agent performing similar services for Gem), the names and addresses of the Holders within fifteen (15) Business Days following the Closing Date.</w:t>
      </w:r>
    </w:p>
    <w:p>
      <w:pPr>
        <w:sectPr>
          <w:pgSz w:w="11900" w:h="16838" w:orient="portrait"/>
          <w:cols w:equalWidth="0" w:num="1">
            <w:col w:w="9640"/>
          </w:cols>
          <w:pgMar w:left="1120" w:top="253" w:right="1139" w:bottom="1440" w:gutter="0" w:footer="0" w:header="0"/>
        </w:sectPr>
      </w:pPr>
    </w:p>
    <w:bookmarkStart w:id="239" w:name="page240"/>
    <w:bookmarkEnd w:id="239"/>
    <w:p>
      <w:pPr>
        <w:ind w:left="38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4.2 </w:t>
      </w:r>
      <w:r>
        <w:rPr>
          <w:rFonts w:ascii="Times New Roman" w:cs="Times New Roman" w:eastAsia="Times New Roman" w:hAnsi="Times New Roman"/>
          <w:sz w:val="16"/>
          <w:szCs w:val="16"/>
          <w:i w:val="1"/>
          <w:iCs w:val="1"/>
          <w:color w:val="auto"/>
        </w:rPr>
        <w:t>CVR Committee; Efforts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right="140" w:firstLine="867"/>
        <w:spacing w:after="0" w:line="211" w:lineRule="auto"/>
        <w:tabs>
          <w:tab w:leader="none" w:pos="1084" w:val="left"/>
        </w:tabs>
        <w:numPr>
          <w:ilvl w:val="1"/>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Gem Board has delegated, to a special committee of the Gem Board comprised exclusively of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Special Committee</w:t>
      </w:r>
      <w:r>
        <w:rPr>
          <w:rFonts w:ascii="Times New Roman" w:cs="Times New Roman" w:eastAsia="Times New Roman" w:hAnsi="Times New Roman"/>
          <w:sz w:val="16"/>
          <w:szCs w:val="16"/>
          <w:color w:val="auto"/>
        </w:rPr>
        <w:t>”) the sole responsibility, authority and discretion during the Disposition Period with respect to (i) managing the Potentially Transferable Assets, and</w:t>
      </w:r>
    </w:p>
    <w:p>
      <w:pPr>
        <w:spacing w:after="0" w:line="1" w:lineRule="exact"/>
        <w:rPr>
          <w:rFonts w:ascii="Times New Roman" w:cs="Times New Roman" w:eastAsia="Times New Roman" w:hAnsi="Times New Roman"/>
          <w:sz w:val="16"/>
          <w:szCs w:val="16"/>
          <w:color w:val="auto"/>
        </w:rPr>
      </w:pPr>
    </w:p>
    <w:p>
      <w:pPr>
        <w:ind w:left="1" w:right="100" w:hanging="1"/>
        <w:spacing w:after="0" w:line="249" w:lineRule="auto"/>
        <w:tabs>
          <w:tab w:leader="none" w:pos="233"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any sale or transfer process (including engagement of advisors) with respect to a Disposition during the Disposition Period. The Special Committee shall also be empowered with the authority to authorize and direct any officer of Gem to negotiate, execute and deliver a definitive written agreement with respect to a Disposition (a “</w:t>
      </w:r>
      <w:r>
        <w:rPr>
          <w:rFonts w:ascii="Times New Roman" w:cs="Times New Roman" w:eastAsia="Times New Roman" w:hAnsi="Times New Roman"/>
          <w:sz w:val="16"/>
          <w:szCs w:val="16"/>
          <w:u w:val="single" w:color="auto"/>
          <w:color w:val="auto"/>
        </w:rPr>
        <w:t>Sale Agreement</w:t>
      </w:r>
      <w:r>
        <w:rPr>
          <w:rFonts w:ascii="Times New Roman" w:cs="Times New Roman" w:eastAsia="Times New Roman" w:hAnsi="Times New Roman"/>
          <w:sz w:val="16"/>
          <w:szCs w:val="16"/>
          <w:color w:val="auto"/>
        </w:rPr>
        <w:t>”) in the name and on behalf of Gem, as well as to identify and retain advisers and consultants.</w:t>
      </w:r>
    </w:p>
    <w:p>
      <w:pPr>
        <w:spacing w:after="0" w:line="165" w:lineRule="exact"/>
        <w:rPr>
          <w:rFonts w:ascii="Times New Roman" w:cs="Times New Roman" w:eastAsia="Times New Roman" w:hAnsi="Times New Roman"/>
          <w:sz w:val="16"/>
          <w:szCs w:val="16"/>
          <w:color w:val="auto"/>
        </w:rPr>
      </w:pPr>
    </w:p>
    <w:p>
      <w:pPr>
        <w:ind w:left="1" w:right="40" w:firstLine="867"/>
        <w:spacing w:after="0" w:line="254" w:lineRule="auto"/>
        <w:tabs>
          <w:tab w:leader="none" w:pos="1093"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delegation of responsibility and authority to the Special Committee set forth in Section 4.2(a) shall not be revoked or modified at any time during the Disposition Period. The Special Committee and the Gem Board shall not have any liability to the Holders for any actions taken or not taken in connection with the matters set forth herein. No provision of this Agreement shall require the Special Committee or any members thereof to expend or risk its, his or her own funds or otherwise incur any financial liability in the performance of any duties hereunder or in the exercise of any rights or powers.</w:t>
      </w:r>
    </w:p>
    <w:p>
      <w:pPr>
        <w:spacing w:after="0" w:line="161" w:lineRule="exact"/>
        <w:rPr>
          <w:rFonts w:ascii="Times New Roman" w:cs="Times New Roman" w:eastAsia="Times New Roman" w:hAnsi="Times New Roman"/>
          <w:sz w:val="16"/>
          <w:szCs w:val="16"/>
          <w:color w:val="auto"/>
        </w:rPr>
      </w:pPr>
    </w:p>
    <w:p>
      <w:pPr>
        <w:jc w:val="both"/>
        <w:ind w:left="1" w:right="80" w:firstLine="867"/>
        <w:spacing w:after="0" w:line="256" w:lineRule="auto"/>
        <w:tabs>
          <w:tab w:leader="none" w:pos="1084"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Holders shall be intended third-party beneficiaries of the provisions of this Agreement and shall be entitled to specifically enforce the terms hereof; provided, that under no circumstances shall the rights of Holders as third-party beneficiaries pursuant to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be enforceable by such Holders or any other Person acting for or on their behalf other than the Special Committee. The Special Committee has the sole power and authority to act on behalf of the Holders in enforcing any of their rights hereunder.</w:t>
      </w:r>
    </w:p>
    <w:p>
      <w:pPr>
        <w:spacing w:after="0" w:line="161" w:lineRule="exact"/>
        <w:rPr>
          <w:rFonts w:ascii="Times New Roman" w:cs="Times New Roman" w:eastAsia="Times New Roman" w:hAnsi="Times New Roman"/>
          <w:sz w:val="16"/>
          <w:szCs w:val="16"/>
          <w:color w:val="auto"/>
        </w:rPr>
      </w:pPr>
    </w:p>
    <w:p>
      <w:pPr>
        <w:ind w:left="1" w:right="100" w:firstLine="867"/>
        <w:spacing w:after="0" w:line="254" w:lineRule="auto"/>
        <w:tabs>
          <w:tab w:leader="none" w:pos="1093"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Disposition Period, Gem will, and will cause its Subsidiaries to, use commercially reasonable efforts (i) to utilize the CVR Expenditure Amount to maintain the Potentially Transferable Assets unless otherwise approved by the Special Committee, and (ii) effectuate a Disposition of the Potentially Transferable Assets, at the direction of the Special Committee, including the negotiation and execution of a Sale Agreement and completion of the transactions contemplated thereby. Further, Gem will not take any actions for the primary purpose of frustrating the payment of CVR Proceeds.</w:t>
      </w:r>
    </w:p>
    <w:p>
      <w:pPr>
        <w:spacing w:after="0" w:line="161" w:lineRule="exact"/>
        <w:rPr>
          <w:rFonts w:ascii="Times New Roman" w:cs="Times New Roman" w:eastAsia="Times New Roman" w:hAnsi="Times New Roman"/>
          <w:sz w:val="16"/>
          <w:szCs w:val="16"/>
          <w:color w:val="auto"/>
        </w:rPr>
      </w:pPr>
    </w:p>
    <w:p>
      <w:pPr>
        <w:ind w:left="1" w:firstLine="867"/>
        <w:spacing w:after="0" w:line="251" w:lineRule="auto"/>
        <w:tabs>
          <w:tab w:leader="none" w:pos="1084"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foregoing clause (d), (i) the Holders acknowledge that Gem has a fiduciary obligation to operate its business in the best interests of its stockholders, and any potential obligation to pay CVR Proceeds will not create any express or implied obligation to operate its business in any particular manner in order to maximize such CVR Proceeds, (ii) except as expressly set forth in this Agreement, the Holders are not relying on any representation of Gem or any other Person with regard to any Disposition or other action involving the Potentially Transferrable Assets following the Closing, and neither Gem nor any other Person has provided, or can provide, any assurance to the Holders that any CVR Proceeds will in fact be earned and paid, and (iii) none of Gem or any of its Subsidiaries, officers or directors shall have any obligation or liability whatsoever to any Person relating to or in connection with any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7564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54" w:lineRule="exact"/>
        <w:rPr>
          <w:sz w:val="20"/>
          <w:szCs w:val="20"/>
          <w:color w:val="auto"/>
        </w:rPr>
      </w:pPr>
    </w:p>
    <w:p>
      <w:pPr>
        <w:ind w:left="381" w:hanging="381"/>
        <w:spacing w:after="0"/>
        <w:tabs>
          <w:tab w:leader="none" w:pos="381" w:val="left"/>
        </w:tabs>
        <w:numPr>
          <w:ilvl w:val="0"/>
          <w:numId w:val="26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To be comprised of the independent continuing director(s) of Gem.</w:t>
      </w:r>
    </w:p>
    <w:p>
      <w:pPr>
        <w:sectPr>
          <w:pgSz w:w="11900" w:h="16838" w:orient="portrait"/>
          <w:cols w:equalWidth="0" w:num="1">
            <w:col w:w="9641"/>
          </w:cols>
          <w:pgMar w:left="1119" w:top="251" w:right="1139" w:bottom="1440" w:gutter="0" w:footer="0" w:header="0"/>
        </w:sectPr>
      </w:pPr>
    </w:p>
    <w:bookmarkStart w:id="240" w:name="page241"/>
    <w:bookmarkEnd w:id="240"/>
    <w:p>
      <w:pPr>
        <w:ind w:right="6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or failure to act, with respect to the sale of Potentially Transferable Assets. Gem and its Affiliates will not be required to expend any out-of-pocket amounts in excess of the CVR Expenditure Amount during the Disposition Period, but, for clarity, any amounts which are or will become payable upon consummation of the Disposition and/or the payment of CVR Proceeds and which constitute Permitted Deductions shall be disregarded for purposes of the first clause of this sentence.</w:t>
      </w:r>
    </w:p>
    <w:p>
      <w:pPr>
        <w:spacing w:after="0" w:line="161" w:lineRule="exact"/>
        <w:rPr>
          <w:sz w:val="20"/>
          <w:szCs w:val="20"/>
          <w:color w:val="auto"/>
        </w:rPr>
      </w:pPr>
    </w:p>
    <w:p>
      <w:pPr>
        <w:ind w:firstLine="867"/>
        <w:spacing w:after="0" w:line="276" w:lineRule="auto"/>
        <w:tabs>
          <w:tab w:leader="none" w:pos="1065"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Disposition Period, Gem shall be permitted to take any action in respect of the Potentially Transferable Assets in order to satisfy any wind-down and termination Liabilities of the Potentially Transferable Assets.</w:t>
      </w:r>
    </w:p>
    <w:p>
      <w:pPr>
        <w:spacing w:after="0" w:line="143" w:lineRule="exact"/>
        <w:rPr>
          <w:sz w:val="20"/>
          <w:szCs w:val="20"/>
          <w:color w:val="auto"/>
        </w:rPr>
      </w:pPr>
    </w:p>
    <w:p>
      <w:pPr>
        <w:ind w:right="60" w:firstLine="386"/>
        <w:spacing w:after="0" w:line="257" w:lineRule="auto"/>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i w:val="1"/>
          <w:iCs w:val="1"/>
          <w:color w:val="auto"/>
        </w:rPr>
        <w:t>Prohibited Actions</w:t>
      </w:r>
      <w:r>
        <w:rPr>
          <w:rFonts w:ascii="Times New Roman" w:cs="Times New Roman" w:eastAsia="Times New Roman" w:hAnsi="Times New Roman"/>
          <w:sz w:val="16"/>
          <w:szCs w:val="16"/>
          <w:color w:val="auto"/>
        </w:rPr>
        <w:t>. Unless approved by written consent or resolution by the Special Committee, prior to the end of the Disposition Period, (a) Gem shall not grant any lien, security interest, pledge or similar interest in, or otherwise sell or Transfer, any Potentially Transferable Assets or any CVR Proceeds, and (b) Gem shall not, and shall not permit its Affiliates to, grant, assign, transfer or otherwise convey any Potentially Transferable Assets (including any option to obtain rights) to any third party.</w:t>
      </w:r>
    </w:p>
    <w:p>
      <w:pPr>
        <w:spacing w:after="0" w:line="158" w:lineRule="exact"/>
        <w:rPr>
          <w:sz w:val="20"/>
          <w:szCs w:val="20"/>
          <w:color w:val="auto"/>
        </w:rPr>
      </w:pPr>
    </w:p>
    <w:p>
      <w:pPr>
        <w:ind w:right="280" w:firstLine="386"/>
        <w:spacing w:after="0" w:line="313" w:lineRule="auto"/>
        <w:rPr>
          <w:sz w:val="20"/>
          <w:szCs w:val="20"/>
          <w:color w:val="auto"/>
        </w:rPr>
      </w:pPr>
      <w:r>
        <w:rPr>
          <w:rFonts w:ascii="Times New Roman" w:cs="Times New Roman" w:eastAsia="Times New Roman" w:hAnsi="Times New Roman"/>
          <w:sz w:val="15"/>
          <w:szCs w:val="15"/>
          <w:i w:val="1"/>
          <w:iCs w:val="1"/>
          <w:color w:val="auto"/>
        </w:rPr>
        <w:t xml:space="preserve">Section 4.4 Books and Records. </w:t>
      </w:r>
      <w:r>
        <w:rPr>
          <w:rFonts w:ascii="Times New Roman" w:cs="Times New Roman" w:eastAsia="Times New Roman" w:hAnsi="Times New Roman"/>
          <w:sz w:val="15"/>
          <w:szCs w:val="15"/>
          <w:color w:val="auto"/>
        </w:rPr>
        <w:t>Until the end of the CVR Period, Gem shall, and shall cause its Affiliates to, keep true, complete and accurate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records in sufficient detail to support the applicable CVR Payments payable hereunder in accordance with the terms specified in this Agreement.</w:t>
      </w:r>
    </w:p>
    <w:p>
      <w:pPr>
        <w:spacing w:after="0" w:line="118" w:lineRule="exact"/>
        <w:rPr>
          <w:sz w:val="20"/>
          <w:szCs w:val="20"/>
          <w:color w:val="auto"/>
        </w:rPr>
      </w:pPr>
    </w:p>
    <w:p>
      <w:pPr>
        <w:ind w:right="160" w:firstLine="386"/>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Section 4.5 Audits. </w:t>
      </w:r>
      <w:r>
        <w:rPr>
          <w:rFonts w:ascii="Times New Roman" w:cs="Times New Roman" w:eastAsia="Times New Roman" w:hAnsi="Times New Roman"/>
          <w:sz w:val="16"/>
          <w:szCs w:val="16"/>
          <w:color w:val="auto"/>
        </w:rPr>
        <w:t>Gem agrees to maintain, for at least two years after the last possible CVR Payment, all books and records relevant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calculation of the Permitted Deductions. Subject to reasonable advance written notice from the Acting Holders and prior execution and delivery by it and an independent accounting firm of national reputation chosen by the Acting Holders (the “</w:t>
      </w:r>
      <w:r>
        <w:rPr>
          <w:rFonts w:ascii="Times New Roman" w:cs="Times New Roman" w:eastAsia="Times New Roman" w:hAnsi="Times New Roman"/>
          <w:sz w:val="16"/>
          <w:szCs w:val="16"/>
          <w:u w:val="single" w:color="auto"/>
          <w:color w:val="auto"/>
        </w:rPr>
        <w:t>Accountant</w:t>
      </w:r>
      <w:r>
        <w:rPr>
          <w:rFonts w:ascii="Times New Roman" w:cs="Times New Roman" w:eastAsia="Times New Roman" w:hAnsi="Times New Roman"/>
          <w:sz w:val="16"/>
          <w:szCs w:val="16"/>
          <w:color w:val="auto"/>
        </w:rPr>
        <w:t>”) of a reasonable and customary confidentiality/nonuse agreement, which confidentiality/nonuse agreement shall not prohibit the Acting Holders from communicating any such information with the Holders who have a need to know such information, provided that any such recipients are subject to confidentiality obligations with respect thereto, Gem shall permit the Acting Holders and the Accountant, acting as agent of the Acting Holders, to have access during normal business hours to the books and records of Gem as may be reasonably necessary to audit the calculation of the CVR Payment and the Permitted Deductions. Notwithstanding anything in this Agreement to the contrary, in no event shall Gem be required to provide any tax returns or any other tax information it deems confidential to the Acting Holders or any other party pursuant to this Agreement.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5</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AMENDMENTS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i w:val="1"/>
          <w:iCs w:val="1"/>
          <w:color w:val="auto"/>
        </w:rPr>
        <w:t>Amendments Without Consent of Holders or Rights Agent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20" w:firstLine="867"/>
        <w:spacing w:after="0" w:line="261" w:lineRule="auto"/>
        <w:tabs>
          <w:tab w:leader="none" w:pos="1083"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 at any time and from time to time, may (without the consent of any Person, other than the Rights Agent, with such consent not to be unreasonably withheld, conditioned or delayed) enter into one or more amendments to this Agreement for any of the following purposes, without the consent of any of the Holders,</w:t>
      </w:r>
    </w:p>
    <w:p>
      <w:pPr>
        <w:sectPr>
          <w:pgSz w:w="11900" w:h="16838" w:orient="portrait"/>
          <w:cols w:equalWidth="0" w:num="1">
            <w:col w:w="9620"/>
          </w:cols>
          <w:pgMar w:left="1120" w:top="253" w:right="1159" w:bottom="1440" w:gutter="0" w:footer="0" w:header="0"/>
        </w:sectPr>
      </w:pPr>
    </w:p>
    <w:bookmarkStart w:id="241" w:name="page242"/>
    <w:bookmarkEnd w:id="241"/>
    <w:p>
      <w:pPr>
        <w:ind w:left="1" w:right="60" w:firstLine="1253"/>
        <w:spacing w:after="0" w:line="276" w:lineRule="auto"/>
        <w:tabs>
          <w:tab w:leader="none" w:pos="1444"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to evidence the appointment of another Person as a successor Rights Agent and the assumption by any successor Rights Agent of the covenants and obligations of the Rights Agent herein in accordance with the provisions hereof;</w:t>
      </w:r>
    </w:p>
    <w:p>
      <w:pPr>
        <w:spacing w:after="0" w:line="144" w:lineRule="exact"/>
        <w:rPr>
          <w:rFonts w:ascii="Times New Roman" w:cs="Times New Roman" w:eastAsia="Times New Roman" w:hAnsi="Times New Roman"/>
          <w:sz w:val="16"/>
          <w:szCs w:val="16"/>
          <w:color w:val="auto"/>
        </w:rPr>
      </w:pPr>
    </w:p>
    <w:p>
      <w:pPr>
        <w:ind w:left="1" w:right="340" w:firstLine="1253"/>
        <w:spacing w:after="0" w:line="276" w:lineRule="auto"/>
        <w:tabs>
          <w:tab w:leader="none" w:pos="1488"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6.1, to evidence the succession of another person to Gem and the assumption of any such successor of the covenants of Gem outlined herein in a transaction contemplated by Section 6.1;</w:t>
      </w:r>
    </w:p>
    <w:p>
      <w:pPr>
        <w:spacing w:after="0" w:line="144" w:lineRule="exact"/>
        <w:rPr>
          <w:rFonts w:ascii="Times New Roman" w:cs="Times New Roman" w:eastAsia="Times New Roman" w:hAnsi="Times New Roman"/>
          <w:sz w:val="16"/>
          <w:szCs w:val="16"/>
          <w:color w:val="auto"/>
        </w:rPr>
      </w:pPr>
    </w:p>
    <w:p>
      <w:pPr>
        <w:jc w:val="both"/>
        <w:ind w:left="1" w:right="100" w:firstLine="1253"/>
        <w:spacing w:after="0" w:line="261" w:lineRule="auto"/>
        <w:tabs>
          <w:tab w:leader="none" w:pos="1532"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CVRs are not subject to registration under the U.S. Securities Act of 1933, as amended, or the U.S. Securities Exchange Act of 1934, as amended, and the rules and regulations made thereunder, or any applicable state securities or “blue sky” laws;</w:t>
      </w:r>
    </w:p>
    <w:p>
      <w:pPr>
        <w:spacing w:after="0" w:line="156" w:lineRule="exact"/>
        <w:rPr>
          <w:rFonts w:ascii="Times New Roman" w:cs="Times New Roman" w:eastAsia="Times New Roman" w:hAnsi="Times New Roman"/>
          <w:sz w:val="16"/>
          <w:szCs w:val="16"/>
          <w:color w:val="auto"/>
        </w:rPr>
      </w:pPr>
    </w:p>
    <w:p>
      <w:pPr>
        <w:ind w:left="1" w:right="340" w:firstLine="1253"/>
        <w:spacing w:after="0" w:line="276" w:lineRule="auto"/>
        <w:tabs>
          <w:tab w:leader="none" w:pos="1523"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Gem is not required to produce a prospectus or an admission document in order to comply with applicable Law;</w:t>
      </w:r>
    </w:p>
    <w:p>
      <w:pPr>
        <w:spacing w:after="0" w:line="144" w:lineRule="exact"/>
        <w:rPr>
          <w:rFonts w:ascii="Times New Roman" w:cs="Times New Roman" w:eastAsia="Times New Roman" w:hAnsi="Times New Roman"/>
          <w:sz w:val="16"/>
          <w:szCs w:val="16"/>
          <w:color w:val="auto"/>
        </w:rPr>
      </w:pPr>
    </w:p>
    <w:p>
      <w:pPr>
        <w:ind w:left="1" w:right="460" w:firstLine="1253"/>
        <w:spacing w:after="0" w:line="276" w:lineRule="auto"/>
        <w:tabs>
          <w:tab w:leader="none" w:pos="1479"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cancel CVRs (i) in the event that any Holder has abandoned its rights in accordance with Section 2.6, or (ii) following a transfer of such CVRs to Gem or its Affiliates in accordance with Section 2.2 or Section 2.3; or</w:t>
      </w:r>
    </w:p>
    <w:p>
      <w:pPr>
        <w:spacing w:after="0" w:line="144" w:lineRule="exact"/>
        <w:rPr>
          <w:rFonts w:ascii="Times New Roman" w:cs="Times New Roman" w:eastAsia="Times New Roman" w:hAnsi="Times New Roman"/>
          <w:sz w:val="16"/>
          <w:szCs w:val="16"/>
          <w:color w:val="auto"/>
        </w:rPr>
      </w:pPr>
    </w:p>
    <w:p>
      <w:pPr>
        <w:ind w:left="1521" w:hanging="267"/>
        <w:spacing w:after="0"/>
        <w:tabs>
          <w:tab w:leader="none" w:pos="1521" w:val="left"/>
        </w:tabs>
        <w:numPr>
          <w:ilvl w:val="1"/>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may be necessary or appropriate to ensure that Gem complies with applicable Law.</w:t>
      </w:r>
    </w:p>
    <w:p>
      <w:pPr>
        <w:spacing w:after="0" w:line="194" w:lineRule="exact"/>
        <w:rPr>
          <w:rFonts w:ascii="Times New Roman" w:cs="Times New Roman" w:eastAsia="Times New Roman" w:hAnsi="Times New Roman"/>
          <w:sz w:val="16"/>
          <w:szCs w:val="16"/>
          <w:color w:val="auto"/>
        </w:rPr>
      </w:pPr>
    </w:p>
    <w:p>
      <w:pPr>
        <w:ind w:left="1" w:right="20" w:hanging="1"/>
        <w:spacing w:after="0" w:line="276" w:lineRule="auto"/>
        <w:tabs>
          <w:tab w:leader="none" w:pos="224"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the execution by Gem of any amendment pursuant to this Section 5.1, Gem will (or will cause the Rights Agent to) notify the Holders in general terms of the substance of such amendment in accordance with Section 7.2.</w:t>
      </w:r>
    </w:p>
    <w:p>
      <w:pPr>
        <w:spacing w:after="0" w:line="14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i w:val="1"/>
          <w:iCs w:val="1"/>
          <w:color w:val="auto"/>
        </w:rPr>
        <w:t>Effect of Amendments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firstLine="386"/>
        <w:spacing w:after="0" w:line="252" w:lineRule="auto"/>
        <w:rPr>
          <w:sz w:val="20"/>
          <w:szCs w:val="20"/>
          <w:color w:val="auto"/>
        </w:rPr>
      </w:pPr>
      <w:r>
        <w:rPr>
          <w:rFonts w:ascii="Times New Roman" w:cs="Times New Roman" w:eastAsia="Times New Roman" w:hAnsi="Times New Roman"/>
          <w:sz w:val="16"/>
          <w:szCs w:val="16"/>
          <w:color w:val="auto"/>
        </w:rPr>
        <w:t xml:space="preserve">Upon the execution of any amendment under this </w:t>
      </w:r>
      <w:r>
        <w:rPr>
          <w:rFonts w:ascii="Times New Roman" w:cs="Times New Roman" w:eastAsia="Times New Roman" w:hAnsi="Times New Roman"/>
          <w:sz w:val="16"/>
          <w:szCs w:val="16"/>
          <w:u w:val="single" w:color="auto"/>
          <w:color w:val="auto"/>
        </w:rPr>
        <w:t>Article 5</w:t>
      </w:r>
      <w:r>
        <w:rPr>
          <w:rFonts w:ascii="Times New Roman" w:cs="Times New Roman" w:eastAsia="Times New Roman" w:hAnsi="Times New Roman"/>
          <w:sz w:val="16"/>
          <w:szCs w:val="16"/>
          <w:color w:val="auto"/>
        </w:rPr>
        <w:t xml:space="preserve">, this Agreement will be modified in accordance therewith, such amendment will form a part of this Agreement for all purposes and every Holder will be bound thereby. Upon the delivery of a certificate from an appropriate officer of Gem which states that the proposed supplement or amendment is in compliance with the terms of this </w:t>
      </w: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ectPr>
          <w:pgSz w:w="11900" w:h="16838" w:orient="portrait"/>
          <w:cols w:equalWidth="0" w:num="1">
            <w:col w:w="9641"/>
          </w:cols>
          <w:pgMar w:left="1119" w:top="253" w:right="1139" w:bottom="1440" w:gutter="0" w:footer="0" w:header="0"/>
        </w:sectPr>
      </w:pPr>
    </w:p>
    <w:bookmarkStart w:id="242" w:name="page243"/>
    <w:bookmarkEnd w:id="242"/>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ARTICLE 6</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CONSOLIDATION, MERGER, SALE OR CONVEYANCE</w:t>
      </w:r>
    </w:p>
    <w:p>
      <w:pPr>
        <w:spacing w:after="0" w:line="175" w:lineRule="exact"/>
        <w:rPr>
          <w:sz w:val="20"/>
          <w:szCs w:val="20"/>
          <w:color w:val="auto"/>
        </w:rPr>
      </w:pPr>
    </w:p>
    <w:p>
      <w:pPr>
        <w:ind w:left="1" w:right="540" w:firstLine="386"/>
        <w:spacing w:after="0" w:line="278" w:lineRule="auto"/>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i w:val="1"/>
          <w:iCs w:val="1"/>
          <w:color w:val="auto"/>
        </w:rPr>
        <w:t>Gem May Not Consolidate, Etc</w:t>
      </w:r>
      <w:r>
        <w:rPr>
          <w:rFonts w:ascii="Times New Roman" w:cs="Times New Roman" w:eastAsia="Times New Roman" w:hAnsi="Times New Roman"/>
          <w:sz w:val="16"/>
          <w:szCs w:val="16"/>
          <w:color w:val="auto"/>
        </w:rPr>
        <w:t>. Gem shall not consolidate with or merge into any other Person or convey, transfer or lease its properties and assets substantially as an entirety to any Person or transfer all or substantially all of its business to any Person, unless:</w:t>
      </w:r>
    </w:p>
    <w:p>
      <w:pPr>
        <w:spacing w:after="0" w:line="143" w:lineRule="exact"/>
        <w:rPr>
          <w:sz w:val="20"/>
          <w:szCs w:val="20"/>
          <w:color w:val="auto"/>
        </w:rPr>
      </w:pPr>
    </w:p>
    <w:p>
      <w:pPr>
        <w:ind w:left="1" w:right="280" w:firstLine="867"/>
        <w:spacing w:after="0" w:line="256" w:lineRule="auto"/>
        <w:tabs>
          <w:tab w:leader="none" w:pos="1084"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Person formed by such consolidation or into which Gem is merged, the Person that acquires the properties and assets of Gem substantially as an entirety or the Person that acquires by conveyance or transfer, or that leases, the Gem substantially as an entirety (the “</w:t>
      </w:r>
      <w:r>
        <w:rPr>
          <w:rFonts w:ascii="Times New Roman" w:cs="Times New Roman" w:eastAsia="Times New Roman" w:hAnsi="Times New Roman"/>
          <w:sz w:val="16"/>
          <w:szCs w:val="16"/>
          <w:u w:val="single" w:color="auto"/>
          <w:color w:val="auto"/>
        </w:rPr>
        <w:t>Surviving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expressly assume payment of amounts on all CVRs and the performance of every duty and covenant of this Agreement on the part of Gem to be performed or observed; and</w:t>
      </w:r>
    </w:p>
    <w:p>
      <w:pPr>
        <w:spacing w:after="0" w:line="161" w:lineRule="exact"/>
        <w:rPr>
          <w:rFonts w:ascii="Times New Roman" w:cs="Times New Roman" w:eastAsia="Times New Roman" w:hAnsi="Times New Roman"/>
          <w:sz w:val="16"/>
          <w:szCs w:val="16"/>
          <w:color w:val="auto"/>
        </w:rPr>
      </w:pPr>
    </w:p>
    <w:p>
      <w:pPr>
        <w:ind w:left="1" w:right="140" w:firstLine="867"/>
        <w:spacing w:after="0" w:line="276" w:lineRule="auto"/>
        <w:tabs>
          <w:tab w:leader="none" w:pos="1093"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Gem has delivered to the Rights Agent an Officer’s Certificate, stating that such consolidation, merger, conveyance, transfer or lease complies with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and that all conditions precedent herein provided for relating to such transaction have been complied with.</w:t>
      </w:r>
    </w:p>
    <w:p>
      <w:pPr>
        <w:spacing w:after="0" w:line="143"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i w:val="1"/>
          <w:iCs w:val="1"/>
          <w:color w:val="auto"/>
        </w:rPr>
        <w:t>Successor Substituted</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 w:firstLine="386"/>
        <w:spacing w:after="0" w:line="256" w:lineRule="auto"/>
        <w:rPr>
          <w:sz w:val="20"/>
          <w:szCs w:val="20"/>
          <w:color w:val="auto"/>
        </w:rPr>
      </w:pPr>
      <w:r>
        <w:rPr>
          <w:rFonts w:ascii="Times New Roman" w:cs="Times New Roman" w:eastAsia="Times New Roman" w:hAnsi="Times New Roman"/>
          <w:sz w:val="16"/>
          <w:szCs w:val="16"/>
          <w:color w:val="auto"/>
        </w:rPr>
        <w:t xml:space="preserve">Upon any consolidation of or merger by Gem with or into any other Person, or any conveyance, transfer or lease of the properties and assets substantially as an entirety to any Person in accordance with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the Surviving Person shall succeed to, and be substituted for, and may exercise every right and power of, and shall assume all of the obligations of Gem under this Agreement with the same effect as if the Surviving Person had been named as Gem herein.</w:t>
      </w:r>
    </w:p>
    <w:p>
      <w:pPr>
        <w:spacing w:after="0" w:line="3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ARTICLE 7</w:t>
      </w:r>
    </w:p>
    <w:p>
      <w:pPr>
        <w:spacing w:after="0" w:line="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7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i w:val="1"/>
          <w:iCs w:val="1"/>
          <w:color w:val="auto"/>
        </w:rPr>
        <w:t>Notices to Rights Agent and to Gem</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5"/>
          <w:szCs w:val="15"/>
          <w:color w:val="auto"/>
        </w:rPr>
        <w:t>All notices, requests and other communications (each, a “</w:t>
      </w: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to any party hereunder shall be in writing. Such Notice shall be deemed given</w:t>
      </w:r>
    </w:p>
    <w:p>
      <w:pPr>
        <w:spacing w:after="0" w:line="34" w:lineRule="exact"/>
        <w:rPr>
          <w:sz w:val="20"/>
          <w:szCs w:val="20"/>
          <w:color w:val="auto"/>
        </w:rPr>
      </w:pPr>
    </w:p>
    <w:p>
      <w:pPr>
        <w:ind w:left="1" w:right="120" w:hanging="1"/>
        <w:spacing w:after="0" w:line="249" w:lineRule="auto"/>
        <w:tabs>
          <w:tab w:leader="none" w:pos="216"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of delivery, if delivered in person, by Fedex or other internationally recognized overnight courier service or, (except with respect to any Person other than the Rights Agent), by e-mail (upon confirmation of receipt) prior to 5:00 p.m. in the time zone of the receiving party or on the next Business Day, if delivered after 5:00 p.m. in the time zone of the receiving party or (b) on the first Business Day following the date of dispatch, if delivered by FedEx or by other internationally recognized overnight courier service (upon proof of delivery), addressed as follows:</w:t>
      </w:r>
    </w:p>
    <w:p>
      <w:pPr>
        <w:spacing w:after="0" w:line="165" w:lineRule="exact"/>
        <w:rPr>
          <w:sz w:val="20"/>
          <w:szCs w:val="20"/>
          <w:color w:val="auto"/>
        </w:rPr>
      </w:pPr>
    </w:p>
    <w:p>
      <w:pPr>
        <w:ind w:left="381"/>
        <w:spacing w:after="0"/>
        <w:rPr>
          <w:sz w:val="20"/>
          <w:szCs w:val="20"/>
          <w:color w:val="auto"/>
        </w:rPr>
      </w:pPr>
      <w:r>
        <w:rPr>
          <w:rFonts w:ascii="Times New Roman" w:cs="Times New Roman" w:eastAsia="Times New Roman" w:hAnsi="Times New Roman"/>
          <w:sz w:val="16"/>
          <w:szCs w:val="16"/>
          <w:color w:val="auto"/>
        </w:rPr>
        <w:t>if to the Rights Agent, to:</w:t>
      </w:r>
    </w:p>
    <w:p>
      <w:pPr>
        <w:spacing w:after="0" w:line="194"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1">
            <w:col w:w="9601"/>
          </w:cols>
          <w:pgMar w:left="1119" w:top="251" w:right="1179" w:bottom="1440" w:gutter="0" w:footer="0" w:header="0"/>
        </w:sectPr>
      </w:pPr>
    </w:p>
    <w:bookmarkStart w:id="243" w:name="page244"/>
    <w:bookmarkEnd w:id="24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to Gem, to:</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Attention: [•]</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to such other address or facsimile number as such party may hereafter specify for the purpose by notice to the other parties hereto.</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i w:val="1"/>
          <w:iCs w:val="1"/>
          <w:color w:val="auto"/>
        </w:rPr>
        <w:t>Notice to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right="60" w:firstLine="386"/>
        <w:spacing w:after="0" w:line="261" w:lineRule="auto"/>
        <w:rPr>
          <w:sz w:val="20"/>
          <w:szCs w:val="20"/>
          <w:color w:val="auto"/>
        </w:rPr>
      </w:pPr>
      <w:r>
        <w:rPr>
          <w:rFonts w:ascii="Times New Roman" w:cs="Times New Roman" w:eastAsia="Times New Roman" w:hAnsi="Times New Roman"/>
          <w:sz w:val="16"/>
          <w:szCs w:val="16"/>
          <w:color w:val="auto"/>
        </w:rPr>
        <w:t>As between Gem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7.4 </w:t>
      </w:r>
      <w:r>
        <w:rPr>
          <w:rFonts w:ascii="Times New Roman" w:cs="Times New Roman" w:eastAsia="Times New Roman" w:hAnsi="Times New Roman"/>
          <w:sz w:val="16"/>
          <w:szCs w:val="16"/>
          <w:i w:val="1"/>
          <w:iCs w:val="1"/>
          <w:color w:val="auto"/>
        </w:rPr>
        <w:t>Merger or Consolidation or Change of Name of Rights Agent</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40" w:firstLine="386"/>
        <w:spacing w:after="0" w:line="252" w:lineRule="auto"/>
        <w:rPr>
          <w:sz w:val="20"/>
          <w:szCs w:val="20"/>
          <w:color w:val="auto"/>
        </w:rPr>
      </w:pPr>
      <w:r>
        <w:rPr>
          <w:rFonts w:ascii="Times New Roman" w:cs="Times New Roman" w:eastAsia="Times New Roman" w:hAnsi="Times New Roman"/>
          <w:sz w:val="16"/>
          <w:szCs w:val="16"/>
          <w:color w:val="auto"/>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The purchase of the Rights Agent’s assets employed in the performance of transfer agent activities shall be deemed a merger or consolidation for purposes of this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7.5 </w:t>
      </w:r>
      <w:r>
        <w:rPr>
          <w:rFonts w:ascii="Times New Roman" w:cs="Times New Roman" w:eastAsia="Times New Roman" w:hAnsi="Times New Roman"/>
          <w:sz w:val="16"/>
          <w:szCs w:val="16"/>
          <w:i w:val="1"/>
          <w:iCs w:val="1"/>
          <w:color w:val="auto"/>
        </w:rPr>
        <w:t>Successors and Assigns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6" w:lineRule="auto"/>
        <w:rPr>
          <w:sz w:val="20"/>
          <w:szCs w:val="20"/>
          <w:color w:val="auto"/>
        </w:rPr>
      </w:pPr>
      <w:r>
        <w:rPr>
          <w:rFonts w:ascii="Times New Roman" w:cs="Times New Roman" w:eastAsia="Times New Roman" w:hAnsi="Times New Roman"/>
          <w:sz w:val="16"/>
          <w:szCs w:val="16"/>
          <w:color w:val="auto"/>
        </w:rPr>
        <w:t xml:space="preserve">This Agreement will be binding upon, and will be enforceable by and inure solely to the benefit of, the Holders, Gem and the Rights Agent and their respective successors and assigns. Except for assignments pursuant to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xml:space="preserve">, the Rights Agent may not assign this Agreement without Gem’s prior written consent. Gem or an Assignee may not otherwise assign this Agreement without the prior consent of the Majority of Holders. Any attempted assignment of this Agreement in violation of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will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of no effect.</w:t>
      </w:r>
    </w:p>
    <w:p>
      <w:pPr>
        <w:sectPr>
          <w:pgSz w:w="11900" w:h="16838" w:orient="portrait"/>
          <w:cols w:equalWidth="0" w:num="1">
            <w:col w:w="9600"/>
          </w:cols>
          <w:pgMar w:left="1120" w:top="253" w:right="1179" w:bottom="1440" w:gutter="0" w:footer="0" w:header="0"/>
        </w:sectPr>
      </w:pPr>
    </w:p>
    <w:bookmarkStart w:id="244" w:name="page245"/>
    <w:bookmarkEnd w:id="24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7.6 </w:t>
      </w:r>
      <w:r>
        <w:rPr>
          <w:rFonts w:ascii="Times New Roman" w:cs="Times New Roman" w:eastAsia="Times New Roman" w:hAnsi="Times New Roman"/>
          <w:sz w:val="16"/>
          <w:szCs w:val="16"/>
          <w:i w:val="1"/>
          <w:iCs w:val="1"/>
          <w:color w:val="auto"/>
        </w:rPr>
        <w:t>Benefits of Agreement; Action by Acting Holders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0" w:firstLine="386"/>
        <w:spacing w:after="0" w:line="251" w:lineRule="auto"/>
        <w:rPr>
          <w:sz w:val="20"/>
          <w:szCs w:val="20"/>
          <w:color w:val="auto"/>
        </w:rPr>
      </w:pPr>
      <w:r>
        <w:rPr>
          <w:rFonts w:ascii="Times New Roman" w:cs="Times New Roman" w:eastAsia="Times New Roman" w:hAnsi="Times New Roman"/>
          <w:sz w:val="16"/>
          <w:szCs w:val="16"/>
          <w:color w:val="auto"/>
        </w:rPr>
        <w:t>Nothing in this Agreement, express or implied, will give to any Person (other than Gem,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Gem, the Rights Agent, the Holders and their permitted successors and assigns. The Holders will have no rights hereunder except as are expressly set forth herein. Except for the rights of the Rights Agent set forth herein, the Acting Holders and/or Acting Holders, in accordance with this agreement and as the case may be,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7.7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60" w:firstLine="386"/>
        <w:spacing w:after="0" w:line="276" w:lineRule="auto"/>
        <w:rPr>
          <w:sz w:val="20"/>
          <w:szCs w:val="20"/>
          <w:color w:val="auto"/>
        </w:rPr>
      </w:pPr>
      <w:r>
        <w:rPr>
          <w:rFonts w:ascii="Times New Roman" w:cs="Times New Roman" w:eastAsia="Times New Roman" w:hAnsi="Times New Roman"/>
          <w:sz w:val="16"/>
          <w:szCs w:val="16"/>
          <w:color w:val="auto"/>
        </w:rPr>
        <w:t>This Agreement and the CVRs will be governed by, and construed in accordance with, the laws of the State of Delaware without regard to the conflicts of law rules of such state.</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7.8 </w:t>
      </w:r>
      <w:r>
        <w:rPr>
          <w:rFonts w:ascii="Times New Roman" w:cs="Times New Roman" w:eastAsia="Times New Roman" w:hAnsi="Times New Roman"/>
          <w:sz w:val="16"/>
          <w:szCs w:val="16"/>
          <w:i w:val="1"/>
          <w:iCs w:val="1"/>
          <w:color w:val="auto"/>
        </w:rPr>
        <w:t>Jurisdiction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0" w:lineRule="auto"/>
        <w:rPr>
          <w:sz w:val="20"/>
          <w:szCs w:val="20"/>
          <w:color w:val="auto"/>
        </w:rPr>
      </w:pPr>
      <w:r>
        <w:rPr>
          <w:rFonts w:ascii="Times New Roman" w:cs="Times New Roman" w:eastAsia="Times New Roman" w:hAnsi="Times New Roman"/>
          <w:sz w:val="16"/>
          <w:szCs w:val="16"/>
          <w:color w:val="auto"/>
        </w:rPr>
        <w:t xml:space="preserve">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Chancery Court of the State of Delaware, County of New Castle,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w:t>
      </w:r>
    </w:p>
    <w:p>
      <w:pPr>
        <w:spacing w:after="0"/>
        <w:rPr>
          <w:sz w:val="20"/>
          <w:szCs w:val="20"/>
          <w:color w:val="auto"/>
        </w:rPr>
      </w:pPr>
      <w:r>
        <w:rPr>
          <w:rFonts w:ascii="Times New Roman" w:cs="Times New Roman" w:eastAsia="Times New Roman" w:hAnsi="Times New Roman"/>
          <w:sz w:val="16"/>
          <w:szCs w:val="16"/>
          <w:color w:val="auto"/>
        </w:rPr>
        <w:t xml:space="preserve">with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of this Agreement.</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7.9 </w:t>
      </w:r>
      <w:r>
        <w:rPr>
          <w:rFonts w:ascii="Times New Roman" w:cs="Times New Roman" w:eastAsia="Times New Roman" w:hAnsi="Times New Roman"/>
          <w:sz w:val="16"/>
          <w:szCs w:val="16"/>
          <w:i w:val="1"/>
          <w:iCs w:val="1"/>
          <w:color w:val="auto"/>
        </w:rPr>
        <w:t>WAIVER OF JURY TRIAL</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80" w:firstLine="386"/>
        <w:spacing w:after="0" w:line="257" w:lineRule="auto"/>
        <w:rPr>
          <w:sz w:val="20"/>
          <w:szCs w:val="20"/>
          <w:color w:val="auto"/>
        </w:rPr>
      </w:pPr>
      <w:r>
        <w:rPr>
          <w:rFonts w:ascii="Times New Roman" w:cs="Times New Roman" w:eastAsia="Times New Roman" w:hAnsi="Times New Roman"/>
          <w:sz w:val="16"/>
          <w:szCs w:val="16"/>
          <w:b w:val="1"/>
          <w:bCs w:val="1"/>
          <w:color w:val="auto"/>
        </w:rPr>
        <w:t>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w:t>
      </w:r>
    </w:p>
    <w:p>
      <w:pPr>
        <w:sectPr>
          <w:pgSz w:w="11900" w:h="16838" w:orient="portrait"/>
          <w:cols w:equalWidth="0" w:num="1">
            <w:col w:w="9600"/>
          </w:cols>
          <w:pgMar w:left="1120" w:top="251" w:right="1179" w:bottom="1440" w:gutter="0" w:footer="0" w:header="0"/>
        </w:sectPr>
      </w:pPr>
    </w:p>
    <w:bookmarkStart w:id="245" w:name="page246"/>
    <w:bookmarkEnd w:id="245"/>
    <w:p>
      <w:pPr>
        <w:ind w:right="80"/>
        <w:spacing w:after="0" w:line="257"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7.9</w:t>
      </w:r>
      <w:r>
        <w:rPr>
          <w:rFonts w:ascii="Times New Roman" w:cs="Times New Roman" w:eastAsia="Times New Roman" w:hAnsi="Times New Roman"/>
          <w:sz w:val="16"/>
          <w:szCs w:val="16"/>
          <w:b w:val="1"/>
          <w:bCs w:val="1"/>
          <w:color w:val="auto"/>
        </w:rPr>
        <w: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7.10 </w:t>
      </w:r>
      <w:r>
        <w:rPr>
          <w:rFonts w:ascii="Times New Roman" w:cs="Times New Roman" w:eastAsia="Times New Roman" w:hAnsi="Times New Roman"/>
          <w:sz w:val="16"/>
          <w:szCs w:val="16"/>
          <w:i w:val="1"/>
          <w:iCs w:val="1"/>
          <w:color w:val="auto"/>
        </w:rPr>
        <w:t>Severability Clause</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40" w:firstLine="386"/>
        <w:spacing w:after="0" w:line="251" w:lineRule="auto"/>
        <w:rPr>
          <w:sz w:val="20"/>
          <w:szCs w:val="20"/>
          <w:color w:val="auto"/>
        </w:rPr>
      </w:pPr>
      <w:r>
        <w:rPr>
          <w:rFonts w:ascii="Times New Roman" w:cs="Times New Roman" w:eastAsia="Times New Roman" w:hAnsi="Times New Roman"/>
          <w:sz w:val="16"/>
          <w:szCs w:val="16"/>
          <w:color w:val="auto"/>
        </w:rPr>
        <w:t>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provided, however, that if an excluded provision shall affect the rights, immunities, liabilities, duties or obligations of the Rights Agent, the Rights Agent shall be entitled to resign immediately upon written notice to Gem.</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i w:val="1"/>
          <w:iCs w:val="1"/>
          <w:color w:val="auto"/>
        </w:rPr>
        <w:t>Counterparts; Effectiveness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2" w:lineRule="auto"/>
        <w:rPr>
          <w:sz w:val="20"/>
          <w:szCs w:val="20"/>
          <w:color w:val="auto"/>
        </w:rPr>
      </w:pPr>
      <w:r>
        <w:rPr>
          <w:rFonts w:ascii="Times New Roman" w:cs="Times New Roman" w:eastAsia="Times New Roman" w:hAnsi="Times New Roman"/>
          <w:sz w:val="16"/>
          <w:szCs w:val="16"/>
          <w:color w:val="auto"/>
        </w:rPr>
        <w:t>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7.12 </w:t>
      </w:r>
      <w:r>
        <w:rPr>
          <w:rFonts w:ascii="Times New Roman" w:cs="Times New Roman" w:eastAsia="Times New Roman" w:hAnsi="Times New Roman"/>
          <w:sz w:val="16"/>
          <w:szCs w:val="16"/>
          <w:i w:val="1"/>
          <w:iCs w:val="1"/>
          <w:color w:val="auto"/>
        </w:rPr>
        <w:t>Termination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80" w:firstLine="386"/>
        <w:spacing w:after="0" w:line="279" w:lineRule="auto"/>
        <w:rPr>
          <w:sz w:val="20"/>
          <w:szCs w:val="20"/>
          <w:color w:val="auto"/>
        </w:rPr>
      </w:pPr>
      <w:r>
        <w:rPr>
          <w:rFonts w:ascii="Times New Roman" w:cs="Times New Roman" w:eastAsia="Times New Roman" w:hAnsi="Times New Roman"/>
          <w:sz w:val="15"/>
          <w:szCs w:val="15"/>
          <w:color w:val="auto"/>
        </w:rPr>
        <w:t xml:space="preserve">This Agreement will automatically terminate and be of no further force or effect and, except as provided in </w:t>
      </w:r>
      <w:r>
        <w:rPr>
          <w:rFonts w:ascii="Times New Roman" w:cs="Times New Roman" w:eastAsia="Times New Roman" w:hAnsi="Times New Roman"/>
          <w:sz w:val="15"/>
          <w:szCs w:val="15"/>
          <w:u w:val="single" w:color="auto"/>
          <w:color w:val="auto"/>
        </w:rPr>
        <w:t>Section 3.2</w:t>
      </w:r>
      <w:r>
        <w:rPr>
          <w:rFonts w:ascii="Times New Roman" w:cs="Times New Roman" w:eastAsia="Times New Roman" w:hAnsi="Times New Roman"/>
          <w:sz w:val="15"/>
          <w:szCs w:val="15"/>
          <w:color w:val="auto"/>
        </w:rPr>
        <w:t xml:space="preserve">, the parties hereto will have no further liability hereunder, and the CVRs will expire without any consideration or compensation therefor, upon the expiration of the CVR Period. The termination of this Agreement will not affect or limit the right of Holders to receive the CVR Payments under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to the extent earned prior to the termination of this Agreement, and the provisions applicable thereto will survive the expiration or termination of this Agreement.</w:t>
      </w:r>
    </w:p>
    <w:p>
      <w:pPr>
        <w:sectPr>
          <w:pgSz w:w="11900" w:h="16838" w:orient="portrait"/>
          <w:cols w:equalWidth="0" w:num="1">
            <w:col w:w="9640"/>
          </w:cols>
          <w:pgMar w:left="1120" w:top="251" w:right="1139" w:bottom="1440" w:gutter="0" w:footer="0" w:header="0"/>
        </w:sectPr>
      </w:pPr>
    </w:p>
    <w:bookmarkStart w:id="246" w:name="page247"/>
    <w:bookmarkEnd w:id="246"/>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Section 7.13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firstLine="386"/>
        <w:spacing w:after="0" w:line="254" w:lineRule="auto"/>
        <w:rPr>
          <w:sz w:val="20"/>
          <w:szCs w:val="20"/>
          <w:color w:val="auto"/>
        </w:rPr>
      </w:pPr>
      <w:r>
        <w:rPr>
          <w:rFonts w:ascii="Times New Roman" w:cs="Times New Roman" w:eastAsia="Times New Roman" w:hAnsi="Times New Roman"/>
          <w:sz w:val="16"/>
          <w:szCs w:val="16"/>
          <w:color w:val="auto"/>
        </w:rPr>
        <w:t>Notwithstanding anything to the contrary contained herein, none of the Rights Agent, Gem or any of its Subsidiaries (except as it relates to the obligations of the Company under Article 3) will be liable for any delays or failures in performance resulting from acts beyond its reasonable control including acts of God, pandemics (including COVID-19),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7.14 </w:t>
      </w:r>
      <w:r>
        <w:rPr>
          <w:rFonts w:ascii="Times New Roman" w:cs="Times New Roman" w:eastAsia="Times New Roman" w:hAnsi="Times New Roman"/>
          <w:sz w:val="16"/>
          <w:szCs w:val="16"/>
          <w:i w:val="1"/>
          <w:iCs w:val="1"/>
          <w:color w:val="auto"/>
        </w:rPr>
        <w:t>Construction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right="240" w:firstLine="867"/>
        <w:spacing w:after="0" w:line="261" w:lineRule="auto"/>
        <w:tabs>
          <w:tab w:leader="none" w:pos="1083"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56" w:lineRule="exact"/>
        <w:rPr>
          <w:rFonts w:ascii="Times New Roman" w:cs="Times New Roman" w:eastAsia="Times New Roman" w:hAnsi="Times New Roman"/>
          <w:sz w:val="16"/>
          <w:szCs w:val="16"/>
          <w:color w:val="auto"/>
        </w:rPr>
      </w:pPr>
    </w:p>
    <w:p>
      <w:pPr>
        <w:ind w:right="160" w:firstLine="867"/>
        <w:spacing w:after="0" w:line="276" w:lineRule="auto"/>
        <w:tabs>
          <w:tab w:leader="none" w:pos="1092"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 the words “include” and “including,” and variations thereof, will not be deemed to be terms of limitation, but rather will be deemed to be followed by the words “without limitation.”</w:t>
      </w:r>
    </w:p>
    <w:p>
      <w:pPr>
        <w:spacing w:after="0" w:line="144" w:lineRule="exact"/>
        <w:rPr>
          <w:rFonts w:ascii="Times New Roman" w:cs="Times New Roman" w:eastAsia="Times New Roman" w:hAnsi="Times New Roman"/>
          <w:sz w:val="16"/>
          <w:szCs w:val="16"/>
          <w:color w:val="auto"/>
        </w:rPr>
      </w:pPr>
    </w:p>
    <w:p>
      <w:pPr>
        <w:ind w:right="40" w:firstLine="867"/>
        <w:spacing w:after="0" w:line="276" w:lineRule="auto"/>
        <w:tabs>
          <w:tab w:leader="none" w:pos="1083"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144" w:lineRule="exact"/>
        <w:rPr>
          <w:rFonts w:ascii="Times New Roman" w:cs="Times New Roman" w:eastAsia="Times New Roman" w:hAnsi="Times New Roman"/>
          <w:sz w:val="16"/>
          <w:szCs w:val="16"/>
          <w:color w:val="auto"/>
        </w:rPr>
      </w:pPr>
    </w:p>
    <w:p>
      <w:pPr>
        <w:ind w:firstLine="867"/>
        <w:spacing w:after="0" w:line="256" w:lineRule="auto"/>
        <w:tabs>
          <w:tab w:leader="none" w:pos="1092"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in this Agreement to a date or time shall be deemed to be such date or time in New York City, United States, unless otherwise specified. The parties hereto and Gem have participated jointly in the negotiation and drafting of this Agreement. In the event an ambiguity or question of intent or interpretation arises, this Agreement shall be construed as if drafted jointly by the parties and Gem and no presumption or burden of proof shall arise favoring or disfavoring any Person by virtue of the authorship of any provision of this Agreement.</w:t>
      </w:r>
    </w:p>
    <w:p>
      <w:pPr>
        <w:spacing w:after="0" w:line="161" w:lineRule="exact"/>
        <w:rPr>
          <w:rFonts w:ascii="Times New Roman" w:cs="Times New Roman" w:eastAsia="Times New Roman" w:hAnsi="Times New Roman"/>
          <w:sz w:val="16"/>
          <w:szCs w:val="16"/>
          <w:color w:val="auto"/>
        </w:rPr>
      </w:pPr>
    </w:p>
    <w:p>
      <w:pPr>
        <w:ind w:left="1080" w:hanging="213"/>
        <w:spacing w:after="0"/>
        <w:tabs>
          <w:tab w:leader="none" w:pos="1080"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references herein to “$” are to United States Dollars.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ectPr>
          <w:pgSz w:w="11900" w:h="16838" w:orient="portrait"/>
          <w:cols w:equalWidth="0" w:num="1">
            <w:col w:w="9640"/>
          </w:cols>
          <w:pgMar w:left="1120" w:top="251" w:right="1139" w:bottom="1440" w:gutter="0" w:footer="0" w:header="0"/>
        </w:sectPr>
      </w:pPr>
    </w:p>
    <w:bookmarkStart w:id="247" w:name="page248"/>
    <w:bookmarkEnd w:id="247"/>
    <w:p>
      <w:pPr>
        <w:ind w:left="6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 WITNESS WHEREOF, each of the parties has caused this Agreement to be executed as of the day and year first above written.</w:t>
      </w:r>
    </w:p>
    <w:p>
      <w:pPr>
        <w:sectPr>
          <w:pgSz w:w="11900" w:h="16838" w:orient="portrait"/>
          <w:cols w:equalWidth="0" w:num="1">
            <w:col w:w="9019"/>
          </w:cols>
          <w:pgMar w:left="1440" w:top="253" w:right="1440" w:bottom="1440" w:gutter="0" w:footer="0" w:header="0"/>
        </w:sectPr>
      </w:pPr>
    </w:p>
    <w:p>
      <w:pPr>
        <w:spacing w:after="0" w:line="23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5"/>
          <w:szCs w:val="15"/>
          <w:color w:val="auto"/>
        </w:rPr>
        <w:t>Gemini Therapeutics, Inc.</w:t>
      </w:r>
    </w:p>
    <w:p>
      <w:pPr>
        <w:spacing w:after="0" w:line="20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Title:</w:t>
      </w:r>
    </w:p>
    <w:p>
      <w:pPr>
        <w:spacing w:after="0" w:line="1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[AGENT]</w:t>
      </w:r>
    </w:p>
    <w:p>
      <w:pPr>
        <w:spacing w:after="0" w:line="19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By:</w:t>
      </w:r>
    </w:p>
    <w:p>
      <w:pPr>
        <w:spacing w:after="0" w:line="2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019"/>
          </w:cols>
          <w:pgMar w:left="1440" w:top="253" w:right="1440" w:bottom="1440" w:gutter="0" w:footer="0" w:header="0"/>
          <w:type w:val="continuous"/>
        </w:sectPr>
      </w:pPr>
    </w:p>
    <w:bookmarkStart w:id="248" w:name="page249"/>
    <w:bookmarkEnd w:id="248"/>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Gemini Therapeutics and Disc Medicine Announce Merger Agreement</w:t>
      </w:r>
    </w:p>
    <w:p>
      <w:pPr>
        <w:spacing w:after="0" w:line="216" w:lineRule="exact"/>
        <w:rPr>
          <w:sz w:val="20"/>
          <w:szCs w:val="20"/>
          <w:color w:val="auto"/>
        </w:rPr>
      </w:pPr>
    </w:p>
    <w:p>
      <w:pPr>
        <w:ind w:left="380" w:right="400" w:hanging="287"/>
        <w:spacing w:after="0" w:line="278" w:lineRule="auto"/>
        <w:tabs>
          <w:tab w:leader="none" w:pos="38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Merger to create NASDAQ-listed, clinical-stage biopharmaceutical company focused on advancing Disc Medicine’s portfolio of hematology programs</w:t>
      </w:r>
    </w:p>
    <w:p>
      <w:pPr>
        <w:spacing w:after="0" w:line="58" w:lineRule="exact"/>
        <w:rPr>
          <w:rFonts w:ascii="Times New Roman" w:cs="Times New Roman" w:eastAsia="Times New Roman" w:hAnsi="Times New Roman"/>
          <w:sz w:val="16"/>
          <w:szCs w:val="16"/>
          <w:color w:val="auto"/>
        </w:rPr>
      </w:pPr>
    </w:p>
    <w:p>
      <w:pPr>
        <w:ind w:left="380" w:right="200" w:hanging="287"/>
        <w:spacing w:after="0" w:line="278" w:lineRule="auto"/>
        <w:tabs>
          <w:tab w:leader="none" w:pos="38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Combined company is expected to have approximately $175 million of cash or cash equivalents at close, including approximately $53.5 million from a concurrent financing restricted to Disc’s existing investors, and which is expected to provide funding into 2025</w:t>
      </w:r>
    </w:p>
    <w:p>
      <w:pPr>
        <w:spacing w:after="0" w:line="58" w:lineRule="exact"/>
        <w:rPr>
          <w:rFonts w:ascii="Times New Roman" w:cs="Times New Roman" w:eastAsia="Times New Roman" w:hAnsi="Times New Roman"/>
          <w:sz w:val="16"/>
          <w:szCs w:val="16"/>
          <w:color w:val="auto"/>
        </w:rPr>
      </w:pPr>
    </w:p>
    <w:p>
      <w:pPr>
        <w:ind w:left="380" w:right="420" w:hanging="287"/>
        <w:spacing w:after="0" w:line="278" w:lineRule="auto"/>
        <w:tabs>
          <w:tab w:leader="none" w:pos="38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Transaction will fund multiple clinical studies, including clinical trials of bitopertin for erythropoietic porphyrias, DISC-0974 for anemia of myelofibrosis, and DISC-0974 for anemia of chronic kidney disease</w:t>
      </w:r>
    </w:p>
    <w:p>
      <w:pPr>
        <w:spacing w:after="0" w:line="58" w:lineRule="exact"/>
        <w:rPr>
          <w:rFonts w:ascii="Times New Roman" w:cs="Times New Roman" w:eastAsia="Times New Roman" w:hAnsi="Times New Roman"/>
          <w:sz w:val="16"/>
          <w:szCs w:val="16"/>
          <w:color w:val="auto"/>
        </w:rPr>
      </w:pPr>
    </w:p>
    <w:p>
      <w:pPr>
        <w:ind w:left="380" w:hanging="287"/>
        <w:spacing w:after="0"/>
        <w:tabs>
          <w:tab w:leader="none" w:pos="38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Companies will host a joint webcast today, August 10, 2022 at 8:00 a.m. Eastern Time</w:t>
      </w:r>
    </w:p>
    <w:p>
      <w:pPr>
        <w:spacing w:after="0" w:line="19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WAYLAND, Mass. and WATERTOWN, Mass. (August 10, 2022) – Gemini Therapeutics, Inc. (Nasdaq: GMTX) (“Gemini”) and Disc Medicine, Inc. (“Disc”), a privately-held, clinical-stage biopharmaceutical company focused on the discovery and development of novel treatments for patients suffering from serious hematologic diseases, announced today that they have entered into a definitive merger agreement to combine the companies in an all-stock transaction. The combined company will focus on advancing Disc’s pipeline of hematology programs, including multiple patient studies for its clinical-stage programs bitopertin and DISC-0974. Upon shareholder approval, the combined company is expected to operate under the name Disc Medicine, Inc. and trade on the Nasdaq Global Market under the ticker symbol IRON.</w:t>
      </w:r>
    </w:p>
    <w:p>
      <w:pPr>
        <w:spacing w:after="0" w:line="1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In support of the merger, Disc has secured commitments from a syndicate of healthcare investors led by Access Biotechnology and including OrbiMed, Atlas Venture, 5AM Ventures, Novo Holdings A/S, Arix Bioscience, Rock Springs Capital, and Janus Henderson Investors, for a $53.5 million financing that is expected to close concurrent with the completion of the merger. With the cash expected from both companies at closing and the proceeds of the concurrent financing, the combined company is currently expected to have approximately $175 million of cash or cash equivalents. The cash resources will be used to advance Disc’s pipeline through multiple clinical studies and provide runway into 2025. The merger and related financing are expected to close in the fourth quarter of 2022.</w:t>
      </w:r>
    </w:p>
    <w:p>
      <w:pPr>
        <w:spacing w:after="0" w:line="1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“I’m delighted to announce this merger with Gemini, which comes at a pivotal moment for our company. In the last few months, we have initiated clinical studies in patients for both bitopertin and DISC-0974 and presented first-in-human data from DISC-0974, our hepcidin suppression program, establishing clinical proof-of-mechanism,” said John Quisel, J.D., Ph.D., Chief Executive Officer and President of Disc Medicine. “This transaction will provide us with tremendous financial strength, propel several programs through a series of data catalysts and enable us to explore the full potential of our pipeline.”</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“Gemini’s strategic review was a thorough and thoughtful process,” said Georges Gemayel, Ph.D., Executive Chair and interim President and Chief Executive Officer of Gemini. “We believe that this transaction presents an exciting opportunity for our shareholders, as Disc has built a diversified, clinical-stage pipeline of product candidates, and we believe in the ability of Disc’s experienced management team to lead the combined company. We look forward to its continued success.”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About Disc Medicine’s Hematology Portfolio</w:t>
      </w:r>
    </w:p>
    <w:p>
      <w:pPr>
        <w:spacing w:after="0" w:line="1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Disc has a clinical-stage development pipeline composed of investigational product candidates that affect heme biosynthesis and iron metabolism. Disc’s programs are designed to target pathways with established, clinically-validated biology and have the potential to address multiple indications. This includes:</w:t>
      </w:r>
    </w:p>
    <w:p>
      <w:pPr>
        <w:sectPr>
          <w:pgSz w:w="11900" w:h="16838" w:orient="portrait"/>
          <w:cols w:equalWidth="0" w:num="1">
            <w:col w:w="9640"/>
          </w:cols>
          <w:pgMar w:left="1120" w:top="121" w:right="1139" w:bottom="1440" w:gutter="0" w:footer="0" w:header="0"/>
        </w:sectPr>
      </w:pPr>
    </w:p>
    <w:bookmarkStart w:id="249" w:name="page250"/>
    <w:bookmarkEnd w:id="249"/>
    <w:p>
      <w:pPr>
        <w:ind w:right="160"/>
        <w:spacing w:after="0" w:line="253"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Bitopertin (Heme Synthesis Modulator): </w:t>
      </w:r>
      <w:r>
        <w:rPr>
          <w:rFonts w:ascii="Times New Roman" w:cs="Times New Roman" w:eastAsia="Times New Roman" w:hAnsi="Times New Roman"/>
          <w:sz w:val="16"/>
          <w:szCs w:val="16"/>
          <w:color w:val="auto"/>
        </w:rPr>
        <w:t>Bitopertin is an inhibitor of glycine transporter, GlyT1, and has demonstrated effects on heme biosynthesis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clinical studies. Bitopertin was in-licensed by Disc from Roche in 2021 and has been extensively studied, including a safety data package reflecting clinical experience in over 4,000 individuals. Inhibition of heme biosynthesis has the potential to address a wide range of hematologic disorders. Disc has initiated BEACON, an open-label, phase 2 trial of bitopertin in patients with erythropoietic porphyria, a rare, debilitating and potentially fatal genetic disorder that results in dysregulated heme biosynthesis and where bitopertin has the potential to become the first disease-modifying treatment. Additional clinical studies in Diamond-Blackfan Anemia (DBA) and other indications are being planned.</w:t>
      </w:r>
    </w:p>
    <w:p>
      <w:pPr>
        <w:spacing w:after="0" w:line="16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DISC-0974 (Hepcidin Suppression): </w:t>
      </w:r>
      <w:r>
        <w:rPr>
          <w:rFonts w:ascii="Times New Roman" w:cs="Times New Roman" w:eastAsia="Times New Roman" w:hAnsi="Times New Roman"/>
          <w:sz w:val="16"/>
          <w:szCs w:val="16"/>
          <w:color w:val="auto"/>
        </w:rPr>
        <w:t>DISC-0974 is a monoclonal antibody targeting a co-receptor called hemojuvelin (HJV) and is designed to suppress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hepcidin production and increase serum iron levels in patients suffering from the anemia of inflammation. DISC-0974 was in-licensed by Disc from AbbVie in 2019. Anemia of inflammation arises from abnormally elevated hepcidin and is the most common form of anemia, affecting millions of patients across numerous diseases such as chronic kidney disease, myelofibrosis, cancer, autoimmune diseases, and other conditions with an inflammatory component. Disc has established clinical proof-of-mechanism of DISC-0974 in a phase 1 study of healthy volunteers and initiated a phase 1b/2 clinical study of DISC-0974 in patients with anemia of myelofibrosis. Disc plans to initiate a phase 1b/2 clinical study of DISC-0974 in patients with anemia of chronic kidney disease (non-dialysis) in late 2022.</w:t>
      </w:r>
    </w:p>
    <w:p>
      <w:pPr>
        <w:spacing w:after="0" w:line="16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i w:val="1"/>
          <w:iCs w:val="1"/>
          <w:color w:val="auto"/>
        </w:rPr>
        <w:t>Matriptase-2 Inhibitor (Hepcidin Induction)</w:t>
      </w:r>
      <w:r>
        <w:rPr>
          <w:rFonts w:ascii="Times New Roman" w:cs="Times New Roman" w:eastAsia="Times New Roman" w:hAnsi="Times New Roman"/>
          <w:sz w:val="16"/>
          <w:szCs w:val="16"/>
          <w:color w:val="auto"/>
        </w:rPr>
        <w:t>: Disc has a research program designed to identify orally-available, small molecules to inhibit Matriptase-2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(referred to as Mat-2 or TMPRSS6) and increase the production of hepcidin and restrict iron availability. The therapeutic role of hepcidin has been established in patients with polycythemia vera and hereditary hemochromatosis, and is being studied for the treatment of diseases associated with iron overload, including beta-thalassemia, myelodysplastic syndromes, and sickle cell disease.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About the Proposed Transaction, Management and Organization</w:t>
      </w:r>
    </w:p>
    <w:p>
      <w:pPr>
        <w:spacing w:after="0" w:line="10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Pre-merger Gemini shareholders are expected to own approximately 28% of the combined company and pre-merger Disc shareholders are expected to own approximately 72% of the combined company, in each case before giving effect to the concurrent financing. The percentage of the combined company that Gemini’s shareholders will own as of the close of the transaction is subject to adjustment based on the amount of Gemini’s net cash at the closing date. Immediately prior to the closing of the proposed merger, Gemini stockholders will be issued contingent value rights representing the right to receive certain payments from proceeds received by the combined company, if any, related to pre-transaction legacy assets during the period ending one year following the closing of the merger.</w:t>
      </w:r>
    </w:p>
    <w:p>
      <w:pPr>
        <w:spacing w:after="0" w:line="1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Following the merger, the combined company will be led by John Quisel, J.D., Ph.D., the current CEO and President of Disc Medicine, and other members of the Disc management team. Gemini Therapeutics, Inc. will be renamed “Disc Medicine, Inc.” and the corporate headquarters will be located in Watertown, MA. The merger agreement provides that the Board of Directors of the combined company will be composed of nine members, including eight Disc board members and one from Gemini. The transaction has been unanimously approved by the Board of Directors of both companies and is expected to close in the fourth quarter of 2022, subject to customary closing conditions, including, the approvals by the stockholders of each company and other customary closing conditions.</w:t>
      </w:r>
    </w:p>
    <w:p>
      <w:pPr>
        <w:spacing w:after="0" w:line="16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6"/>
          <w:szCs w:val="16"/>
          <w:color w:val="auto"/>
        </w:rPr>
        <w:t>SVB Securities is serving as the exclusive financial advisor and Wilmer Cutler Pickering Hale and Dorr LLP is serving as legal counsel to Gemini. Morgan Stanley is serving as the lead financial advisor to Disc Medicine along with Wedbush PacGrow, and Goodwin Procter LLP is serving as legal counsel to Disc Medicine.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Webcast Presentation</w:t>
      </w:r>
    </w:p>
    <w:p>
      <w:pPr>
        <w:spacing w:after="0" w:line="10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5"/>
          <w:szCs w:val="15"/>
          <w:color w:val="auto"/>
        </w:rPr>
        <w:t>The companies will host a webcast presentation to discuss the proposed transaction as well as Disc’s platform and pipeline assets today, August 10, 2022, at 8:00 a.m. ET. The live webcast can be accessed on the Events &amp; Presentations page of Gemini’s website or by dialing 1-(888) 660-6186 or</w:t>
      </w:r>
    </w:p>
    <w:p>
      <w:pPr>
        <w:jc w:val="both"/>
        <w:ind w:right="60"/>
        <w:spacing w:after="0" w:line="250" w:lineRule="auto"/>
        <w:rPr>
          <w:sz w:val="20"/>
          <w:szCs w:val="20"/>
          <w:color w:val="auto"/>
        </w:rPr>
      </w:pPr>
      <w:r>
        <w:rPr>
          <w:rFonts w:ascii="Times New Roman" w:cs="Times New Roman" w:eastAsia="Times New Roman" w:hAnsi="Times New Roman"/>
          <w:sz w:val="16"/>
          <w:szCs w:val="16"/>
          <w:color w:val="auto"/>
        </w:rPr>
        <w:t>1-(929) 203-0798 internationally and referencing conference ID number 6678391. A webcast of the presentation and associated slides will be available on the Investors &amp; Media section of Gemini’s website at http://investors.geminitherapeutics.com and a replay will be archived for 30 days following the presentation.</w:t>
      </w:r>
    </w:p>
    <w:p>
      <w:pPr>
        <w:sectPr>
          <w:pgSz w:w="11900" w:h="16838" w:orient="portrait"/>
          <w:cols w:equalWidth="0" w:num="1">
            <w:col w:w="9640"/>
          </w:cols>
          <w:pgMar w:left="1120" w:top="251" w:right="11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About Gemini Therapeutics, Inc.</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Gemini Therapeutics is a clinical-stage precision medicine company previously focused on developing novel therapeutic compounds to treat genetically defined age-related macular degeneration (AMD).</w:t>
      </w:r>
    </w:p>
    <w:p>
      <w:pPr>
        <w:spacing w:after="0"/>
        <w:rPr>
          <w:sz w:val="20"/>
          <w:szCs w:val="20"/>
          <w:color w:val="auto"/>
        </w:rPr>
      </w:pPr>
      <w:r>
        <w:rPr>
          <w:rFonts w:ascii="Times New Roman" w:cs="Times New Roman" w:eastAsia="Times New Roman" w:hAnsi="Times New Roman"/>
          <w:sz w:val="16"/>
          <w:szCs w:val="16"/>
          <w:color w:val="auto"/>
        </w:rPr>
        <w:t>For more information, visit www.geminitherapeutics.com.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About Disc Medicine, Inc.</w:t>
      </w:r>
    </w:p>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Disc Medicine is a clinical-stage biopharmaceutical company that is dedicated to transforming the lives of patients with hematologic disorders. Disc is building a portfolio of innovative, first-in-class therapeutic candidates that affect fundamental pathways of red blood cell biology. Disc Medicine is committed to developing treatments that empower and bring hope to the many patients who suffer from hematologic disease. For more information, please visit www.discmedicine.com.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Forward-Looking Statements</w:t>
      </w:r>
    </w:p>
    <w:p>
      <w:pPr>
        <w:spacing w:after="0" w:line="1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Certain statements in this press release and the information incorporated herein by reference may constitute “forward-looking statements” for purposes of the federal securities laws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and legislative, regulatory, political and economic developments; and those factors described under the heading “Risk Factors” in the Gemini’s most recent Annual Report on Form 10-K filed with the SEC, as well as discussions of potential risks, uncertainties, and other important factors included in later</w:t>
      </w:r>
    </w:p>
    <w:p>
      <w:pPr>
        <w:sectPr>
          <w:pgSz w:w="11900" w:h="16838" w:orient="portrait"/>
          <w:cols w:equalWidth="0" w:num="1">
            <w:col w:w="9620"/>
          </w:cols>
          <w:pgMar w:left="1120" w:top="253" w:right="1159" w:bottom="1440" w:gutter="0" w:footer="0" w:header="0"/>
        </w:sectPr>
      </w:pPr>
    </w:p>
    <w:bookmarkStart w:id="251" w:name="page252"/>
    <w:bookmarkEnd w:id="251"/>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filings, including any Quarterly Reports on Form 10-Q and Current Reports on Form 8-K. Should one or more of these risks or uncertainties materialize, or should any of Gemini’s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Offer or Solicitation</w:t>
      </w:r>
    </w:p>
    <w:p>
      <w:pPr>
        <w:spacing w:after="0" w:line="10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6"/>
          <w:szCs w:val="16"/>
          <w:color w:val="auto"/>
        </w:rPr>
        <w:t>This press release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Important Additional Information Will be Filed with the SEC</w:t>
      </w:r>
    </w:p>
    <w:p>
      <w:pPr>
        <w:spacing w:after="0" w:line="10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 xml:space="preserve">In connection with the proposed transaction between Gemini and Disc, Gemini intends to file relevant materials with the SEC, including a registration statement on Form S-4 that will contain a proxy statement/prospectus of Gemini and information statement of Disc. GEMINI URGES INVESTORS AND STOCKHOLDERS TO READ THESE MATERIALS CAREFULLY AND IN THEIR ENTIRETY WHEN THEY BECOME AVAILABLE BECAUSE THEY WILL CONTAIN IMPORTANT INFORMATION ABOUT GEMINI, DISC, THE PROPOSED TRANSACTION AND RELATED MATTERS. Investors and shareholders will be able to obtain free copies of the proxy statement/prospectus/information statement and other documents filed by Gemini with the SEC (when they become available) through the website maintained by the SEC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 In addition, investors and shareholders should note that Gemini communicates with investors and the public using its website (www.geminitherapeutics.com), the investor relations website (https://investors.geminitherapeutics.com/) where anyone will be able to obtain free copies of the proxy statement/prospectus/information statement and other documents filed by Gemini with the SEC and stockholders are urged to read the proxy statement/prospectus/information statement and the other relevant materials when they become available before making any voting or investment decision with respect to the proposed transaction.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Participants in the Solicitation</w:t>
      </w:r>
    </w:p>
    <w:p>
      <w:pPr>
        <w:spacing w:after="0" w:line="10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6"/>
          <w:szCs w:val="16"/>
          <w:color w:val="auto"/>
        </w:rPr>
        <w:t>Gemini and its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Additional information regarding these persons and their interests in the transaction will be included in the proxy statement/prospectus/information statement relating to the transaction when it is filed with the SEC. These documents can be obtained free of charge from the sources indicated above.</w:t>
      </w:r>
    </w:p>
    <w:p>
      <w:pPr>
        <w:sectPr>
          <w:pgSz w:w="11900" w:h="16838" w:orient="portrait"/>
          <w:cols w:equalWidth="0" w:num="1">
            <w:col w:w="9620"/>
          </w:cols>
          <w:pgMar w:left="1120" w:top="253" w:right="1159" w:bottom="1440" w:gutter="0" w:footer="0" w:header="0"/>
        </w:sectPr>
      </w:pPr>
    </w:p>
    <w:bookmarkStart w:id="252" w:name="page253"/>
    <w:bookmarkEnd w:id="252"/>
    <w:p>
      <w:pPr>
        <w:ind w:left="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Contacts</w:t>
      </w:r>
    </w:p>
    <w:p>
      <w:pPr>
        <w:spacing w:after="0" w:line="9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Gemini Therapeutics, Inc.</w:t>
      </w:r>
    </w:p>
    <w:p>
      <w:pPr>
        <w:spacing w:after="0" w:line="1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Brian Piekos</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Gemini Therapeutics, Inc.</w:t>
      </w:r>
    </w:p>
    <w:p>
      <w:pPr>
        <w:spacing w:after="0" w:line="5" w:lineRule="exact"/>
        <w:rPr>
          <w:sz w:val="20"/>
          <w:szCs w:val="20"/>
          <w:color w:val="auto"/>
        </w:rPr>
      </w:pPr>
    </w:p>
    <w:p>
      <w:pPr>
        <w:ind w:left="1" w:right="7519" w:hanging="1"/>
        <w:spacing w:after="0" w:line="286" w:lineRule="auto"/>
        <w:tabs>
          <w:tab w:leader="none" w:pos="382"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401-4400 IR@geminitherapeutics.com</w:t>
      </w:r>
    </w:p>
    <w:p>
      <w:pPr>
        <w:spacing w:after="0" w:line="13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Disc Medicine, Inc.</w:t>
      </w:r>
    </w:p>
    <w:p>
      <w:pPr>
        <w:spacing w:after="0" w:line="10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Peg Rusconi (Media)</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Verge Scientific Communications</w:t>
      </w:r>
    </w:p>
    <w:p>
      <w:pPr>
        <w:spacing w:after="0" w:line="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prusconi@vergescientific.com</w:t>
      </w:r>
    </w:p>
    <w:p>
      <w:pPr>
        <w:spacing w:after="0" w:line="17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Christina Tartaglia (Investor)</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Stern Investor Relations</w:t>
      </w:r>
    </w:p>
    <w:p>
      <w:pPr>
        <w:spacing w:after="0" w:line="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christina.tartaglia@sternir.com</w:t>
      </w:r>
    </w:p>
    <w:p>
      <w:pPr>
        <w:sectPr>
          <w:pgSz w:w="11900" w:h="16838" w:orient="portrait"/>
          <w:cols w:equalWidth="0" w:num="1">
            <w:col w:w="9340"/>
          </w:cols>
          <w:pgMar w:left="1119" w:top="253" w:right="1440" w:bottom="1440"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31B62D"/>
    <w:multiLevelType w:val="hybridMultilevel"/>
    <w:lvl w:ilvl="0">
      <w:lvlJc w:val="left"/>
      <w:lvlText w:val="☒"/>
      <w:numFmt w:val="bullet"/>
      <w:start w:val="1"/>
    </w:lvl>
  </w:abstractNum>
  <w:abstractNum w:abstractNumId="1">
    <w:nsid w:val="1849C29B"/>
    <w:multiLevelType w:val="hybridMultilevel"/>
    <w:lvl w:ilvl="0">
      <w:lvlJc w:val="left"/>
      <w:lvlText w:val="☐"/>
      <w:numFmt w:val="bullet"/>
      <w:start w:val="1"/>
    </w:lvl>
  </w:abstractNum>
  <w:abstractNum w:abstractNumId="2">
    <w:nsid w:val="7DFF9D09"/>
    <w:multiLevelType w:val="hybridMultilevel"/>
    <w:lvl w:ilvl="0">
      <w:lvlJc w:val="left"/>
      <w:lvlText w:val="1"/>
      <w:numFmt w:val="bullet"/>
      <w:start w:val="1"/>
    </w:lvl>
  </w:abstractNum>
  <w:abstractNum w:abstractNumId="3">
    <w:nsid w:val="754342"/>
    <w:multiLevelType w:val="hybridMultilevel"/>
    <w:lvl w:ilvl="0">
      <w:lvlJc w:val="left"/>
      <w:lvlText w:val="(%1)"/>
      <w:numFmt w:val="decimal"/>
      <w:start w:val="5"/>
    </w:lvl>
  </w:abstractNum>
  <w:abstractNum w:abstractNumId="4">
    <w:nsid w:val="69E7F3E5"/>
    <w:multiLevelType w:val="hybridMultilevel"/>
    <w:lvl w:ilvl="0">
      <w:lvlJc w:val="left"/>
      <w:lvlText w:val="(%1)"/>
      <w:numFmt w:val="lowerLetter"/>
      <w:start w:val="4"/>
    </w:lvl>
  </w:abstractNum>
  <w:abstractNum w:abstractNumId="5">
    <w:nsid w:val="2A6DE806"/>
    <w:multiLevelType w:val="hybridMultilevel"/>
    <w:lvl w:ilvl="0">
      <w:lvlJc w:val="left"/>
      <w:lvlText w:val="*"/>
      <w:numFmt w:val="bullet"/>
      <w:start w:val="1"/>
    </w:lvl>
  </w:abstractNum>
  <w:abstractNum w:abstractNumId="6">
    <w:nsid w:val="1816F8C4"/>
    <w:multiLevelType w:val="hybridMultilevel"/>
    <w:lvl w:ilvl="0">
      <w:lvlJc w:val="left"/>
      <w:lvlText w:val="(%1)"/>
      <w:numFmt w:val="lowerRoman"/>
      <w:start w:val="4"/>
    </w:lvl>
    <w:lvl w:ilvl="1">
      <w:lvlJc w:val="left"/>
      <w:lvlText w:val="%2."/>
      <w:numFmt w:val="upperLetter"/>
      <w:start w:val="4"/>
    </w:lvl>
  </w:abstractNum>
  <w:abstractNum w:abstractNumId="7">
    <w:nsid w:val="37DF2233"/>
    <w:multiLevelType w:val="hybridMultilevel"/>
    <w:lvl w:ilvl="0">
      <w:lvlJc w:val="left"/>
      <w:lvlText w:val="%1"/>
      <w:numFmt w:val="lowerLetter"/>
      <w:start w:val="1"/>
    </w:lvl>
    <w:lvl w:ilvl="1">
      <w:lvlJc w:val="left"/>
      <w:lvlText w:val="(%2)"/>
      <w:numFmt w:val="lowerLetter"/>
      <w:start w:val="1"/>
    </w:lvl>
  </w:abstractNum>
  <w:abstractNum w:abstractNumId="8">
    <w:nsid w:val="7AB49DAF"/>
    <w:multiLevelType w:val="hybridMultilevel"/>
    <w:lvl w:ilvl="0">
      <w:lvlJc w:val="left"/>
      <w:lvlText w:val="(%1)"/>
      <w:numFmt w:val="lowerLetter"/>
      <w:start w:val="61"/>
    </w:lvl>
    <w:lvl w:ilvl="1">
      <w:lvlJc w:val="left"/>
      <w:lvlText w:val="(%2)"/>
      <w:numFmt w:val="lowerLetter"/>
      <w:start w:val="2"/>
    </w:lvl>
  </w:abstractNum>
  <w:abstractNum w:abstractNumId="9">
    <w:nsid w:val="759F82CD"/>
    <w:multiLevelType w:val="hybridMultilevel"/>
    <w:lvl w:ilvl="0">
      <w:lvlJc w:val="left"/>
      <w:lvlText w:val="(%1)"/>
      <w:numFmt w:val="upperLetter"/>
      <w:start w:val="2"/>
    </w:lvl>
  </w:abstractNum>
  <w:abstractNum w:abstractNumId="10">
    <w:nsid w:val="61E74EA3"/>
    <w:multiLevelType w:val="hybridMultilevel"/>
    <w:lvl w:ilvl="0">
      <w:lvlJc w:val="left"/>
      <w:lvlText w:val="•"/>
      <w:numFmt w:val="bullet"/>
      <w:start w:val="1"/>
    </w:lvl>
  </w:abstractNum>
  <w:abstractNum w:abstractNumId="11">
    <w:nsid w:val="597B4D84"/>
    <w:multiLevelType w:val="hybridMultilevel"/>
    <w:lvl w:ilvl="0">
      <w:lvlJc w:val="left"/>
      <w:lvlText w:val="•"/>
      <w:numFmt w:val="bullet"/>
      <w:start w:val="1"/>
    </w:lvl>
  </w:abstractNum>
  <w:abstractNum w:abstractNumId="12">
    <w:nsid w:val="F819E7F"/>
    <w:multiLevelType w:val="hybridMultilevel"/>
    <w:lvl w:ilvl="0">
      <w:lvlJc w:val="left"/>
      <w:lvlText w:val="•"/>
      <w:numFmt w:val="bullet"/>
      <w:start w:val="1"/>
    </w:lvl>
  </w:abstractNum>
  <w:abstractNum w:abstractNumId="13">
    <w:nsid w:val="57C7D42D"/>
    <w:multiLevelType w:val="hybridMultilevel"/>
    <w:lvl w:ilvl="0">
      <w:lvlJc w:val="left"/>
      <w:lvlText w:val="(%1)"/>
      <w:numFmt w:val="lowerLetter"/>
      <w:start w:val="2"/>
    </w:lvl>
  </w:abstractNum>
  <w:abstractNum w:abstractNumId="14">
    <w:nsid w:val="312167AD"/>
    <w:multiLevelType w:val="hybridMultilevel"/>
    <w:lvl w:ilvl="0">
      <w:lvlJc w:val="left"/>
      <w:lvlText w:val="(%1)"/>
      <w:numFmt w:val="lowerLetter"/>
      <w:start w:val="5"/>
    </w:lvl>
  </w:abstractNum>
  <w:abstractNum w:abstractNumId="15">
    <w:nsid w:val="631B64D4"/>
    <w:multiLevelType w:val="hybridMultilevel"/>
    <w:lvl w:ilvl="0">
      <w:lvlJc w:val="left"/>
      <w:lvlText w:val="(%1)"/>
      <w:numFmt w:val="lowerLetter"/>
      <w:start w:val="1"/>
    </w:lvl>
  </w:abstractNum>
  <w:abstractNum w:abstractNumId="16">
    <w:nsid w:val="78B5E776"/>
    <w:multiLevelType w:val="hybridMultilevel"/>
    <w:lvl w:ilvl="0">
      <w:lvlJc w:val="left"/>
      <w:lvlText w:val="(%1)"/>
      <w:numFmt w:val="lowerLetter"/>
      <w:start w:val="3"/>
    </w:lvl>
  </w:abstractNum>
  <w:abstractNum w:abstractNumId="17">
    <w:nsid w:val="75486E47"/>
    <w:multiLevelType w:val="hybridMultilevel"/>
    <w:lvl w:ilvl="0">
      <w:lvlJc w:val="left"/>
      <w:lvlText w:val="(%1)"/>
      <w:numFmt w:val="lowerLetter"/>
      <w:start w:val="1"/>
    </w:lvl>
    <w:lvl w:ilvl="1">
      <w:lvlJc w:val="left"/>
      <w:lvlText w:val="(%2)"/>
      <w:numFmt w:val="lowerRoman"/>
      <w:start w:val="1"/>
    </w:lvl>
  </w:abstractNum>
  <w:abstractNum w:abstractNumId="18">
    <w:nsid w:val="6E534CDE"/>
    <w:multiLevelType w:val="hybridMultilevel"/>
    <w:lvl w:ilvl="0">
      <w:lvlJc w:val="left"/>
      <w:lvlText w:val="(%1)"/>
      <w:numFmt w:val="lowerLetter"/>
      <w:start w:val="4"/>
    </w:lvl>
  </w:abstractNum>
  <w:abstractNum w:abstractNumId="19">
    <w:nsid w:val="1A0DDE32"/>
    <w:multiLevelType w:val="hybridMultilevel"/>
    <w:lvl w:ilvl="0">
      <w:lvlJc w:val="left"/>
      <w:lvlText w:val="(%1)"/>
      <w:numFmt w:val="lowerLetter"/>
      <w:start w:val="1"/>
    </w:lvl>
  </w:abstractNum>
  <w:abstractNum w:abstractNumId="20">
    <w:nsid w:val="65968C1C"/>
    <w:multiLevelType w:val="hybridMultilevel"/>
    <w:lvl w:ilvl="0">
      <w:lvlJc w:val="left"/>
      <w:lvlText w:val="(%1)"/>
      <w:numFmt w:val="lowerLetter"/>
      <w:start w:val="2"/>
    </w:lvl>
  </w:abstractNum>
  <w:abstractNum w:abstractNumId="21">
    <w:nsid w:val="46263DEC"/>
    <w:multiLevelType w:val="hybridMultilevel"/>
    <w:lvl w:ilvl="0">
      <w:lvlJc w:val="left"/>
      <w:lvlText w:val="(%1)"/>
      <w:numFmt w:val="lowerLetter"/>
      <w:start w:val="1"/>
    </w:lvl>
  </w:abstractNum>
  <w:abstractNum w:abstractNumId="22">
    <w:nsid w:val="260D8C4A"/>
    <w:multiLevelType w:val="hybridMultilevel"/>
    <w:lvl w:ilvl="0">
      <w:lvlJc w:val="left"/>
      <w:lvlText w:val="(%1)"/>
      <w:numFmt w:val="lowerLetter"/>
      <w:start w:val="1"/>
    </w:lvl>
  </w:abstractNum>
  <w:abstractNum w:abstractNumId="23">
    <w:nsid w:val="73D4D3C4"/>
    <w:multiLevelType w:val="hybridMultilevel"/>
    <w:lvl w:ilvl="0">
      <w:lvlJc w:val="left"/>
      <w:lvlText w:val="(%1)"/>
      <w:numFmt w:val="lowerLetter"/>
      <w:start w:val="2"/>
    </w:lvl>
  </w:abstractNum>
  <w:abstractNum w:abstractNumId="24">
    <w:nsid w:val="746F2E30"/>
    <w:multiLevelType w:val="hybridMultilevel"/>
    <w:lvl w:ilvl="0">
      <w:lvlJc w:val="left"/>
      <w:lvlText w:val="(%1)"/>
      <w:numFmt w:val="lowerLetter"/>
      <w:start w:val="1"/>
    </w:lvl>
  </w:abstractNum>
  <w:abstractNum w:abstractNumId="25">
    <w:nsid w:val="6FDE8AF6"/>
    <w:multiLevelType w:val="hybridMultilevel"/>
    <w:lvl w:ilvl="0">
      <w:lvlJc w:val="left"/>
      <w:lvlText w:val="(%1)"/>
      <w:numFmt w:val="lowerLetter"/>
      <w:start w:val="2"/>
    </w:lvl>
  </w:abstractNum>
  <w:abstractNum w:abstractNumId="26">
    <w:nsid w:val="3FC32E20"/>
    <w:multiLevelType w:val="hybridMultilevel"/>
    <w:lvl w:ilvl="0">
      <w:lvlJc w:val="left"/>
      <w:lvlText w:val="(%1)"/>
      <w:numFmt w:val="lowerLetter"/>
      <w:start w:val="1"/>
    </w:lvl>
  </w:abstractNum>
  <w:abstractNum w:abstractNumId="27">
    <w:nsid w:val="49C0E823"/>
    <w:multiLevelType w:val="hybridMultilevel"/>
    <w:lvl w:ilvl="0">
      <w:lvlJc w:val="left"/>
      <w:lvlText w:val="(%1)"/>
      <w:numFmt w:val="lowerRoman"/>
      <w:start w:val="1"/>
    </w:lvl>
  </w:abstractNum>
  <w:abstractNum w:abstractNumId="28">
    <w:nsid w:val="14D53685"/>
    <w:multiLevelType w:val="hybridMultilevel"/>
    <w:lvl w:ilvl="0">
      <w:lvlJc w:val="left"/>
      <w:lvlText w:val="(%1)"/>
      <w:numFmt w:val="lowerLetter"/>
      <w:start w:val="1"/>
    </w:lvl>
    <w:lvl w:ilvl="1">
      <w:lvlJc w:val="left"/>
      <w:lvlText w:val="(%2)"/>
      <w:numFmt w:val="lowerRoman"/>
      <w:start w:val="1"/>
    </w:lvl>
  </w:abstractNum>
  <w:abstractNum w:abstractNumId="29">
    <w:nsid w:val="230F856C"/>
    <w:multiLevelType w:val="hybridMultilevel"/>
    <w:lvl w:ilvl="0">
      <w:lvlJc w:val="left"/>
      <w:lvlText w:val="%1"/>
      <w:numFmt w:val="lowerLetter"/>
      <w:start w:val="1"/>
    </w:lvl>
    <w:lvl w:ilvl="1">
      <w:lvlJc w:val="left"/>
      <w:lvlText w:val="(%2)"/>
      <w:numFmt w:val="lowerLetter"/>
      <w:start w:val="22"/>
    </w:lvl>
  </w:abstractNum>
  <w:abstractNum w:abstractNumId="30">
    <w:nsid w:val="6EAA85FB"/>
    <w:multiLevelType w:val="hybridMultilevel"/>
    <w:lvl w:ilvl="0">
      <w:lvlJc w:val="left"/>
      <w:lvlText w:val="(%1)"/>
      <w:numFmt w:val="lowerLetter"/>
      <w:start w:val="2"/>
    </w:lvl>
    <w:lvl w:ilvl="1">
      <w:lvlJc w:val="left"/>
      <w:lvlText w:val="%2"/>
      <w:numFmt w:val="lowerLetter"/>
      <w:start w:val="1"/>
    </w:lvl>
  </w:abstractNum>
  <w:abstractNum w:abstractNumId="31">
    <w:nsid w:val="3F06ECB2"/>
    <w:multiLevelType w:val="hybridMultilevel"/>
    <w:lvl w:ilvl="0">
      <w:lvlJc w:val="left"/>
      <w:lvlText w:val="(%1)"/>
      <w:numFmt w:val="lowerLetter"/>
      <w:start w:val="1"/>
    </w:lvl>
  </w:abstractNum>
  <w:abstractNum w:abstractNumId="32">
    <w:nsid w:val="3B594807"/>
    <w:multiLevelType w:val="hybridMultilevel"/>
    <w:lvl w:ilvl="0">
      <w:lvlJc w:val="left"/>
      <w:lvlText w:val="%1"/>
      <w:numFmt w:val="lowerLetter"/>
      <w:start w:val="1"/>
    </w:lvl>
    <w:lvl w:ilvl="1">
      <w:lvlJc w:val="left"/>
      <w:lvlText w:val="(%2)"/>
      <w:numFmt w:val="lowerLetter"/>
      <w:start w:val="3"/>
    </w:lvl>
  </w:abstractNum>
  <w:abstractNum w:abstractNumId="33">
    <w:nsid w:val="6CAA2304"/>
    <w:multiLevelType w:val="hybridMultilevel"/>
    <w:lvl w:ilvl="0">
      <w:lvlJc w:val="left"/>
      <w:lvlText w:val="(%1)"/>
      <w:numFmt w:val="lowerLetter"/>
      <w:start w:val="61"/>
    </w:lvl>
    <w:lvl w:ilvl="1">
      <w:lvlJc w:val="left"/>
      <w:lvlText w:val="(%2)"/>
      <w:numFmt w:val="lowerLetter"/>
      <w:start w:val="4"/>
    </w:lvl>
  </w:abstractNum>
  <w:abstractNum w:abstractNumId="34">
    <w:nsid w:val="3F7C2FF4"/>
    <w:multiLevelType w:val="hybridMultilevel"/>
    <w:lvl w:ilvl="0">
      <w:lvlJc w:val="left"/>
      <w:lvlText w:val="%1"/>
      <w:numFmt w:val="lowerLetter"/>
      <w:start w:val="1"/>
    </w:lvl>
    <w:lvl w:ilvl="1">
      <w:lvlJc w:val="left"/>
      <w:lvlText w:val="(%2)"/>
      <w:numFmt w:val="lowerLetter"/>
      <w:start w:val="5"/>
    </w:lvl>
  </w:abstractNum>
  <w:abstractNum w:abstractNumId="35">
    <w:nsid w:val="25413BEC"/>
    <w:multiLevelType w:val="hybridMultilevel"/>
    <w:lvl w:ilvl="0">
      <w:lvlJc w:val="left"/>
      <w:lvlText w:val="(%1)"/>
      <w:numFmt w:val="lowerLetter"/>
      <w:start w:val="35"/>
    </w:lvl>
    <w:lvl w:ilvl="1">
      <w:lvlJc w:val="left"/>
      <w:lvlText w:val="(%2)"/>
      <w:numFmt w:val="lowerLetter"/>
      <w:start w:val="6"/>
    </w:lvl>
  </w:abstractNum>
  <w:abstractNum w:abstractNumId="36">
    <w:nsid w:val="17180B0B"/>
    <w:multiLevelType w:val="hybridMultilevel"/>
    <w:lvl w:ilvl="0">
      <w:lvlJc w:val="left"/>
      <w:lvlText w:val="(%1)"/>
      <w:numFmt w:val="lowerLetter"/>
      <w:start w:val="1"/>
    </w:lvl>
  </w:abstractNum>
  <w:abstractNum w:abstractNumId="37">
    <w:nsid w:val="579328B9"/>
    <w:multiLevelType w:val="hybridMultilevel"/>
    <w:lvl w:ilvl="0">
      <w:lvlJc w:val="left"/>
      <w:lvlText w:val="%1"/>
      <w:numFmt w:val="lowerLetter"/>
      <w:start w:val="1"/>
    </w:lvl>
    <w:lvl w:ilvl="1">
      <w:lvlJc w:val="left"/>
      <w:lvlText w:val="(%2)"/>
      <w:numFmt w:val="lowerLetter"/>
      <w:start w:val="3"/>
    </w:lvl>
  </w:abstractNum>
  <w:abstractNum w:abstractNumId="38">
    <w:nsid w:val="5D205E20"/>
    <w:multiLevelType w:val="hybridMultilevel"/>
    <w:lvl w:ilvl="0">
      <w:lvlJc w:val="left"/>
      <w:lvlText w:val="(%1)"/>
      <w:numFmt w:val="lowerLetter"/>
      <w:start w:val="9"/>
    </w:lvl>
    <w:lvl w:ilvl="1">
      <w:lvlJc w:val="left"/>
      <w:lvlText w:val="%2"/>
      <w:numFmt w:val="lowerLetter"/>
      <w:start w:val="1"/>
    </w:lvl>
  </w:abstractNum>
  <w:abstractNum w:abstractNumId="39">
    <w:nsid w:val="11CCA8BA"/>
    <w:multiLevelType w:val="hybridMultilevel"/>
    <w:lvl w:ilvl="0">
      <w:lvlJc w:val="left"/>
      <w:lvlText w:val="(%1)"/>
      <w:numFmt w:val="lowerLetter"/>
      <w:start w:val="61"/>
    </w:lvl>
    <w:lvl w:ilvl="1">
      <w:lvlJc w:val="left"/>
      <w:lvlText w:val="(%2)"/>
      <w:numFmt w:val="lowerLetter"/>
      <w:start w:val="5"/>
    </w:lvl>
  </w:abstractNum>
  <w:abstractNum w:abstractNumId="40">
    <w:nsid w:val="4D32AB86"/>
    <w:multiLevelType w:val="hybridMultilevel"/>
    <w:lvl w:ilvl="0">
      <w:lvlJc w:val="left"/>
      <w:lvlText w:val="(%1)"/>
      <w:numFmt w:val="lowerLetter"/>
      <w:start w:val="1"/>
    </w:lvl>
  </w:abstractNum>
  <w:abstractNum w:abstractNumId="41">
    <w:nsid w:val="3F07ACC3"/>
    <w:multiLevelType w:val="hybridMultilevel"/>
    <w:lvl w:ilvl="0">
      <w:lvlJc w:val="left"/>
      <w:lvlText w:val="%1"/>
      <w:numFmt w:val="upperLetter"/>
      <w:start w:val="1"/>
    </w:lvl>
    <w:lvl w:ilvl="1">
      <w:lvlJc w:val="left"/>
      <w:lvlText w:val="(%2)"/>
      <w:numFmt w:val="lowerLetter"/>
      <w:start w:val="1"/>
    </w:lvl>
  </w:abstractNum>
  <w:abstractNum w:abstractNumId="42">
    <w:nsid w:val="6B47F63E"/>
    <w:multiLevelType w:val="hybridMultilevel"/>
    <w:lvl w:ilvl="0">
      <w:lvlJc w:val="left"/>
      <w:lvlText w:val="(%1)"/>
      <w:numFmt w:val="upperLetter"/>
      <w:start w:val="3"/>
    </w:lvl>
    <w:lvl w:ilvl="1">
      <w:lvlJc w:val="left"/>
      <w:lvlText w:val="(%2)"/>
      <w:numFmt w:val="lowerLetter"/>
      <w:start w:val="3"/>
    </w:lvl>
  </w:abstractNum>
  <w:abstractNum w:abstractNumId="43">
    <w:nsid w:val="5CB44A05"/>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44">
    <w:nsid w:val="16CF80F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5">
    <w:nsid w:val="1C695DEC"/>
    <w:multiLevelType w:val="hybridMultilevel"/>
    <w:lvl w:ilvl="0">
      <w:lvlJc w:val="left"/>
      <w:lvlText w:val="%1"/>
      <w:numFmt w:val="lowerLetter"/>
      <w:start w:val="1"/>
    </w:lvl>
    <w:lvl w:ilvl="1">
      <w:lvlJc w:val="left"/>
      <w:lvlText w:val="(%2)"/>
      <w:numFmt w:val="lowerRoman"/>
      <w:start w:val="6"/>
    </w:lvl>
  </w:abstractNum>
  <w:abstractNum w:abstractNumId="46">
    <w:nsid w:val="3FCFAED9"/>
    <w:multiLevelType w:val="hybridMultilevel"/>
    <w:lvl w:ilvl="0">
      <w:lvlJc w:val="left"/>
      <w:lvlText w:val="(%1)"/>
      <w:numFmt w:val="lowerLetter"/>
      <w:start w:val="6"/>
    </w:lvl>
    <w:lvl w:ilvl="1">
      <w:lvlJc w:val="left"/>
      <w:lvlText w:val="%2"/>
      <w:numFmt w:val="lowerRoman"/>
      <w:start w:val="1"/>
    </w:lvl>
  </w:abstractNum>
  <w:abstractNum w:abstractNumId="47">
    <w:nsid w:val="F856867"/>
    <w:multiLevelType w:val="hybridMultilevel"/>
    <w:lvl w:ilvl="0">
      <w:lvlJc w:val="left"/>
      <w:lvlText w:val="(%1)"/>
      <w:numFmt w:val="lowerLetter"/>
      <w:start w:val="10"/>
    </w:lvl>
  </w:abstractNum>
  <w:abstractNum w:abstractNumId="48">
    <w:nsid w:val="11B1CC33"/>
    <w:multiLevelType w:val="hybridMultilevel"/>
    <w:lvl w:ilvl="0">
      <w:lvlJc w:val="left"/>
      <w:lvlText w:val="(%1)"/>
      <w:numFmt w:val="lowerLetter"/>
      <w:start w:val="1"/>
    </w:lvl>
    <w:lvl w:ilvl="1">
      <w:lvlJc w:val="left"/>
      <w:lvlText w:val="(%2)"/>
      <w:numFmt w:val="lowerLetter"/>
      <w:start w:val="9"/>
    </w:lvl>
  </w:abstractNum>
  <w:abstractNum w:abstractNumId="49">
    <w:nsid w:val="2E22FBB7"/>
    <w:multiLevelType w:val="hybridMultilevel"/>
    <w:lvl w:ilvl="0">
      <w:lvlJc w:val="left"/>
      <w:lvlText w:val="(%1)"/>
      <w:numFmt w:val="lowerRoman"/>
      <w:start w:val="2"/>
    </w:lvl>
  </w:abstractNum>
  <w:abstractNum w:abstractNumId="50">
    <w:nsid w:val="29934699"/>
    <w:multiLevelType w:val="hybridMultilevel"/>
    <w:lvl w:ilvl="0">
      <w:lvlJc w:val="left"/>
      <w:lvlText w:val="%1"/>
      <w:numFmt w:val="lowerLetter"/>
      <w:start w:val="1"/>
    </w:lvl>
    <w:lvl w:ilvl="1">
      <w:lvlJc w:val="left"/>
      <w:lvlText w:val="(%2)"/>
      <w:numFmt w:val="lowerRoman"/>
      <w:start w:val="10"/>
    </w:lvl>
  </w:abstractNum>
  <w:abstractNum w:abstractNumId="51">
    <w:nsid w:val="77485850"/>
    <w:multiLevelType w:val="hybridMultilevel"/>
    <w:lvl w:ilvl="0">
      <w:lvlJc w:val="left"/>
      <w:lvlText w:val="(%1)"/>
      <w:numFmt w:val="lowerLetter"/>
      <w:start w:val="2"/>
    </w:lvl>
    <w:lvl w:ilvl="1">
      <w:lvlJc w:val="left"/>
      <w:lvlText w:val="%2"/>
      <w:numFmt w:val="lowerRoman"/>
      <w:start w:val="1"/>
    </w:lvl>
  </w:abstractNum>
  <w:abstractNum w:abstractNumId="52">
    <w:nsid w:val="744939A3"/>
    <w:multiLevelType w:val="hybridMultilevel"/>
    <w:lvl w:ilvl="0">
      <w:lvlJc w:val="left"/>
      <w:lvlText w:val="(%1)"/>
      <w:numFmt w:val="lowerLetter"/>
      <w:start w:val="1"/>
    </w:lvl>
  </w:abstractNum>
  <w:abstractNum w:abstractNumId="53">
    <w:nsid w:val="4FA0D2E3"/>
    <w:multiLevelType w:val="hybridMultilevel"/>
    <w:lvl w:ilvl="0">
      <w:lvlJc w:val="left"/>
      <w:lvlText w:val="(%1)"/>
      <w:numFmt w:val="lowerLetter"/>
      <w:start w:val="5"/>
    </w:lvl>
  </w:abstractNum>
  <w:abstractNum w:abstractNumId="54">
    <w:nsid w:val="6B1D2C14"/>
    <w:multiLevelType w:val="hybridMultilevel"/>
    <w:lvl w:ilvl="0">
      <w:lvlJc w:val="left"/>
      <w:lvlText w:val="(%1)"/>
      <w:numFmt w:val="lowerLetter"/>
      <w:start w:val="7"/>
    </w:lvl>
  </w:abstractNum>
  <w:abstractNum w:abstractNumId="55">
    <w:nsid w:val="68B867D3"/>
    <w:multiLevelType w:val="hybridMultilevel"/>
    <w:lvl w:ilvl="0">
      <w:lvlJc w:val="left"/>
      <w:lvlText w:val="(%1)"/>
      <w:numFmt w:val="lowerLetter"/>
      <w:start w:val="1"/>
    </w:lvl>
  </w:abstractNum>
  <w:abstractNum w:abstractNumId="56">
    <w:nsid w:val="3F7F5DD9"/>
    <w:multiLevelType w:val="hybridMultilevel"/>
    <w:lvl w:ilvl="0">
      <w:lvlJc w:val="left"/>
      <w:lvlText w:val="(%1)"/>
      <w:numFmt w:val="lowerLetter"/>
      <w:start w:val="1"/>
    </w:lvl>
  </w:abstractNum>
  <w:abstractNum w:abstractNumId="57">
    <w:nsid w:val="2AE05A34"/>
    <w:multiLevelType w:val="hybridMultilevel"/>
    <w:lvl w:ilvl="0">
      <w:lvlJc w:val="left"/>
      <w:lvlText w:val="%1"/>
      <w:numFmt w:val="lowerRoman"/>
      <w:start w:val="1"/>
    </w:lvl>
    <w:lvl w:ilvl="1">
      <w:lvlJc w:val="left"/>
      <w:lvlText w:val="(%2)"/>
      <w:numFmt w:val="lowerLetter"/>
      <w:start w:val="10"/>
    </w:lvl>
  </w:abstractNum>
  <w:abstractNum w:abstractNumId="58">
    <w:nsid w:val="32794FF7"/>
    <w:multiLevelType w:val="hybridMultilevel"/>
    <w:lvl w:ilvl="0">
      <w:lvlJc w:val="left"/>
      <w:lvlText w:val="(%1)"/>
      <w:numFmt w:val="lowerRoman"/>
      <w:start w:val="4"/>
    </w:lvl>
    <w:lvl w:ilvl="1">
      <w:lvlJc w:val="left"/>
      <w:lvlText w:val="(%2)"/>
      <w:numFmt w:val="lowerLetter"/>
      <w:start w:val="15"/>
    </w:lvl>
  </w:abstractNum>
  <w:abstractNum w:abstractNumId="59">
    <w:nsid w:val="5454945E"/>
    <w:multiLevelType w:val="hybridMultilevel"/>
    <w:lvl w:ilvl="0">
      <w:lvlJc w:val="left"/>
      <w:lvlText w:val="(%1)"/>
      <w:numFmt w:val="lowerLetter"/>
      <w:start w:val="1"/>
    </w:lvl>
  </w:abstractNum>
  <w:abstractNum w:abstractNumId="60">
    <w:nsid w:val="4DEFDFA0"/>
    <w:multiLevelType w:val="hybridMultilevel"/>
    <w:lvl w:ilvl="0">
      <w:lvlJc w:val="left"/>
      <w:lvlText w:val="(%1)"/>
      <w:numFmt w:val="lowerLetter"/>
      <w:start w:val="3"/>
    </w:lvl>
  </w:abstractNum>
  <w:abstractNum w:abstractNumId="61">
    <w:nsid w:val="2123D5F2"/>
    <w:multiLevelType w:val="hybridMultilevel"/>
    <w:lvl w:ilvl="0">
      <w:lvlJc w:val="left"/>
      <w:lvlText w:val="(%1)"/>
      <w:numFmt w:val="lowerLetter"/>
      <w:start w:val="10"/>
    </w:lvl>
  </w:abstractNum>
  <w:abstractNum w:abstractNumId="62">
    <w:nsid w:val="135B8110"/>
    <w:multiLevelType w:val="hybridMultilevel"/>
    <w:lvl w:ilvl="0">
      <w:lvlJc w:val="left"/>
      <w:lvlText w:val="(%1)"/>
      <w:numFmt w:val="lowerLetter"/>
      <w:start w:val="15"/>
    </w:lvl>
  </w:abstractNum>
  <w:abstractNum w:abstractNumId="63">
    <w:nsid w:val="94927A8"/>
    <w:multiLevelType w:val="hybridMultilevel"/>
    <w:lvl w:ilvl="0">
      <w:lvlJc w:val="left"/>
      <w:lvlText w:val="(%1)"/>
      <w:numFmt w:val="lowerLetter"/>
      <w:start w:val="1"/>
    </w:lvl>
  </w:abstractNum>
  <w:abstractNum w:abstractNumId="64">
    <w:nsid w:val="DCDF8F6"/>
    <w:multiLevelType w:val="hybridMultilevel"/>
    <w:lvl w:ilvl="0">
      <w:lvlJc w:val="left"/>
      <w:lvlText w:val="(%1)"/>
      <w:numFmt w:val="lowerLetter"/>
      <w:start w:val="2"/>
    </w:lvl>
  </w:abstractNum>
  <w:abstractNum w:abstractNumId="65">
    <w:nsid w:val="52D7B105"/>
    <w:multiLevelType w:val="hybridMultilevel"/>
    <w:lvl w:ilvl="0">
      <w:lvlJc w:val="left"/>
      <w:lvlText w:val="(%1)"/>
      <w:numFmt w:val="lowerLetter"/>
      <w:start w:val="5"/>
    </w:lvl>
  </w:abstractNum>
  <w:abstractNum w:abstractNumId="66">
    <w:nsid w:val="2E8A6394"/>
    <w:multiLevelType w:val="hybridMultilevel"/>
    <w:lvl w:ilvl="0">
      <w:lvlJc w:val="left"/>
      <w:lvlText w:val="(%1)"/>
      <w:numFmt w:val="lowerLetter"/>
      <w:start w:val="1"/>
    </w:lvl>
    <w:lvl w:ilvl="1">
      <w:lvlJc w:val="left"/>
      <w:lvlText w:val="(%2)"/>
      <w:numFmt w:val="lowerRoman"/>
      <w:start w:val="1"/>
    </w:lvl>
  </w:abstractNum>
  <w:abstractNum w:abstractNumId="67">
    <w:nsid w:val="24E60401"/>
    <w:multiLevelType w:val="hybridMultilevel"/>
    <w:lvl w:ilvl="0">
      <w:lvlJc w:val="left"/>
      <w:lvlText w:val="(%1)"/>
      <w:numFmt w:val="lowerLetter"/>
      <w:start w:val="2"/>
    </w:lvl>
  </w:abstractNum>
  <w:abstractNum w:abstractNumId="68">
    <w:nsid w:val="2A6AD9BE"/>
    <w:multiLevelType w:val="hybridMultilevel"/>
    <w:lvl w:ilvl="0">
      <w:lvlJc w:val="left"/>
      <w:lvlText w:val="(%1)"/>
      <w:numFmt w:val="lowerLetter"/>
      <w:start w:val="1"/>
    </w:lvl>
  </w:abstractNum>
  <w:abstractNum w:abstractNumId="69">
    <w:nsid w:val="BAAC1B4"/>
    <w:multiLevelType w:val="hybridMultilevel"/>
    <w:lvl w:ilvl="0">
      <w:lvlJc w:val="left"/>
      <w:lvlText w:val="(%1)"/>
      <w:numFmt w:val="lowerLetter"/>
      <w:start w:val="4"/>
    </w:lvl>
  </w:abstractNum>
  <w:abstractNum w:abstractNumId="70">
    <w:nsid w:val="36B2ACBC"/>
    <w:multiLevelType w:val="hybridMultilevel"/>
    <w:lvl w:ilvl="0">
      <w:lvlJc w:val="left"/>
      <w:lvlText w:val="(%1)"/>
      <w:numFmt w:val="lowerLetter"/>
      <w:start w:val="1"/>
    </w:lvl>
  </w:abstractNum>
  <w:abstractNum w:abstractNumId="71">
    <w:nsid w:val="779D8544"/>
    <w:multiLevelType w:val="hybridMultilevel"/>
    <w:lvl w:ilvl="0">
      <w:lvlJc w:val="left"/>
      <w:lvlText w:val="%1"/>
      <w:numFmt w:val="lowerLetter"/>
      <w:start w:val="1"/>
    </w:lvl>
    <w:lvl w:ilvl="1">
      <w:lvlJc w:val="left"/>
      <w:lvlText w:val="(%2)"/>
      <w:numFmt w:val="lowerLetter"/>
      <w:start w:val="2"/>
    </w:lvl>
  </w:abstractNum>
  <w:abstractNum w:abstractNumId="72">
    <w:nsid w:val="4AB26E78"/>
    <w:multiLevelType w:val="hybridMultilevel"/>
    <w:lvl w:ilvl="0">
      <w:lvlJc w:val="left"/>
      <w:lvlText w:val="(%1)"/>
      <w:numFmt w:val="lowerLetter"/>
      <w:start w:val="9"/>
    </w:lvl>
    <w:lvl w:ilvl="1">
      <w:lvlJc w:val="left"/>
      <w:lvlText w:val="(%2)"/>
      <w:numFmt w:val="lowerLetter"/>
      <w:start w:val="3"/>
    </w:lvl>
  </w:abstractNum>
  <w:abstractNum w:abstractNumId="73">
    <w:nsid w:val="21FAA2FA"/>
    <w:multiLevelType w:val="hybridMultilevel"/>
    <w:lvl w:ilvl="0">
      <w:lvlJc w:val="left"/>
      <w:lvlText w:val="(%1)"/>
      <w:numFmt w:val="lowerLetter"/>
      <w:start w:val="4"/>
    </w:lvl>
  </w:abstractNum>
  <w:abstractNum w:abstractNumId="74">
    <w:nsid w:val="5451CF49"/>
    <w:multiLevelType w:val="hybridMultilevel"/>
    <w:lvl w:ilvl="0">
      <w:lvlJc w:val="left"/>
      <w:lvlText w:val="(%1)"/>
      <w:numFmt w:val="lowerLetter"/>
      <w:start w:val="7"/>
    </w:lvl>
  </w:abstractNum>
  <w:abstractNum w:abstractNumId="75">
    <w:nsid w:val="6181EF69"/>
    <w:multiLevelType w:val="hybridMultilevel"/>
    <w:lvl w:ilvl="0">
      <w:lvlJc w:val="left"/>
      <w:lvlText w:val="(%1)"/>
      <w:numFmt w:val="lowerLetter"/>
      <w:start w:val="1"/>
    </w:lvl>
  </w:abstractNum>
  <w:abstractNum w:abstractNumId="76">
    <w:nsid w:val="3E6400E6"/>
    <w:multiLevelType w:val="hybridMultilevel"/>
    <w:lvl w:ilvl="0">
      <w:lvlJc w:val="left"/>
      <w:lvlText w:val="(%1)"/>
      <w:numFmt w:val="lowerLetter"/>
      <w:start w:val="6"/>
    </w:lvl>
  </w:abstractNum>
  <w:abstractNum w:abstractNumId="77">
    <w:nsid w:val="14217E23"/>
    <w:multiLevelType w:val="hybridMultilevel"/>
    <w:lvl w:ilvl="0">
      <w:lvlJc w:val="left"/>
      <w:lvlText w:val="(%1)"/>
      <w:numFmt w:val="lowerLetter"/>
      <w:start w:val="2"/>
    </w:lvl>
  </w:abstractNum>
  <w:abstractNum w:abstractNumId="78">
    <w:nsid w:val="710757D0"/>
    <w:multiLevelType w:val="hybridMultilevel"/>
    <w:lvl w:ilvl="0">
      <w:lvlJc w:val="left"/>
      <w:lvlText w:val="(%1)"/>
      <w:numFmt w:val="lowerRoman"/>
      <w:start w:val="1"/>
    </w:lvl>
  </w:abstractNum>
  <w:abstractNum w:abstractNumId="79">
    <w:nsid w:val="5015CD1A"/>
    <w:multiLevelType w:val="hybridMultilevel"/>
    <w:lvl w:ilvl="0">
      <w:lvlJc w:val="left"/>
      <w:lvlText w:val="(%1)"/>
      <w:numFmt w:val="lowerLetter"/>
      <w:start w:val="1"/>
    </w:lvl>
  </w:abstractNum>
  <w:abstractNum w:abstractNumId="80">
    <w:nsid w:val="424479DA"/>
    <w:multiLevelType w:val="hybridMultilevel"/>
    <w:lvl w:ilvl="0">
      <w:lvlJc w:val="left"/>
      <w:lvlText w:val="%1"/>
      <w:numFmt w:val="lowerLetter"/>
      <w:start w:val="1"/>
    </w:lvl>
    <w:lvl w:ilvl="1">
      <w:lvlJc w:val="left"/>
      <w:lvlText w:val="(%2)"/>
      <w:numFmt w:val="lowerLetter"/>
      <w:start w:val="4"/>
    </w:lvl>
  </w:abstractNum>
  <w:abstractNum w:abstractNumId="81">
    <w:nsid w:val="1A9A9E69"/>
    <w:multiLevelType w:val="hybridMultilevel"/>
    <w:lvl w:ilvl="0">
      <w:lvlJc w:val="left"/>
      <w:lvlText w:val="(%1)"/>
      <w:numFmt w:val="lowerLetter"/>
      <w:start w:val="25"/>
    </w:lvl>
    <w:lvl w:ilvl="1">
      <w:lvlJc w:val="left"/>
      <w:lvlText w:val="(%2)"/>
      <w:numFmt w:val="lowerLetter"/>
      <w:start w:val="5"/>
    </w:lvl>
  </w:abstractNum>
  <w:abstractNum w:abstractNumId="82">
    <w:nsid w:val="475E256A"/>
    <w:multiLevelType w:val="hybridMultilevel"/>
    <w:lvl w:ilvl="0">
      <w:lvlJc w:val="left"/>
      <w:lvlText w:val="(%1)"/>
      <w:numFmt w:val="lowerLetter"/>
      <w:start w:val="7"/>
    </w:lvl>
  </w:abstractNum>
  <w:abstractNum w:abstractNumId="83">
    <w:nsid w:val="368DB37E"/>
    <w:multiLevelType w:val="hybridMultilevel"/>
    <w:lvl w:ilvl="0">
      <w:lvlJc w:val="left"/>
      <w:lvlText w:val="(%1)"/>
      <w:numFmt w:val="lowerLetter"/>
      <w:start w:val="1"/>
    </w:lvl>
  </w:abstractNum>
  <w:abstractNum w:abstractNumId="84">
    <w:nsid w:val="6A3B714C"/>
    <w:multiLevelType w:val="hybridMultilevel"/>
    <w:lvl w:ilvl="0">
      <w:lvlJc w:val="left"/>
      <w:lvlText w:val="(%1)"/>
      <w:numFmt w:val="lowerLetter"/>
      <w:start w:val="1"/>
    </w:lvl>
  </w:abstractNum>
  <w:abstractNum w:abstractNumId="85">
    <w:nsid w:val="327B517E"/>
    <w:multiLevelType w:val="hybridMultilevel"/>
    <w:lvl w:ilvl="0">
      <w:lvlJc w:val="left"/>
      <w:lvlText w:val="(%1)"/>
      <w:numFmt w:val="lowerLetter"/>
      <w:start w:val="10"/>
    </w:lvl>
  </w:abstractNum>
  <w:abstractNum w:abstractNumId="86">
    <w:nsid w:val="1F461B51"/>
    <w:multiLevelType w:val="hybridMultilevel"/>
    <w:lvl w:ilvl="0">
      <w:lvlJc w:val="left"/>
      <w:lvlText w:val="(%1)"/>
      <w:numFmt w:val="lowerLetter"/>
      <w:start w:val="1"/>
    </w:lvl>
  </w:abstractNum>
  <w:abstractNum w:abstractNumId="87">
    <w:nsid w:val="29BACF25"/>
    <w:multiLevelType w:val="hybridMultilevel"/>
    <w:lvl w:ilvl="0">
      <w:lvlJc w:val="left"/>
      <w:lvlText w:val="(%1)"/>
      <w:numFmt w:val="lowerLetter"/>
      <w:start w:val="5"/>
    </w:lvl>
  </w:abstractNum>
  <w:abstractNum w:abstractNumId="88">
    <w:nsid w:val="5D5BABB3"/>
    <w:multiLevelType w:val="hybridMultilevel"/>
    <w:lvl w:ilvl="0">
      <w:lvlJc w:val="left"/>
      <w:lvlText w:val="(%1)"/>
      <w:numFmt w:val="lowerLetter"/>
      <w:start w:val="12"/>
    </w:lvl>
  </w:abstractNum>
  <w:abstractNum w:abstractNumId="89">
    <w:nsid w:val="51BF6B48"/>
    <w:multiLevelType w:val="hybridMultilevel"/>
    <w:lvl w:ilvl="0">
      <w:lvlJc w:val="left"/>
      <w:lvlText w:val="(%1)"/>
      <w:numFmt w:val="lowerRoman"/>
      <w:start w:val="1"/>
    </w:lvl>
  </w:abstractNum>
  <w:abstractNum w:abstractNumId="90">
    <w:nsid w:val="7E0F6384"/>
    <w:multiLevelType w:val="hybridMultilevel"/>
    <w:lvl w:ilvl="0">
      <w:lvlJc w:val="left"/>
      <w:lvlText w:val="(%1)"/>
      <w:numFmt w:val="lowerLetter"/>
      <w:start w:val="1"/>
    </w:lvl>
  </w:abstractNum>
  <w:abstractNum w:abstractNumId="91">
    <w:nsid w:val="2B4B8B53"/>
    <w:multiLevelType w:val="hybridMultilevel"/>
    <w:lvl w:ilvl="0">
      <w:lvlJc w:val="left"/>
      <w:lvlText w:val="(%1)"/>
      <w:numFmt w:val="lowerLetter"/>
      <w:start w:val="2"/>
    </w:lvl>
    <w:lvl w:ilvl="1">
      <w:lvlJc w:val="left"/>
      <w:lvlText w:val="(%2)"/>
      <w:numFmt w:val="lowerRoman"/>
      <w:start w:val="1"/>
    </w:lvl>
  </w:abstractNum>
  <w:abstractNum w:abstractNumId="92">
    <w:nsid w:val="72E3413A"/>
    <w:multiLevelType w:val="hybridMultilevel"/>
    <w:lvl w:ilvl="0">
      <w:lvlJc w:val="left"/>
      <w:lvlText w:val="(%1)"/>
      <w:numFmt w:val="lowerRoman"/>
      <w:start w:val="7"/>
    </w:lvl>
  </w:abstractNum>
  <w:abstractNum w:abstractNumId="93">
    <w:nsid w:val="116AE494"/>
    <w:multiLevelType w:val="hybridMultilevel"/>
    <w:lvl w:ilvl="0">
      <w:lvlJc w:val="left"/>
      <w:lvlText w:val="(%1)"/>
      <w:numFmt w:val="lowerLetter"/>
      <w:start w:val="1"/>
    </w:lvl>
  </w:abstractNum>
  <w:abstractNum w:abstractNumId="94">
    <w:nsid w:val="3494B2FB"/>
    <w:multiLevelType w:val="hybridMultilevel"/>
    <w:lvl w:ilvl="0">
      <w:lvlJc w:val="left"/>
      <w:lvlText w:val="%1"/>
      <w:numFmt w:val="upperLetter"/>
      <w:start w:val="1"/>
    </w:lvl>
    <w:lvl w:ilvl="1">
      <w:lvlJc w:val="left"/>
      <w:lvlText w:val="(%2)"/>
      <w:numFmt w:val="lowerRoman"/>
      <w:start w:val="1"/>
    </w:lvl>
  </w:abstractNum>
  <w:abstractNum w:abstractNumId="95">
    <w:nsid w:val="B13A31"/>
    <w:multiLevelType w:val="hybridMultilevel"/>
    <w:lvl w:ilvl="0">
      <w:lvlJc w:val="left"/>
      <w:lvlText w:val="(%1)"/>
      <w:numFmt w:val="upperLetter"/>
      <w:start w:val="3"/>
    </w:lvl>
    <w:lvl w:ilvl="1">
      <w:lvlJc w:val="left"/>
      <w:lvlText w:val="(%2)"/>
      <w:numFmt w:val="lowerRoman"/>
      <w:start w:val="4"/>
    </w:lvl>
  </w:abstractNum>
  <w:abstractNum w:abstractNumId="96">
    <w:nsid w:val="64429599"/>
    <w:multiLevelType w:val="hybridMultilevel"/>
    <w:lvl w:ilvl="0">
      <w:lvlJc w:val="left"/>
      <w:lvlText w:val="%1"/>
      <w:numFmt w:val="lowerLetter"/>
      <w:start w:val="1"/>
    </w:lvl>
    <w:lvl w:ilvl="1">
      <w:lvlJc w:val="left"/>
      <w:lvlText w:val="(%2)"/>
      <w:numFmt w:val="lowerRoman"/>
      <w:start w:val="8"/>
    </w:lvl>
  </w:abstractNum>
  <w:abstractNum w:abstractNumId="97">
    <w:nsid w:val="631F1690"/>
    <w:multiLevelType w:val="hybridMultilevel"/>
    <w:lvl w:ilvl="0">
      <w:lvlJc w:val="left"/>
      <w:lvlText w:val="(%1)"/>
      <w:numFmt w:val="lowerLetter"/>
      <w:start w:val="3"/>
    </w:lvl>
    <w:lvl w:ilvl="1">
      <w:lvlJc w:val="left"/>
      <w:lvlText w:val="%2"/>
      <w:numFmt w:val="lowerRoman"/>
      <w:start w:val="1"/>
    </w:lvl>
  </w:abstractNum>
  <w:abstractNum w:abstractNumId="98">
    <w:nsid w:val="25973E32"/>
    <w:multiLevelType w:val="hybridMultilevel"/>
    <w:lvl w:ilvl="0">
      <w:lvlJc w:val="left"/>
      <w:lvlText w:val="(%1)"/>
      <w:numFmt w:val="lowerLetter"/>
      <w:start w:val="1"/>
    </w:lvl>
  </w:abstractNum>
  <w:abstractNum w:abstractNumId="99">
    <w:nsid w:val="EAD6F57"/>
    <w:multiLevelType w:val="hybridMultilevel"/>
    <w:lvl w:ilvl="0">
      <w:lvlJc w:val="left"/>
      <w:lvlText w:val="(%1)"/>
      <w:numFmt w:val="lowerLetter"/>
      <w:start w:val="2"/>
    </w:lvl>
  </w:abstractNum>
  <w:abstractNum w:abstractNumId="100">
    <w:nsid w:val="6EC9D844"/>
    <w:multiLevelType w:val="hybridMultilevel"/>
    <w:lvl w:ilvl="0">
      <w:lvlJc w:val="left"/>
      <w:lvlText w:val="(%1)"/>
      <w:numFmt w:val="lowerLetter"/>
      <w:start w:val="1"/>
    </w:lvl>
  </w:abstractNum>
  <w:abstractNum w:abstractNumId="101">
    <w:nsid w:val="5C49EAEE"/>
    <w:multiLevelType w:val="hybridMultilevel"/>
    <w:lvl w:ilvl="0">
      <w:lvlJc w:val="left"/>
      <w:lvlText w:val="(%1)"/>
      <w:numFmt w:val="upperLetter"/>
      <w:start w:val="1"/>
    </w:lvl>
    <w:lvl w:ilvl="1">
      <w:lvlJc w:val="left"/>
      <w:lvlText w:val="(%2)"/>
      <w:numFmt w:val="lowerLetter"/>
      <w:start w:val="2"/>
    </w:lvl>
  </w:abstractNum>
  <w:abstractNum w:abstractNumId="102">
    <w:nsid w:val="64AF49B"/>
    <w:multiLevelType w:val="hybridMultilevel"/>
    <w:lvl w:ilvl="0">
      <w:lvlJc w:val="left"/>
      <w:lvlText w:val="(%1)"/>
      <w:numFmt w:val="lowerLetter"/>
      <w:start w:val="1"/>
    </w:lvl>
  </w:abstractNum>
  <w:abstractNum w:abstractNumId="103">
    <w:nsid w:val="397C46BC"/>
    <w:multiLevelType w:val="hybridMultilevel"/>
    <w:lvl w:ilvl="0">
      <w:lvlJc w:val="left"/>
      <w:lvlText w:val="%1"/>
      <w:numFmt w:val="decimal"/>
      <w:start w:val="1"/>
    </w:lvl>
    <w:lvl w:ilvl="1">
      <w:lvlJc w:val="left"/>
      <w:lvlText w:val="(%2)"/>
      <w:numFmt w:val="lowerLetter"/>
      <w:start w:val="2"/>
    </w:lvl>
  </w:abstractNum>
  <w:abstractNum w:abstractNumId="104">
    <w:nsid w:val="7E448DE9"/>
    <w:multiLevelType w:val="hybridMultilevel"/>
    <w:lvl w:ilvl="0">
      <w:lvlJc w:val="left"/>
      <w:lvlText w:val="(%1)"/>
      <w:numFmt w:val="decimal"/>
      <w:start w:val="2"/>
    </w:lvl>
    <w:lvl w:ilvl="1">
      <w:lvlJc w:val="left"/>
      <w:lvlText w:val="(%2)"/>
      <w:numFmt w:val="lowerLetter"/>
      <w:start w:val="5"/>
    </w:lvl>
  </w:abstractNum>
  <w:abstractNum w:abstractNumId="105">
    <w:nsid w:val="5A9CC3E5"/>
    <w:multiLevelType w:val="hybridMultilevel"/>
    <w:lvl w:ilvl="0">
      <w:lvlJc w:val="left"/>
      <w:lvlText w:val="%1"/>
      <w:numFmt w:val="lowerLetter"/>
      <w:start w:val="1"/>
    </w:lvl>
    <w:lvl w:ilvl="1">
      <w:lvlJc w:val="left"/>
      <w:lvlText w:val="(%2)"/>
      <w:numFmt w:val="lowerLetter"/>
      <w:start w:val="2"/>
    </w:lvl>
  </w:abstractNum>
  <w:abstractNum w:abstractNumId="106">
    <w:nsid w:val="1AFE3625"/>
    <w:multiLevelType w:val="hybridMultilevel"/>
    <w:lvl w:ilvl="0">
      <w:lvlJc w:val="left"/>
      <w:lvlText w:val="(%1)"/>
      <w:numFmt w:val="lowerLetter"/>
      <w:start w:val="61"/>
    </w:lvl>
    <w:lvl w:ilvl="1">
      <w:lvlJc w:val="left"/>
      <w:lvlText w:val="(%2)"/>
      <w:numFmt w:val="lowerLetter"/>
      <w:start w:val="3"/>
    </w:lvl>
  </w:abstractNum>
  <w:abstractNum w:abstractNumId="107">
    <w:nsid w:val="3CA88ECF"/>
    <w:multiLevelType w:val="hybridMultilevel"/>
    <w:lvl w:ilvl="0">
      <w:lvlJc w:val="left"/>
      <w:lvlText w:val="(%1)"/>
      <w:numFmt w:val="lowerLetter"/>
      <w:start w:val="5"/>
    </w:lvl>
  </w:abstractNum>
  <w:abstractNum w:abstractNumId="108">
    <w:nsid w:val="6EBE4208"/>
    <w:multiLevelType w:val="hybridMultilevel"/>
    <w:lvl w:ilvl="0">
      <w:lvlJc w:val="left"/>
      <w:lvlText w:val="(%1)"/>
      <w:numFmt w:val="lowerLetter"/>
      <w:start w:val="1"/>
    </w:lvl>
  </w:abstractNum>
  <w:abstractNum w:abstractNumId="109">
    <w:nsid w:val="C058DF5"/>
    <w:multiLevelType w:val="hybridMultilevel"/>
    <w:lvl w:ilvl="0">
      <w:lvlJc w:val="left"/>
      <w:lvlText w:val="(%1)"/>
      <w:numFmt w:val="decimal"/>
      <w:start w:val="2"/>
    </w:lvl>
    <w:lvl w:ilvl="1">
      <w:lvlJc w:val="left"/>
      <w:lvlText w:val="(%2)"/>
      <w:numFmt w:val="lowerLetter"/>
      <w:start w:val="4"/>
    </w:lvl>
  </w:abstractNum>
  <w:abstractNum w:abstractNumId="110">
    <w:nsid w:val="CBE5BE9"/>
    <w:multiLevelType w:val="hybridMultilevel"/>
    <w:lvl w:ilvl="0">
      <w:lvlJc w:val="left"/>
      <w:lvlText w:val="(%1)"/>
      <w:numFmt w:val="lowerLetter"/>
      <w:start w:val="1"/>
    </w:lvl>
  </w:abstractNum>
  <w:abstractNum w:abstractNumId="111">
    <w:nsid w:val="3102BBE2"/>
    <w:multiLevelType w:val="hybridMultilevel"/>
    <w:lvl w:ilvl="0">
      <w:lvlJc w:val="left"/>
      <w:lvlText w:val="(%1)"/>
      <w:numFmt w:val="lowerLetter"/>
      <w:start w:val="2"/>
    </w:lvl>
  </w:abstractNum>
  <w:abstractNum w:abstractNumId="112">
    <w:nsid w:val="26A02C5E"/>
    <w:multiLevelType w:val="hybridMultilevel"/>
    <w:lvl w:ilvl="0">
      <w:lvlJc w:val="left"/>
      <w:lvlText w:val="%1"/>
      <w:numFmt w:val="upperLetter"/>
      <w:start w:val="1"/>
    </w:lvl>
    <w:lvl w:ilvl="1">
      <w:lvlJc w:val="left"/>
      <w:lvlText w:val="(%2)"/>
      <w:numFmt w:val="lowerLetter"/>
      <w:start w:val="1"/>
    </w:lvl>
  </w:abstractNum>
  <w:abstractNum w:abstractNumId="113">
    <w:nsid w:val="541C8153"/>
    <w:multiLevelType w:val="hybridMultilevel"/>
    <w:lvl w:ilvl="0">
      <w:lvlJc w:val="left"/>
      <w:lvlText w:val="(%1)"/>
      <w:numFmt w:val="upperLetter"/>
      <w:start w:val="1"/>
    </w:lvl>
    <w:lvl w:ilvl="1">
      <w:lvlJc w:val="left"/>
      <w:lvlText w:val="%2"/>
      <w:numFmt w:val="lowerLetter"/>
      <w:start w:val="1"/>
    </w:lvl>
  </w:abstractNum>
  <w:abstractNum w:abstractNumId="114">
    <w:nsid w:val="67906F60"/>
    <w:multiLevelType w:val="hybridMultilevel"/>
    <w:lvl w:ilvl="0">
      <w:lvlJc w:val="left"/>
      <w:lvlText w:val="(%1)"/>
      <w:numFmt w:val="lowerLetter"/>
      <w:start w:val="2"/>
    </w:lvl>
  </w:abstractNum>
  <w:abstractNum w:abstractNumId="115">
    <w:nsid w:val="10DB9DAA"/>
    <w:multiLevelType w:val="hybridMultilevel"/>
    <w:lvl w:ilvl="0">
      <w:lvlJc w:val="left"/>
      <w:lvlText w:val="(%1)"/>
      <w:numFmt w:val="lowerLetter"/>
      <w:start w:val="1"/>
    </w:lvl>
  </w:abstractNum>
  <w:abstractNum w:abstractNumId="116">
    <w:nsid w:val="697D2D2"/>
    <w:multiLevelType w:val="hybridMultilevel"/>
    <w:lvl w:ilvl="0">
      <w:lvlJc w:val="left"/>
      <w:lvlText w:val="(%1)"/>
      <w:numFmt w:val="lowerLetter"/>
      <w:start w:val="1"/>
    </w:lvl>
  </w:abstractNum>
  <w:abstractNum w:abstractNumId="117">
    <w:nsid w:val="6D68AB2"/>
    <w:multiLevelType w:val="hybridMultilevel"/>
    <w:lvl w:ilvl="0">
      <w:lvlJc w:val="left"/>
      <w:lvlText w:val="(%1)"/>
      <w:numFmt w:val="lowerLetter"/>
      <w:start w:val="5"/>
    </w:lvl>
  </w:abstractNum>
  <w:abstractNum w:abstractNumId="118">
    <w:nsid w:val="3A966CD0"/>
    <w:multiLevelType w:val="hybridMultilevel"/>
    <w:lvl w:ilvl="0">
      <w:lvlJc w:val="left"/>
      <w:lvlText w:val="(%1)"/>
      <w:numFmt w:val="lowerLetter"/>
      <w:start w:val="2"/>
    </w:lvl>
  </w:abstractNum>
  <w:abstractNum w:abstractNumId="119">
    <w:nsid w:val="63F37E85"/>
    <w:multiLevelType w:val="hybridMultilevel"/>
    <w:lvl w:ilvl="0">
      <w:lvlJc w:val="left"/>
      <w:lvlText w:val="(%1)"/>
      <w:numFmt w:val="lowerLetter"/>
      <w:start w:val="1"/>
    </w:lvl>
  </w:abstractNum>
  <w:abstractNum w:abstractNumId="120">
    <w:nsid w:val="5895F5FA"/>
    <w:multiLevelType w:val="hybridMultilevel"/>
    <w:lvl w:ilvl="0">
      <w:lvlJc w:val="left"/>
      <w:lvlText w:val="(%1)"/>
      <w:numFmt w:val="lowerLetter"/>
      <w:start w:val="1"/>
    </w:lvl>
  </w:abstractNum>
  <w:abstractNum w:abstractNumId="121">
    <w:nsid w:val="38A5D054"/>
    <w:multiLevelType w:val="hybridMultilevel"/>
    <w:lvl w:ilvl="0">
      <w:lvlJc w:val="left"/>
      <w:lvlText w:val="(%1)"/>
      <w:numFmt w:val="lowerLetter"/>
      <w:start w:val="2"/>
    </w:lvl>
  </w:abstractNum>
  <w:abstractNum w:abstractNumId="122">
    <w:nsid w:val="F3F09D8"/>
    <w:multiLevelType w:val="hybridMultilevel"/>
    <w:lvl w:ilvl="0">
      <w:lvlJc w:val="left"/>
      <w:lvlText w:val="(%1)"/>
      <w:numFmt w:val="lowerLetter"/>
      <w:start w:val="1"/>
    </w:lvl>
  </w:abstractNum>
  <w:abstractNum w:abstractNumId="123">
    <w:nsid w:val="4B793735"/>
    <w:multiLevelType w:val="hybridMultilevel"/>
    <w:lvl w:ilvl="0">
      <w:lvlJc w:val="left"/>
      <w:lvlText w:val="(%1)"/>
      <w:numFmt w:val="lowerLetter"/>
      <w:start w:val="1"/>
    </w:lvl>
  </w:abstractNum>
  <w:abstractNum w:abstractNumId="124">
    <w:nsid w:val="4A10B4E8"/>
    <w:multiLevelType w:val="hybridMultilevel"/>
    <w:lvl w:ilvl="0">
      <w:lvlJc w:val="left"/>
      <w:lvlText w:val="(%1)"/>
      <w:numFmt w:val="lowerLetter"/>
      <w:start w:val="6"/>
    </w:lvl>
  </w:abstractNum>
  <w:abstractNum w:abstractNumId="125">
    <w:nsid w:val="43D3BCD4"/>
    <w:multiLevelType w:val="hybridMultilevel"/>
    <w:lvl w:ilvl="0">
      <w:lvlJc w:val="left"/>
      <w:lvlText w:val="%1"/>
      <w:numFmt w:val="lowerLetter"/>
      <w:start w:val="1"/>
    </w:lvl>
    <w:lvl w:ilvl="1">
      <w:lvlJc w:val="left"/>
      <w:lvlText w:val="(%2)"/>
      <w:numFmt w:val="lowerLetter"/>
      <w:start w:val="1"/>
    </w:lvl>
  </w:abstractNum>
  <w:abstractNum w:abstractNumId="126">
    <w:nsid w:val="4C2A7166"/>
    <w:multiLevelType w:val="hybridMultilevel"/>
    <w:lvl w:ilvl="0">
      <w:lvlJc w:val="left"/>
      <w:lvlText w:val="(%1)"/>
      <w:numFmt w:val="lowerLetter"/>
      <w:start w:val="9"/>
    </w:lvl>
    <w:lvl w:ilvl="1">
      <w:lvlJc w:val="left"/>
      <w:lvlText w:val="(%2)"/>
      <w:numFmt w:val="lowerLetter"/>
      <w:start w:val="2"/>
    </w:lvl>
  </w:abstractNum>
  <w:abstractNum w:abstractNumId="127">
    <w:nsid w:val="2E534A82"/>
    <w:multiLevelType w:val="hybridMultilevel"/>
    <w:lvl w:ilvl="0">
      <w:lvlJc w:val="left"/>
      <w:lvlText w:val="(%1)"/>
      <w:numFmt w:val="decimal"/>
      <w:start w:val="10"/>
    </w:lvl>
    <w:lvl w:ilvl="1">
      <w:lvlJc w:val="left"/>
      <w:lvlText w:val="(%2)"/>
      <w:numFmt w:val="lowerLetter"/>
      <w:start w:val="3"/>
    </w:lvl>
  </w:abstractNum>
  <w:abstractNum w:abstractNumId="128">
    <w:nsid w:val="26F2D364"/>
    <w:multiLevelType w:val="hybridMultilevel"/>
    <w:lvl w:ilvl="0">
      <w:lvlJc w:val="left"/>
      <w:lvlText w:val="(%1)"/>
      <w:numFmt w:val="lowerLetter"/>
      <w:start w:val="5"/>
    </w:lvl>
  </w:abstractNum>
  <w:abstractNum w:abstractNumId="129">
    <w:nsid w:val="71C1AF98"/>
    <w:multiLevelType w:val="hybridMultilevel"/>
    <w:lvl w:ilvl="0">
      <w:lvlJc w:val="left"/>
      <w:lvlText w:val="(%1)"/>
      <w:numFmt w:val="lowerLetter"/>
      <w:start w:val="1"/>
    </w:lvl>
  </w:abstractNum>
  <w:abstractNum w:abstractNumId="130">
    <w:nsid w:val="3D00B9D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1">
    <w:nsid w:val="15BCABA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32">
    <w:nsid w:val="4E0B9A87"/>
    <w:multiLevelType w:val="hybridMultilevel"/>
    <w:lvl w:ilvl="0">
      <w:lvlJc w:val="left"/>
      <w:lvlText w:val="%1"/>
      <w:numFmt w:val="decimal"/>
      <w:start w:val="1"/>
    </w:lvl>
    <w:lvl w:ilvl="1">
      <w:lvlJc w:val="left"/>
      <w:lvlText w:val="(%2)"/>
      <w:numFmt w:val="lowerLetter"/>
      <w:start w:val="3"/>
    </w:lvl>
  </w:abstractNum>
  <w:abstractNum w:abstractNumId="133">
    <w:nsid w:val="434BAE75"/>
    <w:multiLevelType w:val="hybridMultilevel"/>
    <w:lvl w:ilvl="0">
      <w:lvlJc w:val="left"/>
      <w:lvlText w:val="%1."/>
      <w:numFmt w:val="decimal"/>
      <w:start w:val="2"/>
    </w:lvl>
    <w:lvl w:ilvl="1">
      <w:lvlJc w:val="left"/>
      <w:lvlText w:val="(%2)"/>
      <w:numFmt w:val="lowerLetter"/>
      <w:start w:val="1"/>
    </w:lvl>
  </w:abstractNum>
  <w:abstractNum w:abstractNumId="134">
    <w:nsid w:val="4F38F265"/>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35">
    <w:nsid w:val="4C502870"/>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2"/>
    </w:lvl>
  </w:abstractNum>
  <w:abstractNum w:abstractNumId="136">
    <w:nsid w:val="1DE8725A"/>
    <w:multiLevelType w:val="hybridMultilevel"/>
    <w:lvl w:ilvl="0">
      <w:lvlJc w:val="left"/>
      <w:lvlText w:val="%1."/>
      <w:numFmt w:val="decimal"/>
      <w:start w:val="6"/>
    </w:lvl>
    <w:lvl w:ilvl="1">
      <w:lvlJc w:val="left"/>
      <w:lvlText w:val="(%2)"/>
      <w:numFmt w:val="lowerLetter"/>
      <w:start w:val="1"/>
    </w:lvl>
  </w:abstractNum>
  <w:abstractNum w:abstractNumId="137">
    <w:nsid w:val="6A37288A"/>
    <w:multiLevelType w:val="hybridMultilevel"/>
    <w:lvl w:ilvl="0">
      <w:lvlJc w:val="left"/>
      <w:lvlText w:val="(%1)"/>
      <w:numFmt w:val="lowerLetter"/>
      <w:start w:val="2"/>
    </w:lvl>
  </w:abstractNum>
  <w:abstractNum w:abstractNumId="138">
    <w:nsid w:val="8F8B73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139">
    <w:nsid w:val="CA6B46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40">
    <w:nsid w:val="763CB680"/>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141">
    <w:nsid w:val="15B71329"/>
    <w:multiLevelType w:val="hybridMultilevel"/>
    <w:lvl w:ilvl="0">
      <w:lvlJc w:val="left"/>
      <w:lvlText w:val="%1"/>
      <w:numFmt w:val="upperLetter"/>
      <w:start w:val="1"/>
    </w:lvl>
    <w:lvl w:ilvl="1">
      <w:lvlJc w:val="left"/>
      <w:lvlText w:val="(%2)"/>
      <w:numFmt w:val="lowerLetter"/>
      <w:start w:val="5"/>
    </w:lvl>
  </w:abstractNum>
  <w:abstractNum w:abstractNumId="142">
    <w:nsid w:val="3DA97044"/>
    <w:multiLevelType w:val="hybridMultilevel"/>
    <w:lvl w:ilvl="0">
      <w:lvlJc w:val="left"/>
      <w:lvlText w:val="(%1)"/>
      <w:numFmt w:val="upperLetter"/>
      <w:start w:val="2"/>
    </w:lvl>
    <w:lvl w:ilvl="1">
      <w:lvlJc w:val="left"/>
      <w:lvlText w:val="%2"/>
      <w:numFmt w:val="lowerLetter"/>
      <w:start w:val="1"/>
    </w:lvl>
  </w:abstractNum>
  <w:abstractNum w:abstractNumId="143">
    <w:nsid w:val="1CDCE2DE"/>
    <w:multiLevelType w:val="hybridMultilevel"/>
    <w:lvl w:ilvl="0">
      <w:lvlJc w:val="left"/>
      <w:lvlText w:val="(%1)"/>
      <w:numFmt w:val="lowerLetter"/>
      <w:start w:val="11"/>
    </w:lvl>
  </w:abstractNum>
  <w:abstractNum w:abstractNumId="144">
    <w:nsid w:val="69D3947C"/>
    <w:multiLevelType w:val="hybridMultilevel"/>
    <w:lvl w:ilvl="0">
      <w:lvlJc w:val="left"/>
      <w:lvlText w:val="%1."/>
      <w:numFmt w:val="decimal"/>
      <w:start w:val="1"/>
    </w:lvl>
    <w:lvl w:ilvl="1">
      <w:lvlJc w:val="left"/>
      <w:lvlText w:val="(%2)"/>
      <w:numFmt w:val="lowerLetter"/>
      <w:start w:val="1"/>
    </w:lvl>
  </w:abstractNum>
  <w:abstractNum w:abstractNumId="145">
    <w:nsid w:val="2539DFA5"/>
    <w:multiLevelType w:val="hybridMultilevel"/>
    <w:lvl w:ilvl="0">
      <w:lvlJc w:val="left"/>
      <w:lvlText w:val="%1"/>
      <w:numFmt w:val="decimal"/>
      <w:start w:val="1"/>
    </w:lvl>
    <w:lvl w:ilvl="1">
      <w:lvlJc w:val="left"/>
      <w:lvlText w:val="(%2)"/>
      <w:numFmt w:val="lowerLetter"/>
      <w:start w:val="3"/>
    </w:lvl>
  </w:abstractNum>
  <w:abstractNum w:abstractNumId="146">
    <w:nsid w:val="2DB88089"/>
    <w:multiLevelType w:val="hybridMultilevel"/>
    <w:lvl w:ilvl="0">
      <w:lvlJc w:val="left"/>
      <w:lvlText w:val="%1."/>
      <w:numFmt w:val="decimal"/>
      <w:start w:val="2"/>
    </w:lvl>
    <w:lvl w:ilvl="1">
      <w:lvlJc w:val="left"/>
      <w:lvlText w:val="(%2)"/>
      <w:numFmt w:val="lowerLetter"/>
      <w:start w:val="1"/>
    </w:lvl>
  </w:abstractNum>
  <w:abstractNum w:abstractNumId="147">
    <w:nsid w:val="706B674E"/>
    <w:multiLevelType w:val="hybridMultilevel"/>
    <w:lvl w:ilvl="0">
      <w:lvlJc w:val="left"/>
      <w:lvlText w:val="%1."/>
      <w:numFmt w:val="decimal"/>
      <w:start w:val="3"/>
    </w:lvl>
    <w:lvl w:ilvl="1">
      <w:lvlJc w:val="left"/>
      <w:lvlText w:val="(%2)"/>
      <w:numFmt w:val="lowerLetter"/>
      <w:start w:val="1"/>
    </w:lvl>
  </w:abstractNum>
  <w:abstractNum w:abstractNumId="148">
    <w:nsid w:val="2C106A57"/>
    <w:multiLevelType w:val="hybridMultilevel"/>
    <w:lvl w:ilvl="0">
      <w:lvlJc w:val="left"/>
      <w:lvlText w:val="%1."/>
      <w:numFmt w:val="decimal"/>
      <w:start w:val="6"/>
    </w:lvl>
    <w:lvl w:ilvl="1">
      <w:lvlJc w:val="left"/>
      <w:lvlText w:val="(%2)"/>
      <w:numFmt w:val="lowerLetter"/>
      <w:start w:val="1"/>
    </w:lvl>
  </w:abstractNum>
  <w:abstractNum w:abstractNumId="149">
    <w:nsid w:val="684EED59"/>
    <w:multiLevelType w:val="hybridMultilevel"/>
    <w:lvl w:ilvl="0">
      <w:lvlJc w:val="left"/>
      <w:lvlText w:val="(%1)"/>
      <w:numFmt w:val="lowerLetter"/>
      <w:start w:val="2"/>
    </w:lvl>
  </w:abstractNum>
  <w:abstractNum w:abstractNumId="150">
    <w:nsid w:val="545EE5D3"/>
    <w:multiLevelType w:val="hybridMultilevel"/>
    <w:lvl w:ilvl="0">
      <w:lvlJc w:val="left"/>
      <w:lvlText w:val="%1"/>
      <w:numFmt w:val="decimal"/>
      <w:start w:val="1"/>
    </w:lvl>
    <w:lvl w:ilvl="1">
      <w:lvlJc w:val="left"/>
      <w:lvlText w:val="(%2)"/>
      <w:numFmt w:val="lowerLetter"/>
      <w:start w:val="6"/>
    </w:lvl>
  </w:abstractNum>
  <w:abstractNum w:abstractNumId="151">
    <w:nsid w:val="4A66051"/>
    <w:multiLevelType w:val="hybridMultilevel"/>
    <w:lvl w:ilvl="0">
      <w:lvlJc w:val="left"/>
      <w:lvlText w:val="%1."/>
      <w:numFmt w:val="decimal"/>
      <w:start w:val="10"/>
    </w:lvl>
    <w:lvl w:ilvl="1">
      <w:lvlJc w:val="left"/>
      <w:lvlText w:val="(%2)"/>
      <w:numFmt w:val="lowerLetter"/>
      <w:start w:val="1"/>
    </w:lvl>
  </w:abstractNum>
  <w:abstractNum w:abstractNumId="152">
    <w:nsid w:val="20F4BDAD"/>
    <w:multiLevelType w:val="hybridMultilevel"/>
    <w:lvl w:ilvl="0">
      <w:lvlJc w:val="left"/>
      <w:lvlText w:val="(%1)"/>
      <w:numFmt w:val="lowerLetter"/>
      <w:start w:val="5"/>
    </w:lvl>
  </w:abstractNum>
  <w:abstractNum w:abstractNumId="153">
    <w:nsid w:val="639DEFAC"/>
    <w:multiLevelType w:val="hybridMultilevel"/>
    <w:lvl w:ilvl="0">
      <w:lvlJc w:val="left"/>
      <w:lvlText w:val="(%1)"/>
      <w:numFmt w:val="lowerLetter"/>
      <w:start w:val="9"/>
    </w:lvl>
  </w:abstractNum>
  <w:abstractNum w:abstractNumId="154">
    <w:nsid w:val="501F9786"/>
    <w:multiLevelType w:val="hybridMultilevel"/>
    <w:lvl w:ilvl="0">
      <w:lvlJc w:val="left"/>
      <w:lvlText w:val="(%1)"/>
      <w:numFmt w:val="lowerLetter"/>
      <w:start w:val="13"/>
    </w:lvl>
  </w:abstractNum>
  <w:abstractNum w:abstractNumId="155">
    <w:nsid w:val="6B057295"/>
    <w:multiLevelType w:val="hybridMultilevel"/>
    <w:lvl w:ilvl="0">
      <w:lvlJc w:val="left"/>
      <w:lvlText w:val="(%1)"/>
      <w:numFmt w:val="decimal"/>
      <w:start w:val="1"/>
    </w:lvl>
  </w:abstractNum>
  <w:abstractNum w:abstractNumId="156">
    <w:nsid w:val="2771AC80"/>
    <w:multiLevelType w:val="hybridMultilevel"/>
    <w:lvl w:ilvl="0">
      <w:lvlJc w:val="left"/>
      <w:lvlText w:val="(%1)"/>
      <w:numFmt w:val="lowerLetter"/>
      <w:start w:val="1"/>
    </w:lvl>
    <w:lvl w:ilvl="1">
      <w:lvlJc w:val="left"/>
      <w:lvlText w:val="(%2)"/>
      <w:numFmt w:val="decimal"/>
      <w:start w:val="1"/>
    </w:lvl>
  </w:abstractNum>
  <w:abstractNum w:abstractNumId="157">
    <w:nsid w:val="1C4A08EC"/>
    <w:multiLevelType w:val="hybridMultilevel"/>
    <w:lvl w:ilvl="0">
      <w:lvlJc w:val="left"/>
      <w:lvlText w:val="(%1)"/>
      <w:numFmt w:val="lowerLetter"/>
      <w:start w:val="2"/>
    </w:lvl>
  </w:abstractNum>
  <w:abstractNum w:abstractNumId="158">
    <w:nsid w:val="1958BD17"/>
    <w:multiLevelType w:val="hybridMultilevel"/>
    <w:lvl w:ilvl="0">
      <w:lvlJc w:val="left"/>
      <w:lvlText w:val="(%1)"/>
      <w:numFmt w:val="lowerLetter"/>
      <w:start w:val="4"/>
    </w:lvl>
  </w:abstractNum>
  <w:abstractNum w:abstractNumId="159">
    <w:nsid w:val="4E647FE4"/>
    <w:multiLevelType w:val="hybridMultilevel"/>
    <w:lvl w:ilvl="0">
      <w:lvlJc w:val="left"/>
      <w:lvlText w:val="(%1)"/>
      <w:numFmt w:val="decimal"/>
      <w:start w:val="2"/>
    </w:lvl>
  </w:abstractNum>
  <w:abstractNum w:abstractNumId="160">
    <w:nsid w:val="E0BB885"/>
    <w:multiLevelType w:val="hybridMultilevel"/>
    <w:lvl w:ilvl="0">
      <w:lvlJc w:val="left"/>
      <w:lvlText w:val="(%1)"/>
      <w:numFmt w:val="lowerLetter"/>
      <w:start w:val="1"/>
    </w:lvl>
  </w:abstractNum>
  <w:abstractNum w:abstractNumId="161">
    <w:nsid w:val="565976F1"/>
    <w:multiLevelType w:val="hybridMultilevel"/>
    <w:lvl w:ilvl="0">
      <w:lvlJc w:val="left"/>
      <w:lvlText w:val="(%1)"/>
      <w:numFmt w:val="lowerLetter"/>
      <w:start w:val="4"/>
    </w:lvl>
  </w:abstractNum>
  <w:abstractNum w:abstractNumId="162">
    <w:nsid w:val="64212B8C"/>
    <w:multiLevelType w:val="hybridMultilevel"/>
    <w:lvl w:ilvl="0">
      <w:lvlJc w:val="left"/>
      <w:lvlText w:val="(%1)"/>
      <w:numFmt w:val="lowerLetter"/>
      <w:start w:val="1"/>
    </w:lvl>
  </w:abstractNum>
  <w:abstractNum w:abstractNumId="163">
    <w:nsid w:val="5C17530C"/>
    <w:multiLevelType w:val="hybridMultilevel"/>
    <w:lvl w:ilvl="0">
      <w:lvlJc w:val="left"/>
      <w:lvlText w:val="(%1)"/>
      <w:numFmt w:val="lowerLetter"/>
      <w:start w:val="4"/>
    </w:lvl>
  </w:abstractNum>
  <w:abstractNum w:abstractNumId="164">
    <w:nsid w:val="19A52566"/>
    <w:multiLevelType w:val="hybridMultilevel"/>
    <w:lvl w:ilvl="0">
      <w:lvlJc w:val="left"/>
      <w:lvlText w:val="(%1)"/>
      <w:numFmt w:val="lowerLetter"/>
      <w:start w:val="4"/>
    </w:lvl>
  </w:abstractNum>
  <w:abstractNum w:abstractNumId="165">
    <w:nsid w:val="335A1DF1"/>
    <w:multiLevelType w:val="hybridMultilevel"/>
    <w:lvl w:ilvl="0">
      <w:lvlJc w:val="left"/>
      <w:lvlText w:val="%1."/>
      <w:numFmt w:val="decimal"/>
      <w:start w:val="1"/>
    </w:lvl>
  </w:abstractNum>
  <w:abstractNum w:abstractNumId="166">
    <w:nsid w:val="28677B7C"/>
    <w:multiLevelType w:val="hybridMultilevel"/>
    <w:lvl w:ilvl="0">
      <w:lvlJc w:val="left"/>
      <w:lvlText w:val="%1."/>
      <w:numFmt w:val="decimal"/>
      <w:start w:val="2"/>
    </w:lvl>
    <w:lvl w:ilvl="1">
      <w:lvlJc w:val="left"/>
      <w:lvlText w:val="(%2)"/>
      <w:numFmt w:val="lowerLetter"/>
      <w:start w:val="8"/>
    </w:lvl>
    <w:lvl w:ilvl="2">
      <w:lvlJc w:val="left"/>
      <w:lvlText w:val="(%3)"/>
      <w:numFmt w:val="lowerLetter"/>
      <w:start w:val="1"/>
    </w:lvl>
  </w:abstractNum>
  <w:abstractNum w:abstractNumId="167">
    <w:nsid w:val="378D97C0"/>
    <w:multiLevelType w:val="hybridMultilevel"/>
    <w:lvl w:ilvl="0">
      <w:lvlJc w:val="left"/>
      <w:lvlText w:val="%1"/>
      <w:numFmt w:val="lowerLetter"/>
      <w:start w:val="1"/>
    </w:lvl>
    <w:lvl w:ilvl="1">
      <w:lvlJc w:val="left"/>
      <w:lvlText w:val="(%2)"/>
      <w:numFmt w:val="lowerLetter"/>
      <w:start w:val="2"/>
    </w:lvl>
  </w:abstractNum>
  <w:abstractNum w:abstractNumId="168">
    <w:nsid w:val="1D91467C"/>
    <w:multiLevelType w:val="hybridMultilevel"/>
    <w:lvl w:ilvl="0">
      <w:lvlJc w:val="left"/>
      <w:lvlText w:val="%1."/>
      <w:numFmt w:val="lowerLetter"/>
      <w:start w:val="1"/>
    </w:lvl>
    <w:lvl w:ilvl="1">
      <w:lvlJc w:val="left"/>
      <w:lvlText w:val="%2"/>
      <w:numFmt w:val="lowerLetter"/>
      <w:start w:val="1"/>
    </w:lvl>
  </w:abstractNum>
  <w:abstractNum w:abstractNumId="169">
    <w:nsid w:val="316032BB"/>
    <w:multiLevelType w:val="hybridMultilevel"/>
    <w:lvl w:ilvl="0">
      <w:lvlJc w:val="left"/>
      <w:lvlText w:val="(%1)"/>
      <w:numFmt w:val="lowerLetter"/>
      <w:start w:val="4"/>
    </w:lvl>
  </w:abstractNum>
  <w:abstractNum w:abstractNumId="170">
    <w:nsid w:val="44344C22"/>
    <w:multiLevelType w:val="hybridMultilevel"/>
    <w:lvl w:ilvl="0">
      <w:lvlJc w:val="left"/>
      <w:lvlText w:val="%1"/>
      <w:numFmt w:val="decimal"/>
      <w:start w:val="1"/>
    </w:lvl>
    <w:lvl w:ilvl="1">
      <w:lvlJc w:val="left"/>
      <w:lvlText w:val="(%2)"/>
      <w:numFmt w:val="lowerLetter"/>
      <w:start w:val="5"/>
    </w:lvl>
  </w:abstractNum>
  <w:abstractNum w:abstractNumId="171">
    <w:nsid w:val="13CDFCFC"/>
    <w:multiLevelType w:val="hybridMultilevel"/>
    <w:lvl w:ilvl="0">
      <w:lvlJc w:val="left"/>
      <w:lvlText w:val="%1."/>
      <w:numFmt w:val="decimal"/>
      <w:start w:val="3"/>
    </w:lvl>
    <w:lvl w:ilvl="1">
      <w:lvlJc w:val="left"/>
      <w:lvlText w:val="%2"/>
      <w:numFmt w:val="lowerLetter"/>
      <w:start w:val="1"/>
    </w:lvl>
  </w:abstractNum>
  <w:abstractNum w:abstractNumId="172">
    <w:nsid w:val="471745E4"/>
    <w:multiLevelType w:val="hybridMultilevel"/>
    <w:lvl w:ilvl="0">
      <w:lvlJc w:val="left"/>
      <w:lvlText w:val="(%1)"/>
      <w:numFmt w:val="lowerLetter"/>
      <w:start w:val="1"/>
    </w:lvl>
  </w:abstractNum>
  <w:abstractNum w:abstractNumId="173">
    <w:nsid w:val="1DDBC66"/>
    <w:multiLevelType w:val="hybridMultilevel"/>
    <w:lvl w:ilvl="0">
      <w:lvlJc w:val="left"/>
      <w:lvlText w:val="%1"/>
      <w:numFmt w:val="lowerLetter"/>
      <w:start w:val="1"/>
    </w:lvl>
    <w:lvl w:ilvl="1">
      <w:lvlJc w:val="left"/>
      <w:lvlText w:val="(%2)"/>
      <w:numFmt w:val="lowerLetter"/>
      <w:start w:val="3"/>
    </w:lvl>
  </w:abstractNum>
  <w:abstractNum w:abstractNumId="174">
    <w:nsid w:val="30AADFDA"/>
    <w:multiLevelType w:val="hybridMultilevel"/>
    <w:lvl w:ilvl="0">
      <w:lvlJc w:val="left"/>
      <w:lvlText w:val="(%1)"/>
      <w:numFmt w:val="lowerLetter"/>
      <w:start w:val="22"/>
    </w:lvl>
    <w:lvl w:ilvl="1">
      <w:lvlJc w:val="left"/>
      <w:lvlText w:val="(%2)"/>
      <w:numFmt w:val="lowerLetter"/>
      <w:start w:val="5"/>
    </w:lvl>
  </w:abstractNum>
  <w:abstractNum w:abstractNumId="175">
    <w:nsid w:val="30EADA61"/>
    <w:multiLevelType w:val="hybridMultilevel"/>
    <w:lvl w:ilvl="0">
      <w:lvlJc w:val="left"/>
      <w:lvlText w:val="%1"/>
      <w:numFmt w:val="lowerLetter"/>
      <w:start w:val="1"/>
    </w:lvl>
    <w:lvl w:ilvl="1">
      <w:lvlJc w:val="left"/>
      <w:lvlText w:val="(%2)"/>
      <w:numFmt w:val="lowerLetter"/>
      <w:start w:val="7"/>
    </w:lvl>
  </w:abstractNum>
  <w:abstractNum w:abstractNumId="176">
    <w:nsid w:val="27179C0B"/>
    <w:multiLevelType w:val="hybridMultilevel"/>
    <w:lvl w:ilvl="0">
      <w:lvlJc w:val="left"/>
      <w:lvlText w:val="(%1)"/>
      <w:numFmt w:val="lowerLetter"/>
      <w:start w:val="61"/>
    </w:lvl>
    <w:lvl w:ilvl="1">
      <w:lvlJc w:val="left"/>
      <w:lvlText w:val="(%2)"/>
      <w:numFmt w:val="lowerLetter"/>
      <w:start w:val="11"/>
    </w:lvl>
  </w:abstractNum>
  <w:abstractNum w:abstractNumId="177">
    <w:nsid w:val="5E636063"/>
    <w:multiLevelType w:val="hybridMultilevel"/>
    <w:lvl w:ilvl="0">
      <w:lvlJc w:val="left"/>
      <w:lvlText w:val="%1"/>
      <w:numFmt w:val="decimal"/>
      <w:start w:val="1"/>
    </w:lvl>
    <w:lvl w:ilvl="1">
      <w:lvlJc w:val="left"/>
      <w:lvlText w:val="(%2)"/>
      <w:numFmt w:val="lowerLetter"/>
      <w:start w:val="12"/>
    </w:lvl>
  </w:abstractNum>
  <w:abstractNum w:abstractNumId="178">
    <w:nsid w:val="215641AF"/>
    <w:multiLevelType w:val="hybridMultilevel"/>
    <w:lvl w:ilvl="0">
      <w:lvlJc w:val="left"/>
      <w:lvlText w:val="%1."/>
      <w:numFmt w:val="decimal"/>
      <w:start w:val="4"/>
    </w:lvl>
    <w:lvl w:ilvl="1">
      <w:lvlJc w:val="left"/>
      <w:lvlText w:val="%2"/>
      <w:numFmt w:val="lowerLetter"/>
      <w:start w:val="1"/>
    </w:lvl>
  </w:abstractNum>
  <w:abstractNum w:abstractNumId="179">
    <w:nsid w:val="53280662"/>
    <w:multiLevelType w:val="hybridMultilevel"/>
    <w:lvl w:ilvl="0">
      <w:lvlJc w:val="left"/>
      <w:lvlText w:val="%1."/>
      <w:numFmt w:val="decimal"/>
      <w:start w:val="5"/>
    </w:lvl>
    <w:lvl w:ilvl="1">
      <w:lvlJc w:val="left"/>
      <w:lvlText w:val="(%2)"/>
      <w:numFmt w:val="lowerLetter"/>
      <w:start w:val="1"/>
    </w:lvl>
  </w:abstractNum>
  <w:abstractNum w:abstractNumId="180">
    <w:nsid w:val="46B24DBC"/>
    <w:multiLevelType w:val="hybridMultilevel"/>
    <w:lvl w:ilvl="0">
      <w:lvlJc w:val="left"/>
      <w:lvlText w:val="(%1)"/>
      <w:numFmt w:val="lowerLetter"/>
      <w:start w:val="2"/>
    </w:lvl>
  </w:abstractNum>
  <w:abstractNum w:abstractNumId="181">
    <w:nsid w:val="75B52783"/>
    <w:multiLevelType w:val="hybridMultilevel"/>
    <w:lvl w:ilvl="0">
      <w:lvlJc w:val="left"/>
      <w:lvlText w:val="(%1)"/>
      <w:numFmt w:val="lowerLetter"/>
      <w:start w:val="4"/>
    </w:lvl>
  </w:abstractNum>
  <w:abstractNum w:abstractNumId="182">
    <w:nsid w:val="57CE66B4"/>
    <w:multiLevelType w:val="hybridMultilevel"/>
    <w:lvl w:ilvl="0">
      <w:lvlJc w:val="left"/>
      <w:lvlText w:val="%1."/>
      <w:numFmt w:val="decimal"/>
      <w:start w:val="6"/>
    </w:lvl>
    <w:lvl w:ilvl="1">
      <w:lvlJc w:val="left"/>
      <w:lvlText w:val="(%2)"/>
      <w:numFmt w:val="lowerLetter"/>
      <w:start w:val="1"/>
    </w:lvl>
  </w:abstractNum>
  <w:abstractNum w:abstractNumId="183">
    <w:nsid w:val="67A70B69"/>
    <w:multiLevelType w:val="hybridMultilevel"/>
    <w:lvl w:ilvl="0">
      <w:lvlJc w:val="left"/>
      <w:lvlText w:val="(%1)"/>
      <w:numFmt w:val="lowerLetter"/>
      <w:start w:val="2"/>
    </w:lvl>
  </w:abstractNum>
  <w:abstractNum w:abstractNumId="184">
    <w:nsid w:val="5953172F"/>
    <w:multiLevelType w:val="hybridMultilevel"/>
    <w:lvl w:ilvl="0">
      <w:lvlJc w:val="left"/>
      <w:lvlText w:val="(%1)"/>
      <w:numFmt w:val="lowerLetter"/>
      <w:start w:val="7"/>
    </w:lvl>
  </w:abstractNum>
  <w:abstractNum w:abstractNumId="185">
    <w:nsid w:val="27EDFE3A"/>
    <w:multiLevelType w:val="hybridMultilevel"/>
    <w:lvl w:ilvl="0">
      <w:lvlJc w:val="left"/>
      <w:lvlText w:val="•"/>
      <w:numFmt w:val="bullet"/>
      <w:start w:val="1"/>
    </w:lvl>
  </w:abstractNum>
  <w:abstractNum w:abstractNumId="186">
    <w:nsid w:val="52AC7DFF"/>
    <w:multiLevelType w:val="hybridMultilevel"/>
    <w:lvl w:ilvl="0">
      <w:lvlJc w:val="left"/>
      <w:lvlText w:val=","/>
      <w:numFmt w:val="bullet"/>
      <w:start w:val="1"/>
    </w:lvl>
  </w:abstractNum>
  <w:abstractNum w:abstractNumId="187">
    <w:nsid w:val="C4C3AF"/>
    <w:multiLevelType w:val="hybridMultilevel"/>
    <w:lvl w:ilvl="0">
      <w:lvlJc w:val="left"/>
      <w:lvlText w:val="%1."/>
      <w:numFmt w:val="decimal"/>
      <w:start w:val="1"/>
    </w:lvl>
  </w:abstractNum>
  <w:abstractNum w:abstractNumId="188">
    <w:nsid w:val="44380727"/>
    <w:multiLevelType w:val="hybridMultilevel"/>
    <w:lvl w:ilvl="0">
      <w:lvlJc w:val="left"/>
      <w:lvlText w:val="%1."/>
      <w:numFmt w:val="decimal"/>
      <w:start w:val="6"/>
    </w:lvl>
  </w:abstractNum>
  <w:abstractNum w:abstractNumId="189">
    <w:nsid w:val="6C053B16"/>
    <w:multiLevelType w:val="hybridMultilevel"/>
    <w:lvl w:ilvl="0">
      <w:lvlJc w:val="left"/>
      <w:lvlText w:val="(%1)"/>
      <w:numFmt w:val="lowerRoman"/>
      <w:start w:val="2"/>
    </w:lvl>
  </w:abstractNum>
  <w:abstractNum w:abstractNumId="190">
    <w:nsid w:val="4F294393"/>
    <w:multiLevelType w:val="hybridMultilevel"/>
    <w:lvl w:ilvl="0">
      <w:lvlJc w:val="left"/>
      <w:lvlText w:val="(%1)"/>
      <w:numFmt w:val="lowerLetter"/>
      <w:start w:val="1"/>
    </w:lvl>
  </w:abstractNum>
  <w:abstractNum w:abstractNumId="191">
    <w:nsid w:val="5243BFAC"/>
    <w:multiLevelType w:val="hybridMultilevel"/>
    <w:lvl w:ilvl="0">
      <w:lvlJc w:val="left"/>
      <w:lvlText w:val="(%1)"/>
      <w:numFmt w:val="lowerLetter"/>
      <w:start w:val="4"/>
    </w:lvl>
  </w:abstractNum>
  <w:abstractNum w:abstractNumId="192">
    <w:nsid w:val="425EB207"/>
    <w:multiLevelType w:val="hybridMultilevel"/>
    <w:lvl w:ilvl="0">
      <w:lvlJc w:val="left"/>
      <w:lvlText w:val="(%1)"/>
      <w:numFmt w:val="lowerLetter"/>
      <w:start w:val="1"/>
    </w:lvl>
  </w:abstractNum>
  <w:abstractNum w:abstractNumId="193">
    <w:nsid w:val="334A6F1F"/>
    <w:multiLevelType w:val="hybridMultilevel"/>
    <w:lvl w:ilvl="0">
      <w:lvlJc w:val="left"/>
      <w:lvlText w:val="(%1)"/>
      <w:numFmt w:val="lowerLetter"/>
      <w:start w:val="1"/>
    </w:lvl>
  </w:abstractNum>
  <w:abstractNum w:abstractNumId="194">
    <w:nsid w:val="2E5B12B8"/>
    <w:multiLevelType w:val="hybridMultilevel"/>
    <w:lvl w:ilvl="0">
      <w:lvlJc w:val="left"/>
      <w:lvlText w:val="%1"/>
      <w:numFmt w:val="lowerLetter"/>
      <w:start w:val="1"/>
    </w:lvl>
    <w:lvl w:ilvl="1">
      <w:lvlJc w:val="left"/>
      <w:lvlText w:val="(%2)"/>
      <w:numFmt w:val="lowerLetter"/>
      <w:start w:val="2"/>
    </w:lvl>
  </w:abstractNum>
  <w:abstractNum w:abstractNumId="195">
    <w:nsid w:val="5C03D76D"/>
    <w:multiLevelType w:val="hybridMultilevel"/>
    <w:lvl w:ilvl="0">
      <w:lvlJc w:val="left"/>
      <w:lvlText w:val="(%1)"/>
      <w:numFmt w:val="lowerLetter"/>
      <w:start w:val="35"/>
    </w:lvl>
    <w:lvl w:ilvl="1">
      <w:lvlJc w:val="left"/>
      <w:lvlText w:val="(%2)"/>
      <w:numFmt w:val="lowerLetter"/>
      <w:start w:val="3"/>
    </w:lvl>
  </w:abstractNum>
  <w:abstractNum w:abstractNumId="196">
    <w:nsid w:val="66A48D11"/>
    <w:multiLevelType w:val="hybridMultilevel"/>
    <w:lvl w:ilvl="0">
      <w:lvlJc w:val="left"/>
      <w:lvlText w:val="%1"/>
      <w:numFmt w:val="upperLetter"/>
      <w:start w:val="1"/>
    </w:lvl>
    <w:lvl w:ilvl="1">
      <w:lvlJc w:val="left"/>
      <w:lvlText w:val="(%2)"/>
      <w:numFmt w:val="lowerLetter"/>
      <w:start w:val="1"/>
    </w:lvl>
  </w:abstractNum>
  <w:abstractNum w:abstractNumId="197">
    <w:nsid w:val="56C28E34"/>
    <w:multiLevelType w:val="hybridMultilevel"/>
    <w:lvl w:ilvl="0">
      <w:lvlJc w:val="left"/>
      <w:lvlText w:val="(%1)"/>
      <w:numFmt w:val="upperLetter"/>
      <w:start w:val="1"/>
    </w:lvl>
    <w:lvl w:ilvl="1">
      <w:lvlJc w:val="left"/>
      <w:lvlText w:val="%2"/>
      <w:numFmt w:val="lowerLetter"/>
      <w:start w:val="1"/>
    </w:lvl>
  </w:abstractNum>
  <w:abstractNum w:abstractNumId="198">
    <w:nsid w:val="13916F2D"/>
    <w:multiLevelType w:val="hybridMultilevel"/>
    <w:lvl w:ilvl="0">
      <w:lvlJc w:val="left"/>
      <w:lvlText w:val="(%1)"/>
      <w:numFmt w:val="lowerLetter"/>
      <w:start w:val="35"/>
    </w:lvl>
    <w:lvl w:ilvl="1">
      <w:lvlJc w:val="left"/>
      <w:lvlText w:val="(%2)"/>
      <w:numFmt w:val="lowerLetter"/>
      <w:start w:val="2"/>
    </w:lvl>
  </w:abstractNum>
  <w:abstractNum w:abstractNumId="199">
    <w:nsid w:val="435D38D"/>
    <w:multiLevelType w:val="hybridMultilevel"/>
    <w:lvl w:ilvl="0">
      <w:lvlJc w:val="left"/>
      <w:lvlText w:val="(%1)"/>
      <w:numFmt w:val="lowerLetter"/>
      <w:start w:val="1"/>
    </w:lvl>
  </w:abstractNum>
  <w:abstractNum w:abstractNumId="200">
    <w:nsid w:val="822C0EF"/>
    <w:multiLevelType w:val="hybridMultilevel"/>
    <w:lvl w:ilvl="0">
      <w:lvlJc w:val="left"/>
      <w:lvlText w:val="(%1)"/>
      <w:numFmt w:val="lowerLetter"/>
      <w:start w:val="3"/>
    </w:lvl>
  </w:abstractNum>
  <w:abstractNum w:abstractNumId="201">
    <w:nsid w:val="57C5BB4F"/>
    <w:multiLevelType w:val="hybridMultilevel"/>
    <w:lvl w:ilvl="0">
      <w:lvlJc w:val="left"/>
      <w:lvlText w:val="(%1)"/>
      <w:numFmt w:val="lowerLetter"/>
      <w:start w:val="1"/>
    </w:lvl>
  </w:abstractNum>
  <w:abstractNum w:abstractNumId="202">
    <w:nsid w:val="1803D089"/>
    <w:multiLevelType w:val="hybridMultilevel"/>
    <w:lvl w:ilvl="0">
      <w:lvlJc w:val="left"/>
      <w:lvlText w:val="(%1)"/>
      <w:numFmt w:val="lowerLetter"/>
      <w:start w:val="2"/>
    </w:lvl>
  </w:abstractNum>
  <w:abstractNum w:abstractNumId="203">
    <w:nsid w:val="4F3A06D4"/>
    <w:multiLevelType w:val="hybridMultilevel"/>
    <w:lvl w:ilvl="0">
      <w:lvlJc w:val="left"/>
      <w:lvlText w:val="(%1)"/>
      <w:numFmt w:val="lowerLetter"/>
      <w:start w:val="1"/>
    </w:lvl>
  </w:abstractNum>
  <w:abstractNum w:abstractNumId="204">
    <w:nsid w:val="59A377B6"/>
    <w:multiLevelType w:val="hybridMultilevel"/>
    <w:lvl w:ilvl="0">
      <w:lvlJc w:val="left"/>
      <w:lvlText w:val="(%1)"/>
      <w:numFmt w:val="lowerLetter"/>
      <w:start w:val="8"/>
    </w:lvl>
  </w:abstractNum>
  <w:abstractNum w:abstractNumId="205">
    <w:nsid w:val="48AEB063"/>
    <w:multiLevelType w:val="hybridMultilevel"/>
    <w:lvl w:ilvl="0">
      <w:lvlJc w:val="left"/>
      <w:lvlText w:val="(%1)"/>
      <w:numFmt w:val="lowerLetter"/>
      <w:start w:val="13"/>
    </w:lvl>
  </w:abstractNum>
  <w:abstractNum w:abstractNumId="206">
    <w:nsid w:val="24E135"/>
    <w:multiLevelType w:val="hybridMultilevel"/>
    <w:lvl w:ilvl="0">
      <w:lvlJc w:val="left"/>
      <w:lvlText w:val="(%1)"/>
      <w:numFmt w:val="lowerLetter"/>
      <w:start w:val="1"/>
    </w:lvl>
  </w:abstractNum>
  <w:abstractNum w:abstractNumId="207">
    <w:nsid w:val="BB13C1"/>
    <w:multiLevelType w:val="hybridMultilevel"/>
    <w:lvl w:ilvl="0">
      <w:lvlJc w:val="left"/>
      <w:lvlText w:val="(%1)"/>
      <w:numFmt w:val="lowerLetter"/>
      <w:start w:val="4"/>
    </w:lvl>
  </w:abstractNum>
  <w:abstractNum w:abstractNumId="208">
    <w:nsid w:val="271210C7"/>
    <w:multiLevelType w:val="hybridMultilevel"/>
    <w:lvl w:ilvl="0">
      <w:lvlJc w:val="left"/>
      <w:lvlText w:val="%1"/>
      <w:numFmt w:val="lowerLetter"/>
      <w:start w:val="1"/>
    </w:lvl>
    <w:lvl w:ilvl="1">
      <w:lvlJc w:val="left"/>
      <w:lvlText w:val="(%2)"/>
      <w:numFmt w:val="lowerLetter"/>
      <w:start w:val="1"/>
    </w:lvl>
  </w:abstractNum>
  <w:abstractNum w:abstractNumId="209">
    <w:nsid w:val="217B22E4"/>
    <w:multiLevelType w:val="hybridMultilevel"/>
    <w:lvl w:ilvl="0">
      <w:lvlJc w:val="left"/>
      <w:lvlText w:val="(%1)"/>
      <w:numFmt w:val="lowerLetter"/>
      <w:start w:val="35"/>
    </w:lvl>
    <w:lvl w:ilvl="1">
      <w:lvlJc w:val="left"/>
      <w:lvlText w:val="(%2)"/>
      <w:numFmt w:val="lowerLetter"/>
      <w:start w:val="2"/>
    </w:lvl>
  </w:abstractNum>
  <w:abstractNum w:abstractNumId="210">
    <w:nsid w:val="53E31A24"/>
    <w:multiLevelType w:val="hybridMultilevel"/>
    <w:lvl w:ilvl="0">
      <w:lvlJc w:val="left"/>
      <w:lvlText w:val="1"/>
      <w:numFmt w:val="bullet"/>
      <w:start w:val="1"/>
    </w:lvl>
  </w:abstractNum>
  <w:abstractNum w:abstractNumId="211">
    <w:nsid w:val="6DC45E83"/>
    <w:multiLevelType w:val="hybridMultilevel"/>
    <w:lvl w:ilvl="0">
      <w:lvlJc w:val="left"/>
      <w:lvlText w:val="(%1)"/>
      <w:numFmt w:val="lowerLetter"/>
      <w:start w:val="6"/>
    </w:lvl>
  </w:abstractNum>
  <w:abstractNum w:abstractNumId="212">
    <w:nsid w:val="17304A67"/>
    <w:multiLevelType w:val="hybridMultilevel"/>
    <w:lvl w:ilvl="0">
      <w:lvlJc w:val="left"/>
      <w:lvlText w:val="(%1)"/>
      <w:numFmt w:val="lowerLetter"/>
      <w:start w:val="1"/>
    </w:lvl>
  </w:abstractNum>
  <w:abstractNum w:abstractNumId="213">
    <w:nsid w:val="2BB180D8"/>
    <w:multiLevelType w:val="hybridMultilevel"/>
    <w:lvl w:ilvl="0">
      <w:lvlJc w:val="left"/>
      <w:lvlText w:val="(%1)"/>
      <w:numFmt w:val="lowerRoman"/>
      <w:start w:val="1"/>
    </w:lvl>
  </w:abstractNum>
  <w:abstractNum w:abstractNumId="214">
    <w:nsid w:val="556B69ED"/>
    <w:multiLevelType w:val="hybridMultilevel"/>
    <w:lvl w:ilvl="0">
      <w:lvlJc w:val="left"/>
      <w:lvlText w:val="(%1)"/>
      <w:numFmt w:val="lowerLetter"/>
      <w:start w:val="2"/>
    </w:lvl>
  </w:abstractNum>
  <w:abstractNum w:abstractNumId="215">
    <w:nsid w:val="70836196"/>
    <w:multiLevelType w:val="hybridMultilevel"/>
    <w:lvl w:ilvl="0">
      <w:lvlJc w:val="left"/>
      <w:lvlText w:val="(%1)"/>
      <w:numFmt w:val="lowerLetter"/>
      <w:start w:val="1"/>
    </w:lvl>
  </w:abstractNum>
  <w:abstractNum w:abstractNumId="216">
    <w:nsid w:val="539F7F12"/>
    <w:multiLevelType w:val="hybridMultilevel"/>
    <w:lvl w:ilvl="0">
      <w:lvlJc w:val="left"/>
      <w:lvlText w:val="(%1)"/>
      <w:numFmt w:val="lowerLetter"/>
      <w:start w:val="1"/>
    </w:lvl>
  </w:abstractNum>
  <w:abstractNum w:abstractNumId="217">
    <w:nsid w:val="2817E7EC"/>
    <w:multiLevelType w:val="hybridMultilevel"/>
    <w:lvl w:ilvl="0">
      <w:lvlJc w:val="left"/>
      <w:lvlText w:val="(%1)"/>
      <w:numFmt w:val="lowerLetter"/>
      <w:start w:val="1"/>
    </w:lvl>
  </w:abstractNum>
  <w:abstractNum w:abstractNumId="218">
    <w:nsid w:val="71482545"/>
    <w:multiLevelType w:val="hybridMultilevel"/>
    <w:lvl w:ilvl="0">
      <w:lvlJc w:val="left"/>
      <w:lvlText w:val="%1."/>
      <w:numFmt w:val="decimal"/>
      <w:start w:val="1"/>
    </w:lvl>
    <w:lvl w:ilvl="1">
      <w:lvlJc w:val="left"/>
      <w:lvlText w:val="(%2)"/>
      <w:numFmt w:val="lowerLetter"/>
      <w:start w:val="1"/>
    </w:lvl>
  </w:abstractNum>
  <w:abstractNum w:abstractNumId="219">
    <w:nsid w:val="17D78639"/>
    <w:multiLevelType w:val="hybridMultilevel"/>
    <w:lvl w:ilvl="0">
      <w:lvlJc w:val="left"/>
      <w:lvlText w:val="%1"/>
      <w:numFmt w:val="decimal"/>
      <w:start w:val="1"/>
    </w:lvl>
    <w:lvl w:ilvl="1">
      <w:lvlJc w:val="left"/>
      <w:lvlText w:val="(%2)"/>
      <w:numFmt w:val="lowerLetter"/>
      <w:start w:val="3"/>
    </w:lvl>
  </w:abstractNum>
  <w:abstractNum w:abstractNumId="220">
    <w:nsid w:val="141D2302"/>
    <w:multiLevelType w:val="hybridMultilevel"/>
    <w:lvl w:ilvl="0">
      <w:lvlJc w:val="left"/>
      <w:lvlText w:val="%1."/>
      <w:numFmt w:val="decimal"/>
      <w:start w:val="2"/>
    </w:lvl>
    <w:lvl w:ilvl="1">
      <w:lvlJc w:val="left"/>
      <w:lvlText w:val="(%2)"/>
      <w:numFmt w:val="lowerLetter"/>
      <w:start w:val="1"/>
    </w:lvl>
  </w:abstractNum>
  <w:abstractNum w:abstractNumId="221">
    <w:nsid w:val="407168D8"/>
    <w:multiLevelType w:val="hybridMultilevel"/>
    <w:lvl w:ilvl="0">
      <w:lvlJc w:val="left"/>
      <w:lvlText w:val="%1."/>
      <w:numFmt w:val="decimal"/>
      <w:start w:val="3"/>
    </w:lvl>
    <w:lvl w:ilvl="1">
      <w:lvlJc w:val="left"/>
      <w:lvlText w:val="(%2)"/>
      <w:numFmt w:val="lowerLetter"/>
      <w:start w:val="1"/>
    </w:lvl>
  </w:abstractNum>
  <w:abstractNum w:abstractNumId="222">
    <w:nsid w:val="6A1B45E5"/>
    <w:multiLevelType w:val="hybridMultilevel"/>
    <w:lvl w:ilvl="0">
      <w:lvlJc w:val="left"/>
      <w:lvlText w:val="%1."/>
      <w:numFmt w:val="decimal"/>
      <w:start w:val="6"/>
    </w:lvl>
    <w:lvl w:ilvl="1">
      <w:lvlJc w:val="left"/>
      <w:lvlText w:val="(%2)"/>
      <w:numFmt w:val="lowerLetter"/>
      <w:start w:val="1"/>
    </w:lvl>
  </w:abstractNum>
  <w:abstractNum w:abstractNumId="223">
    <w:nsid w:val="567BD50A"/>
    <w:multiLevelType w:val="hybridMultilevel"/>
    <w:lvl w:ilvl="0">
      <w:lvlJc w:val="left"/>
      <w:lvlText w:val="(%1)"/>
      <w:numFmt w:val="lowerLetter"/>
      <w:start w:val="2"/>
    </w:lvl>
  </w:abstractNum>
  <w:abstractNum w:abstractNumId="224">
    <w:nsid w:val="73BBD7F8"/>
    <w:multiLevelType w:val="hybridMultilevel"/>
    <w:lvl w:ilvl="0">
      <w:lvlJc w:val="left"/>
      <w:lvlText w:val="%1"/>
      <w:numFmt w:val="decimal"/>
      <w:start w:val="1"/>
    </w:lvl>
    <w:lvl w:ilvl="1">
      <w:lvlJc w:val="left"/>
      <w:lvlText w:val="(%2)"/>
      <w:numFmt w:val="lowerLetter"/>
      <w:start w:val="6"/>
    </w:lvl>
  </w:abstractNum>
  <w:abstractNum w:abstractNumId="225">
    <w:nsid w:val="1876589D"/>
    <w:multiLevelType w:val="hybridMultilevel"/>
    <w:lvl w:ilvl="0">
      <w:lvlJc w:val="left"/>
      <w:lvlText w:val="%1."/>
      <w:numFmt w:val="decimal"/>
      <w:start w:val="10"/>
    </w:lvl>
    <w:lvl w:ilvl="1">
      <w:lvlJc w:val="left"/>
      <w:lvlText w:val="(%2)"/>
      <w:numFmt w:val="lowerLetter"/>
      <w:start w:val="1"/>
    </w:lvl>
  </w:abstractNum>
  <w:abstractNum w:abstractNumId="226">
    <w:nsid w:val="327FAC77"/>
    <w:multiLevelType w:val="hybridMultilevel"/>
    <w:lvl w:ilvl="0">
      <w:lvlJc w:val="left"/>
      <w:lvlText w:val="(%1)"/>
      <w:numFmt w:val="lowerLetter"/>
      <w:start w:val="5"/>
    </w:lvl>
  </w:abstractNum>
  <w:abstractNum w:abstractNumId="227">
    <w:nsid w:val="5A606509"/>
    <w:multiLevelType w:val="hybridMultilevel"/>
    <w:lvl w:ilvl="0">
      <w:lvlJc w:val="left"/>
      <w:lvlText w:val="(%1)"/>
      <w:numFmt w:val="lowerLetter"/>
      <w:start w:val="9"/>
    </w:lvl>
  </w:abstractNum>
  <w:abstractNum w:abstractNumId="228">
    <w:nsid w:val="6F38E6D1"/>
    <w:multiLevelType w:val="hybridMultilevel"/>
    <w:lvl w:ilvl="0">
      <w:lvlJc w:val="left"/>
      <w:lvlText w:val="(%1)"/>
      <w:numFmt w:val="lowerLetter"/>
      <w:start w:val="13"/>
    </w:lvl>
  </w:abstractNum>
  <w:abstractNum w:abstractNumId="229">
    <w:nsid w:val="46111BA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30">
    <w:nsid w:val="5E96389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31">
    <w:nsid w:val="775BA7C1"/>
    <w:multiLevelType w:val="hybridMultilevel"/>
    <w:lvl w:ilvl="0">
      <w:lvlJc w:val="left"/>
      <w:lvlText w:val="%1"/>
      <w:numFmt w:val="decimal"/>
      <w:start w:val="1"/>
    </w:lvl>
    <w:lvl w:ilvl="1">
      <w:lvlJc w:val="left"/>
      <w:lvlText w:val="(%2)"/>
      <w:numFmt w:val="lowerLetter"/>
      <w:start w:val="3"/>
    </w:lvl>
  </w:abstractNum>
  <w:abstractNum w:abstractNumId="232">
    <w:nsid w:val="1DD6D6F4"/>
    <w:multiLevelType w:val="hybridMultilevel"/>
    <w:lvl w:ilvl="0">
      <w:lvlJc w:val="left"/>
      <w:lvlText w:val="%1."/>
      <w:numFmt w:val="decimal"/>
      <w:start w:val="2"/>
    </w:lvl>
    <w:lvl w:ilvl="1">
      <w:lvlJc w:val="left"/>
      <w:lvlText w:val="(%2)"/>
      <w:numFmt w:val="lowerLetter"/>
      <w:start w:val="1"/>
    </w:lvl>
  </w:abstractNum>
  <w:abstractNum w:abstractNumId="233">
    <w:nsid w:val="769A091F"/>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34">
    <w:nsid w:val="4695AE95"/>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2"/>
    </w:lvl>
  </w:abstractNum>
  <w:abstractNum w:abstractNumId="235">
    <w:nsid w:val="777A4EAA"/>
    <w:multiLevelType w:val="hybridMultilevel"/>
    <w:lvl w:ilvl="0">
      <w:lvlJc w:val="left"/>
      <w:lvlText w:val="%1."/>
      <w:numFmt w:val="decimal"/>
      <w:start w:val="6"/>
    </w:lvl>
    <w:lvl w:ilvl="1">
      <w:lvlJc w:val="left"/>
      <w:lvlText w:val="(%2)"/>
      <w:numFmt w:val="lowerLetter"/>
      <w:start w:val="1"/>
    </w:lvl>
  </w:abstractNum>
  <w:abstractNum w:abstractNumId="236">
    <w:nsid w:val="3F48B982"/>
    <w:multiLevelType w:val="hybridMultilevel"/>
    <w:lvl w:ilvl="0">
      <w:lvlJc w:val="left"/>
      <w:lvlText w:val="(%1)"/>
      <w:numFmt w:val="lowerLetter"/>
      <w:start w:val="2"/>
    </w:lvl>
  </w:abstractNum>
  <w:abstractNum w:abstractNumId="237">
    <w:nsid w:val="46BA8F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238">
    <w:nsid w:val="7835626C"/>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39">
    <w:nsid w:val="665ACA49"/>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240">
    <w:nsid w:val="6835B2AE"/>
    <w:multiLevelType w:val="hybridMultilevel"/>
    <w:lvl w:ilvl="0">
      <w:lvlJc w:val="left"/>
      <w:lvlText w:val="%1"/>
      <w:numFmt w:val="upperLetter"/>
      <w:start w:val="1"/>
    </w:lvl>
    <w:lvl w:ilvl="1">
      <w:lvlJc w:val="left"/>
      <w:lvlText w:val="(%2)"/>
      <w:numFmt w:val="lowerLetter"/>
      <w:start w:val="5"/>
    </w:lvl>
  </w:abstractNum>
  <w:abstractNum w:abstractNumId="241">
    <w:nsid w:val="4C187C90"/>
    <w:multiLevelType w:val="hybridMultilevel"/>
    <w:lvl w:ilvl="0">
      <w:lvlJc w:val="left"/>
      <w:lvlText w:val="(%1)"/>
      <w:numFmt w:val="upperLetter"/>
      <w:start w:val="2"/>
    </w:lvl>
    <w:lvl w:ilvl="1">
      <w:lvlJc w:val="left"/>
      <w:lvlText w:val="%2"/>
      <w:numFmt w:val="lowerLetter"/>
      <w:start w:val="1"/>
    </w:lvl>
  </w:abstractNum>
  <w:abstractNum w:abstractNumId="242">
    <w:nsid w:val="541F28CD"/>
    <w:multiLevelType w:val="hybridMultilevel"/>
    <w:lvl w:ilvl="0">
      <w:lvlJc w:val="left"/>
      <w:lvlText w:val="(%1)"/>
      <w:numFmt w:val="lowerLetter"/>
      <w:start w:val="11"/>
    </w:lvl>
  </w:abstractNum>
  <w:abstractNum w:abstractNumId="243">
    <w:nsid w:val="7F65FD16"/>
    <w:multiLevelType w:val="hybridMultilevel"/>
    <w:lvl w:ilvl="0">
      <w:lvlJc w:val="left"/>
      <w:lvlText w:val="(%1)"/>
      <w:numFmt w:val="decimal"/>
      <w:start w:val="1"/>
    </w:lvl>
  </w:abstractNum>
  <w:abstractNum w:abstractNumId="244">
    <w:nsid w:val="77C9FD68"/>
    <w:multiLevelType w:val="hybridMultilevel"/>
    <w:lvl w:ilvl="0">
      <w:lvlJc w:val="left"/>
      <w:lvlText w:val="(%1)"/>
      <w:numFmt w:val="lowerLetter"/>
      <w:start w:val="1"/>
    </w:lvl>
    <w:lvl w:ilvl="1">
      <w:lvlJc w:val="left"/>
      <w:lvlText w:val="(%2)"/>
      <w:numFmt w:val="decimal"/>
      <w:start w:val="1"/>
    </w:lvl>
  </w:abstractNum>
  <w:abstractNum w:abstractNumId="245">
    <w:nsid w:val="298A92BA"/>
    <w:multiLevelType w:val="hybridMultilevel"/>
    <w:lvl w:ilvl="0">
      <w:lvlJc w:val="left"/>
      <w:lvlText w:val="(%1)"/>
      <w:numFmt w:val="lowerLetter"/>
      <w:start w:val="2"/>
    </w:lvl>
  </w:abstractNum>
  <w:abstractNum w:abstractNumId="246">
    <w:nsid w:val="6FE95EAC"/>
    <w:multiLevelType w:val="hybridMultilevel"/>
    <w:lvl w:ilvl="0">
      <w:lvlJc w:val="left"/>
      <w:lvlText w:val="(%1)"/>
      <w:numFmt w:val="lowerLetter"/>
      <w:start w:val="4"/>
    </w:lvl>
  </w:abstractNum>
  <w:abstractNum w:abstractNumId="247">
    <w:nsid w:val="4B697C7A"/>
    <w:multiLevelType w:val="hybridMultilevel"/>
    <w:lvl w:ilvl="0">
      <w:lvlJc w:val="left"/>
      <w:lvlText w:val="(%1)"/>
      <w:numFmt w:val="lowerRoman"/>
      <w:start w:val="2"/>
    </w:lvl>
  </w:abstractNum>
  <w:abstractNum w:abstractNumId="248">
    <w:nsid w:val="51A27AA6"/>
    <w:multiLevelType w:val="hybridMultilevel"/>
    <w:lvl w:ilvl="0">
      <w:lvlJc w:val="left"/>
      <w:lvlText w:val="(%1)"/>
      <w:numFmt w:val="lowerLetter"/>
      <w:start w:val="1"/>
    </w:lvl>
  </w:abstractNum>
  <w:abstractNum w:abstractNumId="249">
    <w:nsid w:val="613183F2"/>
    <w:multiLevelType w:val="hybridMultilevel"/>
    <w:lvl w:ilvl="0">
      <w:lvlJc w:val="left"/>
      <w:lvlText w:val="(%1)"/>
      <w:numFmt w:val="lowerLetter"/>
      <w:start w:val="4"/>
    </w:lvl>
  </w:abstractNum>
  <w:abstractNum w:abstractNumId="250">
    <w:nsid w:val="634102B4"/>
    <w:multiLevelType w:val="hybridMultilevel"/>
    <w:lvl w:ilvl="0">
      <w:lvlJc w:val="left"/>
      <w:lvlText w:val="(%1)"/>
      <w:numFmt w:val="lowerLetter"/>
      <w:start w:val="1"/>
    </w:lvl>
  </w:abstractNum>
  <w:abstractNum w:abstractNumId="251">
    <w:nsid w:val="65BF9DA8"/>
    <w:multiLevelType w:val="hybridMultilevel"/>
    <w:lvl w:ilvl="0">
      <w:lvlJc w:val="left"/>
      <w:lvlText w:val="(%1)"/>
      <w:numFmt w:val="lowerLetter"/>
      <w:start w:val="1"/>
    </w:lvl>
  </w:abstractNum>
  <w:abstractNum w:abstractNumId="252">
    <w:nsid w:val="21A2ECCA"/>
    <w:multiLevelType w:val="hybridMultilevel"/>
    <w:lvl w:ilvl="0">
      <w:lvlJc w:val="left"/>
      <w:lvlText w:val="%1"/>
      <w:numFmt w:val="lowerLetter"/>
      <w:start w:val="1"/>
    </w:lvl>
    <w:lvl w:ilvl="1">
      <w:lvlJc w:val="left"/>
      <w:lvlText w:val="(%2)"/>
      <w:numFmt w:val="lowerLetter"/>
      <w:start w:val="2"/>
    </w:lvl>
  </w:abstractNum>
  <w:abstractNum w:abstractNumId="253">
    <w:nsid w:val="4D5C4899"/>
    <w:multiLevelType w:val="hybridMultilevel"/>
    <w:lvl w:ilvl="0">
      <w:lvlJc w:val="left"/>
      <w:lvlText w:val="(%1)"/>
      <w:numFmt w:val="lowerLetter"/>
      <w:start w:val="35"/>
    </w:lvl>
    <w:lvl w:ilvl="1">
      <w:lvlJc w:val="left"/>
      <w:lvlText w:val="(%2)"/>
      <w:numFmt w:val="lowerLetter"/>
      <w:start w:val="3"/>
    </w:lvl>
  </w:abstractNum>
  <w:abstractNum w:abstractNumId="254">
    <w:nsid w:val="3C3B72B2"/>
    <w:multiLevelType w:val="hybridMultilevel"/>
    <w:lvl w:ilvl="0">
      <w:lvlJc w:val="left"/>
      <w:lvlText w:val="%1"/>
      <w:numFmt w:val="upperLetter"/>
      <w:start w:val="1"/>
    </w:lvl>
    <w:lvl w:ilvl="1">
      <w:lvlJc w:val="left"/>
      <w:lvlText w:val="(%2)"/>
      <w:numFmt w:val="lowerLetter"/>
      <w:start w:val="1"/>
    </w:lvl>
  </w:abstractNum>
  <w:abstractNum w:abstractNumId="255">
    <w:nsid w:val="155EC4C2"/>
    <w:multiLevelType w:val="hybridMultilevel"/>
    <w:lvl w:ilvl="0">
      <w:lvlJc w:val="left"/>
      <w:lvlText w:val="(%1)"/>
      <w:numFmt w:val="upperLetter"/>
      <w:start w:val="1"/>
    </w:lvl>
    <w:lvl w:ilvl="1">
      <w:lvlJc w:val="left"/>
      <w:lvlText w:val="%2"/>
      <w:numFmt w:val="lowerLetter"/>
      <w:start w:val="1"/>
    </w:lvl>
  </w:abstractNum>
  <w:abstractNum w:abstractNumId="256">
    <w:nsid w:val="65D2A137"/>
    <w:multiLevelType w:val="hybridMultilevel"/>
    <w:lvl w:ilvl="0">
      <w:lvlJc w:val="left"/>
      <w:lvlText w:val="(%1)"/>
      <w:numFmt w:val="lowerLetter"/>
      <w:start w:val="35"/>
    </w:lvl>
    <w:lvl w:ilvl="1">
      <w:lvlJc w:val="left"/>
      <w:lvlText w:val="(%2)"/>
      <w:numFmt w:val="lowerLetter"/>
      <w:start w:val="2"/>
    </w:lvl>
  </w:abstractNum>
  <w:abstractNum w:abstractNumId="257">
    <w:nsid w:val="6EBB1F2A"/>
    <w:multiLevelType w:val="hybridMultilevel"/>
    <w:lvl w:ilvl="0">
      <w:lvlJc w:val="left"/>
      <w:lvlText w:val="(%1)"/>
      <w:numFmt w:val="lowerLetter"/>
      <w:start w:val="1"/>
    </w:lvl>
  </w:abstractNum>
  <w:abstractNum w:abstractNumId="258">
    <w:nsid w:val="6FBF29CB"/>
    <w:multiLevelType w:val="hybridMultilevel"/>
    <w:lvl w:ilvl="0">
      <w:lvlJc w:val="left"/>
      <w:lvlText w:val="(%1)"/>
      <w:numFmt w:val="lowerLetter"/>
      <w:start w:val="3"/>
    </w:lvl>
  </w:abstractNum>
  <w:abstractNum w:abstractNumId="259">
    <w:nsid w:val="550B8808"/>
    <w:multiLevelType w:val="hybridMultilevel"/>
    <w:lvl w:ilvl="0">
      <w:lvlJc w:val="left"/>
      <w:lvlText w:val="(%1)"/>
      <w:numFmt w:val="lowerLetter"/>
      <w:start w:val="1"/>
    </w:lvl>
  </w:abstractNum>
  <w:abstractNum w:abstractNumId="260">
    <w:nsid w:val="34CC3ACF"/>
    <w:multiLevelType w:val="hybridMultilevel"/>
    <w:lvl w:ilvl="0">
      <w:lvlJc w:val="left"/>
      <w:lvlText w:val="(%1)"/>
      <w:numFmt w:val="lowerLetter"/>
      <w:start w:val="2"/>
    </w:lvl>
  </w:abstractNum>
  <w:abstractNum w:abstractNumId="261">
    <w:nsid w:val="4E556261"/>
    <w:multiLevelType w:val="hybridMultilevel"/>
    <w:lvl w:ilvl="0">
      <w:lvlJc w:val="left"/>
      <w:lvlText w:val="(%1)"/>
      <w:numFmt w:val="lowerLetter"/>
      <w:start w:val="1"/>
    </w:lvl>
  </w:abstractNum>
  <w:abstractNum w:abstractNumId="262">
    <w:nsid w:val="4C672FC9"/>
    <w:multiLevelType w:val="hybridMultilevel"/>
    <w:lvl w:ilvl="0">
      <w:lvlJc w:val="left"/>
      <w:lvlText w:val="(%1)"/>
      <w:numFmt w:val="lowerLetter"/>
      <w:start w:val="8"/>
    </w:lvl>
  </w:abstractNum>
  <w:abstractNum w:abstractNumId="263">
    <w:nsid w:val="52A311C3"/>
    <w:multiLevelType w:val="hybridMultilevel"/>
    <w:lvl w:ilvl="0">
      <w:lvlJc w:val="left"/>
      <w:lvlText w:val="(%1)"/>
      <w:numFmt w:val="lowerLetter"/>
      <w:start w:val="13"/>
    </w:lvl>
  </w:abstractNum>
  <w:abstractNum w:abstractNumId="264">
    <w:nsid w:val="44EF6B80"/>
    <w:multiLevelType w:val="hybridMultilevel"/>
    <w:lvl w:ilvl="0">
      <w:lvlJc w:val="left"/>
      <w:lvlText w:val="(%1)"/>
      <w:numFmt w:val="lowerLetter"/>
      <w:start w:val="1"/>
    </w:lvl>
  </w:abstractNum>
  <w:abstractNum w:abstractNumId="265">
    <w:nsid w:val="12FCDE5E"/>
    <w:multiLevelType w:val="hybridMultilevel"/>
    <w:lvl w:ilvl="0">
      <w:lvlJc w:val="left"/>
      <w:lvlText w:val="(%1)"/>
      <w:numFmt w:val="lowerLetter"/>
      <w:start w:val="4"/>
    </w:lvl>
  </w:abstractNum>
  <w:abstractNum w:abstractNumId="266">
    <w:nsid w:val="4A1D606E"/>
    <w:multiLevelType w:val="hybridMultilevel"/>
    <w:lvl w:ilvl="0">
      <w:lvlJc w:val="left"/>
      <w:lvlText w:val="%1"/>
      <w:numFmt w:val="lowerLetter"/>
      <w:start w:val="1"/>
    </w:lvl>
    <w:lvl w:ilvl="1">
      <w:lvlJc w:val="left"/>
      <w:lvlText w:val="(%2)"/>
      <w:numFmt w:val="lowerLetter"/>
      <w:start w:val="1"/>
    </w:lvl>
  </w:abstractNum>
  <w:abstractNum w:abstractNumId="267">
    <w:nsid w:val="4382503"/>
    <w:multiLevelType w:val="hybridMultilevel"/>
    <w:lvl w:ilvl="0">
      <w:lvlJc w:val="left"/>
      <w:lvlText w:val="(%1)"/>
      <w:numFmt w:val="lowerLetter"/>
      <w:start w:val="35"/>
    </w:lvl>
    <w:lvl w:ilvl="1">
      <w:lvlJc w:val="left"/>
      <w:lvlText w:val="(%2)"/>
      <w:numFmt w:val="lowerLetter"/>
      <w:start w:val="2"/>
    </w:lvl>
  </w:abstractNum>
  <w:abstractNum w:abstractNumId="268">
    <w:nsid w:val="59B76E28"/>
    <w:multiLevelType w:val="hybridMultilevel"/>
    <w:lvl w:ilvl="0">
      <w:lvlJc w:val="left"/>
      <w:lvlText w:val="1"/>
      <w:numFmt w:val="bullet"/>
      <w:start w:val="1"/>
    </w:lvl>
  </w:abstractNum>
  <w:abstractNum w:abstractNumId="269">
    <w:nsid w:val="4252C2DA"/>
    <w:multiLevelType w:val="hybridMultilevel"/>
    <w:lvl w:ilvl="0">
      <w:lvlJc w:val="left"/>
      <w:lvlText w:val="(%1)"/>
      <w:numFmt w:val="lowerLetter"/>
      <w:start w:val="6"/>
    </w:lvl>
  </w:abstractNum>
  <w:abstractNum w:abstractNumId="270">
    <w:nsid w:val="6A92EF4C"/>
    <w:multiLevelType w:val="hybridMultilevel"/>
    <w:lvl w:ilvl="0">
      <w:lvlJc w:val="left"/>
      <w:lvlText w:val="(%1)"/>
      <w:numFmt w:val="lowerLetter"/>
      <w:start w:val="1"/>
    </w:lvl>
  </w:abstractNum>
  <w:abstractNum w:abstractNumId="271">
    <w:nsid w:val="41ED20D7"/>
    <w:multiLevelType w:val="hybridMultilevel"/>
    <w:lvl w:ilvl="0">
      <w:lvlJc w:val="left"/>
      <w:lvlText w:val="%1"/>
      <w:numFmt w:val="lowerLetter"/>
      <w:start w:val="1"/>
    </w:lvl>
    <w:lvl w:ilvl="1">
      <w:lvlJc w:val="left"/>
      <w:lvlText w:val="(%2)"/>
      <w:numFmt w:val="lowerRoman"/>
      <w:start w:val="1"/>
    </w:lvl>
  </w:abstractNum>
  <w:abstractNum w:abstractNumId="272">
    <w:nsid w:val="E6B3F6A"/>
    <w:multiLevelType w:val="hybridMultilevel"/>
    <w:lvl w:ilvl="0">
      <w:lvlJc w:val="left"/>
      <w:lvlText w:val="(%1)"/>
      <w:numFmt w:val="lowerLetter"/>
      <w:start w:val="2"/>
    </w:lvl>
    <w:lvl w:ilvl="1">
      <w:lvlJc w:val="left"/>
      <w:lvlText w:val="%2"/>
      <w:numFmt w:val="lowerRoman"/>
      <w:start w:val="1"/>
    </w:lvl>
  </w:abstractNum>
  <w:abstractNum w:abstractNumId="273">
    <w:nsid w:val="3EB21819"/>
    <w:multiLevelType w:val="hybridMultilevel"/>
    <w:lvl w:ilvl="0">
      <w:lvlJc w:val="left"/>
      <w:lvlText w:val="(%1)"/>
      <w:numFmt w:val="lowerLetter"/>
      <w:start w:val="1"/>
    </w:lvl>
  </w:abstractNum>
  <w:abstractNum w:abstractNumId="274">
    <w:nsid w:val="41531DED"/>
    <w:multiLevelType w:val="hybridMultilevel"/>
    <w:lvl w:ilvl="0">
      <w:lvlJc w:val="left"/>
      <w:lvlText w:val="(%1)"/>
      <w:numFmt w:val="lowerLetter"/>
      <w:start w:val="1"/>
    </w:lvl>
  </w:abstractNum>
  <w:abstractNum w:abstractNumId="275">
    <w:nsid w:val="6353CD2"/>
    <w:multiLevelType w:val="hybridMultilevel"/>
    <w:lvl w:ilvl="0">
      <w:lvlJc w:val="left"/>
      <w:lvlText w:val="(%1)"/>
      <w:numFmt w:val="lowerLetter"/>
      <w:start w:val="1"/>
    </w:lvl>
  </w:abstractNum>
  <w:abstractNum w:abstractNumId="276">
    <w:nsid w:val="683CAAD3"/>
    <w:multiLevelType w:val="hybridMultilevel"/>
    <w:lvl w:ilvl="0">
      <w:lvlJc w:val="left"/>
      <w:lvlText w:val="•"/>
      <w:numFmt w:val="bullet"/>
      <w:start w:val="1"/>
    </w:lvl>
  </w:abstractNum>
  <w:abstractNum w:abstractNumId="277">
    <w:nsid w:val="313C7C99"/>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2022-08-10T06:47:23Z</dcterms:created>
  <dcterms:modified xsi:type="dcterms:W3CDTF">2022-08-10T06:47:23Z</dcterms:modified>
</cp:coreProperties>
</file>