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90758d424b5.htm"/>
        <w:bookmarkStart w:id="1" w:name="ksd190758d424b5"/>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 xml:space="preserve">Filed Pursuant to Rule 424(b)(5) </w:t>
        <w:br/>
        <w:t xml:space="preserve">Registration No. 333-281359 </w:t>
      </w:r>
    </w:p>
    <w:p>
      <w:pPr>
        <w:pStyle w:val="TextBody"/>
        <w:bidi w:val="0"/>
        <w:spacing w:before="24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OCTOBER 19,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August 8, 2024)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$350,000,000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4796155" cy="7353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96155" cy="73533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Pre-Funded Warrants to Purchase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offering $350,000,000 of shares of our common stock and, in lieu of common stock to certain investors that so choose, pre-funded warrants to purchase shares of common stock in this offering. Our common stock is listed on the Nasdaq Global Market under the symbol “IRON.” On October 19, 2026, the closing sale price of our common stock on the Nasdaq Global Market was $78.93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purchase price of each pre-funded warrant will equal the price per share at which shares of our common stock are being sold to the public in this offering, minus $0.0001, which is the exercise price of each pre-funded warrant. The pre-funded warrants do not expire, and each pre-funded warrant will be exercisable at any time after the date of issuance, subject to an ownership limitation and in some cases clearance under the Hart-Scott-Rodino Antitrust Improvements Act of 1976, as amended, or the HSR Act. This prospectus supplement also relates to the offering of the shares of common stock issuable upon exercise of such pre-funded warrants.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There is no established public trading market for the pre-funded warrants, and we do not expect a market to develop. We do not intend to list the pre-funded warrants on the Nasdaq Global Market or any other national securities exchange or nationally recognized trading system.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a high degree of risk. Please read “</w:t>
      </w:r>
      <w:hyperlink w:anchor="supptx190758_4">
        <w:r>
          <w:rPr>
            <w:rStyle w:val="InternetLink"/>
            <w:rFonts w:ascii="Times New Roman" w:hAnsi="Times New Roman"/>
            <w:b/>
            <w:sz w:val="24"/>
          </w:rPr>
          <w:t>Risk Factors</w:t>
        </w:r>
      </w:hyperlink>
      <w:r>
        <w:rPr>
          <w:rFonts w:ascii="Times New Roman" w:hAnsi="Times New Roman"/>
          <w:b/>
          <w:sz w:val="24"/>
        </w:rPr>
        <w:t xml:space="preserve">” beginning on page S-11 of this prospectus supplement, page 10 in the accompanying prospectus, and under similar headings in the documents that are incorporated by reference into this prospectus supplement concerning factors you should carefully consider before investing in our securities.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3898"/>
        <w:gridCol w:w="372"/>
        <w:gridCol w:w="172"/>
        <w:gridCol w:w="691"/>
        <w:gridCol w:w="74"/>
        <w:gridCol w:w="372"/>
        <w:gridCol w:w="313"/>
        <w:gridCol w:w="1292"/>
        <w:gridCol w:w="74"/>
        <w:gridCol w:w="372"/>
        <w:gridCol w:w="172"/>
        <w:gridCol w:w="691"/>
        <w:gridCol w:w="79"/>
      </w:tblGrid>
      <w:tr>
        <w:trPr/>
        <w:tc>
          <w:tcPr>
            <w:tcW w:w="3898"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74"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74"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3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3898"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3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“Underwriting” beginning on page S-30 for a description of the compensation payable to the underwriters.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$52,500,000 million of shares of our common stock at the public offering price, less the underwriting discounts and commissions. </w:t>
      </w:r>
    </w:p>
    <w:p>
      <w:pPr>
        <w:pStyle w:val="TextBody"/>
        <w:bidi w:val="0"/>
        <w:spacing w:before="240" w:after="0"/>
        <w:ind w:left="960" w:right="960" w:hanging="0"/>
        <w:jc w:val="left"/>
        <w:rPr>
          <w:rFonts w:ascii="Times New Roman" w:hAnsi="Times New Roman"/>
          <w:b/>
          <w:i/>
          <w:sz w:val="20"/>
        </w:rPr>
      </w:pPr>
      <w:r>
        <w:rPr>
          <w:rFonts w:ascii="Times New Roman" w:hAnsi="Times New Roman"/>
          <w:b/>
          <w:i/>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underwriters expect to deliver the shares of common stock and pre-funded warrants against payment therefor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sz w:val="20"/>
        </w:rPr>
      </w:pPr>
      <w:r>
        <w:rPr>
          <w:rFonts w:ascii="Times New Roman" w:hAnsi="Times New Roman"/>
          <w:i/>
          <w:sz w:val="20"/>
        </w:rPr>
        <w:t>Joint Book-Running Managers</w:t>
      </w:r>
      <w:r>
        <w:rPr>
          <w:rFonts w:ascii="Times New Roman" w:hAnsi="Times New Roman"/>
          <w:sz w:val="20"/>
        </w:rPr>
        <w:t xml:space="preserve">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2348"/>
        <w:gridCol w:w="101"/>
        <w:gridCol w:w="2552"/>
        <w:gridCol w:w="101"/>
        <w:gridCol w:w="2552"/>
        <w:gridCol w:w="101"/>
        <w:gridCol w:w="2450"/>
      </w:tblGrid>
      <w:tr>
        <w:trPr/>
        <w:tc>
          <w:tcPr>
            <w:tcW w:w="2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b/>
              </w:rPr>
            </w:pPr>
            <w:r>
              <w:rPr>
                <w:b/>
              </w:rPr>
              <w:t>Jefferies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Cantor</w:t>
            </w:r>
          </w:p>
        </w:tc>
      </w:tr>
    </w:tbl>
    <w:p>
      <w:pPr>
        <w:pStyle w:val="TextBody"/>
        <w:bidi w:val="0"/>
        <w:spacing w:before="480" w:after="0"/>
        <w:ind w:left="960" w:right="960" w:hanging="0"/>
        <w:jc w:val="center"/>
        <w:rPr/>
      </w:pPr>
      <w:r>
        <w:rPr/>
        <w:t>   </w:t>
      </w:r>
      <w:r>
        <w:rPr>
          <w:rFonts w:ascii="Times New Roman" w:hAnsi="Times New Roman"/>
          <w:b/>
          <w:sz w:val="20"/>
        </w:rPr>
        <w:t xml:space="preserve">,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2">
              <w:r>
                <w:rPr>
                  <w:rStyle w:val="InternetLink"/>
                  <w:rFonts w:ascii="Times New Roman" w:hAnsi="Times New Roman"/>
                  <w:sz w:val="20"/>
                </w:rPr>
                <w:t>Cautionary Statement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3">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5">
              <w:r>
                <w:rPr>
                  <w:rStyle w:val="InternetLink"/>
                  <w:rFonts w:ascii="Times New Roman" w:hAnsi="Times New Roman"/>
                  <w:sz w:val="20"/>
                </w:rPr>
                <w:t>Dividend Policy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7">
              <w:r>
                <w:rPr>
                  <w:rStyle w:val="InternetLink"/>
                  <w:rFonts w:ascii="Times New Roman" w:hAnsi="Times New Roman"/>
                  <w:sz w:val="20"/>
                </w:rPr>
                <w:t>Dilution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8">
              <w:r>
                <w:rPr>
                  <w:rStyle w:val="InternetLink"/>
                  <w:rFonts w:ascii="Times New Roman" w:hAnsi="Times New Roman"/>
                  <w:sz w:val="20"/>
                </w:rPr>
                <w:t>Description of Pre-Funded Warrants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9">
              <w:r>
                <w:rPr>
                  <w:rStyle w:val="InternetLink"/>
                  <w:rFonts w:ascii="Times New Roman" w:hAnsi="Times New Roman"/>
                  <w:sz w:val="20"/>
                </w:rPr>
                <w:t>Material U.S. Federal Income Tax Consequences for Investors in Common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0">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1">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2">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3">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4">
              <w:r>
                <w:rPr>
                  <w:rStyle w:val="InternetLink"/>
                  <w:rFonts w:ascii="Times New Roman" w:hAnsi="Times New Roman"/>
                  <w:sz w:val="20"/>
                </w:rPr>
                <w:t>Incorporation of Certain Information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9">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0">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1">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4">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9075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an automatic shelf registration statement on Form S-3 (File No. 333-281359) that we filed with the Securities and Exchange Commission, or SEC, on August 8, 2024 as a “well-known seasoned issuer” as defined in Rule 405 of the Securities Act of 1933, as amended, or the Securities Act. This document is in two parts. The first part is this prospectus supplement, which describes the specific terms of this offering of common stock and pre-funded warrants. The second part is the accompanying prospectus, which provide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shares of common stock or pre-funded warrants offered hereby, we urge you to read carefully this prospectus supplement and the accompanying prospectus, together with the information incorporated herein by reference as described below under the heading “Incorporation of Certain Information by Reference,” as well as the additional information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you with information other than the information that we have provided or incorporated by reference in this prospectus supplement and the accompanying prospectus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and pre-funded warrants.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prospectus supplement and the accompanying prospectus to our consolidated financial statements include the related notes thereto. </w:t>
      </w:r>
    </w:p>
    <w:p>
      <w:pPr>
        <w:pStyle w:val="TextBody"/>
        <w:bidi w:val="0"/>
        <w:spacing w:before="240" w:after="0"/>
        <w:jc w:val="left"/>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 and,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90758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that we incorporate by reference, contain “forward-looking statements” within the meaning of Section 27A of the Securities Act and Section 21E of the Securities Exchange Act of 1934, as amended, or the Exchange Act. All statements, other than statements of historical facts, included in this prospectus supplement and the accompanying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further develop and, if approved,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bitopertin and any of our other product candidates, and the timing of any such potential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our current and future debt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geopolitical conflicts, economic sanctions and economic slowdowns or recessions that may result from such developments which could harm our research and development efforts as well as the value of our common stock and our ability to access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changes in the policies or regulations of the U.S. Food and Drug Administration or comparable foreign regulatory authorities regarding development, approval, and marketing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the proceeds from this offering and any other financing transaction we may undertake.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You should therefore not rely on these forward-looking statements as representing our views as of any date subsequent to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 their estimates, in particular, as they relate to projections, involve numerous assumptions, are subject to risks and uncertainties and are subject to change based on various factors. You should read this prospectus supplement, the accompanying prospectus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Quarterly Report on Form 10-Q for the quarter ended June 30, 2026 filed with the SEC on July 30, 2026, which is incorporated by reference into this prospectus supplement and the accompanying prospectus, and the section of this prospectus supplement and the accompanying prospectus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190758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common stock or pre-funded warrants. You should read this prospectus supplement, the accompanying prospectus and the documents incorporated by reference herein and therein carefully, especially those associated with the risks of investing in our common stock or pre-funded warrants discussed under “Risk Factors” beginning on page S-11 of this prospectus supplement and page 10 in the accompanying prospectus and in the section entitled “Risk Factors” of our quarterly report on Form 10-Q for the quarter ended June 30, 2026, filed with the SEC on July 30, 2026,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selcodebart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Heme Biosynthesis: Bitopertin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October 2026, we announced positive topline results from APOLLO, a randomized, double-blind, pivotal Phase 3 trial evaluating the safety and efficacy of bitopertin versus placebo in adults and adolescents aged 12 or older with EPP or XLP.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also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the toxic metabolite, protoporphyrin IX, or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and June 2026, demonstrated that longer term treatment of bitopertin was associated with sustained reductions in PPIX, as well as improvements in quality of life and liver biomarkers.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September 2025 we submitted a New Drug Application, or NDA, for accelerated approval of bitopertin in EPP and XLP in the United States based on our Phase 2 data. The U.S. Food and Drug Administration, or FDA, accepted our NDA for review in November 2025 and in February 2026 issued a complete response letter, or CRL. The FDA concluded that the AURORA and BEACON trials did not show evidence of association between percent change in PPIX and sunlight exposure-based endpoints as measured in the trials, resulting in uncertainty regarding whether bitopertin’s effect on PPIX is reasonably likely to predict clinical benefit, despite the strong mechanistic and biological plausibility supporting the use of the PPIX biomarker in protoporphyria. In our Type A meeting during the second quarter of 2026, the FDA indicated that results of the Phase 3 APOLLO trial, if successful, could serve as the basis for a response to the CRL and could potentially support a traditional approval. With the positive topline results from APOLLO, we plan to resubmit an NDA to the FDA by the end of 2026 and would then anticipate an FDA decision on our NDA by mid-2027.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Iron Homeostasis: Selcodebart (DISC-0974) and DISC-3405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Selcodebart (DISC-0974)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Selcodebart is the lead product candidate in our iron homeostasis portfolio and was licensed from AbbVie Deutschland GmbH &amp; Co. KG, or AbbVie. Selcodebart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in December 2025 and interim data in June 2026, with results demonstrating meaningful overall anemia responses across all patient subgroups, regardless of baseline transfusion status and independent of concomitant Janus Kinase, or JAK, inhibitor therapy use. We expect to share additional data and hold an end-of-Phase 2 meeting with the FDA for selcodebart in anemia of MF by the end of 2026. We anticipate initiating a Phase 3 clinical program for selcodebart in anemia of MF in the first half of 2027, subject to the outcome of our end-of-Phase 2 meeting with the FDA. We also initiated RALLY-IBD, a Phase 2 clinical trial of selcodebart in patients with IBD and anemia in the first quarter of 2026, with initial data anticipated in 2027,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selcodebart. We believe this profile may be desirable in certain subsets of patients with anemia associated with inflammatory diseases.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DISC-3405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developing DISC-3405, a monoclonal antibody against Transmembrane Serine Protease 6, or TMPRSS6, that we licensed from Mabwell Therapeutics, Inc. DISC-3405 is part of our iron homeostasis portfolio and is designed to induce hepcidin production and reduce serum iron levels. We initiated a Phase 1 clinical trial of DISC-3405 in healthy adult volunteers in October 2023,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DISC-3405 in patients with PV, in June 2025, and reported initial efficacy data from Cohort A of this trial in September 2026, with results demonstrating that treatment with DISC-3405 increased hepcidin and lowered serum iron, translating to reduction in phlebotomy events, controlled hematocrit, and improved symptom burden in patients with PV. In this initial data, DISC-3405 was generally well-tolerated in participants in Cohort A and Cohort B with adverse events that were consistent with underlying disease and a low rate of injection site reactions, which were mild and self-limited. We expect to report additional data from our RESTORE-PV clinical trial by the end of 2026 and topline data in 2027. If positive, and subject to engagement with the FDA, we anticipate initiating a Phase 3 clinical program for DISC-3405 in PV in 2027. We also initiated a Phase 1b, open-label clinical trial of DISC-3405 in patients with SCD in October 2025, with initial data expected in the fourth quarter of 2026, and plan to explore the role of therapeutic iron restriction in other indications. </w:t>
      </w:r>
    </w:p>
    <w:p>
      <w:pPr>
        <w:pStyle w:val="TextBody"/>
        <w:bidi w:val="0"/>
        <w:spacing w:before="0" w:after="0"/>
        <w:jc w:val="left"/>
        <w:rPr>
          <w:bdr w:val="single" w:sz="8" w:space="1" w:color="000000"/>
        </w:rPr>
      </w:pPr>
      <w:r>
        <w:rPr>
          <w:bdr w:val="single" w:sz="8" w:space="1" w:color="000000"/>
        </w:rPr>
        <w: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19, 2026, we announced positive topline results from APOLLO Phase 3 trial of bitopertin in EPP, including XLP. The trial met all its primary and secondary endpoints.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APOLLO is a randomized, double-blind pivotal Phase 3 trial evaluating the safety and efficacy of bitopertin versus placebo in adults and adolescents aged 12 or older with EPP or XLP. The trial enrolled 183 patients across the United States, Canada, Europe, and Australia, who were stratified by baseline light tolerance and geography and randomized 1:1 to receive 60 mg oral bitopertin or placebo once daily for 6 months.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Bitopertin: Summary of Phase 3 APOLLO Topline Data Results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achieved statistical significance on both co-primary endpoints vs. placebo: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 in whole-blood metal-free PPIX from baseline (-41.4% vs. placebo,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average monthly total time in light without pain during month 6 (+12.2 hours vs. placebo, p=0.0010)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achieved statistical significance on all secondary endpoints vs. placebo,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 in incidence rate of phototoxic reactions over the 6-month treatment period vs. placebo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cumulative total time in light without pain over the 6-month treatment period vs. placebo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change from baseline in average daily sunlight exposure time to prodrome vs. placebo (p=0.0077, adults only)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demonstrated additional quality of life benefits vs. placebo, including improved Patient Global Impression of Change (PGIC) score (p&lt;0.0001) and Patient Global Impression of Severity (PGIS) score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was generally well-tolerated. Consistent with prior studies, dizziness was the most commonly reported treatment emergent adverse event, or TEAE, in the bitopertin group (50%) and was mild or moderate and generally transient. There were no TEAEs above Grade 3.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APOLLO clinical trial adds to an extensive clinical data package supporting bitopertin’s potential in EPP. Based on these results, we plan to resubmit an NDA to the FDA by the end of 2026, with an FDA decision anticipated by mid-2027.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Unaudited Financial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upon preliminary estimates and information available to us as of the date of this prospectus supplement, as of September 30, 2026, we had approximately $682.8 million in cash, cash equivalents and marketable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foregoing estimate as of September 30, 2026 is preliminary. We are in the process of finalizing the actual results of operations as of and for the nine months ended September 30, 2026 and therefore final results are not yet available. This preliminary estimate is based solely upon information available to us as of the date of this prospectus supplement and our actual results may differ from this estimate due to the completion of our financial statement closing procedures, final adjustments, and developments that may arise between now and the time our financial results as of and for the nine months ended September 30, 2026 are finalized. Additionally, our independent registered public accounting firm has not yet completed its review of our condensed consolidated financial statements as of and for the nine months ended September 30, 2026. Additional information and disclosure would be required for a more complete understanding of our financial position and results of operations as of and for the nine months ended September 30, 2026. Investors should refer to the actual results and the unaudited condensed consolidated financial statements as of and for the nine months ended September 30, 2026 once they become available upon filing of our Quarterly Report on Form 10-Q.</w:t>
      </w:r>
    </w:p>
    <w:p>
      <w:pPr>
        <w:pStyle w:val="TextBody"/>
        <w:bidi w:val="0"/>
        <w:spacing w:before="0" w:after="0"/>
        <w:jc w:val="left"/>
        <w:rPr>
          <w:bdr w:val="single" w:sz="8" w:space="1" w:color="000000"/>
        </w:rPr>
      </w:pPr>
      <w:r>
        <w:rPr>
          <w:bdr w:val="single" w:sz="8" w:space="1" w:color="000000"/>
        </w:rPr>
        <w: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independent registered public accounting firm has not audited, reviewed or performed any procedures with respect to these preliminary estimates and, accordingly, does not express an opinion or any other form of assurance about them.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321 Arsenal Street, Suite 101, Watertown, MA 02472, and our telephone number is (617) 674-9274. We maintain an Internet website at the following address: www.discmedicine.com. Information contained on or accessible through our website is not a part of or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 </w:t>
            </w:r>
          </w:p>
        </w:tc>
        <w:tc>
          <w:tcPr>
            <w:tcW w:w="6328" w:type="dxa"/>
            <w:tcBorders/>
          </w:tcPr>
          <w:p>
            <w:pPr>
              <w:pStyle w:val="TableContents"/>
              <w:bidi w:val="0"/>
              <w:spacing w:before="0" w:after="283"/>
              <w:jc w:val="left"/>
              <w:rPr/>
            </w:pPr>
            <w:r>
              <w:rPr/>
              <w:t xml:space="preserve">Disc Medicine,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6"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7" w:type="dxa"/>
            <w:tcBorders/>
          </w:tcPr>
          <w:p>
            <w:pPr>
              <w:pStyle w:val="TableContents"/>
              <w:bidi w:val="0"/>
              <w:spacing w:before="0" w:after="283"/>
              <w:jc w:val="left"/>
              <w:rPr/>
            </w:pPr>
            <w:r>
              <w:rPr/>
              <w:t xml:space="preserve">We are also offering, in lieu of common stock to certain investors that so choose, pre-funded warrants to purchase      shares of our common stock. Each pre-funded warrant is exercisable for one share of our common stock. The purchase price of each pre-funded warrant will equal the price per share at which shares of common stock are being sold to the public in this offering, less $0.0001, which is the exercise price of each pre-funded warrant. The pre-funded warrants do not expire, and each pre-funded warrant will be exercisable at any time after the date of issuance, subject to an ownership limitation and in some cases clearance under the HSR Act. See “Description of Pre-Funded Warrants.” This prospectus supplement also relates to the offering of the shares of our common stock issuable upon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7" w:type="dxa"/>
            <w:tcBorders/>
          </w:tcPr>
          <w:p>
            <w:pPr>
              <w:pStyle w:val="TableContents"/>
              <w:bidi w:val="0"/>
              <w:spacing w:before="0" w:after="283"/>
              <w:jc w:val="left"/>
              <w:rPr/>
            </w:pPr>
            <w:r>
              <w:rPr/>
              <w:t>   </w:t>
            </w:r>
            <w:r>
              <w:rPr/>
              <w:t xml:space="preserve">shares (or     shares, if the underwriters exercise their option in full to purchase additional shares), in each case, assuming no exercise of any pre-funded warrants offered and sold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w:t>
            </w:r>
          </w:p>
        </w:tc>
        <w:tc>
          <w:tcPr>
            <w:tcW w:w="6330" w:type="dxa"/>
            <w:tcBorders/>
          </w:tcPr>
          <w:p>
            <w:pPr>
              <w:pStyle w:val="TableContents"/>
              <w:bidi w:val="0"/>
              <w:spacing w:before="0" w:after="283"/>
              <w:jc w:val="left"/>
              <w:rPr/>
            </w:pPr>
            <w:r>
              <w:rPr/>
              <w:t xml:space="preserve">We have granted the underwriters a 30-day option to purchase up to   additional shares of our common stock at the public offering price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fund research and clinical development of our current or additional product candidates, to support the potential commercialization of bitopertin for EPP and XLP, and additional pre-commercialization activities for our other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S-17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Your investment involves a high degree of risk. You should read the “Risk Factors” sections of this prospectus supplement beginning on page S-11 and page 10 in the accompanying prospectus and in our Quarterly Report on Form 10-Q for the quarter ended June 30, 2026, as well as the other documents incorporated by reference in this prospectus supplement and the accompanying prospectus for a discussion of factors to consider carefully before deciding to invest in our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Market symbol </w:t>
            </w:r>
          </w:p>
        </w:tc>
        <w:tc>
          <w:tcPr>
            <w:tcW w:w="6329" w:type="dxa"/>
            <w:tcBorders/>
          </w:tcPr>
          <w:p>
            <w:pPr>
              <w:pStyle w:val="TableContents"/>
              <w:bidi w:val="0"/>
              <w:spacing w:before="0" w:after="283"/>
              <w:jc w:val="left"/>
              <w:rPr/>
            </w:pPr>
            <w:r>
              <w:rPr/>
              <w:t>“</w:t>
            </w:r>
            <w:r>
              <w:rPr/>
              <w:t xml:space="preserve">IRON”.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is no established public trading market for the pre-funded warrants, and we do not expect a market to develop. We do not intend to list the pre-funded warrants on the Nasdaq Global Market or any other national securities exchange or nationally recognized trading system.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38,345,666 shares outstanding as of June 30, 2026. The number of shares outstanding as of June 30, 2026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3,706,349 shares of common stock issuable upon the exercise of stock options outstanding as of June 30, 2026, at a weighted average exercise price of $44.95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37,023 shares of common stock issuable upon the exercise of stock options granted subsequent to June 30, 2026, at a weighted average exercise price of $68.55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1,348,329 shares of common stock issuable upon the vesting of restricted stock units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55,857 shares of common stock issuable upon the vesting of restricted stock units granted subsequent to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1,656,017 shares of common stock available for issuance under our Amended and Restated 2021 Stock Option and Incentive Plan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313,206 shares of common stock available for future issuance under our Amended and Restated 2021 Employee Stock Purchase Plan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445,422 shares of common stock issuable upon the exercise of pre-funded warrants outstanding as of June 30, 2026.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underwriters’ option to purchase up to      additional shares of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outstanding stock options or pre-funded warrants or vesting of restricted stock units as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pre-funded warrants that we are offering in this offering in lieu of common stock to certain investors;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potential issuance of up to $189.9 million of common stock that remains available for sale as of the date of this prospectus supplement under our Controlled Equity OfferingSM Sales Agreement, or Sales Agreement, with Cantor Fitzgerald &amp; Co. dated November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90758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Your investment in our common stock or pre-funded warrants involves a high degree of risk. Before deciding whether to invest in our common stock or pre-funded warrants, you should carefully consider the risks discussed under the section captioned “Risk Factors” contained in our Quarterly Report on Form 10-Q for the quarter ended June 30, 2026 which is incorporated by reference in this prospectus supplement and the accompanying prospectus in its entirety, together with other information in this prospectus supplement, the accompanying prospectus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our common stock or pre-funded warrants sold in this offering, you will experience immediate and substantial dilution. In addition, we may issue additional equity or convertible securities in the future, which may result in additional dilution to you. </w:t>
      </w:r>
    </w:p>
    <w:p>
      <w:pPr>
        <w:pStyle w:val="TextBody"/>
        <w:bidi w:val="0"/>
        <w:spacing w:before="120" w:after="0"/>
        <w:jc w:val="left"/>
        <w:rPr>
          <w:rFonts w:ascii="Times New Roman" w:hAnsi="Times New Roman"/>
          <w:sz w:val="20"/>
        </w:rPr>
      </w:pPr>
      <w:r>
        <w:rPr>
          <w:rFonts w:ascii="Times New Roman" w:hAnsi="Times New Roman"/>
          <w:sz w:val="20"/>
        </w:rPr>
        <w:t xml:space="preserve">Since the price per share of our common stock being offered is higher than the net tangible book value per share of our common stock, you will suffer dilution with respect to the net tangible book value of the shares of common stock or pre-funded warrants you purchase in this offering. Based on the public offering price of $    per share of our common stock and $    per pre-funded warrant and our net tangible book value as of June 30, 2026, if you purchase shares of common stock or pre-funded warrants in this offering, you will suffer immediate dilution of $    per share with respect to the net tangible book value of the common stock. For a more detailed discussion of the foregoing, see the section entitled “Dilution” below. To the extent outstanding stock options or pre-funded warrants are exercised, or restricted stock units vest and settle, there will be further dilution to investors. In addition, to the extent we need to raise additional capital in the future, under our Sales Agreement with Cantor Fitzgerald &amp; Co. or otherwise,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use them in ways that you and other stockholders may not approve. </w:t>
      </w:r>
    </w:p>
    <w:p>
      <w:pPr>
        <w:pStyle w:val="TextBody"/>
        <w:bidi w:val="0"/>
        <w:spacing w:before="120" w:after="0"/>
        <w:jc w:val="left"/>
        <w:rPr>
          <w:rFonts w:ascii="Times New Roman" w:hAnsi="Times New Roman"/>
          <w:sz w:val="20"/>
        </w:rPr>
      </w:pPr>
      <w:r>
        <w:rPr>
          <w:rFonts w:ascii="Times New Roman" w:hAnsi="Times New Roman"/>
          <w:sz w:val="20"/>
        </w:rPr>
        <w:t xml:space="preserve">We currently expect to use the net proceeds of this offering to fund research and clinical development of our current or additional product candidates, to support the potential commercialization of bitopertin for EPP and XLP, and additional pre-commercialization activities for our other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the exercise of pre-funded warrants sold in this offering will result in further dilution to the holders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after this offering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38,345,666 shares of common stock outstanding as of June 30, 2026. We filed an automatic registration statement on Form S-3 (Registration No. 333-281359) that became automatically effective on August 8, 2024, and which registers the offer and sale from time to time of a variety of securities, including common stock, preferred stock, debt securities, warrants or units pursuant to one or more offerings at prices and terms to be determined at the time of sale. In addition, we filed a registration statement on Form S-3 (Registration No. 333-269270) that became effective on January 24, 2023, and which registers the offer and sale from time to time of our common stock by certain of our stockholders, pursuant to one or more offerings at prices and terms to be determined at the time of sale. To the extent shares are sold into the market pursuant to these registration statements on Form S-3, under Rule 144 of the Securities Act or otherwise, particularly in substantial quantities, the market price of our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may raise money through additional public or private offerings of our equity securities or equity-linked securities. For example, in November 2024, we entered into the Sales Agreement pursuant to which we may offer and sell, from time to time to or through Cantor Fitzgerald &amp; Co., acting as our sales agent, shares of common stock having an aggregate offering price of up to $200.0 million. As of the date of this prospectus supplement, we may issue and sell shares of our common stock having an aggregate offering price of up to $189.9 million under our “at-the-market” offering program. Any sales of our equity or equity-linked securities could have a material adverse effect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our directors and executive officers have entered into lock-up agreements covering some or all of their equity ownership for a period of 45 days following this offering. The lock-up agreements are subject to various exceptions, and we, our directors and executive officers may be released from the lock-up agreements prior to the expiration of the lock-up period at the sole discretion of Jefferies LLC, Leerink Partners LLC and Morgan Stanley &amp; Co. LLC. See the section entitled “Underwriting.” Upon expiration or earlier release of the lock-up agreements, we and our directors and executive officers may sell previously locked-up shares into the market, which could adversely affect the market price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have a significant number of stock options and restricted stock units outstanding and our board of directors intends to grant additional stock options, and may also choose to issue additional restricted stock units, common stock, or securities convertible into or exchangeable for common stock, in the future in 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our common stock has been, and may continue to be, highly volatile, and purchasers of our common stock could incur substantial losses. </w:t>
      </w:r>
    </w:p>
    <w:p>
      <w:pPr>
        <w:pStyle w:val="TextBody"/>
        <w:bidi w:val="0"/>
        <w:spacing w:before="120" w:after="0"/>
        <w:jc w:val="left"/>
        <w:rPr>
          <w:rFonts w:ascii="Times New Roman" w:hAnsi="Times New Roman"/>
          <w:sz w:val="20"/>
        </w:rPr>
      </w:pPr>
      <w:r>
        <w:rPr>
          <w:rFonts w:ascii="Times New Roman" w:hAnsi="Times New Roman"/>
          <w:sz w:val="20"/>
        </w:rPr>
        <w:t xml:space="preserve">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new equity securities pursuant to a future offering, including issuances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developments, including announcements by competitors of new products or services or significant contracts,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quarterly operating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depth and liquidity of the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perceptions of our company and the pharmaceutical and biotechnology industries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we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degree of success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U.S. and other countries; actions taken by regulatory agencies with respect to our product candidates, clinical studies, and manufacturing processes;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or failure to obtain, regulatory approvals, including approvals of NDAs from the FDA and our ability to use and benefit from any accelerated regulatory pathways;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legal proceedings or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corporate strategy and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develop, acquire, or in-license additional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rumors or announcements regarding transactions involving our company 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other national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 significant amount or any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is exercisable for $0.0001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Except for the right to participate in certain dividends and distributions, holders of the pre-funded warrants will have no rights as stockholders until such holders exercise their pre-funded warrants and acquire shares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common stock underlying such pre-funded warrants, except that the holder of a pre-funded warrant shall be entitled to participate in certain distributions, including cash dividends, if any, to all holders of our common stock for no consideration, subject to certain ownership limitations and in some cases clearance under the HSR Act. Upon exercise of the pre-funded warrants, the holders will be entitled to exercise the rights of a holder of common stock only as to matters for which the record date occurs after the exercise date. See “Description of Pre-Funded Warrants-No Rights as a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A holder of a pre-funded warrant will not be entitled to exercise any portion of any pre-funded warrant which, upon giving effect to such exercise, would cause the aggregate number of shares of our common stock beneficially owned by the holder (together with its affiliates and other attribution parties, as defined under “</w:t>
      </w:r>
      <w:r>
        <w:rPr>
          <w:rFonts w:ascii="Times New Roman" w:hAnsi="Times New Roman"/>
          <w:i/>
          <w:sz w:val="20"/>
        </w:rPr>
        <w:t>Description of Pre-Funded Warrants-Exercise Limitations</w:t>
      </w:r>
      <w:r>
        <w:rPr>
          <w:rFonts w:ascii="Times New Roman" w:hAnsi="Times New Roman"/>
          <w:sz w:val="20"/>
        </w:rPr>
        <w:t xml:space="preserve">”) to exceed 24.99%, or if the purchaser elected prior to the issuance of pre-funded warrants to have the initial exercise limitation set at any of 4.99%, 9.99% or 19.99% of our outstanding common stock, such lower threshold, of the number of shares of our common stock that would be outstanding immediately after giving effect to the exercise. However, subject to certain limitations, any holder may increase or decrease such percentage to any other percentage not in excess of 24.99% upon at least 61 days’ prior notice from the holder to us. In addition, where a holder notifies us that a filing under the HSR Act is required,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to equal or exceed the HSR Threshold (as defined below), until the applicable waiting period under the HSR Act has expired.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90758_5"/>
      <w:bookmarkEnd w:id="7"/>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is restricted by the terms of our loan and security agreement with Hercules Capital, Inc., and may be restricted by the terms of any of our future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90758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the shares of common stock and pre-funded warrants to purchase shares of common stock that we are offering will be approximately $     million after deducting underwriting discounts and commissions and estimated offering expenses payable by us. We will receive nominal proceeds, if any, from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together with our existing cash, cash equivalents and marketable securities, to fund research and clinical development of our current or additional product candidates, to support the potential commercialization of bitopertin for EPP and XLP, and additional pre-commercialization activities for our other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t>
      </w:r>
    </w:p>
    <w:p>
      <w:pPr>
        <w:pStyle w:val="TextBody"/>
        <w:bidi w:val="0"/>
        <w:spacing w:before="240" w:after="0"/>
        <w:jc w:val="left"/>
        <w:rPr>
          <w:rFonts w:ascii="Times New Roman" w:hAnsi="Times New Roman"/>
          <w:sz w:val="20"/>
        </w:rPr>
      </w:pPr>
      <w:r>
        <w:rPr>
          <w:rFonts w:ascii="Times New Roman" w:hAnsi="Times New Roman"/>
          <w:sz w:val="20"/>
        </w:rPr>
        <w:t xml:space="preserve">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and decisions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this offering, assuming net proceeds to us, after deducting underwriting discounts and commissions and estimated offering expenses payable by us, of approximately $328 million, we expect that our cash, cash equivalents and marketable securities, will be sufficient to fund our current operating and capital expenditure plans and our debt service obligations into 2030. Without the proceeds of this offering, we anticipate that our existing cash, cash equivalents and marketable securities will be sufficient to fund our operating and capital expenditure plans and our debt service obligations into 2029. These expectations do not take into account any potential net cash inflows from bitopertin or any other marketed product, if approved during such period. Our future capital requirements will depend on many factors, including those discussed in “Liquidity and Capital Resources” of our Quarterly Report on Form 10-Q for the quarter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sections of this prospectus supplement, the accompanying prospectus and the documents incorporated by reference for a discussion of the risks affecting our business that could have an adverse effect on our available capital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90758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purchase shares of our common stock or pre-funded warrants in this offering, your ownership interest will be diluted to the extent of the difference between the price per share of our common stock or pre-funded warrant you pay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approximately $644.2 million, or $16.80 per share of common stock, based upon 38,345,666 shares outstanding as of that date. Net tangible book value per share is equal to our total tangible assets, less our total liabilities, divided by the total number of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issuance and sale of shares of our common stock and pre-funded warrants at the public offering price of $    per share and $    per pre-funded warrant (which equals the $    per share price at which shares of our common stock are being sold to the public in this offering, less the $0.0001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after deducting underwriting discounts and commissions and estimated offering expenses payable by us, our adjusted net tangible book value as of June 30, 2026 would have been $    million, or $    per share. This represents an immediate increase in net tangible book value of $    per share to our existing stockholders, and an immediate dilution of $    per share to investors purchasing shares of common stock or pre-funded warrants in the offering. Dilution per share to investors purchasing securities in this offering is determined by subtracting as adjusted net tangible book value per share after this offering from the public offering price per share of common stock (or pre-funded warrant) paid by investors.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calculation on a per share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37"/>
        <w:gridCol w:w="441"/>
        <w:gridCol w:w="141"/>
        <w:gridCol w:w="565"/>
        <w:gridCol w:w="60"/>
        <w:gridCol w:w="441"/>
        <w:gridCol w:w="141"/>
        <w:gridCol w:w="565"/>
        <w:gridCol w:w="64"/>
      </w:tblGrid>
      <w:tr>
        <w:trPr/>
        <w:tc>
          <w:tcPr>
            <w:tcW w:w="5337"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4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37"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16.80</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investors purchasing shares of common stock or pre-funded warrants in this offering</w:t>
            </w:r>
          </w:p>
        </w:tc>
        <w:tc>
          <w:tcPr>
            <w:tcW w:w="4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37"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37"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2026 after giving effect to this offering</w:t>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37"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as adjusted net tangible book value per share to investors in this offering</w:t>
            </w:r>
          </w:p>
        </w:tc>
        <w:tc>
          <w:tcPr>
            <w:tcW w:w="4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37"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holders of pre-funded warrants exercise the pre-funded warrants offered hereby, the as adjusted net tangible book value per share of our common stock after giving effect to this offering would be $    per share, and the dilution in net tangible book value per share to investors purchasing common stock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are based on 38,345,666 shares of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3,706,349 shares of common stock issuable upon the exercise of stock options outstanding as of June 30, 2026, at a weighted average exercise price of $44.95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37,023 shares of common stock issuable upon the exercise of stock options granted subsequent to June 30, 2026, at a weighted average exercise price of $68.55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1,348,329 shares of common stock issuable upon the vesting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55,857 shares of common stock issuable upon the vesting of restricted stock units granted subsequent to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1,656,017 shares of common stock available for issuance under our Amended and Restated 2021 Stock Option and Incentive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313,206 shares of common stock available for future issuance under our Amended and Restated 2021 Employee Stock Purchase Plan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445,422 shares of common stock issuable upon the exercise of pre-funded warrants outstanding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through our Sales Agreement with Cantor Fitzgerald &amp; Co. or otherwise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90758_8"/>
      <w:bookmarkEnd w:id="10"/>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by this prospectus supplement. The following description is subject in all respects to the provisions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investors. The form of pre-funded warrant will be filed as an exhibit to our Current Report on Form 8-K that we expect to file with the SEC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do not expire.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described below in “-Exercise Limitations,” 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any fractional shares that would otherwise be issuable, we will pay in cash to an exercising holder the fair market value, determined according to the terms of the pre-funded warrant, for any such fractional shares.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pre-funded warrants,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(as defined below)) to exceed 24.99% of the number of shares of our common stock that would be outstanding immediately after giving effect to the exercise. Purchasers in this offering may also elect prior to the issuance of pre-funded warrants to have the initial exercise limitation set at any of 4.99%, 9.99% or 19.99% of our outstanding common stock. However, any holder may increase or decrease such percentage to any other percentage not in excess of 24.99%, which increase or decrease shall not become effective until 61 days after notice from the holder to us. Notwithstanding the prior sentence, purchasers in this offering that select an exercise limitation of 19.99% or less will only be allowed to increase the exercise limitation above 19.99% if such increase would not result in a change of control under Nasdaq rules. For purposes of the foregoing, “attribution parties” means, collectively, the following persons and entities with respect to any holder: (i) 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exercise of a pre-funded warrant would result in a holder of pre-funded warrants (together with its attribution parties) acquiring beneficial ownership of our common stock (together with all other equity owned by such holder at such time) equal to or in excess of the notification threshold applicable to the holder under the HSR Act as of the date of delivery of the applicable exercise notice, which we refer to as the HSR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Threshold,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any of the limitations on exercise described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Taxes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Issuance and delivery of shares of common stock upon exercise of a pre-funded warrant will be made without charge to the holder thereof for any issue or transfer tax, transfer agent fee or other incidental tax or expense (excluding any applicable stamp duties) in respect of the issuance thereof, all of which taxes and expenses shall be paid by us. However, we are not required to pay any tax that may be payable in respect of any transfer involved in the registration of any warrant shares or pre-funded warrants in a name other than that of the holder or an affiliate thereof. The holder shall be responsible for all other tax liability that may arise as a result of holding or transferring its pre-funded warrants or receiving shares upon exercise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assigned by the holder without our consent. The ownership of the pre-funded warrants and any transfers of the pre-funded warrants will be registered in a warrant register maintained by the warrant agent. We will initially act as warrant agent.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plan on applying to list the pre-funded warrants on the Nasdaq Global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pre-funded warrants and generally including but not limited to certain reclassifications of our common stock, the sale, transfer or other disposition of all or substantially all of our properties or assets, our consolidation or merger with or into another person, the tender and acceptance for payment of shares representing more than 50% of the voting power of our capital stock pursuant to any tender or exchange offer (whether by us or another person), and the acquisition by another person of more than 50% of the voting power of our capital stock pursuant to a stock purchase agreement or other business combination, including a reorganization, recapitalization or spin-off (except for any such transaction in which our stockholders immediately prior to such transaction maintain, in substantially the same proportions, voting power of us immediately after the transaction)),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in full immediately prior to such fundamental transaction without regard to any limitations on exercise contained in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90758_9"/>
      <w:bookmarkEnd w:id="11"/>
      <w:r>
        <w:rPr>
          <w:rFonts w:ascii="Times New Roman" w:hAnsi="Times New Roman"/>
          <w:b/>
          <w:sz w:val="20"/>
        </w:rPr>
        <w:t xml:space="preserve">MATERIAL U.S. FEDERAL INCOME TAX CONSIDERATIONS FOR INVESTORS IN  OUR COMMON </w:t>
      </w:r>
    </w:p>
    <w:p>
      <w:pPr>
        <w:pStyle w:val="TextBody"/>
        <w:bidi w:val="0"/>
        <w:spacing w:before="0" w:after="0"/>
        <w:jc w:val="center"/>
        <w:rPr>
          <w:rFonts w:ascii="Times New Roman" w:hAnsi="Times New Roman"/>
          <w:b/>
          <w:sz w:val="20"/>
        </w:rPr>
      </w:pPr>
      <w:r>
        <w:rPr>
          <w:rFonts w:ascii="Times New Roman" w:hAnsi="Times New Roman"/>
          <w:b/>
          <w:sz w:val="20"/>
        </w:rPr>
        <w:t xml:space="preserve">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U.S. federal income tax considerations of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Special rules different from those described below may apply to certain investors that are subject to special treatment under the Internal Revenue Code of 1986, as amended, or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banks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Non-U.S. Holders (as defined below) that own or are deemed to own (directly, indirectly or by attribution) more than 5% of our common stock or more than 5% of our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for U.S. federal income tax purposes to conform the timing of income accruals to their financial statements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or pre-funded warrants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for U.S.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do not hold our common stock or pre-funded warrants as “capital assets” within the meaning of Section 1221 of the Code (generally, for investment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or pre-funded warrants pursuant to the exercise of any employee stock option or otherwise as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investors are urged to consult their own tax advisors to determine the U.S. federal, state, local and other tax consequences that may be relevant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does not address the tax treatment of partnerships or other pass-through entities or persons who hold our common stock or pre-funded warrants through partnerships or other entities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pass-through entities for U.S. federal income tax purposes. If a partnership or other pass-through entity holds our common stock or pre-funded warrants, the tax treatment of a partner will generally depend upon the status of the partner and the activities of the partnership or other pass-through entity. A partner in a partnership or other 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a “U.S. Holder” means a beneficial owner of our common stock or pre-funded warrants, other than a partnership or other pass-through entity, that is,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our common stock or pre-funded warrants, other than a partnership or other pass-through entity, that, for U.S. federal income tax purposes, is (i) a foreign corporation, (ii) nonresident alien individual, or (iii) a foreign estate or trust that in each case is not subject to U.S. federal income tax on a net-income basis on income or gain from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An individual non-U.S. citizen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left"/>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THE PURCHASE OF OUR COMMON STOCK OR PRE-FUNDED WARRANTS PURSUANT TO THIS OFFERING SHOULD CONSULT THEIR OWN TAX ADVISORS CONCERNING THE U.S. FEDERAL INCOME TAX CONSEQUENCES OF ACQUIRING, OWNING AND DISPOSING OF OUR COMMON STOCK OR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Characterization of the Pre-Funded Warrants for Tax Purposes </w:t>
      </w:r>
    </w:p>
    <w:p>
      <w:pPr>
        <w:pStyle w:val="TextBody"/>
        <w:bidi w:val="0"/>
        <w:spacing w:before="120" w:after="0"/>
        <w:jc w:val="left"/>
        <w:rPr>
          <w:rFonts w:ascii="Times New Roman" w:hAnsi="Times New Roman"/>
          <w:sz w:val="20"/>
        </w:rPr>
      </w:pPr>
      <w:r>
        <w:rPr>
          <w:rFonts w:ascii="Times New Roman" w:hAnsi="Times New Roman"/>
          <w:sz w:val="20"/>
        </w:rPr>
        <w:t xml:space="preserve">Although the characterization of the pre-funded warrants for U.S. federal income tax purposes is not entirely clear, because the exercise price of the pre-funded warrants is a nominal amount, we intend to treat the pre-funded warrants as our common stock for U.S. federal income tax purposes and a holder of pre-funded warrants should generally expect to be taxed in the same manner as a holder of common stock as described below. Accordingly, for U.S. federal income tax purposes, no gain or loss should be recognized upon the exercise of a pre-funded warrant (except to the extent of cash received in lieu of a fractional share),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The balance of this discussion generally assumes that the characterization described above is respected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Our position with respect to the characterization of pre-funded warrants is not binding on the IRS and the IRS may treat the pre-funded warrants as warrants to acquire our common stock and, if so, the amount and character of a holder’s gain with respect to an investment in our pre-funded warrants could change. Each holder should consult its tax advisor regarding the characterization of pre-funded warrants for U.S. federal income tax purposes, and the consequences of an investment in the pre-funded warrants based on such holder’s own particular facts and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we do not expect to make distributions on our common stock (or pre-funded warrants) in the foreseeable future. In the event that we do make distributions of cash or other property, distributions paid on common stock (or pre-funded warrants) will be treated as a dividend to the extent paid out of our current or accumulated earnings and profits (as determined under U.S. federal income tax principles), and will be includible in a U.S. Holder’s income as ordinary income when received. However, with respect to dividends received by individuals, such dividends are generally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(or pre-funded warrants) and thereafter as capital gain from the sale or exchange of such common stock (or pre-funded warrants). The tax treatment of such gain is further described in “-</w:t>
      </w:r>
      <w:r>
        <w:rPr>
          <w:rFonts w:ascii="Times New Roman" w:hAnsi="Times New Roman"/>
          <w:i/>
          <w:sz w:val="20"/>
        </w:rPr>
        <w:t>Sale or Other</w:t>
      </w:r>
      <w:r>
        <w:rPr>
          <w:rFonts w:ascii="Times New Roman" w:hAnsi="Times New Roman"/>
          <w:sz w:val="20"/>
        </w:rPr>
        <w:t xml:space="preserve"> </w:t>
      </w:r>
      <w:r>
        <w:rPr>
          <w:rFonts w:ascii="Times New Roman" w:hAnsi="Times New Roman"/>
          <w:i/>
          <w:sz w:val="20"/>
        </w:rPr>
        <w:t>Disposition of Common Stock or Pre-funded Warrants</w:t>
      </w:r>
      <w:r>
        <w:rPr>
          <w:rFonts w:ascii="Times New Roman" w:hAnsi="Times New Roman"/>
          <w:sz w:val="20"/>
        </w:rPr>
        <w:t>” below. Dividends received by a corporation may be eligible for a dividends received deduction, subject to applicable limitations. Any such distributions will also be subject to the discussions below under the section titled “-</w:t>
      </w:r>
      <w:r>
        <w:rPr>
          <w:rFonts w:ascii="Times New Roman" w:hAnsi="Times New Roman"/>
          <w:i/>
          <w:sz w:val="20"/>
        </w:rPr>
        <w:t>Information Reporting and Backup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U.S. Holder of a pre-funded warrant is entitled to receive certain distributions paid with respect to common stock prior to the exercise of the pre-funded warrant and, in such case, would be taxed in the same manner as a U.S. Holder of common stock that receives such a distribution. However, under certain circumstances, it is possible for the distributions to be held in abeyance for the U.S. Holder until a pre-funded warrant is exercised or the ownership limitations (described under “</w:t>
      </w:r>
      <w:r>
        <w:rPr>
          <w:rFonts w:ascii="Times New Roman" w:hAnsi="Times New Roman"/>
          <w:i/>
          <w:sz w:val="20"/>
        </w:rPr>
        <w:t>Description of Pre-Funded Warrants</w:t>
      </w:r>
      <w:r>
        <w:rPr>
          <w:rFonts w:ascii="Times New Roman" w:hAnsi="Times New Roman"/>
          <w:sz w:val="20"/>
        </w:rPr>
        <w:t xml:space="preserve">”)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 or Other Disposition of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gain or loss realized on the sale or other disposition of common stock or pre-funded warrants by a U.S. Holder will be capital gain or loss, and will be long-term capital gain or loss if the U.S. Holder has held the common stock or pre-funded warrants for more than one year. The amount of the gain or loss will equal the difference between the U.S. Holder’s adjusted tax basis in the common stock or pre-funded warrants disposed of and the amount realized on the disposition. Long-term capital gains recognized by non-corporate U.S. Holders will be subject to reduced tax rates.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any payments of distributions on our common stock and pre-funded warrants, constructive distributions on our pre-funded warrants, and gross proceeds on the sale or other disposition of our common stock and pre-funded warrants,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Times New Roman" w:hAnsi="Times New Roman"/>
          <w:i/>
          <w:sz w:val="20"/>
        </w:rPr>
        <w:t>Sale or Other Disposition of Common Stock and Pre-funded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A Non-U.S. Holder that is eligible for a reduced rate of U.S. withholding tax under an income tax treaty should consult with its own tax advisor to determine if such holder is able to obtain a refund or credit of any excess amounts withheld by timely filing an appropriate claim for a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We (or any applicable withholding agent) generally are not required to withhold tax on dividends paid (or constructive dividends deemed paid) to a Non-U.S. Holder that are effectively connected with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w:t>
      </w:r>
    </w:p>
    <w:p>
      <w:pPr>
        <w:pStyle w:val="TextBody"/>
        <w:bidi w:val="0"/>
        <w:spacing w:before="240" w:after="0"/>
        <w:jc w:val="left"/>
        <w:rPr>
          <w:rFonts w:ascii="Times New Roman" w:hAnsi="Times New Roman"/>
          <w:sz w:val="20"/>
        </w:rPr>
      </w:pPr>
      <w:r>
        <w:rPr>
          <w:rFonts w:ascii="Times New Roman" w:hAnsi="Times New Roman"/>
          <w:sz w:val="20"/>
        </w:rPr>
        <w:t>A Non-U.S. Holder of a pre-funded warrant is entitled to receive certain distributions paid with respect to common stock prior to the exercise of the pre-funded warrant and, in such case, would be taxed in the same manner as a Non-U.S. Holder of common stock that receives such a distribution. However, under certain circumstances, it is possible for the distribution to be held in abeyance for a Non-U.S. Holder until a pre-funded warrant is exercised or the ownership limitations (described under “</w:t>
      </w:r>
      <w:r>
        <w:rPr>
          <w:rFonts w:ascii="Times New Roman" w:hAnsi="Times New Roman"/>
          <w:i/>
          <w:sz w:val="20"/>
        </w:rPr>
        <w:t>Description of Pre-Funded Warrants</w:t>
      </w:r>
      <w:r>
        <w:rPr>
          <w:rFonts w:ascii="Times New Roman" w:hAnsi="Times New Roman"/>
          <w:sz w:val="20"/>
        </w:rPr>
        <w:t xml:space="preserve">”)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 </w:t>
      </w:r>
    </w:p>
    <w:p>
      <w:pPr>
        <w:pStyle w:val="TextBody"/>
        <w:bidi w:val="0"/>
        <w:spacing w:before="240" w:after="0"/>
        <w:jc w:val="left"/>
        <w:rPr>
          <w:rFonts w:ascii="Times New Roman" w:hAnsi="Times New Roman"/>
          <w:sz w:val="20"/>
        </w:rPr>
      </w:pPr>
      <w:r>
        <w:rPr>
          <w:rFonts w:ascii="Times New Roman" w:hAnsi="Times New Roman"/>
          <w:sz w:val="20"/>
        </w:rPr>
        <w:t>See also the section below titled “-</w:t>
      </w:r>
      <w:r>
        <w:rPr>
          <w:rFonts w:ascii="Times New Roman" w:hAnsi="Times New Roman"/>
          <w:i/>
          <w:sz w:val="20"/>
        </w:rPr>
        <w:t>Foreign Accounts</w:t>
      </w:r>
      <w:r>
        <w:rPr>
          <w:rFonts w:ascii="Times New Roman" w:hAnsi="Times New Roman"/>
          <w:sz w:val="20"/>
        </w:rPr>
        <w:t xml:space="preserve">” for additional withholding rules that may apply to dividends paid to certain foreign financial institutions or non-financial foreign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Subject to the discussion below under the sections titled “-</w:t>
      </w:r>
      <w:r>
        <w:rPr>
          <w:rFonts w:ascii="Times New Roman" w:hAnsi="Times New Roman"/>
          <w:i/>
          <w:sz w:val="20"/>
        </w:rPr>
        <w:t>Information Reporting and Backup Withholding</w:t>
      </w:r>
      <w:r>
        <w:rPr>
          <w:rFonts w:ascii="Times New Roman" w:hAnsi="Times New Roman"/>
          <w:sz w:val="20"/>
        </w:rPr>
        <w:t>” and “-</w:t>
      </w:r>
      <w:r>
        <w:rPr>
          <w:rFonts w:ascii="Times New Roman" w:hAnsi="Times New Roman"/>
          <w:i/>
          <w:sz w:val="20"/>
        </w:rPr>
        <w:t>Foreign Accounts</w:t>
      </w:r>
      <w:r>
        <w:rPr>
          <w:rFonts w:ascii="Times New Roman" w:hAnsi="Times New Roman"/>
          <w:sz w:val="20"/>
        </w:rPr>
        <w:t xml:space="preserve">,”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or fixed base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described in (a) above, you will be required to pay tax on the net gain derived from the sale at the regular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An individual Non-U.S. Holder described in (b) above will be required to pay a flat 30% tax on the gain derived from the sale, which gain may be offset by certain U.S. source capital losses (even though such holder is not considered a resident of the United States), provided such holder has timely filed U.S. federal income tax returns with respect to such losses. With respect to (c) above, in general, we would be a U.S. real property 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 Special rules may apply to holders of pre-funded warrants. Non-U.S. Holders of pre-funded warrants should consult their own tax advisors regarding the application of these rules to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or certain financial middlemen must report information to the IRS with respect to any distributions we pay on our common stock or pre-funded warrants and any constructive distributions deemed paid on pre-funded warrants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 </w:t>
      </w:r>
    </w:p>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If backup withholding is applied to a Non-U.S. Holder, such Non-U.S. Holder should consult with its own tax advisor to determine whether such Non-U.S. Holder has overpaid U.S. federal income tax, and whether such Non-U.S. Holder is able to obtain a tax refund or credit of the overpaid amount.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of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The Treasury Secretary has issued proposed regulations providing that the withholding provisions under FATCA do not apply with respect to payment of gross proceeds from a sale or other disposition, which may be relied upon by taxpayers until final regulations are issued. Prospective investors should consult their tax advisors regarding the potential application of withholding under FATCA to their investment in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90758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and pre-funded warrants described in this prospectus supplement through a number of underwriters. Jefferies LLC, Leerink Partners LLC, Morgan Stanley &amp; Co. LLC and Cantor Fitzgerald &amp; Co. are acting as joint book-running managers of the offering and as representatives of the underwriters. We intend to enter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and pre-funded warrants listed next to its name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59"/>
        <w:gridCol w:w="383"/>
        <w:gridCol w:w="84"/>
        <w:gridCol w:w="1052"/>
        <w:gridCol w:w="60"/>
        <w:gridCol w:w="383"/>
        <w:gridCol w:w="93"/>
        <w:gridCol w:w="1176"/>
        <w:gridCol w:w="65"/>
      </w:tblGrid>
      <w:tr>
        <w:trPr/>
        <w:tc>
          <w:tcPr>
            <w:tcW w:w="4459"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83"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5" w:type="dxa"/>
            <w:tcBorders/>
            <w:vAlign w:val="bottom"/>
          </w:tcPr>
          <w:p>
            <w:pPr>
              <w:pStyle w:val="TableContents"/>
              <w:bidi w:val="0"/>
              <w:spacing w:before="0" w:after="283"/>
              <w:jc w:val="left"/>
              <w:rPr/>
            </w:pPr>
            <w:r>
              <w:rPr/>
              <w:t> </w:t>
            </w:r>
          </w:p>
        </w:tc>
      </w:tr>
      <w:tr>
        <w:trPr/>
        <w:tc>
          <w:tcPr>
            <w:tcW w:w="4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38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9"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38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8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9"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38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9"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shares of common stock and pre-funded warrants offered by us if they purchase any shares or pre-funded warrants.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shares of common stock and pre-funded warrants directly to the public at the public offering price set forth on the cover page of this prospectus supplement and to certain dealers at that price less a concession not in excess of $    per share. After the initial offering of the shares to the public, if all of the shares are not sold at the public offering price, the underwriters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from time to time, in whole or in part, up to an aggregate of     shares of our common stock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us per share of common stock, or the offering price per pre-funded warrant less the amount paid by the underwriters to us per pre-funded warrant, as the case may be. The underwriting fee is $    per share and per pre-funded warrant. The following table shows the per share, per pre-funded warrant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49"/>
        <w:gridCol w:w="518"/>
        <w:gridCol w:w="434"/>
        <w:gridCol w:w="187"/>
        <w:gridCol w:w="60"/>
        <w:gridCol w:w="518"/>
        <w:gridCol w:w="644"/>
        <w:gridCol w:w="276"/>
        <w:gridCol w:w="60"/>
        <w:gridCol w:w="518"/>
        <w:gridCol w:w="1095"/>
        <w:gridCol w:w="470"/>
        <w:gridCol w:w="60"/>
        <w:gridCol w:w="518"/>
        <w:gridCol w:w="1064"/>
        <w:gridCol w:w="456"/>
        <w:gridCol w:w="61"/>
      </w:tblGrid>
      <w:tr>
        <w:trPr/>
        <w:tc>
          <w:tcPr>
            <w:tcW w:w="2449"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2449"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62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36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1" w:type="dxa"/>
            <w:tcBorders/>
            <w:vAlign w:val="bottom"/>
          </w:tcPr>
          <w:p>
            <w:pPr>
              <w:pStyle w:val="TableContents"/>
              <w:bidi w:val="0"/>
              <w:spacing w:before="0" w:after="283"/>
              <w:jc w:val="left"/>
              <w:rPr/>
            </w:pPr>
            <w:r>
              <w:rPr/>
              <w:t> </w:t>
            </w:r>
          </w:p>
        </w:tc>
      </w:tr>
      <w:tr>
        <w:trPr/>
        <w:tc>
          <w:tcPr>
            <w:tcW w:w="2449"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621" w:type="dxa"/>
            <w:gridSpan w:val="2"/>
            <w:tcBorders/>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center"/>
              <w:rPr>
                <w:b/>
              </w:rPr>
            </w:pPr>
            <w:r>
              <w:rPr>
                <w:b/>
              </w:rPr>
              <w:t>Per Pre-</w:t>
              <w:br/>
              <w:t>Funded</w:t>
              <w:br/>
              <w:t>Warrant</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b/>
              </w:rPr>
            </w:pPr>
            <w:r>
              <w:rPr>
                <w:b/>
              </w:rPr>
              <w:t>Without option</w:t>
              <w:br/>
              <w:t>to</w:t>
              <w:br/>
              <w:t>purchase</w:t>
              <w:br/>
              <w:t>additional</w:t>
              <w:br/>
              <w:t>shares exercise</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center"/>
              <w:rPr>
                <w:b/>
              </w:rPr>
            </w:pPr>
            <w:r>
              <w:rPr>
                <w:b/>
              </w:rPr>
              <w:t>With full</w:t>
              <w:br/>
              <w:t>option to</w:t>
              <w:br/>
              <w:t>purchase</w:t>
              <w:br/>
              <w:t>additional</w:t>
              <w:br/>
              <w:t>shares exercise</w:t>
            </w:r>
          </w:p>
        </w:tc>
        <w:tc>
          <w:tcPr>
            <w:tcW w:w="61" w:type="dxa"/>
            <w:tcBorders/>
            <w:vAlign w:val="bottom"/>
          </w:tcPr>
          <w:p>
            <w:pPr>
              <w:pStyle w:val="TableContents"/>
              <w:bidi w:val="0"/>
              <w:spacing w:before="0" w:after="283"/>
              <w:jc w:val="left"/>
              <w:rPr/>
            </w:pPr>
            <w:r>
              <w:rPr/>
              <w:t> </w:t>
            </w:r>
          </w:p>
        </w:tc>
      </w:tr>
      <w:tr>
        <w:trPr/>
        <w:tc>
          <w:tcPr>
            <w:tcW w:w="2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518"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w:t>
            </w:r>
          </w:p>
        </w:tc>
        <w:tc>
          <w:tcPr>
            <w:tcW w:w="1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left"/>
              <w:rPr/>
            </w:pPr>
            <w:r>
              <w:rPr/>
              <w:t>$</w:t>
            </w:r>
          </w:p>
        </w:tc>
        <w:tc>
          <w:tcPr>
            <w:tcW w:w="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244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518"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w:t>
            </w:r>
          </w:p>
        </w:tc>
        <w:tc>
          <w:tcPr>
            <w:tcW w:w="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left"/>
              <w:rPr/>
            </w:pPr>
            <w:r>
              <w:rPr/>
              <w:t>$</w:t>
            </w:r>
          </w:p>
        </w:tc>
        <w:tc>
          <w:tcPr>
            <w:tcW w:w="27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left"/>
              <w:rPr/>
            </w:pPr>
            <w:r>
              <w:rPr/>
              <w:t>$</w:t>
            </w:r>
          </w:p>
        </w:tc>
        <w:tc>
          <w:tcPr>
            <w:tcW w:w="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left"/>
              <w:rPr/>
            </w:pPr>
            <w:r>
              <w:rPr/>
              <w:t>$</w:t>
            </w:r>
          </w:p>
        </w:tc>
        <w:tc>
          <w:tcPr>
            <w:tcW w:w="45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r>
      <w:tr>
        <w:trPr/>
        <w:tc>
          <w:tcPr>
            <w:tcW w:w="2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Proceeds,before expenses, to us</w:t>
            </w:r>
          </w:p>
        </w:tc>
        <w:tc>
          <w:tcPr>
            <w:tcW w:w="518"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w:t>
            </w:r>
          </w:p>
        </w:tc>
        <w:tc>
          <w:tcPr>
            <w:tcW w:w="1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left"/>
              <w:rPr/>
            </w:pPr>
            <w:r>
              <w:rPr/>
              <w:t>$</w:t>
            </w:r>
          </w:p>
        </w:tc>
        <w:tc>
          <w:tcPr>
            <w:tcW w:w="27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left"/>
              <w:rPr/>
            </w:pPr>
            <w:r>
              <w:rPr/>
              <w:t>$</w:t>
            </w:r>
          </w:p>
        </w:tc>
        <w:tc>
          <w:tcPr>
            <w:tcW w:w="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and all of our directors and executive officers have agreed that, without the prior written consent of Jefferies LLC, Leerink Partners LLC and Morgan Stanley &amp; Co. LLC, we and they will not, and will not publicly disclose an intention to, during the period ending 45 days after the date of this prospectus supplement, or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any registration statement with the SEC relating to the offering of any shares of common stock or any securities convertible into or exercisable or exchangeable for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subject to the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Jefferies LLC, Leerink Partners LLC and Morgan Stanley &amp; Co. LLC,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us,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a)</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to be sold under the underwriting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by us of registration statements on Form S-8 with respect to the employee benefit plans described in this prospectus supplement or the documents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our common stock pursuant to a placement made under any “at-the-market” offering program described in the prospectus, provided that no shares may be offered or sold pursuant to such program during the period ending 30 days after the date of the prospectus;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any prospectus supplement relating to an “at-the-market” offering program that we have established or may establish, provided that no shares may be offered or sold pursuant to such program during the period ending 30 days after the date of the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relation to our directors and executive officers,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this offering or in such open market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or any security convertible into or exercisable or exchangeable for common stock as a bona fide gift or to a charitable organization or educational institution in a transfer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shares of common stock or any security convertible into common stock to general or limited partners, members, beneficiaries or other equityholders, direct or indirect affiliates (as defined in Rule 405 promulgated under the Securities Act) or to an investment fund or other entity that controls or manages, or is under common control with certain holders and their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(i) by will, other testamentary document or intestate succession to the legal representative, heir, beneficiary or a member of their immediate family upon their death or (ii) by operation of law pursuant to orders of a court or regulatory agency, in connection with a negotiated divorce settlement or pursuant to a qualified domestic relations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us pursuant to any contractual arrangement in effect on the date of this agreement and disclosed to the underwriter in writing that provides for the repurchase of common stock or other securities by us or in connection with the termination of employment with or service to us; provided that (i) the repurchase price for any such shares or securities shall not exceed the original purchase price (subject to appropriate adjustment in the event of any stock dividend, stock split, combination or other similar recapitalization) paid and (ii) any filing under Section 16(a) of the Exchange Act reporting a reduction in beneficial ownership of shares of common stock shall indicate by footnote disclosure or otherwise the nature of the transfer or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provided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other securities to us in connection with the vesting or settlement of restricted stock units, so long as such sale is effected pursuant to our sell to cover policy solely in an amount sufficient to cover withhold taxes, provided that (i) to the extent a filing under Section 16(a) of the Exchange Act shall be required, the filing shall clearly indicate in the footnotes thereto that the filing relates to the circumstances described herein and (ii) no other public announcement shall be required or shall be made voluntary in connection with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i)</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Section 13(d)(3) of the Exchange Act), or group of persons, other than us, becomes the beneficial owner (as defined in Rules 13d-3 and 13d-5 of the Exchange Act) of more than 50% of the total voting power of our voting stock; provided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of shares of common stock pursuant to a written trading plan pursuant to Rule 10b5-1 under the Exchange Act that has been entered into prior to the date of the lock-up agreement; provided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Jefferies LLC, Leerink Partners LLC and Morgan Stanley &amp; Co. LLC, in their sole discretion, may release the securities subject to any of the lock-up agreements with the underwriters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quoted on the Nasdaq Global Market under the symbol “IRON.” We do not intend to list the pre-funded warrants on the Nasdaq Global Market, any other nationally recognized securities exchange or any other nationally recognized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this offering certain of the underwriters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For example, we are party to the Sales Agreement with Cantor Fitzgerald &amp; Co., pursuant to which we may offer and sell shares of our common stock from time to time in “at-the-market” offerings.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or each, a Relevant State, no shares or pre-funded warrants have been offered or will be offered pursuant to the offering to the public in that Relevant State prior to the publication of a prospectus in relation to the shares or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or pre-funded warrants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provided that no such offer of shares or pre-funded warrants shall require us or any underwriter to publish a prospectus pursuant to Article 3 of the Prospectus Regulation or supplement a prospectus pursuant to Article 23 of the Prospectus Regulation and each person who initially acquires any shares or pre-funded warrants or to whom any offer is made will be deemed to have represented, acknowledged and agreed to and with each of the underwriters and us that it is a “qualified investor” within the meaning of Article 2(e)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or pre-funded warrants being offered to a financial intermediary as that term is used in the Prospectus Regulation, each such financial intermediary will be deemed to have represented, acknowledged and agreed that the shares or pre-funded warrants acquired by it in the offer have not been acquired on a non-discretionary basis on behalf of, nor have they been acquired with a view to their offer or resale to, persons in circumstances which may give rise to an offer of any shares or pre-funded warrants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or pre-funded warrants to be offered so as to enable an investor to decide to purchase or subscribe for any shares or pre-funded warrants,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or pre-funded warrants have been offered or will be offered pursuant to the offering to the public in the United Kingdom prior to the publication of a prospectus in relation to the shares or pre-funded warrants which has been approved by the Financial Conduct Authority, except that the shares or pre-funded warrants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or pre-funded warrants shall require us or any underwriter to publish a prospectus pursuant to Section 85 of the FSMA or supplement a prospectus pursuant to Article 23 of the U.K. Prospectus Regulation. For the purposes of this provision, the expression an “offer to the public” in relation to the shares or pre-funded warrants in the United Kingdom means the communication in any form and by any means of sufficient information on the terms of the offer and any shares or pre-funded warrants to be offered so as to enable an investor to decide to purchase or subscribe for any shares or pre-funded warrants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or pre-funded warrants in the United Kingdom within the meaning of the FSMA. In the United Kingdom, any investment or investment activity to which this document relates is only available to, and will be engaged in with, relevant persons. Any person in the UK who is not a relevant person must not act on or rely upon this document or any of its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or pre-funded warrants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the pre-funded warrants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the shares or pre-funded warrants have been or will be filed with or approved by any Swiss regulatory authority. In particular, this document will not be filed with, and the offer of shares or pre-funded warrants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or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have not been offered or sold and will not be offered or sold in Hong Kong, by means of any document, other than (a) to “professional investors” as defined in the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or pre-funded warrants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acknowledged that this prospectus supplement and the accompanying prospectus have not been registered as a prospectus with the Monetary Authority of Singapore. Accordingly, the representatives have represented and agreed that it has not offered or sold any shares or pre-funded warrants or caused the shares or pre-funded warrants to be made the subject of an invitation for subscription or purchase and will not offer or sell any shares or pre-funded warrants or cause the shares or pre-funded warrants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shares or pre-funded warrants,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a)</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or pre-funded warrants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b)</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or pre-funded warrants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have not been and will not be registered pursuant to Article 4, Paragraph 1 of the Financial Instruments and Exchange Act. Accordingly, none of the shares,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shares of common stock or pre-funded warrants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or pre-funded warrants to any person within the State of Israel, other than to Qualified Investors and up to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stock or pre-funded warrants,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or pre-funded warrants; (iv) that the shares of common stock or pre-funded warrants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90758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and pre-funded warrants offered hereby will be passed upon for us by Goodwin Procter LLP, Boston, Massachusetts. Wilmer Cutler Pickering Hale and Dorr LLP, New York, New York, is acting as counsel to the underwriters in connection with this offering. </w:t>
      </w:r>
    </w:p>
    <w:p>
      <w:pPr>
        <w:pStyle w:val="TextBody"/>
        <w:bidi w:val="0"/>
        <w:spacing w:before="480" w:after="0"/>
        <w:jc w:val="center"/>
        <w:rPr>
          <w:rFonts w:ascii="Times New Roman" w:hAnsi="Times New Roman"/>
          <w:b/>
          <w:sz w:val="20"/>
        </w:rPr>
      </w:pPr>
      <w:bookmarkStart w:id="14" w:name="supptx190758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appearing in Disc Medicine, Inc.’s Annual Report (Form 10-K) for the year ended December 31, 2025, and the effectiveness of Disc Medicine Inc.’s internal control over financial reporting as of December 31, 2025 have been audited by Ernst &amp; Young LLP, independent registered public accounting firm, as set forth in its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480" w:after="0"/>
        <w:jc w:val="center"/>
        <w:rPr>
          <w:rFonts w:ascii="Times New Roman" w:hAnsi="Times New Roman"/>
          <w:b/>
          <w:sz w:val="20"/>
        </w:rPr>
      </w:pPr>
      <w:bookmarkStart w:id="15" w:name="supptx190758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and on our investor website at www.discmedicine.com. Information contained on, or accessible through, our website, is not a part of or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190758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2026 and June 30, 2026, filed with the SEC on </w:t>
            </w:r>
            <w:hyperlink r:id="rId5">
              <w:r>
                <w:rPr>
                  <w:rStyle w:val="InternetLink"/>
                  <w:rFonts w:ascii="Times New Roman" w:hAnsi="Times New Roman"/>
                  <w:sz w:val="20"/>
                </w:rPr>
                <w:t>May  5, 2026</w:t>
              </w:r>
            </w:hyperlink>
            <w:r>
              <w:rPr>
                <w:rFonts w:ascii="Times New Roman" w:hAnsi="Times New Roman"/>
                <w:sz w:val="20"/>
              </w:rPr>
              <w:t xml:space="preserve"> and </w:t>
            </w:r>
            <w:hyperlink r:id="rId6">
              <w:r>
                <w:rPr>
                  <w:rStyle w:val="InternetLink"/>
                  <w:rFonts w:ascii="Times New Roman" w:hAnsi="Times New Roman"/>
                  <w:sz w:val="20"/>
                </w:rPr>
                <w:t>July 30,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7">
              <w:r>
                <w:rPr>
                  <w:rStyle w:val="InternetLink"/>
                  <w:rFonts w:ascii="Times New Roman" w:hAnsi="Times New Roman"/>
                  <w:sz w:val="20"/>
                </w:rPr>
                <w:t>February 13, 2026</w:t>
              </w:r>
            </w:hyperlink>
            <w:r>
              <w:rPr>
                <w:rFonts w:ascii="Times New Roman" w:hAnsi="Times New Roman"/>
                <w:sz w:val="20"/>
              </w:rPr>
              <w:t xml:space="preserve">, </w:t>
            </w:r>
            <w:hyperlink r:id="rId8">
              <w:r>
                <w:rPr>
                  <w:rStyle w:val="InternetLink"/>
                  <w:rFonts w:ascii="Times New Roman" w:hAnsi="Times New Roman"/>
                  <w:sz w:val="20"/>
                </w:rPr>
                <w:t>February  27, 2026</w:t>
              </w:r>
            </w:hyperlink>
            <w:r>
              <w:rPr>
                <w:rFonts w:ascii="Times New Roman" w:hAnsi="Times New Roman"/>
                <w:sz w:val="20"/>
              </w:rPr>
              <w:t xml:space="preserve">, </w:t>
            </w:r>
            <w:hyperlink r:id="rId9">
              <w:r>
                <w:rPr>
                  <w:rStyle w:val="InternetLink"/>
                  <w:rFonts w:ascii="Times New Roman" w:hAnsi="Times New Roman"/>
                  <w:sz w:val="20"/>
                </w:rPr>
                <w:t>June  24, 2026</w:t>
              </w:r>
            </w:hyperlink>
            <w:r>
              <w:rPr>
                <w:rFonts w:ascii="Times New Roman" w:hAnsi="Times New Roman"/>
                <w:sz w:val="20"/>
              </w:rPr>
              <w:t xml:space="preserve">, </w:t>
            </w:r>
            <w:hyperlink r:id="rId10">
              <w:r>
                <w:rPr>
                  <w:rStyle w:val="InternetLink"/>
                  <w:rFonts w:ascii="Times New Roman" w:hAnsi="Times New Roman"/>
                  <w:sz w:val="20"/>
                </w:rPr>
                <w:t>June  30, 2026</w:t>
              </w:r>
            </w:hyperlink>
            <w:r>
              <w:rPr>
                <w:rFonts w:ascii="Times New Roman" w:hAnsi="Times New Roman"/>
                <w:sz w:val="20"/>
              </w:rPr>
              <w:t xml:space="preserve">, </w:t>
            </w:r>
            <w:hyperlink r:id="rId11">
              <w:r>
                <w:rPr>
                  <w:rStyle w:val="InternetLink"/>
                  <w:rFonts w:ascii="Times New Roman" w:hAnsi="Times New Roman"/>
                  <w:sz w:val="20"/>
                </w:rPr>
                <w:t>September  10, 2026</w:t>
              </w:r>
            </w:hyperlink>
            <w:r>
              <w:rPr>
                <w:rFonts w:ascii="Times New Roman" w:hAnsi="Times New Roman"/>
                <w:sz w:val="20"/>
              </w:rPr>
              <w:t xml:space="preserve"> and </w:t>
            </w:r>
            <w:hyperlink r:id="rId12">
              <w:r>
                <w:rPr>
                  <w:rStyle w:val="InternetLink"/>
                  <w:rFonts w:ascii="Times New Roman" w:hAnsi="Times New Roman"/>
                  <w:sz w:val="20"/>
                </w:rPr>
                <w:t>October 19, 2026</w:t>
              </w:r>
            </w:hyperlink>
            <w:r>
              <w:rPr>
                <w:rFonts w:ascii="Times New Roman" w:hAnsi="Times New Roman"/>
                <w:sz w:val="20"/>
              </w:rPr>
              <w:t xml:space="preserve"> (in each case, excluding information furnished pursuant to Items 2.02 and 7.01);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SEC on August  10, 2020, and as set forth by the description of our common stock set forth in </w:t>
            </w:r>
            <w:hyperlink r:id="rId14">
              <w:r>
                <w:rPr>
                  <w:rStyle w:val="InternetLink"/>
                  <w:rFonts w:ascii="Times New Roman" w:hAnsi="Times New Roman"/>
                  <w:sz w:val="20"/>
                </w:rPr>
                <w:t>Exhibit 4.4</w:t>
              </w:r>
            </w:hyperlink>
            <w:r>
              <w:rPr>
                <w:rFonts w:ascii="Times New Roman" w:hAnsi="Times New Roman"/>
                <w:sz w:val="20"/>
              </w:rPr>
              <w:t xml:space="preserve"> to our Annual Report on Form 10-K for the year ended December 31, 2021, filed with the SEC on March  10, 2022, and as further supplemented by the description of our common stock set forth in our Registration Statement on </w:t>
            </w:r>
            <w:hyperlink r:id="rId15">
              <w:r>
                <w:rPr>
                  <w:rStyle w:val="InternetLink"/>
                  <w:rFonts w:ascii="Times New Roman" w:hAnsi="Times New Roman"/>
                  <w:sz w:val="20"/>
                </w:rPr>
                <w:t>Form S-4/A</w:t>
              </w:r>
            </w:hyperlink>
            <w:r>
              <w:rPr>
                <w:rFonts w:ascii="Times New Roman" w:hAnsi="Times New Roman"/>
                <w:sz w:val="20"/>
              </w:rPr>
              <w:t xml:space="preserve">, filed with the SEC on December 1, 2022,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(617) 674-9274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www.discmedicine.com</w:t>
      </w:r>
      <w:r>
        <w:rPr>
          <w:rFonts w:ascii="Times New Roman" w:hAnsi="Times New Roman"/>
          <w:sz w:val="20"/>
        </w:rPr>
        <w:t xml:space="preserve">. Information contained, or accessible through, on our website, is not a part of or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416242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4162425"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in one or more series or classes, our Common Stock, Preferred Stock, Debt Securities, Warrants or Units, in each case in one or more issuances and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“IRON.” On August 7, 2024, the closing price of our common stock, as reported on The Nasdaq Global Market, was $41.27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You should review carefully the risks and uncertainties described under the heading “</w:t>
      </w:r>
      <w:hyperlink w:anchor="tx190758_6">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on page 10 of this prospectus and under any similar heading in the documents that are incorporated by reference into this prospectus, as well as “</w:t>
      </w:r>
      <w:r>
        <w:rPr>
          <w:rFonts w:ascii="Times New Roman" w:hAnsi="Times New Roman"/>
          <w:b/>
          <w:i/>
          <w:sz w:val="24"/>
        </w:rPr>
        <w:t>Special Note Regarding Forward-Looking Statements</w:t>
      </w:r>
      <w:r>
        <w:rPr>
          <w:rFonts w:ascii="Times New Roman" w:hAnsi="Times New Roman"/>
          <w:sz w:val="24"/>
        </w:rPr>
        <w:t xml:space="preserve">” </w:t>
      </w:r>
      <w:r>
        <w:rPr>
          <w:rFonts w:ascii="Times New Roman" w:hAnsi="Times New Roman"/>
          <w:b/>
          <w:sz w:val="24"/>
        </w:rPr>
        <w:t xml:space="preserve">on page 4 of this prospectus. You should read the entire prospectus and any applicable prospectus supplement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hAnsi="Times New Roman"/>
          <w:i/>
          <w:sz w:val="20"/>
        </w:rPr>
        <w:t>Plan of Distribution</w:t>
      </w:r>
      <w:r>
        <w:rPr>
          <w:rFonts w:ascii="Times New Roman" w:hAnsi="Times New Roman"/>
          <w:sz w:val="20"/>
        </w:rPr>
        <w:t xml:space="preserve">” in this prospectus. We will also describe in an applicable prospectus supplement the way(s) in which we expect to use the net proceeds we receive from any sale.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offer or sell any securities unless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8, 2024.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17" w:name="toc1"/>
      <w:bookmarkEnd w:id="17"/>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9">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0">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1">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4">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90758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have filed with the Securities and Exchange Commission, or the SEC, as a “well-known seasoned issuer” as defined in Rule 405 of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hAnsi="Times New Roman"/>
          <w:i/>
          <w:sz w:val="20"/>
        </w:rPr>
        <w:t xml:space="preserve">Where You Can Find More Information” </w:t>
      </w:r>
      <w:r>
        <w:rPr>
          <w:rFonts w:ascii="Times New Roman" w:hAnsi="Times New Roman"/>
          <w:sz w:val="20"/>
        </w:rPr>
        <w:t>and “</w:t>
      </w:r>
      <w:r>
        <w:rPr>
          <w:rFonts w:ascii="Times New Roman" w:hAnsi="Times New Roman"/>
          <w:i/>
          <w:sz w:val="20"/>
        </w:rPr>
        <w:t>Incorporation of Certain Information by Reference</w:t>
      </w:r>
      <w:r>
        <w:rPr>
          <w:rFonts w:ascii="Times New Roman" w:hAnsi="Times New Roman"/>
          <w:sz w:val="20"/>
        </w:rPr>
        <w:t xml:space="preserve">” in both this prospectus and the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 </w:t>
      </w:r>
    </w:p>
    <w:p>
      <w:pPr>
        <w:pStyle w:val="TextBody"/>
        <w:bidi w:val="0"/>
        <w:spacing w:before="480" w:after="0"/>
        <w:jc w:val="center"/>
        <w:rPr>
          <w:rFonts w:ascii="Times New Roman" w:hAnsi="Times New Roman"/>
          <w:b/>
          <w:sz w:val="20"/>
        </w:rPr>
      </w:pPr>
      <w:bookmarkStart w:id="19" w:name="tx190758_2"/>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these documents available on our website at </w:t>
      </w:r>
      <w:r>
        <w:rPr>
          <w:rFonts w:ascii="Times New Roman" w:hAnsi="Times New Roman"/>
          <w:i/>
          <w:sz w:val="20"/>
        </w:rPr>
        <w:t>www.discmedicine.com</w:t>
      </w:r>
      <w:r>
        <w:rPr>
          <w:rFonts w:ascii="Times New Roman" w:hAnsi="Times New Roman"/>
          <w:sz w:val="20"/>
        </w:rPr>
        <w:t xml:space="preserve">. Our website and the information contained or connected to our website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90758_3"/>
      <w:bookmarkEnd w:id="2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2023, filed with the SEC on </w:t>
            </w:r>
            <w:hyperlink r:id="rId17">
              <w:r>
                <w:rPr>
                  <w:rStyle w:val="InternetLink"/>
                  <w:rFonts w:ascii="Times New Roman" w:hAnsi="Times New Roman"/>
                  <w:sz w:val="20"/>
                </w:rPr>
                <w:t>March 21,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Quarterly Reports on Form 10-Q for the quarters ended March 31, 2024 and June 30, 2024, filed with the SEC on </w:t>
            </w:r>
            <w:hyperlink r:id="rId18">
              <w:r>
                <w:rPr>
                  <w:rStyle w:val="InternetLink"/>
                  <w:rFonts w:ascii="Times New Roman" w:hAnsi="Times New Roman"/>
                  <w:sz w:val="20"/>
                </w:rPr>
                <w:t>May  9, 2024</w:t>
              </w:r>
            </w:hyperlink>
            <w:r>
              <w:rPr>
                <w:rFonts w:ascii="Times New Roman" w:hAnsi="Times New Roman"/>
                <w:sz w:val="20"/>
              </w:rPr>
              <w:t xml:space="preserve"> and </w:t>
            </w:r>
            <w:hyperlink r:id="rId19">
              <w:r>
                <w:rPr>
                  <w:rStyle w:val="InternetLink"/>
                  <w:rFonts w:ascii="Times New Roman" w:hAnsi="Times New Roman"/>
                  <w:sz w:val="20"/>
                </w:rPr>
                <w:t>August 8,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0">
              <w:r>
                <w:rPr>
                  <w:rStyle w:val="InternetLink"/>
                  <w:rFonts w:ascii="Times New Roman" w:hAnsi="Times New Roman"/>
                  <w:sz w:val="20"/>
                </w:rPr>
                <w:t>February 7, 2024</w:t>
              </w:r>
            </w:hyperlink>
            <w:r>
              <w:rPr>
                <w:rFonts w:ascii="Times New Roman" w:hAnsi="Times New Roman"/>
                <w:sz w:val="20"/>
              </w:rPr>
              <w:t xml:space="preserve">, </w:t>
            </w:r>
            <w:hyperlink r:id="rId21">
              <w:r>
                <w:rPr>
                  <w:rStyle w:val="InternetLink"/>
                  <w:rFonts w:ascii="Times New Roman" w:hAnsi="Times New Roman"/>
                  <w:sz w:val="20"/>
                </w:rPr>
                <w:t>April  2, 2024</w:t>
              </w:r>
            </w:hyperlink>
            <w:r>
              <w:rPr>
                <w:rFonts w:ascii="Times New Roman" w:hAnsi="Times New Roman"/>
                <w:sz w:val="20"/>
              </w:rPr>
              <w:t xml:space="preserve">, </w:t>
            </w:r>
            <w:hyperlink r:id="rId22">
              <w:r>
                <w:rPr>
                  <w:rStyle w:val="InternetLink"/>
                  <w:rFonts w:ascii="Times New Roman" w:hAnsi="Times New Roman"/>
                  <w:sz w:val="20"/>
                </w:rPr>
                <w:t>June  14, 2024</w:t>
              </w:r>
            </w:hyperlink>
            <w:r>
              <w:rPr>
                <w:rFonts w:ascii="Times New Roman" w:hAnsi="Times New Roman"/>
                <w:sz w:val="20"/>
              </w:rPr>
              <w:t xml:space="preserve">, </w:t>
            </w:r>
            <w:hyperlink r:id="rId23">
              <w:r>
                <w:rPr>
                  <w:rStyle w:val="InternetLink"/>
                  <w:rFonts w:ascii="Times New Roman" w:hAnsi="Times New Roman"/>
                  <w:sz w:val="20"/>
                </w:rPr>
                <w:t>June  14, 2024</w:t>
              </w:r>
            </w:hyperlink>
            <w:r>
              <w:rPr>
                <w:rFonts w:ascii="Times New Roman" w:hAnsi="Times New Roman"/>
                <w:sz w:val="20"/>
              </w:rPr>
              <w:t xml:space="preserve"> (in each case, excluding information furnished pursuant to Item 7.01) and </w:t>
            </w:r>
            <w:hyperlink r:id="rId24">
              <w:r>
                <w:rPr>
                  <w:rStyle w:val="InternetLink"/>
                  <w:rFonts w:ascii="Times New Roman" w:hAnsi="Times New Roman"/>
                  <w:sz w:val="20"/>
                </w:rPr>
                <w:t>June 14, 2024</w:t>
              </w:r>
            </w:hyperlink>
            <w:r>
              <w:rPr>
                <w:rFonts w:ascii="Times New Roman" w:hAnsi="Times New Roman"/>
                <w:sz w:val="20"/>
              </w:rPr>
              <w:t xml:space="preserve">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with the SEC on </w:t>
            </w:r>
            <w:hyperlink r:id="rId25">
              <w:r>
                <w:rPr>
                  <w:rStyle w:val="InternetLink"/>
                  <w:rFonts w:ascii="Times New Roman" w:hAnsi="Times New Roman"/>
                  <w:sz w:val="20"/>
                </w:rPr>
                <w:t>August 10, 2020</w:t>
              </w:r>
            </w:hyperlink>
            <w:r>
              <w:rPr>
                <w:rFonts w:ascii="Times New Roman" w:hAnsi="Times New Roman"/>
                <w:sz w:val="20"/>
              </w:rPr>
              <w:t xml:space="preserve">, and as set forth by the description of the Registrant’s common stock set forth in </w:t>
            </w:r>
            <w:hyperlink r:id="rId26">
              <w:r>
                <w:rPr>
                  <w:rStyle w:val="InternetLink"/>
                  <w:rFonts w:ascii="Times New Roman" w:hAnsi="Times New Roman"/>
                  <w:sz w:val="20"/>
                </w:rPr>
                <w:t>Exhibit 4.4</w:t>
              </w:r>
            </w:hyperlink>
            <w:r>
              <w:rPr>
                <w:rFonts w:ascii="Times New Roman" w:hAnsi="Times New Roman"/>
                <w:sz w:val="20"/>
              </w:rPr>
              <w:t xml:space="preserve"> to the Registrant’s Annual Report on Form 10-K for the year ended December 31, 2021, filed with the SEC on </w:t>
            </w:r>
            <w:hyperlink r:id="rId27">
              <w:r>
                <w:rPr>
                  <w:rStyle w:val="InternetLink"/>
                  <w:rFonts w:ascii="Times New Roman" w:hAnsi="Times New Roman"/>
                  <w:sz w:val="20"/>
                </w:rPr>
                <w:t>March 10, 2022</w:t>
              </w:r>
            </w:hyperlink>
            <w:r>
              <w:rPr>
                <w:rFonts w:ascii="Times New Roman" w:hAnsi="Times New Roman"/>
                <w:sz w:val="20"/>
              </w:rPr>
              <w:t xml:space="preserve">, and as further supplemented by the description of the Registrant’s common stock set forth in the Registrant’s Registration Statement on Form S-4/A, filed with the SEC on </w:t>
            </w:r>
            <w:hyperlink r:id="rId28">
              <w:r>
                <w:rPr>
                  <w:rStyle w:val="InternetLink"/>
                  <w:rFonts w:ascii="Times New Roman" w:hAnsi="Times New Roman"/>
                  <w:sz w:val="20"/>
                </w:rPr>
                <w:t>December 1, 2022</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us without charge, excluding all exhibits unless specifically incorporated by reference as an exhibit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may obtain documents incorporated by reference in this prospectus and the applicable prospectus supplement at no cost by requesting them in writing or by telephone from us at our executive offices at: </w:t>
      </w:r>
    </w:p>
    <w:p>
      <w:pPr>
        <w:pStyle w:val="TextBody"/>
        <w:bidi w:val="0"/>
        <w:spacing w:before="12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(617) 674-9274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90758_4"/>
      <w:bookmarkEnd w:id="21"/>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hAnsi="Times New Roman"/>
          <w:i/>
          <w:sz w:val="20"/>
        </w:rPr>
        <w:t>Risk Factors</w:t>
      </w:r>
      <w:r>
        <w:rPr>
          <w:rFonts w:ascii="Times New Roman" w:hAnsi="Times New Roman"/>
          <w:sz w:val="20"/>
        </w:rPr>
        <w:t xml:space="preserve">” and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including those listed under the caption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hAnsi="Times New Roman"/>
          <w:i/>
          <w:sz w:val="20"/>
        </w:rPr>
        <w:t>Risk Factors</w:t>
      </w:r>
      <w:r>
        <w:rPr>
          <w:rFonts w:ascii="Times New Roman" w:hAnsi="Times New Roman"/>
          <w:sz w:val="20"/>
        </w:rPr>
        <w:t xml:space="preserve">”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Data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 </w:t>
      </w:r>
    </w:p>
    <w:p>
      <w:pPr>
        <w:pStyle w:val="TextBody"/>
        <w:bidi w:val="0"/>
        <w:spacing w:before="360" w:after="0"/>
        <w:jc w:val="left"/>
        <w:rPr>
          <w:rFonts w:ascii="Times New Roman" w:hAnsi="Times New Roman"/>
          <w:b/>
          <w:sz w:val="20"/>
        </w:rPr>
      </w:pPr>
      <w:r>
        <w:rPr>
          <w:rFonts w:ascii="Times New Roman" w:hAnsi="Times New Roman"/>
          <w:b/>
          <w:sz w:val="20"/>
        </w:rPr>
        <w:t xml:space="preserve">Trademarks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are owned by us. This prospectus, any applicable prospectus supplement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90758_5"/>
      <w:bookmarkEnd w:id="22"/>
      <w:r>
        <w:rPr>
          <w:rFonts w:ascii="Times New Roman" w:hAnsi="Times New Roman"/>
          <w:b/>
          <w:sz w:val="20"/>
        </w:rPr>
        <w:t xml:space="preserve">ABOUT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left"/>
        <w:rPr>
          <w:rFonts w:ascii="Times New Roman" w:hAnsi="Times New Roman"/>
          <w:sz w:val="20"/>
        </w:rPr>
      </w:pPr>
      <w:r>
        <w:rPr>
          <w:rFonts w:ascii="Times New Roman" w:hAnsi="Times New Roman"/>
          <w:sz w:val="2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 </w:t>
      </w:r>
    </w:p>
    <w:p>
      <w:pPr>
        <w:pStyle w:val="TextBody"/>
        <w:bidi w:val="0"/>
        <w:spacing w:before="0" w:after="0"/>
        <w:jc w:val="left"/>
        <w:rPr>
          <w:rFonts w:ascii="Times New Roman" w:hAnsi="Times New Roman"/>
          <w:sz w:val="20"/>
        </w:rPr>
      </w:pPr>
      <w:r>
        <w:rPr>
          <w:rFonts w:ascii="Times New Roman" w:hAnsi="Times New Roman"/>
          <w:sz w:val="20"/>
        </w:rPr>
        <w:t xml:space="preserve">in-licensed from AbbVie. DISC-0998 is designed to increase serum iron levels and has an extended serum half-life as compared to DISC-0974. We believe this profile may be desirable in certain subsets of patients with anemia associated with inflammatory diseases.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 </w:t>
      </w:r>
    </w:p>
    <w:p>
      <w:pPr>
        <w:pStyle w:val="TextBody"/>
        <w:bidi w:val="0"/>
        <w:spacing w:before="360" w:after="0"/>
        <w:jc w:val="left"/>
        <w:rPr>
          <w:rFonts w:ascii="Times New Roman" w:hAnsi="Times New Roman"/>
          <w:b/>
          <w:sz w:val="20"/>
        </w:rPr>
      </w:pPr>
      <w:r>
        <w:rPr>
          <w:rFonts w:ascii="Times New Roman" w:hAnsi="Times New Roman"/>
          <w:b/>
          <w:sz w:val="20"/>
        </w:rPr>
        <w:t xml:space="preserve">Merger with Gemini </w:t>
      </w:r>
    </w:p>
    <w:p>
      <w:pPr>
        <w:pStyle w:val="TextBody"/>
        <w:bidi w:val="0"/>
        <w:spacing w:before="120" w:after="0"/>
        <w:jc w:val="left"/>
        <w:rPr>
          <w:rFonts w:ascii="Times New Roman" w:hAnsi="Times New Roman"/>
          <w:sz w:val="20"/>
        </w:rPr>
      </w:pPr>
      <w:r>
        <w:rPr>
          <w:rFonts w:ascii="Times New Roman" w:hAnsi="Times New Roman"/>
          <w:sz w:val="20"/>
        </w:rPr>
        <w:t xml:space="preserve">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additional information about our Company, please refer to other documents we have filed with the SEC and that are incorporated by reference into this prospectus, as listed under the heading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Implications of Being an Emerging Growth Company and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only disclose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90758_6"/>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hAnsi="Times New Roman"/>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90758_8"/>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90758_9"/>
      <w:bookmarkEnd w:id="2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90758_10"/>
      <w:bookmarkEnd w:id="26"/>
      <w:r>
        <w:rPr>
          <w:rFonts w:ascii="Times New Roman" w:hAnsi="Times New Roman"/>
          <w:b/>
          <w:sz w:val="20"/>
        </w:rPr>
        <w:t xml:space="preserve">GENERAL 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dividends or other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listing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federal income tax considerations.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 </w:t>
      </w:r>
    </w:p>
    <w:p>
      <w:pPr>
        <w:pStyle w:val="TextBody"/>
        <w:bidi w:val="0"/>
        <w:spacing w:before="240" w:after="0"/>
        <w:jc w:val="left"/>
        <w:rPr>
          <w:rFonts w:ascii="Times New Roman" w:hAnsi="Times New Roman"/>
          <w:sz w:val="20"/>
        </w:rPr>
      </w:pPr>
      <w:r>
        <w:rPr>
          <w:rFonts w:ascii="Times New Roman" w:hAnsi="Times New Roman"/>
          <w:sz w:val="20"/>
        </w:rPr>
        <w:t>We may sell the securities to or through underwriters, dealers or agents, directly to purchasers or through a combination of any of these methods of sale or as otherwise set forth under “</w:t>
      </w:r>
      <w:r>
        <w:rPr>
          <w:rFonts w:ascii="Times New Roman" w:hAnsi="Times New Roman"/>
          <w:i/>
          <w:sz w:val="20"/>
        </w:rPr>
        <w:t>Plan of Distribution</w:t>
      </w:r>
      <w:r>
        <w:rPr>
          <w:rFonts w:ascii="Times New Roman" w:hAnsi="Times New Roman"/>
          <w:sz w:val="20"/>
        </w:rPr>
        <w:t xml:space="preserve">”.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 </w:t>
      </w:r>
    </w:p>
    <w:p>
      <w:pPr>
        <w:pStyle w:val="TextBody"/>
        <w:bidi w:val="0"/>
        <w:spacing w:before="240" w:after="0"/>
        <w:jc w:val="left"/>
        <w:rPr>
          <w:rFonts w:ascii="Times New Roman" w:hAnsi="Times New Roman"/>
          <w:sz w:val="20"/>
        </w:rPr>
      </w:pPr>
      <w:r>
        <w:rPr>
          <w:rFonts w:ascii="Times New Roman" w:hAnsi="Times New Roman"/>
          <w:sz w:val="20"/>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90758_11"/>
      <w:bookmarkEnd w:id="27"/>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“IRON.” On August 7, 2024, the closing price for our common stock, as reported on The Nasdaq Global Market, was $41.27 per share. As of June 30, 2024, we had estimated approximately 19 stockholders of record.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Broadridge Corporate Issuer Solutions, LLC. The transfer agent and registrar’s address is 51 Mercedes Way, Edgewood, NY 11717.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under this prospectus, the shares will fully be paid and nonassessable and will not be subject to any preemptive or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2022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Following the completion of the merger as contemplated by the Merger Agreement, we were required to file with the SEC, a shelf registration statement registering the resale of the Registrable Securities, and use our commercially reasonable efforts to have such registration statement declared effective by the SEC as promptly as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The fees, costs and expenses of registrations pursuant to the registration rights granted to the 2022 Investors 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2021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2021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Demand registration rights</w:t>
            </w:r>
            <w:r>
              <w:rPr>
                <w:rFonts w:ascii="Times New Roman" w:hAnsi="Times New Roman"/>
                <w:sz w:val="20"/>
              </w:rPr>
              <w:t xml:space="preserve">.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A shelf registration statement pursuant to Rule 415 of Securities Act, was filed on February 17, 2021 and became 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Limits on demand registration rights and shelf registration rights.</w:t>
            </w:r>
            <w:r>
              <w:rPr>
                <w:rFonts w:ascii="Times New Roman" w:hAnsi="Times New Roman"/>
                <w:sz w:val="20"/>
              </w:rPr>
              <w:t xml:space="preserve"> We shall not be obligated to effect: (a) more than one (1) demand 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Piggyback registration rights</w:t>
            </w:r>
            <w:r>
              <w:rPr>
                <w:rFonts w:ascii="Times New Roman" w:hAnsi="Times New Roman"/>
                <w:sz w:val="20"/>
              </w:rPr>
              <w:t xml:space="preserve">. At any time after the first anniversary of the closing date, if we propose to file a registration statement to 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All fees, costs and expenses of underwritten registrations will be borne by us and underwriting discounts 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Registrable securities</w:t>
            </w:r>
            <w:r>
              <w:rPr>
                <w:rFonts w:ascii="Times New Roman" w:hAnsi="Times New Roman"/>
                <w:sz w:val="20"/>
              </w:rPr>
              <w:t xml:space="preserve">. Securities of ours shall cease to be registrable securities upon the earlier of (i) tenth anniversary of February 5, 2021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Amended and Restated Certificate of Incorporation and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not governed by Section 203 of the Delaware General Corporation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allow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election and removal of directors; filling vacancies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or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90758_12"/>
      <w:bookmarkEnd w:id="28"/>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as amended, or the Trust Indenture Act. We use the term “trustee” to refer to either the trustee under the senior indenture or the trustee under the subordinated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or free writing prospectus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global form, and, if so, the terms and who the depository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conditions upon which, and the price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distributions in respect of our capital stock or the capital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our subsidiaries’ ability to pay dividends, make distributions or transfer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stockholders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sell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consolidation or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require us to maintain any interest coverage, fixed charge, cash flow-based, asset-based or other financial ratios;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material or special United States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in the indenture on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offered at a price such that they will be deemed to be offered at an “original issue discount” as defined in paragraph (a) of Section 1273 of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90 days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premium or sinking fund payment, if any, when due and payable at maturity, upon redemption or repurchase or otherwise,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describe in each applicable prospectus supplement or free writing prospectus any additional events of default relating to the relevant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for any series of debt securities that we may issue, we and the trustee may change an indenture without the consent of any holders with respect to the following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the provisions described above under “</w:t>
            </w:r>
            <w:r>
              <w:rPr>
                <w:rFonts w:ascii="Times New Roman" w:hAnsi="Times New Roman"/>
                <w:i/>
                <w:sz w:val="20"/>
              </w:rPr>
              <w:t>Description of Debt Securities-Consolidation, Merger or</w:t>
            </w:r>
            <w:r>
              <w:rPr>
                <w:rFonts w:ascii="Times New Roman" w:hAnsi="Times New Roman"/>
                <w:sz w:val="20"/>
              </w:rPr>
              <w:t xml:space="preserve"> </w:t>
            </w:r>
            <w:r>
              <w:rPr>
                <w:rFonts w:ascii="Times New Roman" w:hAnsi="Times New Roman"/>
                <w:i/>
                <w:sz w:val="20"/>
              </w:rPr>
              <w:t>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provide for the issuance of and establish the form and terms and conditions of the debt securities of any series as provided under “</w:t>
            </w:r>
            <w:r>
              <w:rPr>
                <w:rFonts w:ascii="Times New Roman" w:hAnsi="Times New Roman"/>
                <w:i/>
                <w:sz w:val="20"/>
              </w:rPr>
              <w:t>Description of Debt Securities-General</w:t>
            </w:r>
            <w:r>
              <w:rPr>
                <w:rFonts w:ascii="Times New Roman" w:hAnsi="Times New Roman"/>
                <w:sz w:val="20"/>
              </w:rPr>
              <w:t xml:space="preserve">,”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and to make all appropriate changes for such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debt securities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stated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or repurchase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or free writing prospectus, in denominations of $1,000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in right of payment to all our other senior unsecured debt. The senior indenture does not limit the amount of senior debt securities that we may issue.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90758_13"/>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90758_14"/>
      <w:bookmarkEnd w:id="3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described under “</w:t>
      </w:r>
      <w:r>
        <w:rPr>
          <w:rFonts w:ascii="Times New Roman" w:hAnsi="Times New Roman"/>
          <w:i/>
          <w:sz w:val="20"/>
        </w:rPr>
        <w:t>Description of Capital Stock</w:t>
      </w:r>
      <w:r>
        <w:rPr>
          <w:rFonts w:ascii="Times New Roman" w:hAnsi="Times New Roman"/>
          <w:sz w:val="20"/>
        </w:rPr>
        <w:t>,” “</w:t>
      </w:r>
      <w:r>
        <w:rPr>
          <w:rFonts w:ascii="Times New Roman" w:hAnsi="Times New Roman"/>
          <w:i/>
          <w:sz w:val="20"/>
        </w:rPr>
        <w:t>Description of Debt Securities”</w:t>
      </w:r>
      <w:r>
        <w:rPr>
          <w:rFonts w:ascii="Times New Roman" w:hAnsi="Times New Roman"/>
          <w:sz w:val="20"/>
        </w:rPr>
        <w:t xml:space="preserve"> and “</w:t>
      </w:r>
      <w:r>
        <w:rPr>
          <w:rFonts w:ascii="Times New Roman" w:hAnsi="Times New Roman"/>
          <w:i/>
          <w:sz w:val="20"/>
        </w:rPr>
        <w:t>Description of Warrants</w:t>
      </w:r>
      <w:r>
        <w:rPr>
          <w:rFonts w:ascii="Times New Roman" w:hAnsi="Times New Roman"/>
          <w:sz w:val="20"/>
        </w:rPr>
        <w:t xml:space="preserve">”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90758_15"/>
      <w:bookmarkEnd w:id="3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the securities will be acquired by the underwriters or dealers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transactions 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following information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securities, the underwriters may engage in transactions that stabilize, maintain or otherwise affect the price of the securities. Specifically, the underwriters may overallot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through dealers, we will sell the securities to them as principals. They may then resell those securities to the public at varying prices determined by the dealers at the time of resale.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Remarketing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190758_16"/>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33" w:name="tx190758_17"/>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600" w:after="0"/>
        <w:jc w:val="center"/>
        <w:rPr>
          <w:rFonts w:ascii="Times New Roman" w:hAnsi="Times New Roman"/>
          <w:b/>
          <w:sz w:val="28"/>
        </w:rPr>
      </w:pPr>
      <w:r>
        <w:rPr>
          <w:rFonts w:ascii="Times New Roman" w:hAnsi="Times New Roman"/>
          <w:b/>
          <w:sz w:val="28"/>
        </w:rPr>
        <w:t xml:space="preserve">$350,000,000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4796155" cy="7353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4796155" cy="7353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Pre-Funded Warrants to Purchase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8"/>
        <w:gridCol w:w="101"/>
        <w:gridCol w:w="2552"/>
        <w:gridCol w:w="101"/>
        <w:gridCol w:w="2552"/>
        <w:gridCol w:w="101"/>
        <w:gridCol w:w="2450"/>
      </w:tblGrid>
      <w:tr>
        <w:trPr/>
        <w:tc>
          <w:tcPr>
            <w:tcW w:w="2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b/>
              </w:rPr>
            </w:pPr>
            <w:r>
              <w:rPr>
                <w:b/>
              </w:rPr>
              <w:t>Jefferies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Cantor</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6736/000119312526073602/iron-20251231.htm" TargetMode="External"/><Relationship Id="rId4" Type="http://schemas.openxmlformats.org/officeDocument/2006/relationships/hyperlink" Target="http://www.sec.gov/Archives/edgar/data/../../../ix?doc=/Archives/edgar/data/1816736/000119312526187646/iron-20260428.htm" TargetMode="External"/><Relationship Id="rId5" Type="http://schemas.openxmlformats.org/officeDocument/2006/relationships/hyperlink" Target="http://www.sec.gov/Archives/edgar/data/../../../ix?doc=/Archives/edgar/data/1816736/000119312526205192/iron-20260331.htm" TargetMode="External"/><Relationship Id="rId6" Type="http://schemas.openxmlformats.org/officeDocument/2006/relationships/hyperlink" Target="http://www.sec.gov/Archives/edgar/data/../../../ix?doc=/Archives/edgar/data/1816736/000119312526325034/iron-20260630.htm" TargetMode="External"/><Relationship Id="rId7" Type="http://schemas.openxmlformats.org/officeDocument/2006/relationships/hyperlink" Target="http://www.sec.gov/Archives/edgar/data/../../../ix?doc=/Archives/edgar/data/1816736/000119312526051504/iron-20260213.htm" TargetMode="External"/><Relationship Id="rId8" Type="http://schemas.openxmlformats.org/officeDocument/2006/relationships/hyperlink" Target="http://www.sec.gov/Archives/edgar/data/../../../ix?doc=/Archives/edgar/data/1816736/000119312526082855/iron-20260226.htm" TargetMode="External"/><Relationship Id="rId9" Type="http://schemas.openxmlformats.org/officeDocument/2006/relationships/hyperlink" Target="http://www.sec.gov/Archives/edgar/data/../../../ix?doc=/Archives/edgar/data/1816736/000119312526281096/iron-20260618.htm" TargetMode="External"/><Relationship Id="rId10" Type="http://schemas.openxmlformats.org/officeDocument/2006/relationships/hyperlink" Target="http://www.sec.gov/Archives/edgar/data/../../../ix?doc=/Archives/edgar/data/1816736/000119312526290542/iron-20260625.htm" TargetMode="External"/><Relationship Id="rId11" Type="http://schemas.openxmlformats.org/officeDocument/2006/relationships/hyperlink" Target="http://www.sec.gov/Archives/edgar/data/../../../ix?doc=/Archives/edgar/data/1816736/000119312526387351/iron-20260909.htm" TargetMode="External"/><Relationship Id="rId12" Type="http://schemas.openxmlformats.org/officeDocument/2006/relationships/hyperlink" Target="http://www.sec.gov/Archives/edgar/data/../../../ix?doc=/Archives/edgar/data/0001816736/000119312526424649/d156263d8k.htm" TargetMode="External"/><Relationship Id="rId13" Type="http://schemas.openxmlformats.org/officeDocument/2006/relationships/hyperlink" Target="http://www.sec.gov/Archives/edgar/data/1816736/000121390020021145/ea125295-8a12b_fsdevelop.htm" TargetMode="External"/><Relationship Id="rId14" Type="http://schemas.openxmlformats.org/officeDocument/2006/relationships/hyperlink" Target="http://www.sec.gov/Archives/edgar/data/1816736/000095017022003288/gmtx-ex4_4.htm" TargetMode="External"/><Relationship Id="rId15" Type="http://schemas.openxmlformats.org/officeDocument/2006/relationships/hyperlink" Target="http://www.sec.gov/Archives/edgar/data/1816736/000114036122043943/ny20005172x8_s4a.htm" TargetMode="External"/><Relationship Id="rId16" Type="http://schemas.openxmlformats.org/officeDocument/2006/relationships/image" Target="media/image2.jpeg"/><Relationship Id="rId17" Type="http://schemas.openxmlformats.org/officeDocument/2006/relationships/hyperlink" Target="http://www.sec.gov/Archives/edgar/data/../../../ix?doc=/Archives/edgar/data/0001816736/000095017024034432/iron-20231231.htm" TargetMode="External"/><Relationship Id="rId18" Type="http://schemas.openxmlformats.org/officeDocument/2006/relationships/hyperlink" Target="http://www.sec.gov/Archives/edgar/data/../../../ix?doc=/Archives/edgar/data/1816736/000095017024056304/iron-20240331.htm" TargetMode="External"/><Relationship Id="rId19" Type="http://schemas.openxmlformats.org/officeDocument/2006/relationships/hyperlink" Target="http://www.sec.gov/Archives/edgar/data/../../../ix?doc=/Archives/edgar/data/1816736/000095017024093357/iron-20240630.htm" TargetMode="External"/><Relationship Id="rId20" Type="http://schemas.openxmlformats.org/officeDocument/2006/relationships/hyperlink" Target="http://www.sec.gov/Archives/edgar/data/../../../ix?doc=/Archives/edgar/data/0001816736/000119312524025951/d758257d8k.htm" TargetMode="External"/><Relationship Id="rId21" Type="http://schemas.openxmlformats.org/officeDocument/2006/relationships/hyperlink" Target="http://www.sec.gov/Archives/edgar/data/../../../ix?doc=/Archives/edgar/data/0001816736/000119312524084937/d815786d8k.htm" TargetMode="External"/><Relationship Id="rId22" Type="http://schemas.openxmlformats.org/officeDocument/2006/relationships/hyperlink" Target="http://www.sec.gov/Archives/edgar/data/../../../ix?doc=/Archives/edgar/data/0001816736/000119312524161170/d826950d8k.htm" TargetMode="External"/><Relationship Id="rId23" Type="http://schemas.openxmlformats.org/officeDocument/2006/relationships/hyperlink" Target="http://www.sec.gov/Archives/edgar/data/../../../ix?doc=/Archives/edgar/data/0001816736/000119312524161587/d828009d8k.htm" TargetMode="External"/><Relationship Id="rId24" Type="http://schemas.openxmlformats.org/officeDocument/2006/relationships/hyperlink" Target="http://www.sec.gov/Archives/edgar/data/../../../ix?doc=/Archives/edgar/data/0001816736/000119312524161603/d829753d8k.htm" TargetMode="External"/><Relationship Id="rId25" Type="http://schemas.openxmlformats.org/officeDocument/2006/relationships/hyperlink" Target="http://www.sec.gov/Archives/edgar/data/1816736/000121390020021145/ea125295-8a12b_fsdevelop.htm" TargetMode="External"/><Relationship Id="rId26" Type="http://schemas.openxmlformats.org/officeDocument/2006/relationships/hyperlink" Target="http://www.sec.gov/Archives/edgar/data/1816736/000095017022003288/gmtx-ex4_4.htm" TargetMode="External"/><Relationship Id="rId27" Type="http://schemas.openxmlformats.org/officeDocument/2006/relationships/hyperlink" Target="http://www.sec.gov/Archives/edgar/data/../../../ix?doc=/Archives/edgar/data/1816736/000095017022003288/gmtx-20211231.htm" TargetMode="External"/><Relationship Id="rId28" Type="http://schemas.openxmlformats.org/officeDocument/2006/relationships/hyperlink" Target="http://www.sec.gov/Archives/edgar/data/1816736/000114036122043943/ny20005172x8_s4a.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105</Pages>
  <Words>42085</Words>
  <Characters>222407</Characters>
  <CharactersWithSpaces>265480</CharactersWithSpaces>
  <Paragraphs>2830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