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March 21, 2024, Disc Medicine, Inc. announced its financial results for the fourth quarter and fiscal year ended December 31, 2023 and provided a corporate update. A copy of the press release in connection with the announcement is being furnished as Exhibit 99.1 to this Current Report on Form 8-K.</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March 21,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March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Jean Franchi, CPA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Reports Fourth Quarter and Full Year 2023 Financial Results and Provides Business Update</w:t>
      </w:r>
    </w:p>
    <w:p>
      <w:pPr>
        <w:spacing w:after="0" w:line="254" w:lineRule="exact"/>
        <w:rPr>
          <w:sz w:val="20"/>
          <w:szCs w:val="20"/>
          <w:color w:val="auto"/>
        </w:rPr>
      </w:pPr>
    </w:p>
    <w:p>
      <w:pPr>
        <w:ind w:left="420" w:right="360" w:hanging="316"/>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Top-line results from AURORA, the placebo-controlled phase 2 study of bitopertin in erythropoietic porphyrias (EPP), expected March / April 2024</w:t>
      </w:r>
    </w:p>
    <w:p>
      <w:pPr>
        <w:spacing w:after="0" w:line="63" w:lineRule="exact"/>
        <w:rPr>
          <w:rFonts w:ascii="Times New Roman" w:cs="Times New Roman" w:eastAsia="Times New Roman" w:hAnsi="Times New Roman"/>
          <w:sz w:val="18"/>
          <w:szCs w:val="18"/>
          <w:color w:val="auto"/>
        </w:rPr>
      </w:pPr>
    </w:p>
    <w:p>
      <w:pPr>
        <w:ind w:left="420" w:right="300" w:hanging="316"/>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 track to deliver multiple read-outs in 2024, including updated results from phase 1b/2 study of DISC-0974 in anemia of myelofibrosis (MF) 1H’24</w:t>
      </w:r>
    </w:p>
    <w:p>
      <w:pPr>
        <w:spacing w:after="0" w:line="63" w:lineRule="exact"/>
        <w:rPr>
          <w:rFonts w:ascii="Times New Roman" w:cs="Times New Roman" w:eastAsia="Times New Roman" w:hAnsi="Times New Roman"/>
          <w:sz w:val="18"/>
          <w:szCs w:val="18"/>
          <w:color w:val="auto"/>
        </w:rPr>
      </w:pPr>
    </w:p>
    <w:p>
      <w:pPr>
        <w:ind w:left="420" w:right="340" w:hanging="316"/>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Strengthened leadership team with the appointments of Jean Franchi as Chief Financial Officer and Pamela Stephenson as Chief Commercial Officer, and the promotion of Jonathan Yu to Chief Operating Officer</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Well-capitalized, ending 2023 with approximately $360M in cash and cash equivalents, which provides runway well into 2026</w:t>
      </w:r>
    </w:p>
    <w:p>
      <w:pPr>
        <w:spacing w:after="0" w:line="22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WATERTOWN, Mass. (March 21, 2024) – Disc Medicine, Inc. (NASDAQ:IRON), a clinical-stage biopharmaceutical company focused on the discovery, development, and commercialization of novel treatments for patients suffering from serious hematologic diseases, today reported financial results for the fourth quarter and full year ended December 31, 2023, and provided an update on recent program and corporate developments.</w:t>
      </w:r>
    </w:p>
    <w:p>
      <w:pPr>
        <w:spacing w:after="0" w:line="15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past year has been truly remarkable for Disc and marks another important chapter in our company’s story. During 2023, we provided the first evidence of the therapeutic potential of our programs, with positive read-outs in patients for both bitopertin and DISC-0974. In addition, we advanced a third program, DISC-3405, into the clinic and fortified our balance sheet, so we can execute our strategy with confidence,” said John Quisel, J.D., Ph.D., President and Chief Executive Officer of Disc. “These achievements have positioned us well for 2024, which promises to be another transformational year, and I want to express my deep gratitude to our team for their determination and hard work. We’re looking forward to sharing AURORA data in the coming weeks, as well as updated data for DISC-0974 in MF and initial data for DISC-3405 in healthy volunteers in the first half of this year.”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its phase 2 program of bitopertin in erythropoietic porphyrias: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BEACON, an open-label phase 2 clinical study of bitopertin in patients with EPP and X-linked protoporphyria (XLP), which was expanded to include adolescents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a phase 2 randomized, placebo-controlled clinical study of bitopertin in adults with EPP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results from the phase 2 BEACON trial at ASH 2023, showing: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sustained reductions in whole blood protoporphyrin IX (PPIX) levels &gt;40%</w:t>
      </w:r>
    </w:p>
    <w:p>
      <w:pPr>
        <w:spacing w:after="0" w:line="130"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and consistent improvements across all measures of sunlight tolerance, including &gt;3x improvement over historical control of precedented pivotal endpoint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was generally well-tolerated with stable hemoglobin at both dose levels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AURORA data planned for press release and corporate presentation in March/April 2024</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DISC-0974: Anti-Hemojuvelin Antibody (Hepcidin Suppression)</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initial data from ongoing phase 1b/2 clinical study in MF patients with severe anemia at ASH 2023:</w:t>
      </w:r>
    </w:p>
    <w:p>
      <w:pPr>
        <w:spacing w:after="0" w:line="130"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at initial dose levels (14 mg, 28 mg, 50 mg) resulted in substantial, dose-dependent decreases in hepcidin and increases in serum iron</w:t>
      </w:r>
    </w:p>
    <w:p>
      <w:pPr>
        <w:spacing w:after="0" w:line="67" w:lineRule="exact"/>
        <w:rPr>
          <w:rFonts w:ascii="Times New Roman" w:cs="Times New Roman" w:eastAsia="Times New Roman" w:hAnsi="Times New Roman"/>
          <w:sz w:val="18"/>
          <w:szCs w:val="18"/>
          <w:color w:val="auto"/>
        </w:rPr>
      </w:pPr>
    </w:p>
    <w:p>
      <w:pPr>
        <w:jc w:val="both"/>
        <w:ind w:left="1420" w:right="36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activity was observed in MF patients, regardless of concomitant JAK inhibitor use. Four of seven (57%) evaluable non-transfusion-dependent (NTD) patients reached a &gt;1.5g/dL hemoglobin increase and one of two transfusion-dependent (TD) patients achieved transfusion independence.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was generally well-tolerated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dose escalation is ongoing</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initial data from the 28 mg cohort of the ongoing phase 1b/2 clinical study of patients with anemia of chronic kidney disease who are not receiving dialysis (NDD-CKD)</w:t>
      </w:r>
    </w:p>
    <w:p>
      <w:pPr>
        <w:spacing w:after="0" w:line="67"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demonstrated meaningful reductions in serum hepcidin and corresponding increases in serum iron with a similar PK/PD profile as seen in Disc’s healthy volunteer study</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dose escalation is ongoing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phase 1b/2 data from DISC-0974 in anemia in MF patients is expected to be presented in the first half of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phase 1b/2 data from DISC-0974 in anemia in NDD-CKD is expected to be shared in the second half of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fast track designation in February 2024 for DISC-0974 for the treatment of anemia in NDD-CKD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phase 1 SAD / MAD study in healthy volunteers in October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SAD data expected to be presented in the first half of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orphan drug designation in February 2024 for DISC-3405 for the treatment of PV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35" w:lineRule="exact"/>
        <w:rPr>
          <w:sz w:val="20"/>
          <w:szCs w:val="20"/>
          <w:color w:val="auto"/>
        </w:rPr>
      </w:pPr>
    </w:p>
    <w:p>
      <w:pPr>
        <w:ind w:left="960" w:right="20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enters late-stage development and begins planning for commercialization, Disc expanded its leadership team with the appointments of industry veterans Jean Franchi as Chief Financial Officer and Pamela Stephenson as Chief Commercial Officer, and the promotion of Jonathan Yu to Chief Operating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2023 Financial Results:</w:t>
      </w:r>
    </w:p>
    <w:p>
      <w:pPr>
        <w:spacing w:after="0" w:line="131" w:lineRule="exact"/>
        <w:rPr>
          <w:sz w:val="20"/>
          <w:szCs w:val="20"/>
          <w:color w:val="auto"/>
        </w:rPr>
      </w:pPr>
    </w:p>
    <w:p>
      <w:pPr>
        <w:ind w:left="960" w:hanging="424"/>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and cash equivalents were $360.4 million as of December 31, 2023, which are expected to fund our operational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into 2026, compared to $194.6 million as of December 31, 2022. The increase was primarily due to the completion of a registered direct offering in February 2023 and a publicly marketed follow-on offering in June 2023.</w:t>
      </w:r>
    </w:p>
    <w:p>
      <w:pPr>
        <w:spacing w:after="0" w:line="76" w:lineRule="exact"/>
        <w:rPr>
          <w:rFonts w:ascii="Times New Roman" w:cs="Times New Roman" w:eastAsia="Times New Roman" w:hAnsi="Times New Roman"/>
          <w:sz w:val="18"/>
          <w:szCs w:val="18"/>
          <w:color w:val="auto"/>
        </w:rPr>
      </w:pPr>
    </w:p>
    <w:p>
      <w:pPr>
        <w:ind w:left="960" w:right="280" w:hanging="424"/>
        <w:spacing w:after="0" w:line="26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$69.3 million for the full year ended December 31, 2023,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$33.4 million for the full year ended December 31, 2022. The increase in R&amp;D expenses were primarily driven by the progression of Disc’s portfolio, including bitopertin’s ongoing two phase 2 clinical studies and drug manufacturing, phase 1 study initiation for DISC-3405, and increased headcount.</w:t>
      </w:r>
    </w:p>
    <w:p>
      <w:pPr>
        <w:spacing w:after="0" w:line="81" w:lineRule="exact"/>
        <w:rPr>
          <w:rFonts w:ascii="Times New Roman" w:cs="Times New Roman" w:eastAsia="Times New Roman" w:hAnsi="Times New Roman"/>
          <w:sz w:val="18"/>
          <w:szCs w:val="18"/>
          <w:color w:val="auto"/>
        </w:rPr>
      </w:pPr>
    </w:p>
    <w:p>
      <w:pPr>
        <w:jc w:val="both"/>
        <w:ind w:left="960" w:right="200" w:hanging="424"/>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G&amp;A expenses were $21.9 million for the full year ended December 31, 2023,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$14.0 million for the full year ended December 31, 2022. The increase in G&amp;A expenses was primarily due to increased headcount and increased costs as a public company.</w:t>
      </w:r>
    </w:p>
    <w:p>
      <w:pPr>
        <w:sectPr>
          <w:pgSz w:w="11900" w:h="16838" w:orient="portrait"/>
          <w:cols w:equalWidth="0" w:num="1">
            <w:col w:w="10980"/>
          </w:cols>
          <w:pgMar w:left="440" w:top="968" w:right="479" w:bottom="1440" w:gutter="0" w:footer="0" w:header="0"/>
        </w:sectPr>
      </w:pPr>
    </w:p>
    <w:bookmarkStart w:id="5" w:name="page6"/>
    <w:bookmarkEnd w:id="5"/>
    <w:p>
      <w:pPr>
        <w:ind w:left="960" w:right="140" w:hanging="424"/>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 xml:space="preserve">Net Loss: </w:t>
      </w:r>
      <w:r>
        <w:rPr>
          <w:rFonts w:ascii="Times New Roman" w:cs="Times New Roman" w:eastAsia="Times New Roman" w:hAnsi="Times New Roman"/>
          <w:sz w:val="18"/>
          <w:szCs w:val="18"/>
          <w:color w:val="auto"/>
        </w:rPr>
        <w:t>Net loss was $76.4 million for the full year ended December 31, 2023, as compared to $46.8 million for the full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the results thereof, and its phase 1b/2 study of bitopertin in Diamond-Blackfan Anemia, its phase 1b/2 clinical studies of DISC-0974 in patients with MF and NDD-CKD patients with anemia, its phase 1 clinical study of DISC-3405 in healthy volunteers; projected timelines for the initiation and completion of its clinical trials, anticipated timing of release of data, and other clinical activities; Disc’s business plans, objectives and expected contributions of management; and Disc’s beliefs about operating expenses and that it will have capital to fund Disc well into 2026.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that enrollment timelines of both the BEACON</w:t>
      </w:r>
    </w:p>
    <w:p>
      <w:pPr>
        <w:sectPr>
          <w:pgSz w:w="11900" w:h="16838" w:orient="portrait"/>
          <w:cols w:equalWidth="0" w:num="1">
            <w:col w:w="10980"/>
          </w:cols>
          <w:pgMar w:left="440" w:top="968" w:right="479" w:bottom="1440" w:gutter="0" w:footer="0" w:header="0"/>
        </w:sectPr>
      </w:pPr>
    </w:p>
    <w:bookmarkStart w:id="6" w:name="page7"/>
    <w:bookmarkEnd w:id="6"/>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and AURORA studies may not necessarily be predictive of future enrollment timelines; the timing of initiation of Disc’s planned clinical trials; Disc’s ability to retain and recognize the intended incentives conferred by Fast Track Designation for its product candidates including DISC-3405 and DISC-0974; Disc’s ability to retain and recognize the intended incentives conferred by Orphan Drug Designation for DISC-3405 and bitopertin;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69,264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21,861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(91,125)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14,795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22,315,877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1,039,490</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72"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360,382</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194,611</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3,880</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198,491</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200,205</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21,439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22,578</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345,121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176,600</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200,205</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1020"/>
      </w:cols>
      <w:pgMar w:left="440" w:top="9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2024-03-21T07:07:01Z</dcterms:created>
  <dcterms:modified xsi:type="dcterms:W3CDTF">2024-03-21T07:07:01Z</dcterms:modified>
</cp:coreProperties>
</file>