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28, 2021</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20" w:type="dxa"/>
            <w:vAlign w:val="bottom"/>
            <w:gridSpan w:val="3"/>
          </w:tcPr>
          <w:p>
            <w:pPr>
              <w:jc w:val="right"/>
              <w:ind w:right="1520"/>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100" w:type="dxa"/>
            <w:vAlign w:val="bottom"/>
          </w:tcPr>
          <w:p>
            <w:pPr>
              <w:spacing w:after="0"/>
              <w:rPr>
                <w:sz w:val="22"/>
                <w:szCs w:val="22"/>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gridSpan w:val="3"/>
          </w:tcPr>
          <w:p>
            <w:pPr>
              <w:jc w:val="center"/>
              <w:ind w:right="6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600 Montgomery Street, Suite 4500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59"/>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11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94111</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877-4887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480" w:hanging="8"/>
        <w:spacing w:after="0" w:line="498" w:lineRule="auto"/>
        <w:tabs>
          <w:tab w:leader="none" w:pos="6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7"/>
        </w:trPr>
        <w:tc>
          <w:tcPr>
            <w:tcW w:w="3620" w:type="dxa"/>
            <w:vAlign w:val="bottom"/>
            <w:tcBorders>
              <w:top w:val="single" w:sz="8" w:color="auto"/>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120" w:type="dxa"/>
            <w:vAlign w:val="bottom"/>
            <w:tcBorders>
              <w:top w:val="single" w:sz="8" w:color="CCEEFF"/>
            </w:tcBorders>
            <w:shd w:val="clear" w:color="auto" w:fill="CCEEFF"/>
          </w:tcPr>
          <w:p>
            <w:pPr>
              <w:spacing w:after="0"/>
              <w:rPr>
                <w:sz w:val="16"/>
                <w:szCs w:val="16"/>
                <w:color w:val="auto"/>
              </w:rPr>
            </w:pPr>
          </w:p>
        </w:tc>
        <w:tc>
          <w:tcPr>
            <w:tcW w:w="3800" w:type="dxa"/>
            <w:vAlign w:val="bottom"/>
            <w:tcBorders>
              <w:top w:val="single" w:sz="8" w:color="auto"/>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FSDC</w:t>
            </w:r>
          </w:p>
        </w:tc>
        <w:tc>
          <w:tcPr>
            <w:tcW w:w="1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38"/>
        </w:trPr>
        <w:tc>
          <w:tcPr>
            <w:tcW w:w="3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ind w:left="380" w:right="20" w:hanging="372"/>
        <w:spacing w:after="0" w:line="282" w:lineRule="auto"/>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80" w:hanging="372"/>
        <w:spacing w:after="0" w:line="282" w:lineRule="auto"/>
        <w:tabs>
          <w:tab w:leader="none" w:pos="3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19, 2021, FS Development Corp., a Delaware corporation (the “Company”), issued a press release announcing that its registration statement on Form S-4 (File No. 333-249785) (as amended, the “Registration Statement”), relating to the previously announced business combination (the “Business Combination”) with Gemini Therapeutics, Inc. (“Gemini”), had been declared effective by the U.S. Securities and Exchange Commission (“SEC”). In the Registration Statement, the conversion ratio (the “Conversion Ratio”) for determining the number of shares of the Company’s Class A Common Stock to be issued as consideration (the “Merger Consideration”) to the holders of Gemini’s outstanding equity in connection with the closing of the Business Combination was calculated as of January 15, 2021, the record date (the “Record Date”) for the Special Meeting of the Company’s stockholders to be held on February 3, 2021 (the “Special Meeting”), to approve the Business Combination and other matters related thereto.</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Conversion Ratio calculated as of January 28, 2021 (four business days prior to the Special Meeting), which is expected to be the Conversion Ratio used for calculating the final Merger Consideration, is .2180, meaning that of the 21.5 million shares of the Company’s Class A Common Stock being issued as the Merger Consideration, 17,942,274 shares will be issued for all issued and outstanding Gemini common stock and preferred stock, 2,318,566 shares will be issued for Gemini’s underlying vested, unvested, and unexercised options and warrants, and 1,239,160 shares will be reserved for issuance under the 2021 Stock Option and Incentive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Information About the Business Combination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full description of the terms of the Business Combination are provided in the Registration Statement, which includes a prospectus with respect to the securities of the combined entity to be issued in connection with the Business Combination and a proxy statement with respect to the Special Meeting. The Company urges its investors, stockholders and other interested persons to read the definite proxy statement/ prospectus included in the Registration Statement, as well as other documents filed with the SEC, because these documents contain important information about the Company, Gemini and the Business Combination. The Registration Statement was declared effective by the SEC on January 19, 2021 and the definitive proxy statement/prospectus and other relevant documents will be mailed to the Company’s stockholders as of the Record Date. Stockholders may also obtain a copy of the definitive proxy statement/prospectus, and other documents filed with the SEC, without charge, by directing a request to: FS Development Corp., Attn: Secretary, 600 Montgomery Street, Suite 4500, San Francisco, California 94111. The definitive proxy statement/prospectus can also be obtained, without charge, at the SEC’s website at www.sec.gov.</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the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Gemini and their respective directors and executive officers may be considered participants in the solicitation of proxies with respect to the Business Combination under the rules of the SEC. A list of the names of those directors and executive officers and a description of their interests in the Company is contained in the definitive proxy statement/prospectus included in the Registration Statement and is available free of charge at the SEC’s website at www.sec.gov or by directing a request to: FS Development Corp., Attn: Secretary, 600 Montgomery Street, Suite 4500, San Francisco, California 94111.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Current Report on Form 8-K is not a proxy statement or solicitation of a proxy, consent or authorization with respect to any securities or in respect of the Business Combination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Dennis Ryan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28, 2021</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2021-01-28T15:34:15Z</dcterms:created>
  <dcterms:modified xsi:type="dcterms:W3CDTF">2021-01-28T15:34:15Z</dcterms:modified>
</cp:coreProperties>
</file>