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794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1060" w:type="dxa"/>
            <w:vAlign w:val="bottom"/>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794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1060" w:type="dxa"/>
            <w:vAlign w:val="bottom"/>
            <w:vMerge w:val="restart"/>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7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94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1060" w:type="dxa"/>
            <w:vAlign w:val="bottom"/>
            <w:vMerge w:val="restart"/>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794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1060" w:type="dxa"/>
            <w:vAlign w:val="bottom"/>
            <w:vMerge w:val="restart"/>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9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0</w:t>
            </w:r>
          </w:p>
        </w:tc>
        <w:tc>
          <w:tcPr>
            <w:tcW w:w="7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w w:val="98"/>
              </w:rPr>
              <w:t>CHECK IF THE AGGREGATE AMOUNT IN ROW (9) EXCLUDES CERTAIN SHARES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7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0.00%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7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9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794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1060" w:type="dxa"/>
            <w:vAlign w:val="bottom"/>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794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1060" w:type="dxa"/>
            <w:vAlign w:val="bottom"/>
            <w:vMerge w:val="restart"/>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7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94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1060" w:type="dxa"/>
            <w:vAlign w:val="bottom"/>
            <w:vMerge w:val="restart"/>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794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1060" w:type="dxa"/>
            <w:vAlign w:val="bottom"/>
            <w:vMerge w:val="restart"/>
          </w:tcPr>
          <w:p>
            <w:pPr>
              <w:jc w:val="right"/>
              <w:ind w:right="4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9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0</w:t>
            </w:r>
          </w:p>
        </w:tc>
        <w:tc>
          <w:tcPr>
            <w:tcW w:w="7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w w:val="98"/>
              </w:rPr>
              <w:t>CHECK IF THE AGGREGATE AMOUNT IN ROW (9) EXCLUDES CERTAIN SHARES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7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0.00%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846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7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9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303020101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191770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60" w:top="388" w:right="91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1.</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NAMES OF REPORTING PERSONS</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Wellington Investment Advisors Holdings LLP</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2.</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w w:val="97"/>
              </w:rPr>
              <w:t>(a) [ ]</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00" w:type="dxa"/>
            <w:vAlign w:val="bottom"/>
          </w:tcPr>
          <w:p>
            <w:pPr>
              <w:spacing w:after="0"/>
              <w:rPr>
                <w:sz w:val="23"/>
                <w:szCs w:val="23"/>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w w:val="97"/>
              </w:rPr>
              <w:t>(b) [ ]</w:t>
            </w:r>
          </w:p>
        </w:tc>
        <w:tc>
          <w:tcPr>
            <w:tcW w:w="7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3.</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SEC USE ONLY</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4.</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459"/>
        </w:trPr>
        <w:tc>
          <w:tcPr>
            <w:tcW w:w="160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620" w:type="dxa"/>
            <w:vAlign w:val="bottom"/>
          </w:tcPr>
          <w:p>
            <w:pPr>
              <w:spacing w:after="0"/>
              <w:rPr>
                <w:sz w:val="24"/>
                <w:szCs w:val="24"/>
                <w:color w:val="auto"/>
              </w:rPr>
            </w:pPr>
          </w:p>
        </w:tc>
        <w:tc>
          <w:tcPr>
            <w:tcW w:w="7460" w:type="dxa"/>
            <w:vAlign w:val="bottom"/>
          </w:tcPr>
          <w:p>
            <w:pPr>
              <w:ind w:left="40"/>
              <w:spacing w:after="0"/>
              <w:rPr>
                <w:sz w:val="20"/>
                <w:szCs w:val="20"/>
                <w:color w:val="auto"/>
              </w:rPr>
            </w:pPr>
            <w:r>
              <w:rPr>
                <w:rFonts w:ascii="Arial" w:cs="Arial" w:eastAsia="Arial" w:hAnsi="Arial"/>
                <w:sz w:val="22"/>
                <w:szCs w:val="22"/>
                <w:color w:val="auto"/>
              </w:rPr>
              <w:t>5. SOLE VOTING POWER</w:t>
            </w:r>
          </w:p>
        </w:tc>
        <w:tc>
          <w:tcPr>
            <w:tcW w:w="0" w:type="dxa"/>
            <w:vAlign w:val="bottom"/>
          </w:tcPr>
          <w:p>
            <w:pPr>
              <w:spacing w:after="0"/>
              <w:rPr>
                <w:sz w:val="1"/>
                <w:szCs w:val="1"/>
                <w:color w:val="auto"/>
              </w:rPr>
            </w:pPr>
          </w:p>
        </w:tc>
      </w:tr>
      <w:tr>
        <w:trPr>
          <w:trHeight w:val="50"/>
        </w:trPr>
        <w:tc>
          <w:tcPr>
            <w:tcW w:w="1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620" w:type="dxa"/>
            <w:vAlign w:val="bottom"/>
          </w:tcPr>
          <w:p>
            <w:pPr>
              <w:spacing w:after="0"/>
              <w:rPr>
                <w:sz w:val="21"/>
                <w:szCs w:val="21"/>
                <w:color w:val="auto"/>
              </w:rPr>
            </w:pPr>
          </w:p>
        </w:tc>
        <w:tc>
          <w:tcPr>
            <w:tcW w:w="7460" w:type="dxa"/>
            <w:vAlign w:val="bottom"/>
            <w:vMerge w:val="restart"/>
          </w:tcPr>
          <w:p>
            <w:pPr>
              <w:ind w:left="40"/>
              <w:spacing w:after="0"/>
              <w:rPr>
                <w:sz w:val="20"/>
                <w:szCs w:val="20"/>
                <w:color w:val="auto"/>
              </w:rPr>
            </w:pPr>
            <w:r>
              <w:rPr>
                <w:rFonts w:ascii="Arial" w:cs="Arial" w:eastAsia="Arial" w:hAnsi="Arial"/>
                <w:sz w:val="22"/>
                <w:szCs w:val="22"/>
                <w:color w:val="auto"/>
              </w:rPr>
              <w:t>6. SHARED VOTING POWER</w:t>
            </w:r>
          </w:p>
        </w:tc>
        <w:tc>
          <w:tcPr>
            <w:tcW w:w="0" w:type="dxa"/>
            <w:vAlign w:val="bottom"/>
          </w:tcPr>
          <w:p>
            <w:pPr>
              <w:spacing w:after="0"/>
              <w:rPr>
                <w:sz w:val="1"/>
                <w:szCs w:val="1"/>
                <w:color w:val="auto"/>
              </w:rPr>
            </w:pPr>
          </w:p>
        </w:tc>
      </w:tr>
      <w:tr>
        <w:trPr>
          <w:trHeight w:val="166"/>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620" w:type="dxa"/>
            <w:vAlign w:val="bottom"/>
          </w:tcPr>
          <w:p>
            <w:pPr>
              <w:spacing w:after="0"/>
              <w:rPr>
                <w:sz w:val="14"/>
                <w:szCs w:val="14"/>
                <w:color w:val="auto"/>
              </w:rPr>
            </w:pPr>
          </w:p>
        </w:tc>
        <w:tc>
          <w:tcPr>
            <w:tcW w:w="7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2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7460" w:type="dxa"/>
            <w:vAlign w:val="bottom"/>
            <w:vMerge w:val="restart"/>
          </w:tcPr>
          <w:p>
            <w:pPr>
              <w:ind w:left="40"/>
              <w:spacing w:after="0"/>
              <w:rPr>
                <w:sz w:val="20"/>
                <w:szCs w:val="20"/>
                <w:color w:val="auto"/>
              </w:rPr>
            </w:pPr>
            <w:r>
              <w:rPr>
                <w:rFonts w:ascii="Arial" w:cs="Arial" w:eastAsia="Arial" w:hAnsi="Arial"/>
                <w:sz w:val="22"/>
                <w:szCs w:val="22"/>
                <w:color w:val="auto"/>
              </w:rPr>
              <w:t>7. SOLE DISPOSITIVE POWER</w:t>
            </w:r>
          </w:p>
        </w:tc>
        <w:tc>
          <w:tcPr>
            <w:tcW w:w="0" w:type="dxa"/>
            <w:vAlign w:val="bottom"/>
          </w:tcPr>
          <w:p>
            <w:pPr>
              <w:spacing w:after="0"/>
              <w:rPr>
                <w:sz w:val="1"/>
                <w:szCs w:val="1"/>
                <w:color w:val="auto"/>
              </w:rPr>
            </w:pPr>
          </w:p>
        </w:tc>
      </w:tr>
      <w:tr>
        <w:trPr>
          <w:trHeight w:val="139"/>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620" w:type="dxa"/>
            <w:vAlign w:val="bottom"/>
          </w:tcPr>
          <w:p>
            <w:pPr>
              <w:spacing w:after="0"/>
              <w:rPr>
                <w:sz w:val="12"/>
                <w:szCs w:val="12"/>
                <w:color w:val="auto"/>
              </w:rPr>
            </w:pPr>
          </w:p>
        </w:tc>
        <w:tc>
          <w:tcPr>
            <w:tcW w:w="7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600" w:type="dxa"/>
            <w:vAlign w:val="bottom"/>
          </w:tcPr>
          <w:p>
            <w:pPr>
              <w:spacing w:after="0"/>
              <w:rPr>
                <w:sz w:val="20"/>
                <w:szCs w:val="20"/>
                <w:color w:val="auto"/>
              </w:rPr>
            </w:pPr>
            <w:r>
              <w:rPr>
                <w:rFonts w:ascii="Arial" w:cs="Arial" w:eastAsia="Arial" w:hAnsi="Arial"/>
                <w:sz w:val="22"/>
                <w:szCs w:val="22"/>
                <w:color w:val="auto"/>
              </w:rPr>
              <w:t>PERSON WITH</w:t>
            </w:r>
          </w:p>
        </w:tc>
        <w:tc>
          <w:tcPr>
            <w:tcW w:w="620" w:type="dxa"/>
            <w:vAlign w:val="bottom"/>
          </w:tcPr>
          <w:p>
            <w:pPr>
              <w:spacing w:after="0"/>
              <w:rPr>
                <w:sz w:val="23"/>
                <w:szCs w:val="23"/>
                <w:color w:val="auto"/>
              </w:rPr>
            </w:pPr>
          </w:p>
        </w:tc>
        <w:tc>
          <w:tcPr>
            <w:tcW w:w="7460" w:type="dxa"/>
            <w:vAlign w:val="bottom"/>
            <w:vMerge w:val="restart"/>
          </w:tcPr>
          <w:p>
            <w:pPr>
              <w:ind w:left="40"/>
              <w:spacing w:after="0"/>
              <w:rPr>
                <w:sz w:val="20"/>
                <w:szCs w:val="20"/>
                <w:color w:val="auto"/>
              </w:rPr>
            </w:pPr>
            <w:r>
              <w:rPr>
                <w:rFonts w:ascii="Arial" w:cs="Arial" w:eastAsia="Arial" w:hAnsi="Arial"/>
                <w:sz w:val="22"/>
                <w:szCs w:val="22"/>
                <w:color w:val="auto"/>
              </w:rPr>
              <w:t>8. SHARED DISPOSITIVE POWER</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9.</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w w:val="95"/>
              </w:rPr>
              <w:t>AGGREGATE AMOUNT BENEFICIALLY OWNED BY EACH REPORTING PERSON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rPr>
              <w:t>0</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10.</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w w:val="94"/>
              </w:rPr>
              <w:t>CHECK IF THE AGGREGATE AMOUNT IN ROW (9) EXCLUDES CERTAIN SHARES</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rPr>
              <w:t>[ ]</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11.</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0.00%</w:t>
            </w: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12.</w:t>
            </w:r>
          </w:p>
        </w:tc>
        <w:tc>
          <w:tcPr>
            <w:tcW w:w="808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22"/>
                <w:szCs w:val="22"/>
                <w:color w:val="auto"/>
              </w:rPr>
              <w:t>HC</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ectPr>
          <w:pgSz w:w="11900" w:h="16838" w:orient="portrait"/>
          <w:cols w:equalWidth="0" w:num="2">
            <w:col w:w="9800" w:space="720"/>
            <w:col w:w="100"/>
          </w:cols>
          <w:pgMar w:left="360" w:top="388" w:right="919" w:bottom="1440" w:gutter="0" w:footer="0" w:header="0"/>
          <w:type w:val="continuous"/>
        </w:sectPr>
      </w:pPr>
    </w:p>
    <w:bookmarkStart w:id="4" w:name="page5"/>
    <w:bookmarkEnd w:id="4"/>
    <w:p>
      <w:pPr>
        <w:spacing w:after="0" w:line="236" w:lineRule="auto"/>
        <w:framePr w:w="180" w:h="192" w:wrap="auto" w:vAnchor="page" w:hAnchor="page" w:x="6980" w:y="15635"/>
        <w:rPr>
          <w:rFonts w:ascii="Arial" w:cs="Arial" w:eastAsia="Arial" w:hAnsi="Arial"/>
          <w:sz w:val="17"/>
          <w:szCs w:val="17"/>
          <w:color w:val="auto"/>
        </w:rPr>
      </w:pPr>
      <w:r>
        <w:rPr>
          <w:rFonts w:ascii="Arial" w:cs="Arial" w:eastAsia="Arial" w:hAnsi="Arial"/>
          <w:sz w:val="17"/>
          <w:szCs w:val="17"/>
          <w:color w:val="auto"/>
        </w:rPr>
        <w:t>0</w:t>
      </w:r>
    </w:p>
    <w:p>
      <w:pPr>
        <w:spacing w:after="0" w:line="206" w:lineRule="auto"/>
        <w:framePr w:w="4320" w:h="435" w:wrap="auto" w:vAnchor="page" w:hAnchor="page" w:x="6980" w:y="16013"/>
        <w:rPr>
          <w:rFonts w:ascii="Arial" w:cs="Arial" w:eastAsia="Arial" w:hAnsi="Arial"/>
          <w:sz w:val="22"/>
          <w:szCs w:val="22"/>
          <w:color w:val="auto"/>
        </w:rPr>
      </w:pPr>
      <w:r>
        <w:rPr>
          <w:rFonts w:ascii="Arial" w:cs="Arial" w:eastAsia="Arial" w:hAnsi="Arial"/>
          <w:sz w:val="22"/>
          <w:szCs w:val="22"/>
          <w:color w:val="auto"/>
        </w:rPr>
        <w:t>See the responses to Item 6 on the attached cover pages.</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Gemini Therapeutics, Inc.</w:t>
      </w:r>
    </w:p>
    <w:p>
      <w:pPr>
        <w:spacing w:after="0" w:line="101" w:lineRule="exact"/>
        <w:rPr>
          <w:rFonts w:ascii="Arial" w:cs="Arial" w:eastAsia="Arial" w:hAnsi="Arial"/>
          <w:sz w:val="22"/>
          <w:szCs w:val="22"/>
          <w:b w:val="1"/>
          <w:bCs w:val="1"/>
          <w:color w:val="auto"/>
        </w:rPr>
      </w:pPr>
    </w:p>
    <w:p>
      <w:pPr>
        <w:ind w:left="1760" w:right="4960" w:hanging="401"/>
        <w:spacing w:after="0" w:line="243"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300 One Kendall Square, 3rd Floor Cambridge, MA 02139</w:t>
      </w:r>
    </w:p>
    <w:p>
      <w:pPr>
        <w:spacing w:after="0" w:line="96"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303020101</w:t>
      </w:r>
    </w:p>
    <w:p>
      <w:pPr>
        <w:spacing w:after="0" w:line="13" w:lineRule="exact"/>
        <w:rPr>
          <w:rFonts w:ascii="Arial" w:cs="Arial" w:eastAsia="Arial" w:hAnsi="Arial"/>
          <w:sz w:val="22"/>
          <w:szCs w:val="22"/>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rFonts w:ascii="Arial" w:cs="Arial" w:eastAsia="Arial" w:hAnsi="Arial"/>
          <w:sz w:val="22"/>
          <w:szCs w:val="22"/>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w:t>
        <w:tab/>
        <w:t>sole power to vote or to direct the vote</w:t>
      </w:r>
    </w:p>
    <w:p>
      <w:pPr>
        <w:spacing w:after="0" w:line="247"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shared power to vote or to direct the vote</w:t>
      </w:r>
    </w:p>
    <w:p>
      <w:pPr>
        <w:sectPr>
          <w:pgSz w:w="11900" w:h="16838" w:orient="portrait"/>
          <w:cols w:equalWidth="0" w:num="1">
            <w:col w:w="11040"/>
          </w:cols>
          <w:pgMar w:left="400" w:top="409" w:right="459" w:bottom="0" w:gutter="0" w:footer="0" w:header="0"/>
        </w:sectPr>
      </w:pPr>
    </w:p>
    <w:bookmarkStart w:id="5" w:name="page6"/>
    <w:bookmarkEnd w:id="5"/>
    <w:p>
      <w:pPr>
        <w:ind w:left="1760"/>
        <w:spacing w:after="0"/>
        <w:tabs>
          <w:tab w:leader="none" w:pos="6600" w:val="left"/>
        </w:tabs>
        <w:rPr>
          <w:sz w:val="20"/>
          <w:szCs w:val="20"/>
          <w:color w:val="auto"/>
        </w:rPr>
      </w:pPr>
      <w:r>
        <w:rPr>
          <w:rFonts w:ascii="Arial" w:cs="Arial" w:eastAsia="Arial" w:hAnsi="Arial"/>
          <w:sz w:val="21"/>
          <w:szCs w:val="21"/>
          <w:color w:val="auto"/>
        </w:rPr>
        <w:t>(iii) sole power to dispose or to direct the disposition</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10940"/>
          </w:cols>
          <w:pgMar w:left="400" w:top="118" w:right="559" w:bottom="491" w:gutter="0" w:footer="0" w:header="0"/>
        </w:sectPr>
      </w:pPr>
    </w:p>
    <w:p>
      <w:pPr>
        <w:spacing w:after="0" w:line="107" w:lineRule="exact"/>
        <w:rPr>
          <w:sz w:val="20"/>
          <w:szCs w:val="20"/>
          <w:color w:val="auto"/>
        </w:r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491"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342900</wp:posOffset>
            </wp:positionV>
            <wp:extent cx="57302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8" w:right="559" w:bottom="491"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1"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Gemini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Investment Advisors Holdings LLP</w:t>
      </w:r>
    </w:p>
    <w:p>
      <w:pPr>
        <w:sectPr>
          <w:pgSz w:w="11900" w:h="16838" w:orient="portrait"/>
          <w:cols w:equalWidth="0" w:num="1">
            <w:col w:w="9019"/>
          </w:cols>
          <w:pgMar w:left="1440" w:top="111"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Title: Regulatory Analyst</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2022-02-04T08:30:57Z</dcterms:created>
  <dcterms:modified xsi:type="dcterms:W3CDTF">2022-02-04T08:30:57Z</dcterms:modified>
</cp:coreProperties>
</file>