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Savage William Jacob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DISC MEDICINE,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321 ARSENAL STREET, SUITE 101</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Disc Medicine, Inc.</w:t>
              </w:r>
            </w:hyperlink>
            <w:r>
              <w:rPr/>
              <w:t xml:space="preserve"> [ </w:t>
            </w:r>
            <w:r>
              <w:rPr>
                <w:rFonts w:ascii="Times;serif" w:hAnsi="Times;serif"/>
                <w:color w:val="0000FF"/>
                <w:sz w:val="24"/>
                <w:shd w:fill="FFFFFF" w:val="clear"/>
              </w:rPr>
              <w:t>IRON</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06/28/2023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49.1991</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18,805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06/28/2023</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50.003</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06/28/2023</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1,564</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50.7207</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15,941</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by the Reporting Person were effected pursuant to a Rule 10b5-1 trading plan adopted on February 16,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$48.52 to $49.41,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$49.52 to $50.51,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$50.53 to $51.28,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Rahul Khara,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06/30/2023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51852" TargetMode="External"/><Relationship Id="rId4" Type="http://schemas.openxmlformats.org/officeDocument/2006/relationships/hyperlink" Target="http://www.sec.gov/cgi-bin/browse-edgar?action=getcompany&amp;CIK=000181673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737</Words>
  <Characters>3949</Characters>
  <CharactersWithSpaces>4607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