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321 Arsenal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June 18, 2026, Disc Medicine, Inc. (the “Company”) held its 2026 Annual Meeting of Stockholders (the “Annual Meeting”). At the Annual Meeting, the Company’s stockholders considered and voted on the three proposals set forth below, each of which is described in greater detail in the Company’s Definitive Proxy Statement on Schedule 14A, which was filed with the Securities and Exchange Commission on April 28, 2026 (the "Proxy Statement"). The final voting results are set forth below.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1 - Election of Class III Director Nominees</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stockholders of the Company elected Donald Nicholson, Ph.D., John Quisel, J.D., Ph.D., and William White, M.P.P., J.D. as Class III directors of the Company, for a three-year term ending at the annual meeting of stockholders to be held in 2029 and until their successors have been duly elected and qualified, or until their earlier death, resignation or removal. The results of the stockholders’ vote with respect to the election of the Class III directors were as follows:</w:t>
      </w:r>
    </w:p>
    <w:p>
      <w:pPr>
        <w:spacing w:after="0" w:line="288"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6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Votes For</w:t>
            </w:r>
          </w:p>
        </w:tc>
        <w:tc>
          <w:tcPr>
            <w:tcW w:w="660" w:type="dxa"/>
            <w:vAlign w:val="bottom"/>
          </w:tcPr>
          <w:p>
            <w:pPr>
              <w:spacing w:after="0"/>
              <w:rPr>
                <w:sz w:val="20"/>
                <w:szCs w:val="20"/>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Votes Withheld</w:t>
            </w:r>
          </w:p>
        </w:tc>
        <w:tc>
          <w:tcPr>
            <w:tcW w:w="66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0"/>
        </w:trPr>
        <w:tc>
          <w:tcPr>
            <w:tcW w:w="20" w:type="dxa"/>
            <w:vAlign w:val="bottom"/>
          </w:tcPr>
          <w:p>
            <w:pPr>
              <w:spacing w:after="0"/>
              <w:rPr>
                <w:sz w:val="18"/>
                <w:szCs w:val="18"/>
                <w:color w:val="auto"/>
              </w:rPr>
            </w:pPr>
          </w:p>
        </w:tc>
        <w:tc>
          <w:tcPr>
            <w:tcW w:w="2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Donald Nicholson, Ph.D.</w:t>
            </w:r>
          </w:p>
        </w:tc>
        <w:tc>
          <w:tcPr>
            <w:tcW w:w="66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28,559,799</w:t>
            </w:r>
          </w:p>
        </w:tc>
        <w:tc>
          <w:tcPr>
            <w:tcW w:w="66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5,347,450</w:t>
            </w:r>
          </w:p>
        </w:tc>
        <w:tc>
          <w:tcPr>
            <w:tcW w:w="660" w:type="dxa"/>
            <w:vAlign w:val="bottom"/>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2,011,469</w:t>
            </w: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John Quisel, J.D., Ph.D.</w:t>
            </w:r>
          </w:p>
        </w:tc>
        <w:tc>
          <w:tcPr>
            <w:tcW w:w="212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8"/>
              </w:rPr>
              <w:t>33,433,078</w:t>
            </w:r>
          </w:p>
        </w:tc>
        <w:tc>
          <w:tcPr>
            <w:tcW w:w="22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474,171</w:t>
            </w:r>
          </w:p>
        </w:tc>
        <w:tc>
          <w:tcPr>
            <w:tcW w:w="260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2,011,469</w:t>
            </w:r>
          </w:p>
        </w:tc>
      </w:tr>
      <w:tr>
        <w:trPr>
          <w:trHeight w:val="216"/>
        </w:trPr>
        <w:tc>
          <w:tcPr>
            <w:tcW w:w="20" w:type="dxa"/>
            <w:vAlign w:val="bottom"/>
          </w:tcPr>
          <w:p>
            <w:pPr>
              <w:spacing w:after="0"/>
              <w:rPr>
                <w:sz w:val="18"/>
                <w:szCs w:val="18"/>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White, M.P.P., J.D.</w:t>
            </w:r>
          </w:p>
        </w:tc>
        <w:tc>
          <w:tcPr>
            <w:tcW w:w="2120" w:type="dxa"/>
            <w:vAlign w:val="bottom"/>
            <w:gridSpan w:val="2"/>
            <w:shd w:val="clear" w:color="auto" w:fill="CFF0FC"/>
          </w:tcPr>
          <w:p>
            <w:pPr>
              <w:jc w:val="center"/>
              <w:ind w:left="550"/>
              <w:spacing w:after="0"/>
              <w:rPr>
                <w:sz w:val="20"/>
                <w:szCs w:val="20"/>
                <w:color w:val="auto"/>
              </w:rPr>
            </w:pPr>
            <w:r>
              <w:rPr>
                <w:rFonts w:ascii="Times New Roman" w:cs="Times New Roman" w:eastAsia="Times New Roman" w:hAnsi="Times New Roman"/>
                <w:sz w:val="18"/>
                <w:szCs w:val="18"/>
                <w:color w:val="auto"/>
                <w:w w:val="98"/>
              </w:rPr>
              <w:t>33,355,406</w:t>
            </w:r>
          </w:p>
        </w:tc>
        <w:tc>
          <w:tcPr>
            <w:tcW w:w="2240" w:type="dxa"/>
            <w:vAlign w:val="bottom"/>
            <w:gridSpan w:val="2"/>
            <w:shd w:val="clear" w:color="auto" w:fill="CFF0FC"/>
          </w:tcPr>
          <w:p>
            <w:pPr>
              <w:jc w:val="center"/>
              <w:ind w:left="550"/>
              <w:spacing w:after="0"/>
              <w:rPr>
                <w:sz w:val="20"/>
                <w:szCs w:val="20"/>
                <w:color w:val="auto"/>
              </w:rPr>
            </w:pPr>
            <w:r>
              <w:rPr>
                <w:rFonts w:ascii="Times New Roman" w:cs="Times New Roman" w:eastAsia="Times New Roman" w:hAnsi="Times New Roman"/>
                <w:sz w:val="18"/>
                <w:szCs w:val="18"/>
                <w:color w:val="auto"/>
              </w:rPr>
              <w:t>551,843</w:t>
            </w:r>
          </w:p>
        </w:tc>
        <w:tc>
          <w:tcPr>
            <w:tcW w:w="2600" w:type="dxa"/>
            <w:vAlign w:val="bottom"/>
            <w:gridSpan w:val="2"/>
            <w:shd w:val="clear" w:color="auto" w:fill="CFF0FC"/>
          </w:tcPr>
          <w:p>
            <w:pPr>
              <w:jc w:val="center"/>
              <w:ind w:left="550"/>
              <w:spacing w:after="0"/>
              <w:rPr>
                <w:sz w:val="20"/>
                <w:szCs w:val="20"/>
                <w:color w:val="auto"/>
              </w:rPr>
            </w:pPr>
            <w:r>
              <w:rPr>
                <w:rFonts w:ascii="Times New Roman" w:cs="Times New Roman" w:eastAsia="Times New Roman" w:hAnsi="Times New Roman"/>
                <w:sz w:val="18"/>
                <w:szCs w:val="18"/>
                <w:color w:val="auto"/>
                <w:w w:val="99"/>
              </w:rPr>
              <w:t>2,011,469</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2 - Approval, on a Non-Binding, Advisory Basis, of the Compensation Paid to the Company's Named Executive Officers</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stockholders of the Company approved, on a non-binding, advisory basis, the compensation paid to the Company's named executive officers as described in the Proxy Statement. The results of the stockholders’ vote with respect to the approval, on a non-binding, advisory basis, of the compensation paid to the Company's named executive officers were as follows:</w:t>
      </w:r>
    </w:p>
    <w:p>
      <w:pPr>
        <w:spacing w:after="0" w:line="284" w:lineRule="exact"/>
        <w:rPr>
          <w:sz w:val="20"/>
          <w:szCs w:val="20"/>
          <w:color w:val="auto"/>
        </w:rPr>
      </w:pPr>
    </w:p>
    <w:tbl>
      <w:tblPr>
        <w:tblLayout w:type="fixed"/>
        <w:tblInd w:w="1820" w:type="dxa"/>
        <w:tblCellMar>
          <w:top w:w="0" w:type="dxa"/>
          <w:left w:w="0" w:type="dxa"/>
          <w:bottom w:w="0" w:type="dxa"/>
          <w:right w:w="0" w:type="dxa"/>
        </w:tblCellMar>
      </w:tblPr>
      <w:tr>
        <w:trPr>
          <w:trHeight w:val="234"/>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Votes For</w:t>
            </w:r>
          </w:p>
        </w:tc>
        <w:tc>
          <w:tcPr>
            <w:tcW w:w="6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Votes Against</w:t>
            </w:r>
          </w:p>
        </w:tc>
        <w:tc>
          <w:tcPr>
            <w:tcW w:w="6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c>
          <w:tcPr>
            <w:tcW w:w="56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9"/>
        </w:trPr>
        <w:tc>
          <w:tcPr>
            <w:tcW w:w="12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33,528,449</w:t>
            </w:r>
          </w:p>
        </w:tc>
        <w:tc>
          <w:tcPr>
            <w:tcW w:w="224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368,970</w:t>
            </w:r>
          </w:p>
        </w:tc>
        <w:tc>
          <w:tcPr>
            <w:tcW w:w="186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9,830</w:t>
            </w:r>
          </w:p>
        </w:tc>
        <w:tc>
          <w:tcPr>
            <w:tcW w:w="228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2,011,469</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3 – Ratification of Appointment of the Company’s Independent Registered Public Accounting Firm</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stockholders of the Company ratified the appointment of Ernst &amp; Young LLP as the Company’s independent registered public accounting firm for the fiscal year ending December 31, 2026. The results of the stockholders’ vote with respect to such ratification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Votes For</w:t>
            </w:r>
          </w:p>
        </w:tc>
        <w:tc>
          <w:tcPr>
            <w:tcW w:w="98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Votes Against</w:t>
            </w:r>
          </w:p>
        </w:tc>
        <w:tc>
          <w:tcPr>
            <w:tcW w:w="88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c>
          <w:tcPr>
            <w:tcW w:w="1800" w:type="dxa"/>
            <w:vAlign w:val="bottom"/>
          </w:tcPr>
          <w:p>
            <w:pPr>
              <w:spacing w:after="0"/>
              <w:rPr>
                <w:sz w:val="20"/>
                <w:szCs w:val="20"/>
                <w:color w:val="auto"/>
              </w:rPr>
            </w:pPr>
          </w:p>
        </w:tc>
      </w:tr>
      <w:tr>
        <w:trPr>
          <w:trHeight w:val="210"/>
        </w:trPr>
        <w:tc>
          <w:tcPr>
            <w:tcW w:w="1820" w:type="dxa"/>
            <w:vAlign w:val="bottom"/>
          </w:tcPr>
          <w:p>
            <w:pPr>
              <w:spacing w:after="0"/>
              <w:rPr>
                <w:sz w:val="18"/>
                <w:szCs w:val="18"/>
                <w:color w:val="auto"/>
              </w:rPr>
            </w:pPr>
          </w:p>
        </w:tc>
        <w:tc>
          <w:tcPr>
            <w:tcW w:w="176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35,908,900</w:t>
            </w:r>
          </w:p>
        </w:tc>
        <w:tc>
          <w:tcPr>
            <w:tcW w:w="320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1,298</w:t>
            </w:r>
          </w:p>
        </w:tc>
        <w:tc>
          <w:tcPr>
            <w:tcW w:w="2660" w:type="dxa"/>
            <w:vAlign w:val="bottom"/>
            <w:gridSpan w:val="2"/>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8,520</w:t>
            </w:r>
          </w:p>
        </w:tc>
        <w:tc>
          <w:tcPr>
            <w:tcW w:w="1800" w:type="dxa"/>
            <w:vAlign w:val="bottom"/>
          </w:tcPr>
          <w:p>
            <w:pPr>
              <w:spacing w:after="0"/>
              <w:rPr>
                <w:sz w:val="18"/>
                <w:szCs w:val="18"/>
                <w:color w:val="auto"/>
              </w:rPr>
            </w:pPr>
          </w:p>
        </w:tc>
      </w:tr>
      <w:tr>
        <w:trPr>
          <w:trHeight w:val="979"/>
        </w:trPr>
        <w:tc>
          <w:tcPr>
            <w:tcW w:w="18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John Quisel, J.D.,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2026-06-24T15:35:27Z</dcterms:created>
  <dcterms:modified xsi:type="dcterms:W3CDTF">2026-06-24T15:35:27Z</dcterms:modified>
</cp:coreProperties>
</file>