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5603240</wp:posOffset>
            </wp:positionH>
            <wp:positionV relativeFrom="paragraph">
              <wp:posOffset>-636270</wp:posOffset>
            </wp:positionV>
            <wp:extent cx="1305560" cy="905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5560" cy="9055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6946900" cy="23348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233489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2820" w:type="dxa"/>
            <w:vAlign w:val="bottom"/>
            <w:vMerge w:val="restart"/>
          </w:tcPr>
          <w:p>
            <w:pPr>
              <w:ind w:left="40"/>
              <w:spacing w:after="0" w:line="262" w:lineRule="exact"/>
              <w:rPr>
                <w:rFonts w:ascii="Arial" w:cs="Arial" w:eastAsia="Arial" w:hAnsi="Arial"/>
                <w:sz w:val="24"/>
                <w:szCs w:val="24"/>
                <w:u w:val="single" w:color="auto"/>
                <w:color w:val="0000EE"/>
              </w:rPr>
            </w:pPr>
            <w:hyperlink r:id="rId10">
              <w:r>
                <w:rPr>
                  <w:rFonts w:ascii="Arial" w:cs="Arial" w:eastAsia="Arial" w:hAnsi="Arial"/>
                  <w:sz w:val="24"/>
                  <w:szCs w:val="24"/>
                  <w:u w:val="single" w:color="auto"/>
                  <w:color w:val="0000EE"/>
                </w:rPr>
                <w:t>Rome Michael E</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282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6"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15"/>
        </w:trPr>
        <w:tc>
          <w:tcPr>
            <w:tcW w:w="2820" w:type="dxa"/>
            <w:vAlign w:val="bottom"/>
            <w:tcBorders>
              <w:bottom w:val="single" w:sz="8" w:color="9A9A9A"/>
            </w:tcBorders>
          </w:tcPr>
          <w:p>
            <w:pPr>
              <w:spacing w:after="0"/>
              <w:rPr>
                <w:sz w:val="18"/>
                <w:szCs w:val="18"/>
                <w:color w:val="auto"/>
              </w:rPr>
            </w:pPr>
          </w:p>
        </w:tc>
        <w:tc>
          <w:tcPr>
            <w:tcW w:w="280" w:type="dxa"/>
            <w:vAlign w:val="bottom"/>
            <w:tcBorders>
              <w:bottom w:val="single" w:sz="8" w:color="9A9A9A"/>
            </w:tcBorders>
          </w:tcPr>
          <w:p>
            <w:pPr>
              <w:spacing w:after="0"/>
              <w:rPr>
                <w:sz w:val="18"/>
                <w:szCs w:val="18"/>
                <w:color w:val="auto"/>
              </w:rPr>
            </w:pPr>
          </w:p>
        </w:tc>
        <w:tc>
          <w:tcPr>
            <w:tcW w:w="1520" w:type="dxa"/>
            <w:vAlign w:val="bottom"/>
          </w:tcPr>
          <w:p>
            <w:pPr>
              <w:ind w:left="160"/>
              <w:spacing w:after="0" w:line="205" w:lineRule="exact"/>
              <w:rPr>
                <w:sz w:val="20"/>
                <w:szCs w:val="20"/>
                <w:color w:val="auto"/>
              </w:rPr>
            </w:pPr>
            <w:r>
              <w:rPr>
                <w:rFonts w:ascii="Arial" w:cs="Arial" w:eastAsia="Arial" w:hAnsi="Arial"/>
                <w:sz w:val="20"/>
                <w:szCs w:val="20"/>
                <w:color w:val="0000FF"/>
              </w:rPr>
              <w:t>08/11/2020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9" w:lineRule="exact"/>
        <w:rPr>
          <w:sz w:val="24"/>
          <w:szCs w:val="24"/>
          <w:color w:val="auto"/>
        </w:rPr>
      </w:pPr>
    </w:p>
    <w:p>
      <w:pPr>
        <w:spacing w:after="0"/>
        <w:rPr>
          <w:rFonts w:ascii="Arial" w:cs="Arial" w:eastAsia="Arial" w:hAnsi="Arial"/>
          <w:sz w:val="22"/>
          <w:szCs w:val="22"/>
          <w:color w:val="0000EE"/>
        </w:rPr>
      </w:pPr>
      <w:hyperlink r:id="rId11">
        <w:r>
          <w:rPr>
            <w:rFonts w:ascii="Arial" w:cs="Arial" w:eastAsia="Arial" w:hAnsi="Arial"/>
            <w:sz w:val="22"/>
            <w:szCs w:val="22"/>
            <w:u w:val="single" w:color="auto"/>
            <w:color w:val="0000EE"/>
          </w:rPr>
          <w:t>FS Development Corp.</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FSDC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470"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spacing w:after="0"/>
        <w:rPr>
          <w:sz w:val="20"/>
          <w:szCs w:val="20"/>
          <w:color w:val="auto"/>
        </w:rPr>
      </w:pPr>
      <w:r>
        <w:rPr>
          <w:rFonts w:ascii="Arial" w:cs="Arial" w:eastAsia="Arial" w:hAnsi="Arial"/>
          <w:sz w:val="18"/>
          <w:szCs w:val="18"/>
          <w:color w:val="0000FF"/>
        </w:rPr>
        <w:t>C/O FS DEVELOPMENT CORP</w:t>
      </w:r>
    </w:p>
    <w:p>
      <w:pPr>
        <w:spacing w:after="0" w:line="93" w:lineRule="exact"/>
        <w:rPr>
          <w:sz w:val="24"/>
          <w:szCs w:val="24"/>
          <w:color w:val="auto"/>
        </w:rPr>
      </w:pPr>
    </w:p>
    <w:p>
      <w:pPr>
        <w:ind w:left="140" w:right="1597"/>
        <w:spacing w:after="0" w:line="269" w:lineRule="auto"/>
        <w:rPr>
          <w:sz w:val="20"/>
          <w:szCs w:val="20"/>
          <w:color w:val="auto"/>
        </w:rPr>
      </w:pPr>
      <w:r>
        <w:rPr>
          <w:rFonts w:ascii="Arial" w:cs="Arial" w:eastAsia="Arial" w:hAnsi="Arial"/>
          <w:sz w:val="20"/>
          <w:szCs w:val="20"/>
          <w:color w:val="0000FF"/>
        </w:rPr>
        <w:t>600 MONTGOMERY STREET, SUITE 4500</w:t>
      </w:r>
    </w:p>
    <w:p>
      <w:pPr>
        <w:spacing w:after="0" w:line="289" w:lineRule="exact"/>
        <w:rPr>
          <w:sz w:val="24"/>
          <w:szCs w:val="24"/>
          <w:color w:val="auto"/>
        </w:rPr>
      </w:pPr>
    </w:p>
    <w:p>
      <w:pPr>
        <w:ind w:left="100"/>
        <w:spacing w:after="0"/>
        <w:rPr>
          <w:sz w:val="20"/>
          <w:szCs w:val="20"/>
          <w:color w:val="auto"/>
        </w:rPr>
      </w:pPr>
      <w:r>
        <w:rPr>
          <w:rFonts w:ascii="Arial" w:cs="Arial" w:eastAsia="Arial" w:hAnsi="Arial"/>
          <w:sz w:val="15"/>
          <w:szCs w:val="15"/>
          <w:color w:val="auto"/>
        </w:rPr>
        <w:t>(Street)</w:t>
      </w:r>
    </w:p>
    <w:p>
      <w:pPr>
        <w:spacing w:after="0" w:line="29" w:lineRule="exact"/>
        <w:rPr>
          <w:sz w:val="24"/>
          <w:szCs w:val="24"/>
          <w:color w:val="auto"/>
        </w:rPr>
      </w:pPr>
    </w:p>
    <w:p>
      <w:pPr>
        <w:ind w:left="140" w:right="1577"/>
        <w:spacing w:after="0" w:line="186" w:lineRule="auto"/>
        <w:rPr>
          <w:sz w:val="20"/>
          <w:szCs w:val="20"/>
          <w:color w:val="auto"/>
        </w:rPr>
      </w:pPr>
      <w:r>
        <w:rPr>
          <w:rFonts w:ascii="Arial" w:cs="Arial" w:eastAsia="Arial" w:hAnsi="Arial"/>
          <w:sz w:val="38"/>
          <w:szCs w:val="38"/>
          <w:color w:val="0000FF"/>
          <w:vertAlign w:val="superscript"/>
        </w:rPr>
        <w:t>SAN</w:t>
      </w:r>
      <w:r>
        <w:rPr>
          <w:rFonts w:ascii="Arial" w:cs="Arial" w:eastAsia="Arial" w:hAnsi="Arial"/>
          <w:sz w:val="19"/>
          <w:szCs w:val="19"/>
          <w:color w:val="0000FF"/>
        </w:rPr>
        <w:t xml:space="preserve"> CA 94111 FRANCISCO</w:t>
      </w:r>
    </w:p>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9" w:lineRule="exact"/>
        <w:rPr>
          <w:sz w:val="24"/>
          <w:szCs w:val="24"/>
          <w:color w:val="auto"/>
        </w:rPr>
      </w:pPr>
    </w:p>
    <w:tbl>
      <w:tblPr>
        <w:tblLayout w:type="fixed"/>
        <w:tblInd w:w="183" w:type="dxa"/>
        <w:tblCellMar>
          <w:top w:w="0" w:type="dxa"/>
          <w:left w:w="0" w:type="dxa"/>
          <w:bottom w:w="0" w:type="dxa"/>
          <w:right w:w="0" w:type="dxa"/>
        </w:tblCellMar>
      </w:tblPr>
      <w:tr>
        <w:trPr>
          <w:trHeight w:val="248"/>
        </w:trPr>
        <w:tc>
          <w:tcPr>
            <w:tcW w:w="240" w:type="dxa"/>
            <w:vAlign w:val="bottom"/>
          </w:tcPr>
          <w:p>
            <w:pPr>
              <w:spacing w:after="0"/>
              <w:rPr>
                <w:sz w:val="20"/>
                <w:szCs w:val="20"/>
                <w:color w:val="auto"/>
              </w:rPr>
            </w:pPr>
            <w:r>
              <w:rPr>
                <w:rFonts w:ascii="Arial" w:cs="Arial" w:eastAsia="Arial" w:hAnsi="Arial"/>
                <w:sz w:val="20"/>
                <w:szCs w:val="20"/>
                <w:color w:val="0000FF"/>
              </w:rPr>
              <w:t>X</w:t>
            </w:r>
          </w:p>
        </w:tc>
        <w:tc>
          <w:tcPr>
            <w:tcW w:w="1280" w:type="dxa"/>
            <w:vAlign w:val="bottom"/>
          </w:tcPr>
          <w:p>
            <w:pPr>
              <w:ind w:left="100"/>
              <w:spacing w:after="0"/>
              <w:rPr>
                <w:sz w:val="20"/>
                <w:szCs w:val="20"/>
                <w:color w:val="auto"/>
              </w:rPr>
            </w:pPr>
            <w:r>
              <w:rPr>
                <w:rFonts w:ascii="Arial" w:cs="Arial" w:eastAsia="Arial" w:hAnsi="Arial"/>
                <w:sz w:val="15"/>
                <w:szCs w:val="15"/>
                <w:color w:val="auto"/>
              </w:rPr>
              <w:t>Director</w:t>
            </w:r>
          </w:p>
        </w:tc>
        <w:tc>
          <w:tcPr>
            <w:tcW w:w="1300" w:type="dxa"/>
            <w:vAlign w:val="bottom"/>
          </w:tcPr>
          <w:p>
            <w:pPr>
              <w:ind w:left="360"/>
              <w:spacing w:after="0"/>
              <w:rPr>
                <w:sz w:val="20"/>
                <w:szCs w:val="20"/>
                <w:color w:val="auto"/>
              </w:rPr>
            </w:pPr>
            <w:r>
              <w:rPr>
                <w:rFonts w:ascii="Arial" w:cs="Arial" w:eastAsia="Arial" w:hAnsi="Arial"/>
                <w:sz w:val="15"/>
                <w:szCs w:val="15"/>
                <w:color w:val="auto"/>
              </w:rPr>
              <w:t>10% Owner</w:t>
            </w:r>
          </w:p>
        </w:tc>
        <w:tc>
          <w:tcPr>
            <w:tcW w:w="0" w:type="dxa"/>
            <w:vAlign w:val="bottom"/>
          </w:tcPr>
          <w:p>
            <w:pPr>
              <w:spacing w:after="0"/>
              <w:rPr>
                <w:sz w:val="1"/>
                <w:szCs w:val="1"/>
                <w:color w:val="auto"/>
              </w:rPr>
            </w:pPr>
          </w:p>
        </w:tc>
      </w:tr>
      <w:tr>
        <w:trPr>
          <w:trHeight w:val="226"/>
        </w:trPr>
        <w:tc>
          <w:tcPr>
            <w:tcW w:w="240" w:type="dxa"/>
            <w:vAlign w:val="bottom"/>
            <w:vMerge w:val="restart"/>
          </w:tcPr>
          <w:p>
            <w:pPr>
              <w:spacing w:after="0"/>
              <w:rPr>
                <w:sz w:val="20"/>
                <w:szCs w:val="20"/>
                <w:color w:val="auto"/>
              </w:rPr>
            </w:pPr>
            <w:r>
              <w:rPr>
                <w:rFonts w:ascii="Arial" w:cs="Arial" w:eastAsia="Arial" w:hAnsi="Arial"/>
                <w:sz w:val="20"/>
                <w:szCs w:val="20"/>
                <w:color w:val="0000FF"/>
              </w:rPr>
              <w:t>X</w:t>
            </w:r>
          </w:p>
        </w:tc>
        <w:tc>
          <w:tcPr>
            <w:tcW w:w="1280" w:type="dxa"/>
            <w:vAlign w:val="bottom"/>
          </w:tcPr>
          <w:p>
            <w:pPr>
              <w:ind w:left="100"/>
              <w:spacing w:after="0"/>
              <w:rPr>
                <w:sz w:val="20"/>
                <w:szCs w:val="20"/>
                <w:color w:val="auto"/>
              </w:rPr>
            </w:pPr>
            <w:r>
              <w:rPr>
                <w:rFonts w:ascii="Arial" w:cs="Arial" w:eastAsia="Arial" w:hAnsi="Arial"/>
                <w:sz w:val="15"/>
                <w:szCs w:val="15"/>
                <w:color w:val="auto"/>
              </w:rPr>
              <w:t>Officer (give</w:t>
            </w:r>
          </w:p>
        </w:tc>
        <w:tc>
          <w:tcPr>
            <w:tcW w:w="1300" w:type="dxa"/>
            <w:vAlign w:val="bottom"/>
          </w:tcPr>
          <w:p>
            <w:pPr>
              <w:ind w:left="360"/>
              <w:spacing w:after="0"/>
              <w:rPr>
                <w:sz w:val="20"/>
                <w:szCs w:val="20"/>
                <w:color w:val="auto"/>
              </w:rPr>
            </w:pPr>
            <w:r>
              <w:rPr>
                <w:rFonts w:ascii="Arial" w:cs="Arial" w:eastAsia="Arial" w:hAnsi="Arial"/>
                <w:sz w:val="15"/>
                <w:szCs w:val="15"/>
                <w:color w:val="auto"/>
                <w:w w:val="98"/>
              </w:rPr>
              <w:t>Other (specify</w:t>
            </w:r>
          </w:p>
        </w:tc>
        <w:tc>
          <w:tcPr>
            <w:tcW w:w="0" w:type="dxa"/>
            <w:vAlign w:val="bottom"/>
          </w:tcPr>
          <w:p>
            <w:pPr>
              <w:spacing w:after="0"/>
              <w:rPr>
                <w:sz w:val="1"/>
                <w:szCs w:val="1"/>
                <w:color w:val="auto"/>
              </w:rPr>
            </w:pPr>
          </w:p>
        </w:tc>
      </w:tr>
      <w:tr>
        <w:trPr>
          <w:trHeight w:val="119"/>
        </w:trPr>
        <w:tc>
          <w:tcPr>
            <w:tcW w:w="240" w:type="dxa"/>
            <w:vAlign w:val="bottom"/>
            <w:vMerge w:val="continue"/>
          </w:tcPr>
          <w:p>
            <w:pPr>
              <w:spacing w:after="0"/>
              <w:rPr>
                <w:sz w:val="10"/>
                <w:szCs w:val="10"/>
                <w:color w:val="auto"/>
              </w:rPr>
            </w:pPr>
          </w:p>
        </w:tc>
        <w:tc>
          <w:tcPr>
            <w:tcW w:w="1280" w:type="dxa"/>
            <w:vAlign w:val="bottom"/>
            <w:vMerge w:val="restart"/>
          </w:tcPr>
          <w:p>
            <w:pPr>
              <w:ind w:left="100"/>
              <w:spacing w:after="0"/>
              <w:rPr>
                <w:sz w:val="20"/>
                <w:szCs w:val="20"/>
                <w:color w:val="auto"/>
              </w:rPr>
            </w:pPr>
            <w:r>
              <w:rPr>
                <w:rFonts w:ascii="Arial" w:cs="Arial" w:eastAsia="Arial" w:hAnsi="Arial"/>
                <w:sz w:val="15"/>
                <w:szCs w:val="15"/>
                <w:color w:val="auto"/>
              </w:rPr>
              <w:t>title below)</w:t>
            </w:r>
          </w:p>
        </w:tc>
        <w:tc>
          <w:tcPr>
            <w:tcW w:w="1300" w:type="dxa"/>
            <w:vAlign w:val="bottom"/>
            <w:vMerge w:val="restart"/>
          </w:tcPr>
          <w:p>
            <w:pPr>
              <w:ind w:left="360"/>
              <w:spacing w:after="0"/>
              <w:rPr>
                <w:sz w:val="20"/>
                <w:szCs w:val="20"/>
                <w:color w:val="auto"/>
              </w:rPr>
            </w:pPr>
            <w:r>
              <w:rPr>
                <w:rFonts w:ascii="Arial" w:cs="Arial" w:eastAsia="Arial" w:hAnsi="Arial"/>
                <w:sz w:val="15"/>
                <w:szCs w:val="15"/>
                <w:color w:val="auto"/>
              </w:rPr>
              <w:t>below)</w:t>
            </w:r>
          </w:p>
        </w:tc>
        <w:tc>
          <w:tcPr>
            <w:tcW w:w="0" w:type="dxa"/>
            <w:vAlign w:val="bottom"/>
          </w:tcPr>
          <w:p>
            <w:pPr>
              <w:spacing w:after="0"/>
              <w:rPr>
                <w:sz w:val="1"/>
                <w:szCs w:val="1"/>
                <w:color w:val="auto"/>
              </w:rPr>
            </w:pPr>
          </w:p>
        </w:tc>
      </w:tr>
      <w:tr>
        <w:trPr>
          <w:trHeight w:val="61"/>
        </w:trPr>
        <w:tc>
          <w:tcPr>
            <w:tcW w:w="24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1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36" w:lineRule="exact"/>
        <w:rPr>
          <w:sz w:val="24"/>
          <w:szCs w:val="24"/>
          <w:color w:val="auto"/>
        </w:rPr>
      </w:pPr>
    </w:p>
    <w:p>
      <w:pPr>
        <w:ind w:left="1003"/>
        <w:spacing w:after="0"/>
        <w:rPr>
          <w:sz w:val="20"/>
          <w:szCs w:val="20"/>
          <w:color w:val="auto"/>
        </w:rPr>
      </w:pPr>
      <w:r>
        <w:rPr>
          <w:rFonts w:ascii="Arial" w:cs="Arial" w:eastAsia="Arial" w:hAnsi="Arial"/>
          <w:sz w:val="20"/>
          <w:szCs w:val="20"/>
          <w:color w:val="0000FF"/>
        </w:rPr>
        <w:t>Vice President</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91"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400"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spacing w:after="0" w:line="14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81280</wp:posOffset>
            </wp:positionV>
            <wp:extent cx="6946900" cy="772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772160"/>
                    </a:xfrm>
                    <a:prstGeom prst="rect">
                      <a:avLst/>
                    </a:prstGeom>
                    <a:noFill/>
                  </pic:spPr>
                </pic:pic>
              </a:graphicData>
            </a:graphic>
          </wp:anchor>
        </w:drawing>
      </w:r>
    </w:p>
    <w:p>
      <w:pPr>
        <w:spacing w:after="0" w:line="17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6946900" cy="14293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142938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56"/>
        </w:trPr>
        <w:tc>
          <w:tcPr>
            <w:tcW w:w="304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3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1"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0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4"/>
          <w:szCs w:val="24"/>
          <w:color w:val="auto"/>
        </w:rPr>
      </w:pPr>
    </w:p>
    <w:p>
      <w:pPr>
        <w:ind w:left="40"/>
        <w:spacing w:after="0"/>
        <w:rPr>
          <w:sz w:val="20"/>
          <w:szCs w:val="20"/>
          <w:color w:val="auto"/>
        </w:rPr>
      </w:pPr>
      <w:r>
        <w:rPr>
          <w:rFonts w:ascii="Arial" w:cs="Arial" w:eastAsia="Arial" w:hAnsi="Arial"/>
          <w:sz w:val="15"/>
          <w:szCs w:val="15"/>
          <w:color w:val="008000"/>
        </w:rPr>
        <w:t>Exhibit 24 - Power of Attorney.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66"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Arial" w:cs="Arial" w:eastAsia="Arial" w:hAnsi="Arial"/>
                <w:sz w:val="20"/>
                <w:szCs w:val="20"/>
                <w:color w:val="0000FF"/>
              </w:rPr>
              <w:t>/s/ Dennis Ryan as</w:t>
            </w:r>
          </w:p>
        </w:tc>
        <w:tc>
          <w:tcPr>
            <w:tcW w:w="880" w:type="dxa"/>
            <w:vAlign w:val="bottom"/>
            <w:vMerge w:val="restart"/>
          </w:tcPr>
          <w:p>
            <w:pPr>
              <w:spacing w:after="0"/>
              <w:rPr>
                <w:sz w:val="20"/>
                <w:szCs w:val="20"/>
                <w:color w:val="auto"/>
              </w:rPr>
            </w:pPr>
            <w:r>
              <w:rPr>
                <w:rFonts w:ascii="Arial" w:cs="Arial" w:eastAsia="Arial" w:hAnsi="Arial"/>
                <w:sz w:val="20"/>
                <w:szCs w:val="20"/>
                <w:color w:val="0000FF"/>
                <w:w w:val="85"/>
              </w:rPr>
              <w:t>08/11/2020</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440" w:type="dxa"/>
            <w:vAlign w:val="bottom"/>
            <w:tcBorders>
              <w:top w:val="single" w:sz="8" w:color="auto"/>
              <w:bottom w:val="single" w:sz="8" w:color="auto"/>
            </w:tcBorders>
            <w:gridSpan w:val="2"/>
            <w:vMerge w:val="restart"/>
          </w:tcPr>
          <w:p>
            <w:pPr>
              <w:spacing w:after="0" w:line="220" w:lineRule="exact"/>
              <w:rPr>
                <w:sz w:val="20"/>
                <w:szCs w:val="20"/>
                <w:color w:val="auto"/>
              </w:rPr>
            </w:pPr>
            <w:r>
              <w:rPr>
                <w:rFonts w:ascii="Arial" w:cs="Arial" w:eastAsia="Arial" w:hAnsi="Arial"/>
                <w:sz w:val="20"/>
                <w:szCs w:val="20"/>
                <w:color w:val="0000FF"/>
                <w:w w:val="99"/>
              </w:rPr>
              <w:t>Attorney-in-Fact</w:t>
            </w:r>
          </w:p>
        </w:tc>
        <w:tc>
          <w:tcPr>
            <w:tcW w:w="740" w:type="dxa"/>
            <w:vAlign w:val="bottom"/>
            <w:vMerge w:val="restart"/>
          </w:tcPr>
          <w:p>
            <w:pPr>
              <w:spacing w:after="0"/>
              <w:rPr>
                <w:sz w:val="8"/>
                <w:szCs w:val="8"/>
                <w:color w:val="auto"/>
              </w:rPr>
            </w:pPr>
          </w:p>
        </w:tc>
        <w:tc>
          <w:tcPr>
            <w:tcW w:w="88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1440" w:type="dxa"/>
            <w:vAlign w:val="bottom"/>
            <w:gridSpan w:val="2"/>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88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8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jc w:val="right"/>
        <w:spacing w:after="0"/>
        <w:rPr>
          <w:sz w:val="20"/>
          <w:szCs w:val="20"/>
          <w:color w:val="auto"/>
        </w:rPr>
      </w:pPr>
      <w:r>
        <w:rPr>
          <w:rFonts w:ascii="Arial" w:cs="Arial" w:eastAsia="Arial" w:hAnsi="Arial"/>
          <w:sz w:val="24"/>
          <w:szCs w:val="24"/>
          <w:b w:val="1"/>
          <w:bCs w:val="1"/>
          <w:color w:val="auto"/>
        </w:rPr>
        <w:t>Exhibit 24</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LIMITED POWER OF ATTORNEY</w:t>
      </w:r>
    </w:p>
    <w:p>
      <w:pPr>
        <w:spacing w:after="0" w:line="254" w:lineRule="exact"/>
        <w:rPr>
          <w:sz w:val="20"/>
          <w:szCs w:val="20"/>
          <w:color w:val="auto"/>
        </w:rPr>
      </w:pPr>
    </w:p>
    <w:p>
      <w:pPr>
        <w:ind w:right="60" w:firstLine="720"/>
        <w:spacing w:after="0" w:line="277" w:lineRule="auto"/>
        <w:rPr>
          <w:sz w:val="20"/>
          <w:szCs w:val="20"/>
          <w:color w:val="auto"/>
        </w:rPr>
      </w:pPr>
      <w:r>
        <w:rPr>
          <w:rFonts w:ascii="Arial" w:cs="Arial" w:eastAsia="Arial" w:hAnsi="Arial"/>
          <w:sz w:val="20"/>
          <w:szCs w:val="20"/>
          <w:color w:val="auto"/>
        </w:rPr>
        <w:t>The undersigned hereby constitutes and appoints each of Jim Tananbaum and Dennis Ryan, signing singly, and with full power of substitution, the undersigned’s true and lawful attorney-in-fact to:</w:t>
      </w:r>
    </w:p>
    <w:p>
      <w:pPr>
        <w:spacing w:after="0" w:line="189" w:lineRule="exact"/>
        <w:rPr>
          <w:sz w:val="20"/>
          <w:szCs w:val="20"/>
          <w:color w:val="auto"/>
        </w:rPr>
      </w:pPr>
    </w:p>
    <w:p>
      <w:pPr>
        <w:ind w:right="60" w:firstLine="720"/>
        <w:spacing w:after="0" w:line="270" w:lineRule="auto"/>
        <w:tabs>
          <w:tab w:leader="none" w:pos="1054" w:val="left"/>
        </w:tabs>
        <w:numPr>
          <w:ilvl w:val="0"/>
          <w:numId w:val="5"/>
        </w:numPr>
        <w:rPr>
          <w:rFonts w:ascii="Arial" w:cs="Arial" w:eastAsia="Arial" w:hAnsi="Arial"/>
          <w:sz w:val="19"/>
          <w:szCs w:val="19"/>
          <w:color w:val="auto"/>
        </w:rPr>
      </w:pPr>
      <w:r>
        <w:rPr>
          <w:rFonts w:ascii="Arial" w:cs="Arial" w:eastAsia="Arial" w:hAnsi="Arial"/>
          <w:sz w:val="19"/>
          <w:szCs w:val="19"/>
          <w:color w:val="auto"/>
        </w:rPr>
        <w:t>execute for and on behalf of the undersigned, in the undersigned’s capacity as officer and/or director of FS Development Corp. (the “Company”), from time to time the following U.S. Securities and Exchange Commission (“SEC”) forms: (i) Form 3, Initial Statement of Beneficial Ownership of Securities, including any attached documents; (ii) Form 4, Statement of Changes in Beneficial Ownership of Securities, including any attached documents; (iii) Form 5, Annual Statement of Beneficial Ownership of Securities in accordance with Section 16(a) of the Securities Exchange Act of 1934, as amended, and the rules thereunder, including any attached documents; (iv) Schedules 13D and 13G; and (v) amendments of each thereof, in accordance with the Securities Exchange Act of 1934, as amended, and the rules thereunder, including any attached documents;</w:t>
      </w:r>
    </w:p>
    <w:p>
      <w:pPr>
        <w:spacing w:after="0" w:line="200" w:lineRule="exact"/>
        <w:rPr>
          <w:rFonts w:ascii="Arial" w:cs="Arial" w:eastAsia="Arial" w:hAnsi="Arial"/>
          <w:sz w:val="19"/>
          <w:szCs w:val="19"/>
          <w:color w:val="auto"/>
        </w:rPr>
      </w:pPr>
    </w:p>
    <w:p>
      <w:pPr>
        <w:jc w:val="both"/>
        <w:ind w:right="60" w:firstLine="720"/>
        <w:spacing w:after="0" w:line="264" w:lineRule="auto"/>
        <w:tabs>
          <w:tab w:leader="none" w:pos="1054" w:val="left"/>
        </w:tabs>
        <w:numPr>
          <w:ilvl w:val="0"/>
          <w:numId w:val="5"/>
        </w:numPr>
        <w:rPr>
          <w:rFonts w:ascii="Arial" w:cs="Arial" w:eastAsia="Arial" w:hAnsi="Arial"/>
          <w:sz w:val="20"/>
          <w:szCs w:val="20"/>
          <w:color w:val="auto"/>
        </w:rPr>
      </w:pPr>
      <w:r>
        <w:rPr>
          <w:rFonts w:ascii="Arial" w:cs="Arial" w:eastAsia="Arial" w:hAnsi="Arial"/>
          <w:sz w:val="20"/>
          <w:szCs w:val="20"/>
          <w:color w:val="auto"/>
        </w:rPr>
        <w:t>do and perform any and all acts for and on behalf of the undersigned which may be necessary or desirable to complete and execute any such Form 3, 4 or 5, Schedule 13D or 13G, or any amendment(s) thereto and timely file such form(s) with the SEC and any securities exchange, national association or similar authority; and</w:t>
      </w:r>
    </w:p>
    <w:p>
      <w:pPr>
        <w:spacing w:after="0" w:line="201" w:lineRule="exact"/>
        <w:rPr>
          <w:rFonts w:ascii="Arial" w:cs="Arial" w:eastAsia="Arial" w:hAnsi="Arial"/>
          <w:sz w:val="20"/>
          <w:szCs w:val="20"/>
          <w:color w:val="auto"/>
        </w:rPr>
      </w:pPr>
    </w:p>
    <w:p>
      <w:pPr>
        <w:ind w:firstLine="720"/>
        <w:spacing w:after="0" w:line="277" w:lineRule="auto"/>
        <w:tabs>
          <w:tab w:leader="none" w:pos="1054" w:val="left"/>
        </w:tabs>
        <w:numPr>
          <w:ilvl w:val="0"/>
          <w:numId w:val="5"/>
        </w:numPr>
        <w:rPr>
          <w:rFonts w:ascii="Arial" w:cs="Arial" w:eastAsia="Arial" w:hAnsi="Arial"/>
          <w:sz w:val="19"/>
          <w:szCs w:val="19"/>
          <w:color w:val="auto"/>
        </w:rPr>
      </w:pPr>
      <w:r>
        <w:rPr>
          <w:rFonts w:ascii="Arial" w:cs="Arial" w:eastAsia="Arial" w:hAnsi="Arial"/>
          <w:sz w:val="19"/>
          <w:szCs w:val="19"/>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92" w:lineRule="exact"/>
        <w:rPr>
          <w:sz w:val="20"/>
          <w:szCs w:val="20"/>
          <w:color w:val="auto"/>
        </w:rPr>
      </w:pPr>
    </w:p>
    <w:p>
      <w:pPr>
        <w:ind w:right="80" w:firstLine="720"/>
        <w:spacing w:after="0" w:line="253" w:lineRule="auto"/>
        <w:rPr>
          <w:sz w:val="20"/>
          <w:szCs w:val="20"/>
          <w:color w:val="auto"/>
        </w:rPr>
      </w:pPr>
      <w:r>
        <w:rPr>
          <w:rFonts w:ascii="Arial" w:cs="Arial" w:eastAsia="Arial" w:hAnsi="Arial"/>
          <w:sz w:val="20"/>
          <w:szCs w:val="20"/>
          <w:color w:val="auto"/>
        </w:rPr>
        <w:t>The undersigned hereby grants to each such attorney-in-fact, acting singly,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or Regulation 13D-G of the Securities Exchange Act of 1934, as amended. The undersigned hereby agrees to indemnify the attorneys-in-fact and the Company from and against any demand, damage, loss, cost or expense arising from any false or misleading information provided by the undersigned to the attorneys-in-fact.</w:t>
      </w:r>
    </w:p>
    <w:p>
      <w:pPr>
        <w:spacing w:after="0" w:line="217" w:lineRule="exact"/>
        <w:rPr>
          <w:sz w:val="20"/>
          <w:szCs w:val="20"/>
          <w:color w:val="auto"/>
        </w:rPr>
      </w:pPr>
    </w:p>
    <w:p>
      <w:pPr>
        <w:ind w:right="60" w:firstLine="720"/>
        <w:spacing w:after="0" w:line="274" w:lineRule="auto"/>
        <w:rPr>
          <w:sz w:val="20"/>
          <w:szCs w:val="20"/>
          <w:color w:val="auto"/>
        </w:rPr>
      </w:pPr>
      <w:r>
        <w:rPr>
          <w:rFonts w:ascii="Arial" w:cs="Arial" w:eastAsia="Arial" w:hAnsi="Arial"/>
          <w:sz w:val="19"/>
          <w:szCs w:val="19"/>
          <w:color w:val="auto"/>
        </w:rPr>
        <w:t>This Power of Attorney shall remain in full force and effect until the undersigned is no longer required to file such forms with respect to the undersigned’s holdings of and transactions in securities issued by the Company, unless earlier revoked by the undersigned in a signed writing delivered to the foregoing attorneys-in-fact. This Power of Attorney supersedes any prior power of attorney in connection with the undersigned’s capacity as an officer and/or director of the Company. This Power of Attorney shall expire as to any individual attorney-in-fact if such attorney-in-fact ceases to be an employee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285750</wp:posOffset>
            </wp:positionV>
            <wp:extent cx="6946900" cy="190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p>
      <w:pPr>
        <w:sectPr>
          <w:pgSz w:w="11900" w:h="16838" w:orient="portrait"/>
          <w:cols w:equalWidth="0" w:num="1">
            <w:col w:w="10940"/>
          </w:cols>
          <w:pgMar w:left="480" w:top="110" w:right="47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IN WITNESS WHEREOF, the undersigned has caused this Power of Attorney to be executed as of August 11, 2020.</w:t>
      </w:r>
    </w:p>
    <w:p>
      <w:pPr>
        <w:spacing w:after="0" w:line="273" w:lineRule="exact"/>
        <w:rPr>
          <w:sz w:val="20"/>
          <w:szCs w:val="20"/>
          <w:color w:val="auto"/>
        </w:rPr>
      </w:pPr>
    </w:p>
    <w:p>
      <w:pPr>
        <w:ind w:left="5860"/>
        <w:spacing w:after="0"/>
        <w:rPr>
          <w:sz w:val="20"/>
          <w:szCs w:val="20"/>
          <w:color w:val="auto"/>
        </w:rPr>
      </w:pPr>
      <w:r>
        <w:rPr>
          <w:rFonts w:ascii="Arial" w:cs="Arial" w:eastAsia="Arial" w:hAnsi="Arial"/>
          <w:sz w:val="20"/>
          <w:szCs w:val="20"/>
          <w:color w:val="auto"/>
        </w:rPr>
        <w:t>/s/ Michael E Rome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16510</wp:posOffset>
            </wp:positionV>
            <wp:extent cx="2773045" cy="190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773045" cy="19050"/>
                    </a:xfrm>
                    <a:prstGeom prst="rect">
                      <a:avLst/>
                    </a:prstGeom>
                    <a:noFill/>
                  </pic:spPr>
                </pic:pic>
              </a:graphicData>
            </a:graphic>
          </wp:anchor>
        </w:drawing>
      </w:r>
    </w:p>
    <w:p>
      <w:pPr>
        <w:spacing w:after="0" w:line="20" w:lineRule="exact"/>
        <w:rPr>
          <w:sz w:val="20"/>
          <w:szCs w:val="20"/>
          <w:color w:val="auto"/>
        </w:rPr>
      </w:pPr>
    </w:p>
    <w:p>
      <w:pPr>
        <w:ind w:left="5860"/>
        <w:spacing w:after="0"/>
        <w:rPr>
          <w:sz w:val="20"/>
          <w:szCs w:val="20"/>
          <w:color w:val="auto"/>
        </w:rPr>
      </w:pPr>
      <w:r>
        <w:rPr>
          <w:rFonts w:ascii="Arial" w:cs="Arial" w:eastAsia="Arial" w:hAnsi="Arial"/>
          <w:sz w:val="20"/>
          <w:szCs w:val="20"/>
          <w:color w:val="auto"/>
        </w:rPr>
        <w:t>Signature</w:t>
      </w:r>
    </w:p>
    <w:p>
      <w:pPr>
        <w:spacing w:after="0" w:line="250" w:lineRule="exact"/>
        <w:rPr>
          <w:sz w:val="20"/>
          <w:szCs w:val="20"/>
          <w:color w:val="auto"/>
        </w:rPr>
      </w:pPr>
    </w:p>
    <w:p>
      <w:pPr>
        <w:ind w:left="5860"/>
        <w:spacing w:after="0"/>
        <w:rPr>
          <w:sz w:val="20"/>
          <w:szCs w:val="20"/>
          <w:color w:val="auto"/>
        </w:rPr>
      </w:pPr>
      <w:r>
        <w:rPr>
          <w:rFonts w:ascii="Arial" w:cs="Arial" w:eastAsia="Arial" w:hAnsi="Arial"/>
          <w:sz w:val="20"/>
          <w:szCs w:val="20"/>
          <w:color w:val="auto"/>
        </w:rPr>
        <w:t>Michael E Rome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16510</wp:posOffset>
            </wp:positionV>
            <wp:extent cx="2773045" cy="190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773045" cy="19050"/>
                    </a:xfrm>
                    <a:prstGeom prst="rect">
                      <a:avLst/>
                    </a:prstGeom>
                    <a:noFill/>
                  </pic:spPr>
                </pic:pic>
              </a:graphicData>
            </a:graphic>
          </wp:anchor>
        </w:drawing>
      </w:r>
    </w:p>
    <w:p>
      <w:pPr>
        <w:spacing w:after="0" w:line="20" w:lineRule="exact"/>
        <w:rPr>
          <w:sz w:val="20"/>
          <w:szCs w:val="20"/>
          <w:color w:val="auto"/>
        </w:rPr>
      </w:pPr>
    </w:p>
    <w:p>
      <w:pPr>
        <w:ind w:left="5860"/>
        <w:spacing w:after="0"/>
        <w:rPr>
          <w:sz w:val="20"/>
          <w:szCs w:val="20"/>
          <w:color w:val="auto"/>
        </w:rPr>
      </w:pPr>
      <w:r>
        <w:rPr>
          <w:rFonts w:ascii="Arial" w:cs="Arial" w:eastAsia="Arial" w:hAnsi="Arial"/>
          <w:sz w:val="20"/>
          <w:szCs w:val="20"/>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wp:posOffset>
            </wp:positionH>
            <wp:positionV relativeFrom="paragraph">
              <wp:posOffset>474345</wp:posOffset>
            </wp:positionV>
            <wp:extent cx="6946900" cy="190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sectPr>
      <w:pgSz w:w="11900" w:h="16838" w:orient="portrait"/>
      <w:cols w:equalWidth="0" w:num="1">
        <w:col w:w="9340"/>
      </w:cols>
      <w:pgMar w:left="1200" w:top="994" w:right="1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0" Type="http://schemas.openxmlformats.org/officeDocument/2006/relationships/hyperlink" Target="http://www.sec.gov/cgi-bin/browse-edgar?action=getcompany&amp;CIK=0001820818" TargetMode="External"/><Relationship Id="rId11" Type="http://schemas.openxmlformats.org/officeDocument/2006/relationships/hyperlink" Target="http://www.sec.gov/cgi-bin/browse-edgar?action=getcompany&amp;CIK=000181673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2020-08-11T20:41:12Z</dcterms:created>
  <dcterms:modified xsi:type="dcterms:W3CDTF">2020-08-11T20:41:12Z</dcterms:modified>
</cp:coreProperties>
</file>