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ectPr>
          <w:pgSz w:w="11900" w:h="16838" w:orient="portrait"/>
          <w:cols w:equalWidth="0" w:num="1">
            <w:col w:w="11140"/>
          </w:cols>
          <w:pgMar w:left="320" w:top="225" w:right="439" w:bottom="22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tbl>
      <w:tblPr>
        <w:tblLayout w:type="fixed"/>
        <w:tblInd w:w="120" w:type="dxa"/>
        <w:tblCellMar>
          <w:top w:w="0" w:type="dxa"/>
          <w:left w:w="0" w:type="dxa"/>
          <w:bottom w:w="0" w:type="dxa"/>
          <w:right w:w="0" w:type="dxa"/>
        </w:tblCellMar>
      </w:tblPr>
      <w:tr>
        <w:trPr>
          <w:trHeight w:val="216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statement relating to</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prospectus supplement</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to buy these securities in</w:t>
            </w:r>
          </w:p>
        </w:tc>
        <w:tc>
          <w:tcPr>
            <w:tcW w:w="180" w:type="dxa"/>
            <w:vAlign w:val="bottom"/>
          </w:tcPr>
          <w:p>
            <w:pPr>
              <w:spacing w:after="0"/>
              <w:rPr>
                <w:sz w:val="24"/>
                <w:szCs w:val="24"/>
                <w:color w:val="auto"/>
              </w:rPr>
            </w:pPr>
          </w:p>
        </w:tc>
      </w:tr>
      <w:tr>
        <w:trPr>
          <w:trHeight w:val="9539"/>
        </w:trPr>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 information in this preliminary prospectus supplement is not complete and may be changed. A registration</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these securities has been filed with the Securities and Exchange Commission and is effective. This preliminary</w:t>
            </w:r>
          </w:p>
        </w:tc>
        <w:tc>
          <w:tcPr>
            <w:tcW w:w="20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and the accompanying prospectuses are not an offer to sell these securities and they are not soliciting an offer</w:t>
            </w:r>
          </w:p>
        </w:tc>
        <w:tc>
          <w:tcPr>
            <w:tcW w:w="180" w:type="dxa"/>
            <w:vAlign w:val="bottom"/>
            <w:textDirection w:val="btLr"/>
          </w:tcPr>
          <w:p>
            <w:pPr>
              <w:spacing w:after="0"/>
              <w:rPr>
                <w:sz w:val="20"/>
                <w:szCs w:val="20"/>
                <w:color w:val="auto"/>
              </w:rPr>
            </w:pPr>
            <w:r>
              <w:rPr>
                <w:rFonts w:ascii="Arial" w:cs="Arial" w:eastAsia="Arial" w:hAnsi="Arial"/>
                <w:sz w:val="18"/>
                <w:szCs w:val="18"/>
                <w:b w:val="1"/>
                <w:bCs w:val="1"/>
                <w:color w:val="FF4338"/>
                <w:w w:val="99"/>
              </w:rPr>
              <w:t>any jurisdiction where the offer or sale is not permitted.</w:t>
            </w:r>
          </w:p>
        </w:tc>
      </w:tr>
    </w:tbl>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Nos. 333-281359 and 333-269270</w:t>
      </w:r>
    </w:p>
    <w:p>
      <w:pPr>
        <w:spacing w:after="0" w:line="284" w:lineRule="exact"/>
        <w:rPr>
          <w:sz w:val="24"/>
          <w:szCs w:val="24"/>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FF4338"/>
        </w:rPr>
        <w:t>SUBJECT TO COMPLETION, DATED OCTOBER 20, 2025</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8, 2024 and to prospectus dated January 24, 2023)</w:t>
      </w:r>
    </w:p>
    <w:p>
      <w:pPr>
        <w:spacing w:after="0" w:line="178"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2"/>
          <w:szCs w:val="32"/>
          <w:b w:val="1"/>
          <w:bCs w:val="1"/>
          <w:color w:val="auto"/>
        </w:rPr>
        <w:t>$220,000,000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1011555</wp:posOffset>
            </wp:positionH>
            <wp:positionV relativeFrom="paragraph">
              <wp:posOffset>182245</wp:posOffset>
            </wp:positionV>
            <wp:extent cx="3874770" cy="6172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7477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225425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ind w:right="940"/>
        <w:spacing w:after="0" w:line="275" w:lineRule="auto"/>
        <w:rPr>
          <w:sz w:val="20"/>
          <w:szCs w:val="20"/>
          <w:color w:val="auto"/>
        </w:rPr>
      </w:pPr>
      <w:r>
        <w:rPr>
          <w:rFonts w:ascii="Times New Roman" w:cs="Times New Roman" w:eastAsia="Times New Roman" w:hAnsi="Times New Roman"/>
          <w:sz w:val="16"/>
          <w:szCs w:val="16"/>
          <w:color w:val="auto"/>
        </w:rPr>
        <w:t>We are offering $200,000,000 of shares of our common stock and, in lieu of common stock to certain investors that so choose, pre-funded warrants to purchase shares of common stock in this offering. The selling stockholder identified in this prospectus supplement (the “selling stockholder”) is offering $20,000,000 of shares of our common stock. We will not receive any proceeds from the sale of our common stock by the selling stockholder.</w:t>
      </w:r>
    </w:p>
    <w:p>
      <w:pPr>
        <w:spacing w:after="0" w:line="183" w:lineRule="exact"/>
        <w:rPr>
          <w:sz w:val="24"/>
          <w:szCs w:val="24"/>
          <w:color w:val="auto"/>
        </w:rPr>
      </w:pPr>
    </w:p>
    <w:p>
      <w:pPr>
        <w:ind w:right="1360"/>
        <w:spacing w:after="0" w:line="298" w:lineRule="auto"/>
        <w:rPr>
          <w:sz w:val="20"/>
          <w:szCs w:val="20"/>
          <w:color w:val="auto"/>
        </w:rPr>
      </w:pPr>
      <w:r>
        <w:rPr>
          <w:rFonts w:ascii="Times New Roman" w:cs="Times New Roman" w:eastAsia="Times New Roman" w:hAnsi="Times New Roman"/>
          <w:sz w:val="16"/>
          <w:szCs w:val="16"/>
          <w:color w:val="auto"/>
        </w:rPr>
        <w:t>Our common stock is listed on the Nasdaq Global Market under the symbol “IRON.” On October 17, 2025, the closing sale price of our common stock on the Nasdaq Global Market was $89.94 per share.</w:t>
      </w:r>
    </w:p>
    <w:p>
      <w:pPr>
        <w:spacing w:after="0" w:line="164" w:lineRule="exact"/>
        <w:rPr>
          <w:sz w:val="24"/>
          <w:szCs w:val="24"/>
          <w:color w:val="auto"/>
        </w:rPr>
      </w:pPr>
    </w:p>
    <w:p>
      <w:pPr>
        <w:ind w:right="920"/>
        <w:spacing w:after="0" w:line="272" w:lineRule="auto"/>
        <w:rPr>
          <w:sz w:val="20"/>
          <w:szCs w:val="20"/>
          <w:color w:val="auto"/>
        </w:rPr>
      </w:pPr>
      <w:r>
        <w:rPr>
          <w:rFonts w:ascii="Times New Roman" w:cs="Times New Roman" w:eastAsia="Times New Roman" w:hAnsi="Times New Roman"/>
          <w:sz w:val="16"/>
          <w:szCs w:val="16"/>
          <w:color w:val="auto"/>
        </w:rPr>
        <w:t>The purchase price of each pre-funded warrant will equal the price per share at which shares of our common stock are being sold to the public in this offering, minus $0.0001, which is the exercise price of each pre-funded warrant. The pre-funded warrants do not expire, and each pre-funded warrant will be exercisable at any time after the date of issuance, subject to an ownership limitation and in some cases clearance under the Hart-Scott-Rodino Antitrust Improvements Act of 1976, as amended, or the HSR Act. This prospectus supplement also relates to the offering of the shares of common stock issuable upon exercise of such pre-funded warrants.</w:t>
      </w:r>
    </w:p>
    <w:p>
      <w:pPr>
        <w:spacing w:after="0" w:line="186" w:lineRule="exact"/>
        <w:rPr>
          <w:sz w:val="24"/>
          <w:szCs w:val="24"/>
          <w:color w:val="auto"/>
        </w:rPr>
      </w:pPr>
    </w:p>
    <w:p>
      <w:pPr>
        <w:ind w:right="1040"/>
        <w:spacing w:after="0" w:line="298" w:lineRule="auto"/>
        <w:rPr>
          <w:sz w:val="20"/>
          <w:szCs w:val="20"/>
          <w:color w:val="auto"/>
        </w:rPr>
      </w:pPr>
      <w:r>
        <w:rPr>
          <w:rFonts w:ascii="Times New Roman" w:cs="Times New Roman" w:eastAsia="Times New Roman" w:hAnsi="Times New Roman"/>
          <w:sz w:val="16"/>
          <w:szCs w:val="16"/>
          <w:color w:val="auto"/>
        </w:rPr>
        <w:t>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207010</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ind w:right="980"/>
        <w:spacing w:after="0" w:line="250"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Please read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S-7 of this prospectus supplement, page 10 and page 7 in the accompanying prospectuses, and under similar headings in the documents that are incorporated by reference into this prospectus supplement concerning factors you should carefully consider before investing in our securities.</w:t>
      </w:r>
    </w:p>
    <w:p>
      <w:pPr>
        <w:spacing w:after="0" w:line="192"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Pre</w:t>
            </w: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160" w:type="dxa"/>
            <w:vAlign w:val="bottom"/>
            <w:gridSpan w:val="3"/>
          </w:tcPr>
          <w:p>
            <w:pPr>
              <w:ind w:left="40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400" w:type="dxa"/>
            <w:vAlign w:val="bottom"/>
          </w:tcPr>
          <w:p>
            <w:pPr>
              <w:spacing w:after="0"/>
              <w:rPr>
                <w:sz w:val="12"/>
                <w:szCs w:val="12"/>
                <w:color w:val="auto"/>
              </w:rPr>
            </w:pP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40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8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 xml:space="preserve">       </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 (1)</w:t>
            </w: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spacing w:after="0"/>
              <w:rPr>
                <w:sz w:val="17"/>
                <w:szCs w:val="17"/>
                <w:color w:val="auto"/>
              </w:rPr>
            </w:pP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before expenses, to us</w:t>
            </w:r>
          </w:p>
        </w:tc>
        <w:tc>
          <w:tcPr>
            <w:tcW w:w="14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Proceeds, before expenses, to the selling stockholder</w:t>
            </w:r>
          </w:p>
        </w:tc>
        <w:tc>
          <w:tcPr>
            <w:tcW w:w="1400" w:type="dxa"/>
            <w:vAlign w:val="bottom"/>
            <w:gridSpan w:val="2"/>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99"/>
              </w:rPr>
              <w:t>— </w:t>
            </w:r>
          </w:p>
        </w:tc>
        <w:tc>
          <w:tcPr>
            <w:tcW w:w="100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515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47" w:lineRule="exact"/>
        <w:rPr>
          <w:sz w:val="24"/>
          <w:szCs w:val="24"/>
          <w:color w:val="auto"/>
        </w:rPr>
      </w:pPr>
    </w:p>
    <w:p>
      <w:pPr>
        <w:ind w:left="360" w:hanging="360"/>
        <w:spacing w:after="0"/>
        <w:tabs>
          <w:tab w:leader="none" w:pos="3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the section titled “Underwriting” beginning on page S-27 for a description of the compensation payable to the underwriters.</w:t>
      </w:r>
    </w:p>
    <w:p>
      <w:pPr>
        <w:spacing w:after="0" w:line="235" w:lineRule="exact"/>
        <w:rPr>
          <w:sz w:val="24"/>
          <w:szCs w:val="24"/>
          <w:color w:val="auto"/>
        </w:rPr>
      </w:pPr>
    </w:p>
    <w:p>
      <w:pPr>
        <w:ind w:right="940"/>
        <w:spacing w:after="0" w:line="281" w:lineRule="auto"/>
        <w:rPr>
          <w:sz w:val="20"/>
          <w:szCs w:val="20"/>
          <w:color w:val="auto"/>
        </w:rPr>
      </w:pPr>
      <w:r>
        <w:rPr>
          <w:rFonts w:ascii="Times New Roman" w:cs="Times New Roman" w:eastAsia="Times New Roman" w:hAnsi="Times New Roman"/>
          <w:sz w:val="16"/>
          <w:szCs w:val="16"/>
          <w:color w:val="auto"/>
        </w:rPr>
        <w:t>The selling stockholder has granted the underwriters an option for a period of 30 days to purchase up to an additional $33.0 million of shares of our common stock at the public offering price, less the underwriting discounts and commissions. We will not receive any proceeds from the sale of our common stock by the selling stockholder. See “Selling Stockholder” beginning on page S-16.</w:t>
      </w:r>
    </w:p>
    <w:p>
      <w:pPr>
        <w:spacing w:after="0" w:line="173" w:lineRule="exact"/>
        <w:rPr>
          <w:sz w:val="24"/>
          <w:szCs w:val="24"/>
          <w:color w:val="auto"/>
        </w:rPr>
      </w:pPr>
    </w:p>
    <w:p>
      <w:pPr>
        <w:ind w:right="1020"/>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prospectuses. Any representation to the contrary is a criminal offense.</w:t>
      </w:r>
    </w:p>
    <w:p>
      <w:pPr>
        <w:spacing w:after="0" w:line="177"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6"/>
          <w:szCs w:val="16"/>
          <w:color w:val="auto"/>
        </w:rPr>
        <w:t>The underwriters expect to deliver the shares of common stock and pre-funded warrants against payment therefor on or about            ,</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2331720</wp:posOffset>
            </wp:positionH>
            <wp:positionV relativeFrom="paragraph">
              <wp:posOffset>238760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80" w:space="100"/>
            <w:col w:w="10160"/>
          </w:cols>
          <w:pgMar w:left="320" w:top="225" w:right="439" w:bottom="223" w:gutter="0" w:footer="0" w:header="0"/>
          <w:type w:val="continuous"/>
        </w:sectPr>
      </w:pPr>
    </w:p>
    <w:p>
      <w:pPr>
        <w:spacing w:after="0" w:line="38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1" w:lineRule="exact"/>
        <w:rPr>
          <w:sz w:val="24"/>
          <w:szCs w:val="24"/>
          <w:color w:val="auto"/>
        </w:rPr>
      </w:pPr>
    </w:p>
    <w:p>
      <w:pPr>
        <w:ind w:left="980"/>
        <w:spacing w:after="0"/>
        <w:tabs>
          <w:tab w:leader="none" w:pos="3580" w:val="left"/>
          <w:tab w:leader="none" w:pos="6040" w:val="left"/>
          <w:tab w:leader="none" w:pos="9580" w:val="left"/>
        </w:tabs>
        <w:rPr>
          <w:sz w:val="20"/>
          <w:szCs w:val="20"/>
          <w:color w:val="auto"/>
        </w:rPr>
      </w:pPr>
      <w:r>
        <w:rPr>
          <w:rFonts w:ascii="Times New Roman" w:cs="Times New Roman" w:eastAsia="Times New Roman" w:hAnsi="Times New Roman"/>
          <w:sz w:val="22"/>
          <w:szCs w:val="22"/>
          <w:b w:val="1"/>
          <w:bCs w:val="1"/>
          <w:color w:val="auto"/>
        </w:rPr>
        <w:t>Jefferies</w:t>
      </w:r>
      <w:r>
        <w:rPr>
          <w:sz w:val="20"/>
          <w:szCs w:val="20"/>
          <w:color w:val="auto"/>
        </w:rPr>
        <w:tab/>
      </w:r>
      <w:r>
        <w:rPr>
          <w:rFonts w:ascii="Times New Roman" w:cs="Times New Roman" w:eastAsia="Times New Roman" w:hAnsi="Times New Roman"/>
          <w:sz w:val="22"/>
          <w:szCs w:val="22"/>
          <w:b w:val="1"/>
          <w:bCs w:val="1"/>
          <w:color w:val="auto"/>
        </w:rPr>
        <w:t>Leerink Partners</w:t>
      </w:r>
      <w:r>
        <w:rPr>
          <w:sz w:val="20"/>
          <w:szCs w:val="20"/>
          <w:color w:val="auto"/>
        </w:rPr>
        <w:tab/>
      </w: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1"/>
          <w:szCs w:val="21"/>
          <w:b w:val="1"/>
          <w:bCs w:val="1"/>
          <w:color w:val="auto"/>
        </w:rPr>
        <w:t>Cantor</w:t>
      </w:r>
    </w:p>
    <w:p>
      <w:pPr>
        <w:sectPr>
          <w:pgSz w:w="11900" w:h="16838" w:orient="portrait"/>
          <w:cols w:equalWidth="0" w:num="1">
            <w:col w:w="11140"/>
          </w:cols>
          <w:pgMar w:left="320" w:top="225" w:right="439" w:bottom="223" w:gutter="0" w:footer="0" w:header="0"/>
          <w:type w:val="continuous"/>
        </w:sectPr>
      </w:pPr>
    </w:p>
    <w:p>
      <w:pPr>
        <w:spacing w:after="0" w:line="22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5"/>
          <w:szCs w:val="15"/>
          <w:b w:val="1"/>
          <w:bCs w:val="1"/>
          <w:color w:val="auto"/>
        </w:rPr>
        <w:t>      , 2025</w:t>
      </w:r>
    </w:p>
    <w:p>
      <w:pPr>
        <w:sectPr>
          <w:pgSz w:w="11900" w:h="16838" w:orient="portrait"/>
          <w:cols w:equalWidth="0" w:num="1">
            <w:col w:w="11140"/>
          </w:cols>
          <w:pgMar w:left="320" w:top="225" w:right="439" w:bottom="223"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5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6420" w:type="dxa"/>
            <w:vAlign w:val="bottom"/>
            <w:gridSpan w:val="13"/>
            <w:vMerge w:val="restart"/>
          </w:tcPr>
          <w:p>
            <w:pPr>
              <w:spacing w:after="0"/>
              <w:rPr>
                <w:sz w:val="13"/>
                <w:szCs w:val="13"/>
                <w:color w:val="auto"/>
              </w:rPr>
            </w:pPr>
          </w:p>
        </w:tc>
        <w:tc>
          <w:tcPr>
            <w:tcW w:w="1680" w:type="dxa"/>
            <w:vAlign w:val="bottom"/>
          </w:tcPr>
          <w:p>
            <w:pPr>
              <w:spacing w:after="0"/>
              <w:rPr>
                <w:sz w:val="13"/>
                <w:szCs w:val="1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20"/>
        </w:trPr>
        <w:tc>
          <w:tcPr>
            <w:tcW w:w="2500" w:type="dxa"/>
            <w:vAlign w:val="bottom"/>
            <w:gridSpan w:val="22"/>
            <w:vMerge w:val="continue"/>
          </w:tcPr>
          <w:p>
            <w:pPr>
              <w:spacing w:after="0" w:line="20" w:lineRule="exact"/>
              <w:rPr>
                <w:sz w:val="1"/>
                <w:szCs w:val="1"/>
                <w:color w:val="auto"/>
              </w:rPr>
            </w:pPr>
          </w:p>
        </w:tc>
        <w:tc>
          <w:tcPr>
            <w:tcW w:w="6420" w:type="dxa"/>
            <w:vAlign w:val="bottom"/>
            <w:gridSpan w:val="13"/>
            <w:vMerge w:val="continu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500" w:type="dxa"/>
            <w:vAlign w:val="bottom"/>
            <w:tcBorders>
              <w:bottom w:val="single" w:sz="8" w:color="0000EE"/>
            </w:tcBorders>
            <w:gridSpan w:val="22"/>
            <w:vMerge w:val="continue"/>
          </w:tcPr>
          <w:p>
            <w:pPr>
              <w:spacing w:after="0"/>
              <w:rPr>
                <w:sz w:val="14"/>
                <w:szCs w:val="14"/>
                <w:color w:val="auto"/>
              </w:rPr>
            </w:pPr>
          </w:p>
        </w:tc>
        <w:tc>
          <w:tcPr>
            <w:tcW w:w="6420" w:type="dxa"/>
            <w:vAlign w:val="bottom"/>
            <w:gridSpan w:val="13"/>
            <w:vMerge w:val="continue"/>
          </w:tcPr>
          <w:p>
            <w:pPr>
              <w:spacing w:after="0"/>
              <w:rPr>
                <w:sz w:val="14"/>
                <w:szCs w:val="14"/>
                <w:color w:val="auto"/>
              </w:rPr>
            </w:pPr>
          </w:p>
        </w:tc>
        <w:tc>
          <w:tcPr>
            <w:tcW w:w="1680" w:type="dxa"/>
            <w:vAlign w:val="bottom"/>
          </w:tcPr>
          <w:p>
            <w:pPr>
              <w:spacing w:after="0"/>
              <w:rPr>
                <w:sz w:val="14"/>
                <w:szCs w:val="14"/>
                <w:color w:val="auto"/>
              </w:rPr>
            </w:pPr>
          </w:p>
        </w:tc>
        <w:tc>
          <w:tcPr>
            <w:tcW w:w="3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0" w:type="dxa"/>
            <w:vAlign w:val="bottom"/>
          </w:tcPr>
          <w:p>
            <w:pPr>
              <w:spacing w:after="0"/>
              <w:rPr>
                <w:sz w:val="1"/>
                <w:szCs w:val="1"/>
                <w:color w:val="auto"/>
              </w:rPr>
            </w:pPr>
          </w:p>
        </w:tc>
      </w:tr>
      <w:tr>
        <w:trPr>
          <w:trHeight w:val="196"/>
        </w:trPr>
        <w:tc>
          <w:tcPr>
            <w:tcW w:w="452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4400" w:type="dxa"/>
            <w:vAlign w:val="bottom"/>
            <w:gridSpan w:val="6"/>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S-iv</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Prospectus Supplement Summary</w:t>
            </w:r>
          </w:p>
        </w:tc>
        <w:tc>
          <w:tcPr>
            <w:tcW w:w="6480" w:type="dxa"/>
            <w:vAlign w:val="bottom"/>
            <w:gridSpan w:val="15"/>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7740" w:type="dxa"/>
            <w:vAlign w:val="bottom"/>
            <w:gridSpan w:val="27"/>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S-12</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S-13</w:t>
            </w:r>
          </w:p>
        </w:tc>
        <w:tc>
          <w:tcPr>
            <w:tcW w:w="0" w:type="dxa"/>
            <w:vAlign w:val="bottom"/>
          </w:tcPr>
          <w:p>
            <w:pPr>
              <w:spacing w:after="0"/>
              <w:rPr>
                <w:sz w:val="1"/>
                <w:szCs w:val="1"/>
                <w:color w:val="auto"/>
              </w:rPr>
            </w:pPr>
          </w:p>
        </w:tc>
      </w:tr>
      <w:tr>
        <w:trPr>
          <w:trHeight w:val="196"/>
        </w:trPr>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Dilution</w:t>
            </w:r>
          </w:p>
        </w:tc>
        <w:tc>
          <w:tcPr>
            <w:tcW w:w="560" w:type="dxa"/>
            <w:vAlign w:val="bottom"/>
            <w:tcBorders>
              <w:top w:val="single" w:sz="8" w:color="0000EE"/>
            </w:tcBorders>
            <w:gridSpan w:val="5"/>
          </w:tcPr>
          <w:p>
            <w:pPr>
              <w:spacing w:after="0"/>
              <w:rPr>
                <w:sz w:val="17"/>
                <w:szCs w:val="17"/>
                <w:color w:val="auto"/>
              </w:rPr>
            </w:pPr>
          </w:p>
        </w:tc>
        <w:tc>
          <w:tcPr>
            <w:tcW w:w="7760" w:type="dxa"/>
            <w:vAlign w:val="bottom"/>
            <w:gridSpan w:val="28"/>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S-14</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Pre-Funded Warrants</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S-17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tcBorders>
              <w:bottom w:val="single" w:sz="8" w:color="0000EE"/>
            </w:tcBorders>
            <w:gridSpan w:val="32"/>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U.S. Federal Income Tax Consequences for Investors in Common Stock</w:t>
            </w:r>
          </w:p>
        </w:tc>
        <w:tc>
          <w:tcPr>
            <w:tcW w:w="3080" w:type="dxa"/>
            <w:vAlign w:val="bottom"/>
            <w:gridSpan w:val="3"/>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S-20</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S-38</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920" w:type="dxa"/>
            <w:vAlign w:val="bottom"/>
            <w:gridSpan w:val="29"/>
          </w:tcPr>
          <w:p>
            <w:pPr>
              <w:spacing w:after="0"/>
              <w:rPr>
                <w:sz w:val="17"/>
                <w:szCs w:val="17"/>
                <w:color w:val="auto"/>
              </w:rPr>
            </w:pP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S-38</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168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S-39</w:t>
            </w:r>
          </w:p>
        </w:tc>
        <w:tc>
          <w:tcPr>
            <w:tcW w:w="0" w:type="dxa"/>
            <w:vAlign w:val="bottom"/>
          </w:tcPr>
          <w:p>
            <w:pPr>
              <w:spacing w:after="0"/>
              <w:rPr>
                <w:sz w:val="1"/>
                <w:szCs w:val="1"/>
                <w:color w:val="auto"/>
              </w:rPr>
            </w:pPr>
          </w:p>
        </w:tc>
      </w:tr>
      <w:tr>
        <w:trPr>
          <w:trHeight w:val="588"/>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5120" w:type="dxa"/>
            <w:vAlign w:val="bottom"/>
            <w:gridSpan w:val="7"/>
          </w:tcPr>
          <w:p>
            <w:pPr>
              <w:jc w:val="center"/>
              <w:ind w:right="1720"/>
              <w:spacing w:after="0"/>
              <w:rPr>
                <w:sz w:val="20"/>
                <w:szCs w:val="20"/>
                <w:color w:val="auto"/>
              </w:rPr>
            </w:pPr>
            <w:r>
              <w:rPr>
                <w:rFonts w:ascii="Times New Roman" w:cs="Times New Roman" w:eastAsia="Times New Roman" w:hAnsi="Times New Roman"/>
                <w:sz w:val="18"/>
                <w:szCs w:val="18"/>
                <w:b w:val="1"/>
                <w:bCs w:val="1"/>
                <w:color w:val="auto"/>
                <w:w w:val="99"/>
              </w:rPr>
              <w:t>PROSPECTUS DATED AUGUST 8, 2024</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4"/>
        </w:trPr>
        <w:tc>
          <w:tcPr>
            <w:tcW w:w="8920" w:type="dxa"/>
            <w:vAlign w:val="bottom"/>
            <w:gridSpan w:val="35"/>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04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740" w:type="dxa"/>
            <w:vAlign w:val="bottom"/>
            <w:gridSpan w:val="5"/>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94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6"/>
          </w:tcPr>
          <w:p>
            <w:pPr>
              <w:spacing w:after="0"/>
              <w:rPr>
                <w:sz w:val="17"/>
                <w:szCs w:val="17"/>
                <w:color w:val="auto"/>
              </w:rPr>
            </w:pPr>
          </w:p>
        </w:tc>
        <w:tc>
          <w:tcPr>
            <w:tcW w:w="3600" w:type="dxa"/>
            <w:vAlign w:val="bottom"/>
            <w:gridSpan w:val="4"/>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9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340" w:type="dxa"/>
            <w:vAlign w:val="bottom"/>
            <w:gridSpan w:val="21"/>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7340" w:type="dxa"/>
            <w:vAlign w:val="bottom"/>
            <w:gridSpan w:val="21"/>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5540" w:type="dxa"/>
            <w:vAlign w:val="bottom"/>
            <w:gridSpan w:val="9"/>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900" w:type="dxa"/>
            <w:vAlign w:val="bottom"/>
            <w:gridSpan w:val="10"/>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440" w:type="dxa"/>
            <w:vAlign w:val="bottom"/>
            <w:gridSpan w:val="14"/>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6"/>
        </w:trPr>
        <w:tc>
          <w:tcPr>
            <w:tcW w:w="2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6900" w:type="dxa"/>
            <w:vAlign w:val="bottom"/>
            <w:gridSpan w:val="19"/>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6880" w:type="dxa"/>
            <w:vAlign w:val="bottom"/>
            <w:gridSpan w:val="18"/>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601"/>
        </w:trPr>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80" w:type="dxa"/>
            <w:vAlign w:val="bottom"/>
            <w:gridSpan w:val="8"/>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PROSPECTUS DATED JANUARY 24, 2023</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92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52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40" w:type="dxa"/>
            <w:vAlign w:val="bottom"/>
            <w:tcBorders>
              <w:bottom w:val="single" w:sz="8" w:color="0000EE"/>
            </w:tcBorders>
            <w:gridSpan w:val="33"/>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2580" w:type="dxa"/>
            <w:vAlign w:val="bottom"/>
            <w:gridSpan w:val="2"/>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w:t>
            </w:r>
          </w:p>
        </w:tc>
        <w:tc>
          <w:tcPr>
            <w:tcW w:w="7620" w:type="dxa"/>
            <w:vAlign w:val="bottom"/>
            <w:gridSpan w:val="24"/>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2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7640" w:type="dxa"/>
            <w:vAlign w:val="bottom"/>
            <w:gridSpan w:val="25"/>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480" w:type="dxa"/>
            <w:vAlign w:val="bottom"/>
            <w:gridSpan w:val="6"/>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300" w:type="dxa"/>
            <w:vAlign w:val="bottom"/>
            <w:gridSpan w:val="15"/>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40" w:type="dxa"/>
            <w:vAlign w:val="bottom"/>
            <w:tcBorders>
              <w:top w:val="single" w:sz="8" w:color="0000EE"/>
            </w:tcBorders>
            <w:gridSpan w:val="5"/>
          </w:tcPr>
          <w:p>
            <w:pPr>
              <w:spacing w:after="0"/>
              <w:rPr>
                <w:sz w:val="17"/>
                <w:szCs w:val="17"/>
                <w:color w:val="auto"/>
              </w:rPr>
            </w:pPr>
          </w:p>
        </w:tc>
        <w:tc>
          <w:tcPr>
            <w:tcW w:w="6500" w:type="dxa"/>
            <w:vAlign w:val="bottom"/>
            <w:gridSpan w:val="16"/>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6060" w:type="dxa"/>
            <w:vAlign w:val="bottom"/>
            <w:gridSpan w:val="11"/>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222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6700" w:type="dxa"/>
            <w:vAlign w:val="bottom"/>
            <w:gridSpan w:val="17"/>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6880" w:type="dxa"/>
            <w:vAlign w:val="bottom"/>
            <w:gridSpan w:val="18"/>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8920" w:type="dxa"/>
            <w:vAlign w:val="bottom"/>
            <w:gridSpan w:val="3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60" w:type="dxa"/>
            <w:vAlign w:val="bottom"/>
            <w:gridSpan w:val="3"/>
            <w:shd w:val="clear" w:color="auto" w:fill="0000EE"/>
          </w:tcPr>
          <w:p>
            <w:pPr>
              <w:spacing w:after="0" w:line="20" w:lineRule="exact"/>
              <w:rPr>
                <w:sz w:val="1"/>
                <w:szCs w:val="1"/>
                <w:color w:val="auto"/>
              </w:rPr>
            </w:pPr>
          </w:p>
        </w:tc>
        <w:tc>
          <w:tcPr>
            <w:tcW w:w="5960" w:type="dxa"/>
            <w:vAlign w:val="bottom"/>
            <w:gridSpan w:val="31"/>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34"/>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INCORPORATION BY REFERENCE</w:t>
            </w:r>
          </w:p>
        </w:tc>
        <w:tc>
          <w:tcPr>
            <w:tcW w:w="2200" w:type="dxa"/>
            <w:vAlign w:val="bottom"/>
          </w:tcPr>
          <w:p>
            <w:pPr>
              <w:spacing w:after="0"/>
              <w:rPr>
                <w:sz w:val="17"/>
                <w:szCs w:val="17"/>
                <w:color w:val="auto"/>
              </w:rPr>
            </w:pPr>
          </w:p>
        </w:tc>
        <w:tc>
          <w:tcPr>
            <w:tcW w:w="20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is part of an automatic shelf registration statement on Form S-3 (File No. 333-281359) that we filed with the Securities and Exchange Commission, or SEC, on August 8, 2024 as a “well-known seasoned issuer” as defined in Rule 405 of the Securities Act and part of a resale registration statement on Form S-3 (File No. 333-269270) that we filed with the SEC on January 17, 2023 covering the shares being offered by the selling stockholder.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of common stock and pre-funded warrants. The second part is the accompanying prospectuses, which provide more general information, some of which may not apply to this offering. The information included or incorporated by reference in this prospectus supplement also adds to, updates and changes information contained or incorporated by reference in the accompanying prospectuses. If information included or incorporated by reference in this prospectus supplement is inconsistent with the accompanying prospectuses or the information incorporated by reference therein, then this prospectus supplement or the information incorporated by reference in this prospectus supplement will apply and will supersede the information in the accompanying prospectuses and the documents incorporated by reference therein. However, if any statement in one of these documents is inconsistent with a statement in another document with a later date that is incorporated by reference herein, the statement in the document having the later date modifies and supersedes the earlier statement.</w:t>
      </w:r>
    </w:p>
    <w:p>
      <w:pPr>
        <w:spacing w:after="0" w:line="18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Before buying any of the shares of common stock or pre-funded warrants offered hereby, we urge you to read carefully this prospectus supplement and the accompanying prospectuses, together with the information incorporated herein by reference as described below under the heading “Incorporation of Certain Information by Reference,” as well as the additional information described in this prospectus supplement under “Where You Can Find More Information.”</w:t>
      </w:r>
    </w:p>
    <w:p>
      <w:pPr>
        <w:spacing w:after="0" w:line="180"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None of us, the selling stockholder or the underwriters have authorized anyone to provide you with information other than the information that we have provided or incorporated by reference in this prospectus supplement and the accompanying prospectuses and your reliance on any unauthorized information or representation is at your own risk.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and pre-funded warrants. Our business, financial condition and results of operations may have changed since those dates.</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common stock and pre-funded warrants only in jurisdictions where offers and sales are permitted. The distribution of this prospectus supplement and the accompanying prospectuses and the offering of the common stock and pre-funded warrants in certain jurisdictions may be restricted by law. No action is being taken in any jurisdiction outside the United States to permit a public offering of the securities or possession or distribution of this prospectus supplement or the accompanying prospectuses in that jurisdiction. Persons outside the United States who come into possession of this prospectus supplement and the accompanying prospectuses must inform themselves about, and observe any restrictions relating to, the offering of the common stock and pre-funded warrants and the distribution of this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prospectus supplement and the accompanying prospectuses outside the United States. This prospectus supplement and the accompanying prospectuses do not constitute, and may not be used in connection with, an offer to sell, or a solicitation of an offer to buy, any securities offered by this prospectus supplement and the accompanying prospectuses by any person in any jurisdiction in which it is unlawful for such person to make such an offer or solicitation.</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All references in this prospectus supplement and the accompanying prospectuses to our consolidated financial statements include the related notes thereto.</w:t>
      </w:r>
    </w:p>
    <w:p>
      <w:pPr>
        <w:spacing w:after="0" w:line="162" w:lineRule="exact"/>
        <w:rPr>
          <w:sz w:val="20"/>
          <w:szCs w:val="20"/>
          <w:color w:val="auto"/>
        </w:rPr>
      </w:pPr>
    </w:p>
    <w:p>
      <w:pPr>
        <w:ind w:left="120" w:right="40" w:firstLine="440"/>
        <w:spacing w:after="0" w:line="243" w:lineRule="auto"/>
        <w:rPr>
          <w:sz w:val="20"/>
          <w:szCs w:val="20"/>
          <w:color w:val="auto"/>
        </w:rPr>
      </w:pPr>
      <w:r>
        <w:rPr>
          <w:rFonts w:ascii="Times New Roman" w:cs="Times New Roman" w:eastAsia="Times New Roman" w:hAnsi="Times New Roman"/>
          <w:sz w:val="17"/>
          <w:szCs w:val="17"/>
          <w:color w:val="auto"/>
        </w:rPr>
        <w:t>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but such references should not be construed as any indicator that their respective owners will not assert, to the fullest extent under applicable law, their rights thereto.</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080"/>
          </w:cols>
          <w:pgMar w:left="320" w:top="455"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prospectuses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prospectuses,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97" w:lineRule="exact"/>
        <w:rPr>
          <w:sz w:val="20"/>
          <w:szCs w:val="20"/>
          <w:color w:val="auto"/>
        </w:rPr>
      </w:pPr>
    </w:p>
    <w:p>
      <w:pPr>
        <w:ind w:left="1080" w:hanging="424"/>
        <w:spacing w:after="0" w:line="258"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APOLLO clinical trial of bitopertin, our ongoing and planned clinical trials of DISC-0974 and our ongoing and planned clinical trials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jc w:val="both"/>
        <w:ind w:left="1080" w:right="380" w:hanging="424"/>
        <w:spacing w:after="0" w:line="289"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seek and obtain approval for bitopertin under the U.S. Food and Drug Administration’s, or FDA’s, Accelerated Approval Program, including the FDA’s acceptance of the APOLLO clinical study as a post-marketing confirmatory trial, whether the FDA will accept our NDA submission for filing, and whether the NDA submission will meet the standards for accelerated approval;</w:t>
      </w:r>
    </w:p>
    <w:p>
      <w:pPr>
        <w:spacing w:after="0" w:line="63" w:lineRule="exact"/>
        <w:rPr>
          <w:rFonts w:ascii="Times New Roman" w:cs="Times New Roman" w:eastAsia="Times New Roman" w:hAnsi="Times New Roman"/>
          <w:sz w:val="17"/>
          <w:szCs w:val="17"/>
          <w:color w:val="auto"/>
        </w:rPr>
      </w:pPr>
    </w:p>
    <w:p>
      <w:pPr>
        <w:ind w:left="1080" w:right="4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the FDA Commissioner’s National Priority Voucher, or CNPV, with respect to our NDA submission, including the timeline for FDA review;</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the material weakness in our internal control over financial reporting;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geopolitical conflicts, including the conflicts between Russia and Ukraine and in the Middle East, economic sanctions and economic slowdowns or recessions that may result from such developments which could harm our research and development efforts as well as the value of our common stock and our ability to access capital markets;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the proceeds from this offering and any other financing transaction we may undertake.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w:t>
      </w:r>
    </w:p>
    <w:p>
      <w:pPr>
        <w:spacing w:after="0" w:line="18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prospectus supplement or the accompanying prospectuses, their estimates, in particular, as they relate to projections, involve numerous assumptions, are subject to risks and uncertainties and are subject to change based on various factors. You should read this prospectus supplement, the accompanying prospectuses and the documents that we reference herein and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S-v</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those discussed in our Quarterly Report on Form 10-Q for the quarter ended June 30, 2025 filed with the SEC on August 7, 2025, which is incorporated by reference into this prospectus supplement and the accompanying prospectuses, and the section of this prospectus supplement and the accompanying prospectuses entitled “Risk Factors”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into which we may enter.</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080"/>
          </w:cols>
          <w:pgMar w:left="320" w:top="455"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about us and this offering and does not contain all of the information that you should consider before investing in our common stock or pre-funded warrants. You should read this prospectus supplement, the accompanying prospectuses and the documents incorporated by reference herein and therein carefully, especially those associated with the risks of investing in our common stock or pre-funded warrants discussed under “Risk Factors” beginning on page S-7 of this prospectus supplement and in the section entitled “Risk Factors” of our quarterly report on Form 10-Q for the quarter ended June 30, 2025, filed with the SEC on August 7, 2025, and any subsequent reports we file with the SEC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39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40" w:firstLine="426"/>
        <w:spacing w:after="0" w:line="253"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anemia of inflammatory bowl disease, or IBD, and anemia of chronic kidney disease, or CKD;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94" w:lineRule="exact"/>
        <w:rPr>
          <w:sz w:val="20"/>
          <w:szCs w:val="20"/>
          <w:color w:val="auto"/>
        </w:rPr>
      </w:pPr>
    </w:p>
    <w:p>
      <w:pPr>
        <w:ind w:left="300" w:firstLine="426"/>
        <w:spacing w:after="0" w:line="252"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 In June and December 2023, we presented interim data from BEACON, a Phase 2 open-label, parallel-dose clinical trial of bitopertin in EPP and XLP patients conducted at sites in Australia. In April 2024, we presented topline data from AURORA, a Phase 2, randomized, double-blind, placebo-controlled clinical trial of bitopertin in EPP patients conducted at sites in the United States. Additional analyses of the BEACON and AURORA trials were presented in June 2024 and in December 2024. In both trials, bitopertin significantly reduced the toxic metabolite, protoporphyrin IX, or PPIX, and was associated with improvements in measures of time spent in sunlight and quality of life, demonstrating a clear association between PPIX reduction and clinical endpoints. In addition, bitopertin was generally well-tolerated. All participants who complete AURORA or BEACON are eligible to participate in HELIOS, an ongoing open-label, long-term extension study of bitopertin in EPP and XLP. In June 2025, we presented interim data from HELIOS, in which longer term treatment of bitopertin was associated with sustained reductions in PPIX, as well as improvements in quality of life, and improved liver biomarkers. In our end-of-Phase 2 meeting, the U.S. Food &amp; Drug Administration, or the FDA, agreed with the potential for reduction of PPIX to serve as a surrogate endpoint to support a potential accelerated approval of bitopertin in EPP and XLP. In our Type C meeting with the FDA in December 2024, we aligned with</w:t>
      </w:r>
    </w:p>
    <w:p>
      <w:pPr>
        <w:spacing w:after="0" w:line="31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0940"/>
          </w:cols>
          <w:pgMar w:left="320" w:top="455"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624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4624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the FDA on the design of APOLLO, a randomized, double-blind, placebo-controlled, clinical trial of bitopertin in EPP and XLP patients that in the setting of an accelerated approval would serve as a post-marketing confirmatory clinical trial. APOLLO is also intended to serve as a registrational trial with respect to any potential future marketing applications for bitopertin in EPP and XLP in jurisdictions outside the United States. We initiated the APOLLO trial in May 2025, and on September 29, 2025 we submitted an NDA for accelerated approval of bitopertin in EPP and XLP in the United States based on our existing data. We have also entered into a collaborative research and development agreement with the National Institutes of Health to conduct a clinical trial of bitopertin in DBA, which began in July 2023. We are planning additional trials of bitopertin in other indications.</w:t>
      </w:r>
    </w:p>
    <w:p>
      <w:pPr>
        <w:spacing w:after="0" w:line="189" w:lineRule="exact"/>
        <w:rPr>
          <w:sz w:val="20"/>
          <w:szCs w:val="20"/>
          <w:color w:val="auto"/>
        </w:rPr>
      </w:pPr>
    </w:p>
    <w:p>
      <w:pPr>
        <w:ind w:left="300" w:firstLine="426"/>
        <w:spacing w:after="0" w:line="253"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licensed from AbbVie Deutschland GmbH &amp; Co. KG, or AbbVie. DISC-0974 is designed to suppress hepcidin production and increase serum iron levels. We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as well as additional interim data for anemia of MF in June 2024 and for non-dialysis dependent CKD and anemia in October</w:t>
      </w:r>
    </w:p>
    <w:p>
      <w:pPr>
        <w:spacing w:after="0" w:line="5" w:lineRule="exact"/>
        <w:rPr>
          <w:sz w:val="20"/>
          <w:szCs w:val="20"/>
          <w:color w:val="auto"/>
        </w:rPr>
      </w:pPr>
    </w:p>
    <w:p>
      <w:pPr>
        <w:ind w:left="300" w:right="20"/>
        <w:spacing w:after="0" w:line="251" w:lineRule="auto"/>
        <w:rPr>
          <w:sz w:val="20"/>
          <w:szCs w:val="20"/>
          <w:color w:val="auto"/>
        </w:rPr>
      </w:pPr>
      <w:r>
        <w:rPr>
          <w:rFonts w:ascii="Times New Roman" w:cs="Times New Roman" w:eastAsia="Times New Roman" w:hAnsi="Times New Roman"/>
          <w:sz w:val="18"/>
          <w:szCs w:val="18"/>
          <w:color w:val="auto"/>
        </w:rPr>
        <w:t>2024. This additional interim data included safety data and changes in hepcidin, iron, and hemoglobin levels for additional patients, as well as longer follow-up. In December 2024, we presented additional analyses of the Phase 1b study in anemia of MF, and in June 2025 we presented longer term data from the continuation phase of this study. We initiated RALLY-MF, the open-label Phase 2 portion of this clinical trial, in December 2024 and we expect to report initial data from this Phase 2 trial by the end of 2025. Topline data from this trial is expected in 2026, which, if positive, is expected to support discussion with regulatory agencies on the potential regulatory path for DISC-0974 in anemia of MF. We also expect to report data from the multiple dose portion of the Phase 1b trial in patients with non-dialysis dependent CKD and anemia at the American Society of Nephrology (ASN) Kidney Week in November 2025. We are also planning additional trials of DISC-0974 in other anemias of inflammation. In addition, we are developing a preclinical anti-hemojuvelin monoclonal antibody, DISC-0998, which also targets hepcidin suppression and was 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93" w:lineRule="exact"/>
        <w:rPr>
          <w:sz w:val="20"/>
          <w:szCs w:val="20"/>
          <w:color w:val="auto"/>
        </w:rPr>
      </w:pPr>
    </w:p>
    <w:p>
      <w:pPr>
        <w:ind w:left="300" w:right="80" w:firstLine="426"/>
        <w:spacing w:after="0" w:line="255"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We initiated a Phase 1 clinical trial of DISC-3405 in healthy adult volunteers in October 2023 and presented interim data from the single-ascending dose, or SAD, portion of this clinical trial in June 2024. We presented data from the multiple-ascending dose, or MAD, portion of this Phase 1 healthy volunteer study of DISC-3405 in December 2024, and presented updated data from both the SAD and MAD portions of this clinical trial in June 2025. We are developing DISC-3405 for the treatment of PV, SCD and other hematologic disorders and initiated a Phase 2 clinical trial of DISC-3405 in PV in the first half of 2025, with topline data expected in 2026.</w:t>
      </w:r>
    </w:p>
    <w:p>
      <w:pPr>
        <w:spacing w:after="0" w:line="3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39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3392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Bitopertin: GlyT1 Inhibitor (Heme Synthesis Modulator)</w:t>
      </w:r>
    </w:p>
    <w:p>
      <w:pPr>
        <w:spacing w:after="0" w:line="121"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On October 16, 2025, we announced that we received a Commissioner’s National Priority Voucher, or CNPV, from the FDA for bitopertin in EPP and XLP. The CNPV program, announced in June 2025, is designed to accelerate the development and review of certain drugs aligned with US national health priorities by offering the opportunity to reduce drug application review times to one to two months. The voucher entitles the recipient to certain benefits, including enhanced communications and rolling review to allow for shortened review time. We plan to accelerate activities to support a potential US approval and launch of bitopertin for EPP and XLP in late 2025 or early 2026 based on the accelerated review timeline associated with receipt of the CNPV.</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DISC-0974: Anti-hemojuvelin Antibody (Hepcidin Suppression)</w:t>
      </w:r>
    </w:p>
    <w:p>
      <w:pPr>
        <w:spacing w:after="0" w:line="121" w:lineRule="exact"/>
        <w:rPr>
          <w:sz w:val="20"/>
          <w:szCs w:val="20"/>
          <w:color w:val="auto"/>
        </w:rPr>
      </w:pPr>
    </w:p>
    <w:p>
      <w:pPr>
        <w:ind w:left="300" w:right="80" w:firstLine="426"/>
        <w:spacing w:after="0" w:line="256" w:lineRule="auto"/>
        <w:rPr>
          <w:sz w:val="20"/>
          <w:szCs w:val="20"/>
          <w:color w:val="auto"/>
        </w:rPr>
      </w:pPr>
      <w:r>
        <w:rPr>
          <w:rFonts w:ascii="Times New Roman" w:cs="Times New Roman" w:eastAsia="Times New Roman" w:hAnsi="Times New Roman"/>
          <w:sz w:val="18"/>
          <w:szCs w:val="18"/>
          <w:color w:val="auto"/>
        </w:rPr>
        <w:t>On October 20, 2025, we announced that our recently completed Phase 1b, double-blind, placebo-controlled study of DISC-0974 demonstrated engagement of mechanism in non-dialysis dependent CKD and anemia with variable effects on hemoglobin. In this trial, DISC-0974 was generally well-tolerated and associated with substantial decreases in hepcidin, increases in iron, and improvements in markers of erythropoiesis. Meaningful hemoglobin increases observed in only a subset of patients were in part driven by those with higher baseline erythropoietin levels. We expect to report full data at ASN Kidney Week in November 2025, and we are assessing options for our DISC-0974 non-dialysis dependent CKD and anemia program based on full analysis of this data.</w:t>
      </w:r>
    </w:p>
    <w:p>
      <w:pPr>
        <w:spacing w:after="0" w:line="187" w:lineRule="exact"/>
        <w:rPr>
          <w:sz w:val="20"/>
          <w:szCs w:val="20"/>
          <w:color w:val="auto"/>
        </w:rPr>
      </w:pPr>
    </w:p>
    <w:p>
      <w:pPr>
        <w:ind w:left="300" w:right="220" w:firstLine="426"/>
        <w:spacing w:after="0" w:line="312" w:lineRule="auto"/>
        <w:rPr>
          <w:sz w:val="20"/>
          <w:szCs w:val="20"/>
          <w:color w:val="auto"/>
        </w:rPr>
      </w:pPr>
      <w:r>
        <w:rPr>
          <w:rFonts w:ascii="Times New Roman" w:cs="Times New Roman" w:eastAsia="Times New Roman" w:hAnsi="Times New Roman"/>
          <w:sz w:val="17"/>
          <w:szCs w:val="17"/>
          <w:color w:val="auto"/>
        </w:rPr>
        <w:t>In addition, on October 20, 2025, we announced that we plan to initiate a Phase 2 clinical trial of DISC- 0974 in patients with IBD and anemia in the first quarter of 2026, and that we are planning exploratory studies in additional patient populations with anemia of chronic disease.</w:t>
      </w:r>
    </w:p>
    <w:p>
      <w:pPr>
        <w:spacing w:after="0" w:line="2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DISC-3405: Anti-TMPRRS6 Antibody (Hepcidin Induction)</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On October 20, 2025, we announced that we plan to initiate a Phase 1b clinical trial of DISC-3405 in patients with SCD by year end and plan to explore the role of therapeutic iron restriction in other indications.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Preliminary Unaudited Financial Information</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Based upon preliminary estimates and information available to us as of the date of this prospectus supplement, as of September 30, 2025, we had approximately $615.9 million in cash, cash equivalents and marketable securities.</w:t>
      </w:r>
    </w:p>
    <w:p>
      <w:pPr>
        <w:spacing w:after="0" w:line="162"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color w:val="auto"/>
        </w:rPr>
        <w:t>The foregoing estimate as of September 30, 2025 is preliminary. We are in the process of finalizing the actual results of operations as of and for the nine months ended September 30, 2025 and therefore final results are not yet available. This preliminary estimate is based solely upon information available to us as of the date of this prospectus supplement and our actual results may differ from this estimate due to the completion of our financial statement closing procedures, final adjustments, and developments that may arise between now and the time our financial results as of and for the nine months ended September 30, 2025 are finalized. Additionally, our independent registered public accounting firm has not yet completed its review of our condensed consolidated financial statements as of and for the nine months ended September 30, 2025. Additional information and disclosure would be required for a more complete understanding of our financial position and results of operations as of and for the nine months ended September 30, 2025. Investors should refer to the actual results and the unaudited condensed consolidated financial statements as of and for the nine months ended September 30, 2025 once they become available upon filing of our Quarterly Report on Form 10-Q.</w:t>
      </w:r>
    </w:p>
    <w:p>
      <w:pPr>
        <w:spacing w:after="0" w:line="188" w:lineRule="exact"/>
        <w:rPr>
          <w:sz w:val="20"/>
          <w:szCs w:val="20"/>
          <w:color w:val="auto"/>
        </w:rPr>
      </w:pPr>
    </w:p>
    <w:p>
      <w:pPr>
        <w:ind w:left="300" w:right="160" w:firstLine="426"/>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has not audited, reviewed or performed any procedures with respect to these preliminary estimates and, accordingly, does not express an opinion or any other form of assurance about them.</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155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215582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CORPORATE HISTORY AND INFORMATION</w:t>
      </w:r>
    </w:p>
    <w:p>
      <w:pPr>
        <w:spacing w:after="0" w:line="229"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9"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We maintain an Internet website at the following address: www.discmedicine.com. Information contained on our website is not incorporated by reference into this prospectus supplement or the accompanying prospectuses, and you should not consider any information on, or that can be accessed from, our website as part of this prospectus supplement or the accompanying prospectuses.</w:t>
      </w:r>
    </w:p>
    <w:p>
      <w:pPr>
        <w:spacing w:after="0" w:line="30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820"/>
          </w:cols>
          <w:pgMar w:left="320" w:top="455" w:right="7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0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Disc Medicine, Inc.</w:t>
            </w:r>
          </w:p>
        </w:tc>
      </w:tr>
      <w:tr>
        <w:trPr>
          <w:trHeight w:val="35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Selling stockholder</w:t>
            </w: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AI DMI LLC</w:t>
            </w:r>
          </w:p>
        </w:tc>
      </w:tr>
      <w:tr>
        <w:trPr>
          <w:trHeight w:val="35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r>
      <w:tr>
        <w:trPr>
          <w:trHeight w:val="351"/>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offered by the selling stockholder</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r>
      <w:tr>
        <w:trPr>
          <w:trHeight w:val="33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offered by us</w:t>
            </w: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We are also offering, in lieu of common stock to certain investors that so choose,</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pre-funded warrants to purchase             shares of our common stock. Each pre-funded</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warrant is exercisable for one share of our common stock. The purchase price of each</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pre-funded warrant will equal the price per share at which shares of common stock are</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being sold to the public in this offering, less $0.0001, which is the exercise price of each</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pre-funded warrant. The pre-funded warrants do not expire, and each pre-funded warrant</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will be exercisable at any time after the date of issuance, subject to an ownership limitation</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and in some cases clearance under the HSR Act. See “Description of Pre-Funded</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Warrants.” This prospectus supplement also relates to the offering of the shares of our</w:t>
            </w:r>
          </w:p>
        </w:tc>
      </w:tr>
      <w:tr>
        <w:trPr>
          <w:trHeight w:val="234"/>
        </w:trPr>
        <w:tc>
          <w:tcPr>
            <w:tcW w:w="3800" w:type="dxa"/>
            <w:vAlign w:val="bottom"/>
          </w:tcPr>
          <w:p>
            <w:pPr>
              <w:spacing w:after="0"/>
              <w:rPr>
                <w:sz w:val="20"/>
                <w:szCs w:val="20"/>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common stock issuable upon exercise of the pre-funded warrants.</w:t>
            </w:r>
          </w:p>
        </w:tc>
      </w:tr>
      <w:tr>
        <w:trPr>
          <w:trHeight w:val="319"/>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Common stock to be outstanding immediately after this  </w:t>
            </w:r>
          </w:p>
        </w:tc>
        <w:tc>
          <w:tcPr>
            <w:tcW w:w="160" w:type="dxa"/>
            <w:vAlign w:val="bottom"/>
          </w:tcPr>
          <w:p>
            <w:pPr>
              <w:ind w:left="8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(assuming no exercise of any pre-funded warrants offered and sold by us).</w:t>
            </w:r>
          </w:p>
        </w:tc>
      </w:tr>
      <w:tr>
        <w:trPr>
          <w:trHeight w:val="234"/>
        </w:trPr>
        <w:tc>
          <w:tcPr>
            <w:tcW w:w="38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offering</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20" w:type="dxa"/>
            <w:vAlign w:val="bottom"/>
          </w:tcPr>
          <w:p>
            <w:pPr>
              <w:spacing w:after="0"/>
              <w:rPr>
                <w:sz w:val="20"/>
                <w:szCs w:val="20"/>
                <w:color w:val="auto"/>
              </w:rPr>
            </w:pPr>
          </w:p>
        </w:tc>
      </w:tr>
      <w:tr>
        <w:trPr>
          <w:trHeight w:val="33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Option to purchase additional shares</w:t>
            </w: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The selling stockholder has granted the underwriters a 30-day option to purchase up</w:t>
            </w:r>
          </w:p>
        </w:tc>
      </w:tr>
      <w:tr>
        <w:trPr>
          <w:trHeight w:val="216"/>
        </w:trPr>
        <w:tc>
          <w:tcPr>
            <w:tcW w:w="3800" w:type="dxa"/>
            <w:vAlign w:val="bottom"/>
          </w:tcPr>
          <w:p>
            <w:pPr>
              <w:spacing w:after="0"/>
              <w:rPr>
                <w:sz w:val="18"/>
                <w:szCs w:val="18"/>
                <w:color w:val="auto"/>
              </w:rPr>
            </w:pPr>
          </w:p>
        </w:tc>
        <w:tc>
          <w:tcPr>
            <w:tcW w:w="5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74"/>
              </w:rPr>
              <w:t>to 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1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   additional shares of our common stock from the selling stockholder at the public</w:t>
            </w:r>
          </w:p>
        </w:tc>
      </w:tr>
      <w:tr>
        <w:trPr>
          <w:trHeight w:val="234"/>
        </w:trPr>
        <w:tc>
          <w:tcPr>
            <w:tcW w:w="3800" w:type="dxa"/>
            <w:vAlign w:val="bottom"/>
          </w:tcPr>
          <w:p>
            <w:pPr>
              <w:spacing w:after="0"/>
              <w:rPr>
                <w:sz w:val="20"/>
                <w:szCs w:val="20"/>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offering price less the underwriting discounts and commissions.</w:t>
            </w:r>
          </w:p>
        </w:tc>
      </w:tr>
      <w:tr>
        <w:trPr>
          <w:trHeight w:val="3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cash, cash equivalents and marketable securities, to support the potential</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commercialization of bitopertin for EPP and XLP, to fund research and clinical</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development of our current or additional product candidates, and the remainder for</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working capital and other general corporate purposes. We may also use a portion of the net</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proceeds to in-license, acquire or invest in complementary businesses or technologies to</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continue to build our pipeline, research and development capabilities and our intellectual</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property position. We will not receive any proceeds from the sale of shares of our common</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stock by the selling stockholder. See “Use of Proceeds” on page S-13 of this prospectus</w:t>
            </w:r>
          </w:p>
        </w:tc>
      </w:tr>
      <w:tr>
        <w:trPr>
          <w:trHeight w:val="234"/>
        </w:trPr>
        <w:tc>
          <w:tcPr>
            <w:tcW w:w="3800" w:type="dxa"/>
            <w:vAlign w:val="bottom"/>
          </w:tcPr>
          <w:p>
            <w:pPr>
              <w:spacing w:after="0"/>
              <w:rPr>
                <w:sz w:val="20"/>
                <w:szCs w:val="20"/>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supplement.</w:t>
            </w:r>
          </w:p>
        </w:tc>
      </w:tr>
      <w:tr>
        <w:trPr>
          <w:trHeight w:val="31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w w:val="99"/>
              </w:rPr>
              <w:t>Your investment involves a high degree of risk. You should read the “Risk Factors” section</w:t>
            </w:r>
          </w:p>
        </w:tc>
      </w:tr>
      <w:tr>
        <w:trPr>
          <w:trHeight w:val="216"/>
        </w:trPr>
        <w:tc>
          <w:tcPr>
            <w:tcW w:w="3800" w:type="dxa"/>
            <w:vAlign w:val="bottom"/>
          </w:tcPr>
          <w:p>
            <w:pPr>
              <w:spacing w:after="0"/>
              <w:rPr>
                <w:sz w:val="18"/>
                <w:szCs w:val="18"/>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of this prospectus supplement beginning on page S-7 and in our Quarterly Report on Form</w:t>
            </w:r>
          </w:p>
        </w:tc>
      </w:tr>
      <w:tr>
        <w:trPr>
          <w:trHeight w:val="234"/>
        </w:trPr>
        <w:tc>
          <w:tcPr>
            <w:tcW w:w="3800" w:type="dxa"/>
            <w:vAlign w:val="bottom"/>
          </w:tcPr>
          <w:p>
            <w:pPr>
              <w:spacing w:after="0"/>
              <w:rPr>
                <w:sz w:val="20"/>
                <w:szCs w:val="20"/>
                <w:color w:val="auto"/>
              </w:rPr>
            </w:pPr>
          </w:p>
        </w:tc>
        <w:tc>
          <w:tcPr>
            <w:tcW w:w="68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10-Q for the quarter ended June 30, 2025, as well as the other documents incorporated by</w:t>
            </w:r>
          </w:p>
        </w:tc>
      </w:tr>
    </w:tbl>
    <w:p>
      <w:pPr>
        <w:ind w:left="4340" w:right="500"/>
        <w:spacing w:after="0" w:line="290" w:lineRule="auto"/>
        <w:rPr>
          <w:sz w:val="20"/>
          <w:szCs w:val="20"/>
          <w:color w:val="auto"/>
        </w:rPr>
      </w:pPr>
      <w:r>
        <w:rPr>
          <w:rFonts w:ascii="Times New Roman" w:cs="Times New Roman" w:eastAsia="Times New Roman" w:hAnsi="Times New Roman"/>
          <w:sz w:val="17"/>
          <w:szCs w:val="17"/>
          <w:color w:val="auto"/>
        </w:rPr>
        <w:t>reference in this prospectus supplement and the accompanying prospectuses for a discussion of factors to consider carefully before deciding to invest in our securities.</w:t>
      </w:r>
    </w:p>
    <w:p>
      <w:pPr>
        <w:spacing w:after="0" w:line="2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900"/>
          </w:cols>
          <w:pgMar w:left="320" w:top="455"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010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0101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Nasdaq Global Market symbol</w:t>
      </w:r>
      <w:r>
        <w:rPr>
          <w:sz w:val="20"/>
          <w:szCs w:val="20"/>
          <w:color w:val="auto"/>
        </w:rPr>
        <w:tab/>
      </w:r>
      <w:r>
        <w:rPr>
          <w:rFonts w:ascii="Times New Roman" w:cs="Times New Roman" w:eastAsia="Times New Roman" w:hAnsi="Times New Roman"/>
          <w:sz w:val="17"/>
          <w:szCs w:val="17"/>
          <w:color w:val="auto"/>
        </w:rPr>
        <w:t>“IRON”.</w:t>
      </w:r>
    </w:p>
    <w:p>
      <w:pPr>
        <w:spacing w:after="0" w:line="144" w:lineRule="exact"/>
        <w:rPr>
          <w:sz w:val="20"/>
          <w:szCs w:val="20"/>
          <w:color w:val="auto"/>
        </w:rPr>
      </w:pPr>
    </w:p>
    <w:p>
      <w:pPr>
        <w:ind w:left="4340"/>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list the pre-funded warrants on the Nasdaq Global Market or any other national securities exchange or nationally recognized trading system.</w:t>
      </w:r>
    </w:p>
    <w:p>
      <w:pPr>
        <w:spacing w:after="0" w:line="180" w:lineRule="exact"/>
        <w:rPr>
          <w:sz w:val="20"/>
          <w:szCs w:val="20"/>
          <w:color w:val="auto"/>
        </w:rPr>
      </w:pPr>
    </w:p>
    <w:p>
      <w:pPr>
        <w:ind w:left="300" w:right="140" w:firstLine="426"/>
        <w:spacing w:after="0" w:line="266" w:lineRule="auto"/>
        <w:rPr>
          <w:sz w:val="20"/>
          <w:szCs w:val="20"/>
          <w:color w:val="auto"/>
        </w:rPr>
      </w:pPr>
      <w:r>
        <w:rPr>
          <w:rFonts w:ascii="Times New Roman" w:cs="Times New Roman" w:eastAsia="Times New Roman" w:hAnsi="Times New Roman"/>
          <w:sz w:val="18"/>
          <w:szCs w:val="18"/>
          <w:color w:val="auto"/>
        </w:rPr>
        <w:t>The number of shares of our common stock that will be outstanding immediately after this offering as shown above is based on 34,694,882 shares outstanding as of June 30, 2025. The number of shares outstanding as of June 30, 2025 as used throughout this prospectus supplement, unless otherwise indicated, excludes:</w:t>
      </w:r>
    </w:p>
    <w:p>
      <w:pPr>
        <w:spacing w:after="0" w:line="81" w:lineRule="exact"/>
        <w:rPr>
          <w:sz w:val="20"/>
          <w:szCs w:val="20"/>
          <w:color w:val="auto"/>
        </w:rPr>
      </w:pPr>
    </w:p>
    <w:p>
      <w:pPr>
        <w:ind w:left="1240" w:right="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3,452,796 shares of common stock issuable upon the exercise of stock options outstanding as of June 30, 2025, at a weighted average exercise price of $33.92 per share;</w:t>
      </w:r>
    </w:p>
    <w:p>
      <w:pPr>
        <w:spacing w:after="0" w:line="67" w:lineRule="exact"/>
        <w:rPr>
          <w:rFonts w:ascii="Times New Roman" w:cs="Times New Roman" w:eastAsia="Times New Roman" w:hAnsi="Times New Roman"/>
          <w:sz w:val="18"/>
          <w:szCs w:val="18"/>
          <w:color w:val="auto"/>
        </w:rPr>
      </w:pPr>
    </w:p>
    <w:p>
      <w:pPr>
        <w:ind w:left="1240" w:right="44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135,483 shares of common stock issuable upon the exercise of stock options granted subsequent to June 30, 2025, at a weighted average exercise price of $59.75 per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997,737 shares of common stock issuable upon the vesting of restricted stock units outstanding as of June 30, 2025;</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171,152 shares of common stock issuable upon the vesting of restricted stock units granted subsequent to June 30, 2025;</w:t>
      </w:r>
    </w:p>
    <w:p>
      <w:pPr>
        <w:spacing w:after="0" w:line="130" w:lineRule="exact"/>
        <w:rPr>
          <w:rFonts w:ascii="Times New Roman" w:cs="Times New Roman" w:eastAsia="Times New Roman" w:hAnsi="Times New Roman"/>
          <w:sz w:val="18"/>
          <w:szCs w:val="18"/>
          <w:color w:val="auto"/>
        </w:rPr>
      </w:pPr>
    </w:p>
    <w:p>
      <w:pPr>
        <w:ind w:left="1240" w:right="10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1,527,300 shares of common stock available for issuance under our Amended and Restated 2021 Stock Option and Incentive Plan as of June 30, 2025;</w:t>
      </w:r>
    </w:p>
    <w:p>
      <w:pPr>
        <w:spacing w:after="0" w:line="67"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290,167 shares of common stock available for future issuance under our Amended and Restated 2021 Employee Stock Purchase Plan as of June 30, 2025; and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385,899 shares of common stock issuable upon the exercise of pre-funded warrants outstanding as of June 30, 2025.</w:t>
      </w:r>
    </w:p>
    <w:p>
      <w:pPr>
        <w:spacing w:after="0" w:line="22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w:t>
      </w:r>
    </w:p>
    <w:p>
      <w:pPr>
        <w:spacing w:after="0" w:line="131" w:lineRule="exact"/>
        <w:rPr>
          <w:sz w:val="20"/>
          <w:szCs w:val="20"/>
          <w:color w:val="auto"/>
        </w:rPr>
      </w:pPr>
    </w:p>
    <w:p>
      <w:pPr>
        <w:ind w:left="820"/>
        <w:spacing w:after="0"/>
        <w:tabs>
          <w:tab w:leader="none" w:pos="1220" w:val="left"/>
          <w:tab w:leader="none" w:pos="67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assumes no exercise of the underwriters’ option to purchase up to           </w:t>
      </w:r>
      <w:r>
        <w:rPr>
          <w:sz w:val="20"/>
          <w:szCs w:val="20"/>
          <w:color w:val="auto"/>
        </w:rPr>
        <w:tab/>
      </w:r>
      <w:r>
        <w:rPr>
          <w:rFonts w:ascii="Times New Roman" w:cs="Times New Roman" w:eastAsia="Times New Roman" w:hAnsi="Times New Roman"/>
          <w:sz w:val="17"/>
          <w:szCs w:val="17"/>
          <w:color w:val="auto"/>
        </w:rPr>
        <w:t>additional shares of common stock in this offering;</w:t>
      </w:r>
    </w:p>
    <w:p>
      <w:pPr>
        <w:spacing w:after="0" w:line="131" w:lineRule="exact"/>
        <w:rPr>
          <w:sz w:val="20"/>
          <w:szCs w:val="20"/>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outstanding stock options or pre-funded warrants or vesting of restricted stock units as described above;</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pre-funded warrants that we are offering in this offering in lieu of common stock to certain investors; and</w:t>
      </w:r>
    </w:p>
    <w:p>
      <w:pPr>
        <w:spacing w:after="0" w:line="130" w:lineRule="exact"/>
        <w:rPr>
          <w:rFonts w:ascii="Times New Roman" w:cs="Times New Roman" w:eastAsia="Times New Roman" w:hAnsi="Times New Roman"/>
          <w:sz w:val="18"/>
          <w:szCs w:val="18"/>
          <w:color w:val="auto"/>
        </w:rPr>
      </w:pPr>
    </w:p>
    <w:p>
      <w:pPr>
        <w:ind w:left="1240" w:right="80" w:hanging="415"/>
        <w:spacing w:after="0" w:line="224" w:lineRule="auto"/>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potential issuance of up to $189.9 million of common stock that remains available for sale as of the date of this prospectus supplement under our Controlled Equity Offering</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Sales Agreement, or Sales Agreement, with Cantor Fitzgerald &amp; Co. dated November 15, 2024.</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880"/>
          </w:cols>
          <w:pgMar w:left="320" w:top="455" w:right="6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Your investment in our common stock or pre-funded warrants involves a high degree of risk. Before deciding whether to invest in our common stock or pre-funded warrants, you should carefully consider the risks discussed under the section captioned “Risk Factors” contained in our Quarterly Report on Form 10-Q for the quarter ended June 30, 2025 which is incorporated by reference in this prospectus supplement and the accompanying prospectuses in its entirety, together with other information in this prospectus supplement, the accompanying prospectuses and in our other filings with the SEC that we have incorporated by reference herein and therein. If any of these risks actually occurs, our business, financial condition, results of operations or cash flow could be seriously harmed. This could cause the trading price of our common stock to decline, resulting in a loss of all or part of your investment.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or pre-funded warrants sold in this offering, you will experience immediate and substantial dilution. In addition, we may issue additional equity or convertible securities in the future, which may result in additional dilution to you.</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Since the price per share of our common stock being offered is higher than the net tangible book value per share of our common stock, you will suffer dilution with respect to the net tangible book value of the shares of common stock or pre-funded warrants you purchase in this offering. Based on the public offering price of $        per share of our common stock and $        per pre-funded warrant and our net tangible book value as of June 30, 2025, if you purchase shares of common stock or pre-funded warrants in this offering, you will suffer immediate dilution of $        per share with respect to the net tangible book value of the common stock. For a more detailed discussion of the foregoing, see the section entitled “Dilution” below. To the extent outstanding stock options or pre-funded warrants are exercised, or restricted stock units vest and settle, there will be further dilution to investors. In addition, to the extent we need to raise additional capital in the future, under our Sales Agreement with Cantor Fitzgerald &amp; Co. or otherwise,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92"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them in ways that you and other stockholders may not approve.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currently expect to use the net proceeds of this offering to support the potential commercialization of bitopertin for EPP and XLP,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We will not receive any proceeds from the sale of shares of our common stock by the selling stockholder. See “Use of Proceeds.”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120"/>
          </w:cols>
          <w:pgMar w:left="320" w:top="455"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 Further, the exercise of pre-funded warrants sold in this offering will result in further dilution to the holders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after this offering could cause our stock price to fall.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We had 34,694,882 shares of common stock outstanding as of June 30, 2025. We filed an automatic registration statement on Form S-3 (Registration No. 333-281359) that became automatically effective on August 8, 2024, and which registers the offer and sale from time to time of a variety of securities, including common stock, preferred stock, debt securities, warrants or units pursuant to one or more offerings at prices and terms to be determined at the time of sale. In addition, we filed a registration statement on Form S-3 (Registration No. 333-269270) that became effective on January 24, 2023, and which registers the offer and sale from time to time of our common stock by certain of our stockholders, including the selling stockholder, pursuant to one or more offerings at prices and terms to be determined at the time of sale. To the extent shares are sold into the market pursuant to these registration statements on Form S-3, under Rule 144 of the Securities Act or otherwise, particularly in substantial quantities, the market price of our common stock could decline.</w:t>
      </w:r>
    </w:p>
    <w:p>
      <w:pPr>
        <w:spacing w:after="0" w:line="194" w:lineRule="exact"/>
        <w:rPr>
          <w:sz w:val="20"/>
          <w:szCs w:val="20"/>
          <w:color w:val="auto"/>
        </w:rPr>
      </w:pPr>
    </w:p>
    <w:p>
      <w:pPr>
        <w:ind w:left="120" w:right="80" w:firstLine="440"/>
        <w:spacing w:after="0" w:line="289" w:lineRule="auto"/>
        <w:rPr>
          <w:sz w:val="20"/>
          <w:szCs w:val="20"/>
          <w:color w:val="auto"/>
        </w:rPr>
      </w:pPr>
      <w:r>
        <w:rPr>
          <w:rFonts w:ascii="Times New Roman" w:cs="Times New Roman" w:eastAsia="Times New Roman" w:hAnsi="Times New Roman"/>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pre-funded warrants, or the perception that such sales may occur, could adversely affect the market price of our common stock.</w:t>
      </w:r>
    </w:p>
    <w:p>
      <w:pPr>
        <w:spacing w:after="0" w:line="158"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We may raise money through additional public or private offerings of our equity securities or equity-linked securities. For example, in November 2024, we entered into the Sales Agreement pursuant to which we may offer and sell, from time to time to or through Cantor Fitzgerald &amp; Co., acting as our sales agent, shares of common stock having an aggregate offering price of up to $200.0 million. As of the date of this prospectus supplement, we may issue and sell shares of our common stock having an aggregate offering price of up to $189.9 million under our “at-the-market” offering program. Any sales of our equity or equity-linked securities could have a material adverse effect on the market price of our common stock.</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we, our directors and executive officers and the selling stockholder have entered into lock-up agreements covering some or all of their equity ownership for a period of 45 days following this offering. The lock-up agreements are subject to various exceptions, and we, our directors and executive officers and the selling stockholder may be released from the lock-up agreements prior to the expiration of the lock-up period at the sole discretion of Jefferies LLC, Leerink Partners LLC and Morgan Stanley &amp; Co. LLC. See the section entitled “Underwriting.” Upon expiration or earlier release of the lock-up agreements, we and our directors and executive officers and the selling stockholder may sell previously locked-up shares into the market, which could adversely affect the market price of shares of our common stock.</w:t>
      </w:r>
    </w:p>
    <w:p>
      <w:pPr>
        <w:spacing w:after="0" w:line="187"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also expect that significant additional capital may be needed in the future to continue our planned operations. To raise capital, we may sell common stock, convertible securities or other equity securities in one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more transactions at prices and in a manner we determine from time to time. These sales, or the perception in the market that the holders of a large number of shares intend to sell shares, could reduce the market price of our common stock.</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could be highly volatile, and purchasers of our common stock could incur substantial losses.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prospectuses and the documents incorporated by reference herein and therein.</w:t>
      </w:r>
    </w:p>
    <w:p>
      <w:pPr>
        <w:spacing w:after="0" w:line="180" w:lineRule="exact"/>
        <w:rPr>
          <w:sz w:val="20"/>
          <w:szCs w:val="20"/>
          <w:color w:val="auto"/>
        </w:rPr>
      </w:pPr>
    </w:p>
    <w:p>
      <w:pPr>
        <w:ind w:left="120" w:right="100" w:firstLine="440"/>
        <w:spacing w:after="0" w:line="281" w:lineRule="auto"/>
        <w:rPr>
          <w:sz w:val="20"/>
          <w:szCs w:val="20"/>
          <w:color w:val="auto"/>
        </w:rPr>
      </w:pPr>
      <w:r>
        <w:rPr>
          <w:rFonts w:ascii="Times New Roman" w:cs="Times New Roman" w:eastAsia="Times New Roman" w:hAnsi="Times New Roman"/>
          <w:sz w:val="17"/>
          <w:szCs w:val="17"/>
          <w:color w:val="auto"/>
        </w:rPr>
        <w:t>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4"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stock market in general and the market for pharmaceutical and biotechnology companies in particular have experienced extreme volatility that has often been unrelated to the operating performance of particular companies. The market price for our common stock may be influenced by many factors, including:</w:t>
      </w:r>
    </w:p>
    <w:p>
      <w:pPr>
        <w:spacing w:after="0" w:line="81"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new equity securities pursuant to a future offering, including issuances of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our product candidates;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developments, including announcements by competitors of new products or services or significant contracts, acquisitions, strategic partnerships, joint ventures,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quarterly operating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depth and liquidity of the market for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perceptions of our company and the pharmaceutical and biotechnology industries generally;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of success of competitive products or technologies;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and preclinical studies, of our product candidates or those of our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or failure to obtain, regulatory approvals, including approvals of NDAs from the FDA and our ability to use and benefit from accelerated regulatory pathways, including the CNPV program;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corporate strategy and goals;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technologies or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or announcements regarding transactions involving our company 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national conditions;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being offered in this offering, and we do not expect a market to develop. In addition, we do not intend to list the pre-funded warrants on the Nasdaq Global Market or any other national securities exchange or nationally recognized trading system. Without an active trading market, the liquidity of the pre-funded warrants will be limited.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a significant amount or any additional funds upon the exercise of the pre-funded warrants.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Each pre-funded warrant is exercisable for $0.0001 per share of common stock underlying such pre-funded warrant, which may be paid by way of a cashless exercise, in which the holder would receive upon such exercise the net number of shares of common stock determined according to the formula set forth in the pre-funded warrant. Accordingly, we will not receive a significant amount of additional funds (if any) upon the exercise of the pre-funded warrants.</w:t>
      </w:r>
    </w:p>
    <w:p>
      <w:pPr>
        <w:spacing w:after="0" w:line="284"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Except for the right to participate in certain dividends and distributions, holders of the pre-funded warrants will have no rights as stockholders until such holders exercise their pre-funded warrants and acquire shares of our common stock.</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Until holders of the pre-funded warrants exercise their pre-funded warrants and acquire shares of our common stock, such holders will have no rights with respect to the shares of common stock underlying such pre-funded warrants, except that the holder of a pre-funded warrant shall be entitled to participate in certain distributions, including cash dividends, if any, to all holders of our common stock for no consideration, subject to certain ownership limitations and in some cases clearance under the HSR Act. Upon exercise of the pre-funded warrants, the holders will be entitled to exercise the rights of a holder of common stock only as to matters for which the record date occurs after the exercise date. See “Description of Pre-Funded Warrants—No Rights as a Stockholder.”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our common stock may not be permitted to exercise pre-funded warrants that they hold.</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the aggregate number of shares of our common stock beneficially owned by the holder (together with its affiliates and other attribution parties, as defined under “Description of Pre-Funded Warrants—Exercise Limitations”) to exceed 24.99%, or if the purchaser elected prior to the issuance of pre-funded warrants to have the initial exercise limitation set at any of 4.99%, 9.99%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19.99% of our outstanding common stock, such lower threshold, of the number of shares of our common stock that would be outstanding immediately after giving effect to the exercise. However, subject to certain limitations, any holder may increase or decrease such percentage to any other percentage not in excess of 24.99% upon at least 61 days’ prior notice from the holder to us. In addition, where a holder notifies us that a filing under the HSR Act is required,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to equal or exceed the HSR Threshold (as defined below), until the applicable waiting period under the HSR Act has expired.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 Commissioner’s National Priority Voucher for bitopertin. We may not be able to fully realize the benefits of such a voucher, including a potentially accelerated timeline for review of our NDA submission for bitopertin in EPP and XLP by the FDA.</w:t>
      </w:r>
    </w:p>
    <w:p>
      <w:pPr>
        <w:spacing w:after="0" w:line="51" w:lineRule="exact"/>
        <w:rPr>
          <w:sz w:val="20"/>
          <w:szCs w:val="20"/>
          <w:color w:val="auto"/>
        </w:rPr>
      </w:pPr>
    </w:p>
    <w:p>
      <w:pPr>
        <w:ind w:left="120" w:right="120" w:firstLine="440"/>
        <w:spacing w:after="0" w:line="277" w:lineRule="auto"/>
        <w:rPr>
          <w:sz w:val="20"/>
          <w:szCs w:val="20"/>
          <w:color w:val="auto"/>
        </w:rPr>
      </w:pPr>
      <w:r>
        <w:rPr>
          <w:rFonts w:ascii="Times New Roman" w:cs="Times New Roman" w:eastAsia="Times New Roman" w:hAnsi="Times New Roman"/>
          <w:sz w:val="17"/>
          <w:szCs w:val="17"/>
          <w:color w:val="auto"/>
        </w:rPr>
        <w:t>In June 2025, the FDA announced the creation of a new program, the Commissioner’s National Priority Voucher, or CNPV, program, to expedite the development and approval of drug products with potential to address a major national priority, such as addressing a large unmet medical need, reducing downstream health care utilization, addressing a public health crisis, boosting domestic manufacturing, or increasing medication affordability. The FDA has stated that voucher recipients will receive a decision with respect to a drug application on an accelerated basis, as well as enhanced communication with review staff throughout the development process prior to final submission of the application and during the review period.</w:t>
      </w:r>
    </w:p>
    <w:p>
      <w:pPr>
        <w:spacing w:after="0" w:line="16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FDA expects the CNPV program to accelerate the standard application review timeline from 10-12 months to 1-2 months by convening a multidisciplinary team of physicians and scientists for a team-based review, interacting frequently with the sponsor to clarify questions, and completing review of the application concurrently. Following completion of these steps, the multidisciplinary team will convene for a one-day “tumor board style” decision meeting.</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 October 16, 2025, the FDA announced that bitopertin for porphyria was one of the first nine recipients of a CNPV. As a result, the NDA for bitopertin for EPP and XLP is eligible for the benefits of this program. We therefore plan to accelerate activities to support a potential US approval and launch of bitopertin in late 2025 or early 2026 based on the accelerated review timeline associated with receipt of the CNPV. However, receipt of the CNPV does not guarantee that the NDA will be approved on an expedited basis or at all. The FDA has stated that the review time for an application of a CNPV recipient may be extended, including because the application is incomplete, there are manufacturing violations, or for other reasons deemed appropriate by the FDA. The CNPV program is in pilot stage, so its implementation, operation, and ultimate impact are subject to uncertainty. In addition, even if the CNPV program does result in a faster approval process, there is no guarantee that we will be able to begin commercialization of our product at the time of such approval or that we will be otherwise able to maintain such approval.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Our ability to pay dividends on our common stock is restricted by the terms of our loan and security agreement with Hercules Capital, Inc., and may be restricted by the terms of any of our future indebtedness.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00"/>
          </w:cols>
          <w:pgMar w:left="320" w:top="455" w:right="4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estimate that the net proceeds to us from the sale of the shares of common stock and pre-funded warrants to purchase shares of common stock that we are offering will be approximately $        million after deducting underwriting discounts and commissions and estimated offering expenses payable by us. We will receive nominal proceeds, if any, from the exercise of the pre-funded warrants. We will not receive any proceeds from the sale of shares of our common stock by the selling stockholders.</w:t>
      </w:r>
    </w:p>
    <w:p>
      <w:pPr>
        <w:spacing w:after="0" w:line="18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We currently intend to use the net proceeds from this offering, together with our existing cash, cash equivalents and marketable securities, to support the potential commercialization of bitopertin for EPP and XLP, to fund research and clinical development of our current or additional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w:t>
      </w:r>
    </w:p>
    <w:p>
      <w:pPr>
        <w:spacing w:after="0" w:line="183"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expected use of net proceeds from this offering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feedback from regulatory authorities, the status of and results from clinical trials, as well as any collaborations that we may enter into with third parties for our product candidates, and any unforeseen cash needs. As a result, our management will retain broad discretion over the allocation of the net proceeds from this offering. We may find it necessary or advisable to use the net proceeds from this offering for other purposes, and we will have broad discretion in the application of net proceeds. 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w:t>
      </w:r>
    </w:p>
    <w:p>
      <w:pPr>
        <w:spacing w:after="0" w:line="188"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After the completion of this offering, assuming net proceeds to us, after deducting underwriting discounts and commissions and estimated offering expenses payable by us, of approximately $187 million, we expect that our cash, cash equivalents and marketable securities, will be sufficient to fund our current operating and capital expenditure plans into 2029. Without the proceeds of this offering, we anticipate that our existing cash, cash equivalents and marketable securities will be sufficient to fund our operating and capital expenditure plans into 2028. These expectations do not take into account any potential net cash inflows from bitopertin or any other marketed product, if approved during such period. Our future capital requirements will depend on many factors, including those discussed in “Liquidity and Capital Resources” of our Quarterly Report on Form 10-Q for the quarter ended June 30, 2025.</w:t>
      </w:r>
    </w:p>
    <w:p>
      <w:pPr>
        <w:spacing w:after="0" w:line="18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 of this prospectus supplement and the documents incorporated by reference for a discussion of the risks affecting our business that could have an adverse effect on our available capital resources.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If you purchase shares of our common stock or pre-funded warrants in this offering, your ownership interest will be diluted to the extent of the difference between the price per share of our common stock or pre-funded warrant you pay in this offering and the net tangible book value per share of our common stock immediately after this offering.</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Our net tangible book value as of June 30, 2025 was approximately $614.2 million, or $17.70 per share of common stock, based upon 34,694,882 shares outstanding as of that date. Net tangible book value per share is equal to our total tangible assets, less our total liabilities, divided by the total number of shares outstanding.</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After giving effect to our issuance and sale of shares of our common stock and pre-funded warrants at the public offering price of $        per share and $        per pre-funded warrant (which equals the $        per share price at which shares of our common stock are being sold to the public in this offering, less the $0.0001 per share exercise price of each such pre-funded warrant) (excluding shares of common stock issuable upon exercise of the pre-funded warrants, any proceeds which may be received upon exercise of the pre-funded warrants or any resulting accounting associated with the exercise of the pre-funded warrants), after deducting underwriting discounts and commissions and estimated offering expenses payable by us, our adjusted net tangible book value as of June 30, 2025 would have been $        million, or $        per share. This represents an immediate increase in net tangible book value of $        per share to our existing stockholders, and an immediate dilution of $        per share to investors purchasing shares of common stock or pre-funded warrants in the offering. Dilution per share to investors purchasing securities in this offering is determined by subtracting as adjusted net tangible book value per share after this offering from the public offering price per share of common stock (or pre-funded warrant) paid by investors.</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7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share basis: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880" w:type="dxa"/>
            <w:vAlign w:val="bottom"/>
          </w:tcPr>
          <w:p>
            <w:pPr>
              <w:spacing w:after="0"/>
              <w:rPr>
                <w:sz w:val="21"/>
                <w:szCs w:val="21"/>
                <w:color w:val="auto"/>
              </w:rPr>
            </w:pPr>
          </w:p>
        </w:tc>
        <w:tc>
          <w:tcPr>
            <w:tcW w:w="6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88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1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Historical net tangible book value per share as of June 30, 2025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17.70</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880" w:type="dxa"/>
            <w:vAlign w:val="bottom"/>
          </w:tcPr>
          <w:p>
            <w:pPr>
              <w:spacing w:after="0"/>
              <w:rPr>
                <w:sz w:val="17"/>
                <w:szCs w:val="17"/>
                <w:color w:val="auto"/>
              </w:rPr>
            </w:pPr>
          </w:p>
        </w:tc>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purchasing</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common stock or pre-funded warrants in this offering</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 </w:t>
            </w:r>
          </w:p>
        </w:tc>
        <w:tc>
          <w:tcPr>
            <w:tcW w:w="17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05"/>
        </w:trPr>
        <w:tc>
          <w:tcPr>
            <w:tcW w:w="880" w:type="dxa"/>
            <w:vAlign w:val="bottom"/>
          </w:tcPr>
          <w:p>
            <w:pPr>
              <w:spacing w:after="0"/>
              <w:rPr>
                <w:sz w:val="17"/>
                <w:szCs w:val="17"/>
                <w:color w:val="auto"/>
              </w:rPr>
            </w:pPr>
          </w:p>
        </w:tc>
        <w:tc>
          <w:tcPr>
            <w:tcW w:w="64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As adjusted net tangible book value per share as of June 30, 2025 after giving</w:t>
            </w:r>
          </w:p>
        </w:tc>
        <w:tc>
          <w:tcPr>
            <w:tcW w:w="1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41"/>
        </w:trPr>
        <w:tc>
          <w:tcPr>
            <w:tcW w:w="880" w:type="dxa"/>
            <w:vAlign w:val="bottom"/>
          </w:tcPr>
          <w:p>
            <w:pPr>
              <w:spacing w:after="0"/>
              <w:rPr>
                <w:sz w:val="20"/>
                <w:szCs w:val="20"/>
                <w:color w:val="auto"/>
              </w:rPr>
            </w:pPr>
          </w:p>
        </w:tc>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to this offering</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198"/>
        </w:trPr>
        <w:tc>
          <w:tcPr>
            <w:tcW w:w="880" w:type="dxa"/>
            <w:vAlign w:val="bottom"/>
          </w:tcPr>
          <w:p>
            <w:pPr>
              <w:spacing w:after="0"/>
              <w:rPr>
                <w:sz w:val="17"/>
                <w:szCs w:val="17"/>
                <w:color w:val="auto"/>
              </w:rPr>
            </w:pPr>
          </w:p>
        </w:tc>
        <w:tc>
          <w:tcPr>
            <w:tcW w:w="6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Dilution in as adjusted net tangible book value per share to investors in this</w:t>
            </w: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880" w:type="dxa"/>
            <w:vAlign w:val="bottom"/>
          </w:tcPr>
          <w:p>
            <w:pPr>
              <w:spacing w:after="0"/>
              <w:rPr>
                <w:sz w:val="20"/>
                <w:szCs w:val="20"/>
                <w:color w:val="auto"/>
              </w:rPr>
            </w:pPr>
          </w:p>
        </w:tc>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offering</w:t>
            </w:r>
          </w:p>
        </w:tc>
        <w:tc>
          <w:tcPr>
            <w:tcW w:w="180" w:type="dxa"/>
            <w:vAlign w:val="bottom"/>
            <w:shd w:val="clear" w:color="auto" w:fill="CCEEFF"/>
          </w:tcPr>
          <w:p>
            <w:pPr>
              <w:spacing w:after="0"/>
              <w:rPr>
                <w:sz w:val="20"/>
                <w:szCs w:val="20"/>
                <w:color w:val="auto"/>
              </w:rPr>
            </w:pPr>
          </w:p>
        </w:tc>
        <w:tc>
          <w:tcPr>
            <w:tcW w:w="1720" w:type="dxa"/>
            <w:vAlign w:val="bottom"/>
            <w:gridSpan w:val="3"/>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r>
      <w:tr>
        <w:trPr>
          <w:trHeight w:val="20"/>
        </w:trPr>
        <w:tc>
          <w:tcPr>
            <w:tcW w:w="88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If holders of pre-funded warrants exercise the pre-funded warrants offered hereby, the as adjusted net tangible book value per share of our common stock after giving effect to this offering would be $        per share, and the dilution in net tangible book value per share to investors purchasing common stock in this offering would be $        per share.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tables and calculations are based on 34,694,882 shares of common stock outstanding as of June 30, 2025, and excludes:</w:t>
      </w:r>
    </w:p>
    <w:p>
      <w:pPr>
        <w:spacing w:after="0" w:line="131" w:lineRule="exact"/>
        <w:rPr>
          <w:sz w:val="20"/>
          <w:szCs w:val="20"/>
          <w:color w:val="auto"/>
        </w:rPr>
      </w:pPr>
    </w:p>
    <w:p>
      <w:pPr>
        <w:ind w:left="1080" w:right="4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3,452,796 shares of common stock issuable upon the exercise of stock options outstanding as of June 30, 2025, at a weighted average exercise price of $33.92 per share;</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135,483 shares of common stock issuable upon the exercise of stock options granted subsequent to June 30, 2025, at a weighted average exercise price of $59.75 per share;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997,737 shares of common stock issuable upon the vesting of restricted stock units outstanding as of June 30, 2025;</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171,152 shares of common stock issuable upon the vesting of restricted stock units granted subsequent to June 30, 2025;</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1,527,300 shares of common stock available for issuance under our Amended and Restated 2021 Stock Option and Incentive Plan as of June 30, 2025;</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290,167 shares of common stock available for future issuance under our Amended and Restated 2021 Employee Stock Purchase Plan as of June 30, 2025;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385,899 shares of common stock issuable upon the exercise of pre-funded warrants outstanding as of June 30, 2025.</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To the extent that outstanding options or pre-funded warrants are exercised, new options or other securities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080"/>
          </w:cols>
          <w:pgMar w:left="320" w:top="455"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information regarding the selling stockholder and the shares that such selling stockholder is offering under this prospectus supplement. Unless otherwise indicated, beneficial ownership is calculated based on 34,694,882 shares of our common stock outstanding as of June 30, 2025. The number of shares in the column “Shares of Common Stock Offered By This Prospectus Supplement” represents all of the shares that the selling stockholder is offering under this prospectus supplement. The column “Shares of Common Stock Beneficially Owned After Offering” reflects the beneficial ownership of the selling stockholder after giving effect to this offering.</w:t>
      </w:r>
    </w:p>
    <w:p>
      <w:pPr>
        <w:spacing w:after="0" w:line="183" w:lineRule="exact"/>
        <w:rPr>
          <w:sz w:val="20"/>
          <w:szCs w:val="20"/>
          <w:color w:val="auto"/>
        </w:rPr>
      </w:pPr>
    </w:p>
    <w:p>
      <w:pPr>
        <w:ind w:left="120" w:right="360" w:firstLine="440"/>
        <w:spacing w:after="0" w:line="312" w:lineRule="auto"/>
        <w:rPr>
          <w:sz w:val="20"/>
          <w:szCs w:val="20"/>
          <w:color w:val="auto"/>
        </w:rPr>
      </w:pPr>
      <w:r>
        <w:rPr>
          <w:rFonts w:ascii="Times New Roman" w:cs="Times New Roman" w:eastAsia="Times New Roman" w:hAnsi="Times New Roman"/>
          <w:sz w:val="17"/>
          <w:szCs w:val="17"/>
          <w:color w:val="auto"/>
        </w:rPr>
        <w:t>For more information about our relationships with the selling stockholder and its affiliates, see “Certain Relationships and Related-Party Transactions” in our Definitive Proxy Statement on Schedule 14A, filed with the SEC on April 24, 2025, which is incorporated herein by reference.</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address of the selling stockholder is c/o Access Industries Management, LLC, 40 West 57th Street, 28th Floor, New York, NY 10019.</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3680" w:type="dxa"/>
            <w:vAlign w:val="bottom"/>
            <w:gridSpan w:val="2"/>
            <w:vMerge w:val="restart"/>
          </w:tcPr>
          <w:p>
            <w:pPr>
              <w:jc w:val="center"/>
              <w:ind w:left="1104"/>
              <w:spacing w:after="0"/>
              <w:rPr>
                <w:sz w:val="20"/>
                <w:szCs w:val="20"/>
                <w:color w:val="auto"/>
              </w:rPr>
            </w:pPr>
            <w:r>
              <w:rPr>
                <w:rFonts w:ascii="Times New Roman" w:cs="Times New Roman" w:eastAsia="Times New Roman" w:hAnsi="Times New Roman"/>
                <w:sz w:val="14"/>
                <w:szCs w:val="14"/>
                <w:color w:val="auto"/>
              </w:rPr>
              <w:t>Shares of Common Stock</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Shares of</w:t>
            </w:r>
          </w:p>
        </w:tc>
        <w:tc>
          <w:tcPr>
            <w:tcW w:w="2360" w:type="dxa"/>
            <w:vAlign w:val="bottom"/>
            <w:gridSpan w:val="2"/>
            <w:vMerge w:val="restart"/>
          </w:tcPr>
          <w:p>
            <w:pPr>
              <w:jc w:val="center"/>
              <w:ind w:right="41"/>
              <w:spacing w:after="0"/>
              <w:rPr>
                <w:sz w:val="20"/>
                <w:szCs w:val="20"/>
                <w:color w:val="auto"/>
              </w:rPr>
            </w:pPr>
            <w:r>
              <w:rPr>
                <w:rFonts w:ascii="Times New Roman" w:cs="Times New Roman" w:eastAsia="Times New Roman" w:hAnsi="Times New Roman"/>
                <w:sz w:val="14"/>
                <w:szCs w:val="14"/>
                <w:color w:val="auto"/>
              </w:rPr>
              <w:t>Shares of Common Stock</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3680" w:type="dxa"/>
            <w:vAlign w:val="bottom"/>
            <w:gridSpan w:val="2"/>
            <w:vMerge w:val="continue"/>
          </w:tcPr>
          <w:p>
            <w:pPr>
              <w:spacing w:after="0"/>
              <w:rPr>
                <w:sz w:val="12"/>
                <w:szCs w:val="12"/>
                <w:color w:val="auto"/>
              </w:rPr>
            </w:pPr>
          </w:p>
        </w:tc>
        <w:tc>
          <w:tcPr>
            <w:tcW w:w="134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Common Stock</w:t>
            </w:r>
          </w:p>
        </w:tc>
        <w:tc>
          <w:tcPr>
            <w:tcW w:w="2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3680" w:type="dxa"/>
            <w:vAlign w:val="bottom"/>
            <w:gridSpan w:val="2"/>
          </w:tcPr>
          <w:p>
            <w:pPr>
              <w:jc w:val="center"/>
              <w:ind w:left="1104"/>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Offered by this</w:t>
            </w:r>
          </w:p>
        </w:tc>
        <w:tc>
          <w:tcPr>
            <w:tcW w:w="2360" w:type="dxa"/>
            <w:vAlign w:val="bottom"/>
            <w:gridSpan w:val="2"/>
          </w:tcPr>
          <w:p>
            <w:pPr>
              <w:jc w:val="center"/>
              <w:ind w:right="41"/>
              <w:spacing w:after="0" w:line="149" w:lineRule="exact"/>
              <w:rPr>
                <w:sz w:val="20"/>
                <w:szCs w:val="20"/>
                <w:color w:val="auto"/>
              </w:rPr>
            </w:pPr>
            <w:r>
              <w:rPr>
                <w:rFonts w:ascii="Times New Roman" w:cs="Times New Roman" w:eastAsia="Times New Roman" w:hAnsi="Times New Roman"/>
                <w:sz w:val="14"/>
                <w:szCs w:val="14"/>
                <w:color w:val="auto"/>
              </w:rPr>
              <w:t>Beneficially Owned</w:t>
            </w:r>
          </w:p>
        </w:tc>
        <w:tc>
          <w:tcPr>
            <w:tcW w:w="0" w:type="dxa"/>
            <w:vAlign w:val="bottom"/>
          </w:tcPr>
          <w:p>
            <w:pPr>
              <w:spacing w:after="0"/>
              <w:rPr>
                <w:sz w:val="1"/>
                <w:szCs w:val="1"/>
                <w:color w:val="auto"/>
              </w:rPr>
            </w:pPr>
          </w:p>
        </w:tc>
      </w:tr>
      <w:tr>
        <w:trPr>
          <w:trHeight w:val="153"/>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Selling stockholder</w:t>
            </w:r>
          </w:p>
        </w:tc>
        <w:tc>
          <w:tcPr>
            <w:tcW w:w="3680" w:type="dxa"/>
            <w:vAlign w:val="bottom"/>
            <w:gridSpan w:val="2"/>
          </w:tcPr>
          <w:p>
            <w:pPr>
              <w:jc w:val="center"/>
              <w:ind w:left="1104"/>
              <w:spacing w:after="0" w:line="153" w:lineRule="exact"/>
              <w:rPr>
                <w:sz w:val="20"/>
                <w:szCs w:val="20"/>
                <w:color w:val="auto"/>
              </w:rPr>
            </w:pPr>
            <w:r>
              <w:rPr>
                <w:rFonts w:ascii="Times New Roman" w:cs="Times New Roman" w:eastAsia="Times New Roman" w:hAnsi="Times New Roman"/>
                <w:sz w:val="14"/>
                <w:szCs w:val="14"/>
                <w:color w:val="auto"/>
              </w:rPr>
              <w:t>Prior to Offering</w:t>
            </w:r>
          </w:p>
        </w:tc>
        <w:tc>
          <w:tcPr>
            <w:tcW w:w="1340" w:type="dxa"/>
            <w:vAlign w:val="bottom"/>
          </w:tcPr>
          <w:p>
            <w:pPr>
              <w:jc w:val="center"/>
              <w:spacing w:after="0" w:line="153" w:lineRule="exact"/>
              <w:rPr>
                <w:sz w:val="20"/>
                <w:szCs w:val="20"/>
                <w:color w:val="auto"/>
              </w:rPr>
            </w:pPr>
            <w:r>
              <w:rPr>
                <w:rFonts w:ascii="Times New Roman" w:cs="Times New Roman" w:eastAsia="Times New Roman" w:hAnsi="Times New Roman"/>
                <w:sz w:val="14"/>
                <w:szCs w:val="14"/>
                <w:color w:val="auto"/>
              </w:rPr>
              <w:t>Prospectus</w:t>
            </w:r>
          </w:p>
        </w:tc>
        <w:tc>
          <w:tcPr>
            <w:tcW w:w="2360" w:type="dxa"/>
            <w:vAlign w:val="bottom"/>
            <w:gridSpan w:val="2"/>
          </w:tcPr>
          <w:p>
            <w:pPr>
              <w:jc w:val="center"/>
              <w:ind w:right="41"/>
              <w:spacing w:after="0" w:line="153" w:lineRule="exact"/>
              <w:rPr>
                <w:sz w:val="20"/>
                <w:szCs w:val="20"/>
                <w:color w:val="auto"/>
              </w:rPr>
            </w:pPr>
            <w:r>
              <w:rPr>
                <w:rFonts w:ascii="Times New Roman" w:cs="Times New Roman" w:eastAsia="Times New Roman" w:hAnsi="Times New Roman"/>
                <w:sz w:val="14"/>
                <w:szCs w:val="14"/>
                <w:color w:val="auto"/>
              </w:rPr>
              <w:t>After Offering</w:t>
            </w: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2600" w:type="dxa"/>
            <w:vAlign w:val="bottom"/>
          </w:tcPr>
          <w:p>
            <w:pPr>
              <w:jc w:val="right"/>
              <w:ind w:right="344"/>
              <w:spacing w:after="0"/>
              <w:rPr>
                <w:sz w:val="20"/>
                <w:szCs w:val="20"/>
                <w:color w:val="auto"/>
              </w:rPr>
            </w:pPr>
            <w:r>
              <w:rPr>
                <w:rFonts w:ascii="Times New Roman" w:cs="Times New Roman" w:eastAsia="Times New Roman" w:hAnsi="Times New Roman"/>
                <w:sz w:val="14"/>
                <w:szCs w:val="14"/>
                <w:color w:val="auto"/>
              </w:rPr>
              <w:t>Number</w:t>
            </w:r>
          </w:p>
        </w:tc>
        <w:tc>
          <w:tcPr>
            <w:tcW w:w="108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Percent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Supplement</w:t>
            </w:r>
          </w:p>
        </w:tc>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Number</w:t>
            </w: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AI DMI LLC</w:t>
            </w:r>
            <w:r>
              <w:rPr>
                <w:rFonts w:ascii="Times New Roman" w:cs="Times New Roman" w:eastAsia="Times New Roman" w:hAnsi="Times New Roman"/>
                <w:sz w:val="25"/>
                <w:szCs w:val="25"/>
                <w:color w:val="auto"/>
                <w:vertAlign w:val="superscript"/>
              </w:rPr>
              <w:t>(1)</w:t>
            </w:r>
          </w:p>
        </w:tc>
        <w:tc>
          <w:tcPr>
            <w:tcW w:w="26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3,762,507</w:t>
            </w:r>
          </w:p>
        </w:tc>
        <w:tc>
          <w:tcPr>
            <w:tcW w:w="10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10.84%</w:t>
            </w:r>
          </w:p>
        </w:tc>
        <w:tc>
          <w:tcPr>
            <w:tcW w:w="13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5"/>
                <w:szCs w:val="25"/>
                <w:color w:val="auto"/>
                <w:vertAlign w:val="superscript"/>
              </w:rPr>
              <w:t>(2)</w:t>
            </w:r>
          </w:p>
        </w:tc>
        <w:tc>
          <w:tcPr>
            <w:tcW w:w="1140" w:type="dxa"/>
            <w:vAlign w:val="bottom"/>
            <w:shd w:val="clear" w:color="auto" w:fill="CCEEFF"/>
          </w:tcPr>
          <w:p>
            <w:pPr>
              <w:ind w:left="240"/>
              <w:spacing w:after="0" w:line="216" w:lineRule="exact"/>
              <w:rPr>
                <w:sz w:val="20"/>
                <w:szCs w:val="20"/>
                <w:color w:val="auto"/>
              </w:rPr>
            </w:pPr>
            <w:r>
              <w:rPr>
                <w:rFonts w:ascii="Times New Roman" w:cs="Times New Roman" w:eastAsia="Times New Roman" w:hAnsi="Times New Roman"/>
                <w:sz w:val="17"/>
                <w:szCs w:val="17"/>
                <w:color w:val="auto"/>
              </w:rPr>
              <w:t>         %</w:t>
            </w:r>
            <w:r>
              <w:rPr>
                <w:rFonts w:ascii="Times New Roman" w:cs="Times New Roman" w:eastAsia="Times New Roman" w:hAnsi="Times New Roman"/>
                <w:sz w:val="25"/>
                <w:szCs w:val="25"/>
                <w:color w:val="auto"/>
                <w:vertAlign w:val="superscript"/>
              </w:rPr>
              <w:t>(2)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line="25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3,558,426 shares of common stock and pre-funded warrants to purchase 204,081 shares of common stock at $0.0001 per share, held by AI DMI LLC. The shares of common stock and pre-funded warrants held by AI DMI LLC may be deemed to be beneficially owned by Access Industries Holdings LLC, or AIH, Access Industries Management, LLC, or AIM, and Len Blavatnik because (i) Mr. Blavatnik controls AIM and holds a majority of the outstanding voting interests in AIH, (ii) AIM controls AIH and (iii) AIH indirectly controls all of the outstanding voting interests in AI DMI LLC. Liam Ratcliffe, a member of our board of directors, is Head of Biotechnology at Access Industries, Inc., which is an affiliate of AI DMI LLC. Each of AIM, AIH, Mr. Blavatnik and Dr. Ratcliffe, and each of their affiliated entities (other than AI DMI LLC) and the officers, partners, members and managers thereof, disclaims beneficial ownership of the shares of common stock and pre-funded warrants held by AI DMI LLC. The address of AI DMI LLC is c/o Access Industries Management, LLC, 40 West 57th Street, 28th Floor, New York, NY 10019. The information set forth above is based on our review of Amendment No. 5 to Schedule 13D filed with the SEC by AI DMI LLC on March 3, 2025 regarding its beneficial ownership of our common stock and the pre-funded warrants as of February 27, 2025.</w:t>
      </w:r>
    </w:p>
    <w:p>
      <w:pPr>
        <w:spacing w:after="0" w:line="5"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exercise of the underwriters’ option to purchase additional shares from the selling stockholder.</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PRE-FUNDED WARRANTS</w:t>
      </w:r>
    </w:p>
    <w:p>
      <w:pPr>
        <w:spacing w:after="0" w:line="229"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this prospectus supplement. The following description is subject in all respects to the provisions contained in the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the investors. The form of pre-funded warrant will be filed as an exhibit to our Current Report on Form 8-K that we expect to file with the SEC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pre-funded warrants do not expire.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Exercisability</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certain limitations described below in “—Exercise Limitations,” the pre-funded warrants are exercisable at any time after their original issuance. The pre-funded warrants will be exercisable, at the option of each holder, in whole or in part by delivering to us a duly executed exercise notice and by payment in full of the exercise price in immediately available funds for the number of shares of common stock purchased upon such exercise. As an alternative to payment in immediately available funds, the holder may elect to exercise the pre-funded warrant through a cashless exercise, in which the holder would receive upon such exercise the net number of shares of common stock determined according to the formula set forth in the pre-funded warrant. No fractional shares of common stock will be issued in connection with the exercise of a pre-funded warrant. In lieu of any fractional shares that would otherwise be issuable, we will pay in cash to an exercising holder the fair market value, determined according to the terms of the pre-funded warrant, for any such fractional shares.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Limitations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Under the pre-funded warrants, we may not effect the exercise of any portion of any pre-funded warrant, and a holder will not be entitled to exercise any portion of any pre-funded warrant, which, upon giving effect to such exercise, would cause the aggregate number of shares of our common stock beneficially owned by the holder (together with its attribution parties (as defined below)) to exceed 24.99% of the number of shares of our common stock that would be outstanding immediately after giving effect to the exercise. Purchasers in this offering may also elect prior to the issuance of pre-funded warrants to have the initial exercise limitation set at any of 4.99%, 9.99% or 19.99% of our outstanding common stock. However, any holder may increase or decrease such percentage to any other percentage not in excess of 24.99%, which increase or decrease shall not become effective until 61 days after notice from the holder to us. Notwithstanding the prior sentence, purchasers in this offering that select an exercise limitation of 19.99% or less will only be allowed to increase the exercise limitation above 19.99% if such increase would not result in a change of control under</w:t>
      </w:r>
    </w:p>
    <w:p>
      <w:pPr>
        <w:ind w:left="120"/>
        <w:spacing w:after="0"/>
        <w:rPr>
          <w:sz w:val="20"/>
          <w:szCs w:val="20"/>
          <w:color w:val="auto"/>
        </w:rPr>
      </w:pPr>
      <w:r>
        <w:rPr>
          <w:rFonts w:ascii="Times New Roman" w:cs="Times New Roman" w:eastAsia="Times New Roman" w:hAnsi="Times New Roman"/>
          <w:sz w:val="18"/>
          <w:szCs w:val="18"/>
          <w:color w:val="auto"/>
        </w:rPr>
        <w:t>Nasdaq rules. For purposes of the foregoing, “attribution parties” means, collectively, the following persons and entities with respect to any holder:</w:t>
      </w:r>
    </w:p>
    <w:p>
      <w:pPr>
        <w:spacing w:after="0" w:line="9" w:lineRule="exact"/>
        <w:rPr>
          <w:sz w:val="20"/>
          <w:szCs w:val="20"/>
          <w:color w:val="auto"/>
        </w:rPr>
      </w:pPr>
    </w:p>
    <w:p>
      <w:pPr>
        <w:ind w:left="120" w:hanging="4"/>
        <w:spacing w:after="0" w:line="255"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direct or indirect affiliates, (ii) any person acting or who could be deemed to be acting as a Section 13(d) “group” together with the holder or any attribution parties and (iii) any other persons whose beneficial ownership of our common stock would or could be aggregated with the holder and/or any other attribution parties for purposes of Section 13(d) or Section 16 of the Exchange Act.</w:t>
      </w:r>
    </w:p>
    <w:p>
      <w:pPr>
        <w:spacing w:after="0" w:line="186" w:lineRule="exact"/>
        <w:rPr>
          <w:sz w:val="20"/>
          <w:szCs w:val="20"/>
          <w:color w:val="auto"/>
        </w:rPr>
      </w:pPr>
    </w:p>
    <w:p>
      <w:pPr>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In addition, if the exercise of a pre-funded warrant would result in a holder of pre-funded warrants (together with its attribution parties) acquiring beneficial ownership of our common stock (together with all other equity owned by such holder at such time) equal to or in excess of the notification threshold applicable to the holder under the HSR Act as of the date of delivery of the applicable exercise notice, which we refer to as the HSR</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Threshold, and no exemption to filing a notice and report form under the HSR Act is applicable, then only such portion of the pre-funded warrants held by such holder, which when exercised does not exceed the HSR Threshold, shall be exercisable and the applicable exercise notice shall be deemed to relate only to such portion of the pre-funded warrants, and the remaining portion of the pre-funded warrants in excess of the HSR Threshold shall not be exercisable until the expiration or early termination of the applicable waiting period under the HSR Act or receipt of applicable approval. For certain holders of pre-funded warrants, upon expiration or early termination of the applicable waiting period under the HSR Act or receipt of applicable approval, such holder shall no longer be subject to any of the limitations on exercise described in this section.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Price</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per whole share of our common stock purchasable upon the exercise of the pre-funded warrants is $0.0001 per share of common stock. The exercise price of the pre-funded warrants and the number of shares of our common stock issuable upon exercise of the pre-funded warrants is subject to appropriate adjustment in the event of certain stock dividends and distributions, stock splits, stock combinations, reclassifications or similar events affecting our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Charges, Taxes and Expenses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Issuance and delivery of shares of common stock upon exercise of a pre-funded warrant will be made without charge to the holder thereof for any issue or transfer tax, transfer agent fee or other incidental tax or expense (excluding any applicable stamp duties) in respect of the issuance thereof, all of which taxes and expenses shall be paid by us. However, we are not required to pay any tax that may be payable in respect of any transfer involved in the registration of any warrant shares or pre-funded warrants in a name other than that of the holder or an affiliate thereof. The holder shall be responsible for all other tax liability that may arise as a result of holding or transferring its pre-funded warrants or receiving shares upon exercise thereof.</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Subject to applicable laws, the pre-funded warrants may be assigned by the holder without our consent. The ownership of the pre-funded warrants and any transfers of the pre-funded warrants will be registered in a warrant register maintained by the warrant agent. We will initially act as warrant agent.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Listing</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We do not plan on applying to list the pre-funded warrants on the Nasdaq Global Market, any other national securities exchange or any other nationally recognized trading system.</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Fundamental Transactions</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but not limited to certain reclassifications of our common stock, the sale, transfer or other disposition of all or substantially all of our properties or assets, our consolidation or merger with or into another person, the tender and acceptance for payment of shares representing more than 50% of the voting power of our capital stock pursuant to any tender or exchange offer (whether by us or another person), and the acquisition by another person of more than 50% of the voting power of our capital stock pursuant to a stock purchase agreement or other business combination, including a reorganization, recapitalization or spin-off (except for any such transaction in which our stockholders immediately prior to such transaction maintain, in substantially the same proportions, voting power of us immediately after the transaction)), upon consummation of such a fundamental transaction, the holders of the pre-funded warrants will be entitled to receive upon exercise of the pre-funded warrants the kind and amount of securities, cash or other property that the holders would have received had they exercised the pre-funded warrants in full immediately prior to such fundamental transaction without regard to any limitations on exercise contained in the pre-funded warrants.</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Rights as a Stockholder</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Except by virtue of such holder’s ownership of shares of our common stock, the holder of a pre-funded warrant does not have the rights or privileges of a holder of our common stock, including any voting rights, until the holder exercises the pre-funded warrant. In the event of certain distributions, including cash dividends, if any, to all holders of our common stock for no consideration, the holder of a pre-funded warrant shall be entitled to participate in such distributions to the same extent as if such holder held the number of shares of our common stock acquirable upon complete exercise of its pre-funded warrant (without regard to any limitations on exercise). If such distribution would result in such holder and the other attribution parties exceeding the exercise limitations described above, a portion of such distribution shall be held in abeyance for the benefit of such holder until such time as the ownership limitations would not be exceeded.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left="480" w:right="18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FOR INVESTORS IN OUR COMMON STOCK AND PRE-FUNDED WARRANTS</w:t>
      </w:r>
    </w:p>
    <w:p>
      <w:pPr>
        <w:spacing w:after="0" w:line="159"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The following summary describes the material U.S. federal income tax considerations of the acquisition, ownership and disposition of our common stock and pre-funded warrants acquired in this offering. This discussion does not address all aspects of U.S. federal income taxes, does not discuss the potential application of the alternative minimum tax or Medicare Contribution tax and does not deal with state or local taxes, U.S. federal gift and estate tax laws or any non-U.S. tax consequences that may be relevant to investors in light of their particular circumstances.</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Special rules different from those described below may apply to certain investors that are subject to special treatment under the Internal Revenue Code of 1986, as amended, or the Code, such as:</w:t>
      </w:r>
    </w:p>
    <w:p>
      <w:pPr>
        <w:spacing w:after="0" w:line="67"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 banks and other financial institutions;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(including private foundations) and tax-qualified retirement plans;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governments and international organizations;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and traders in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Non-U.S. Holders (as defined below) that own or are deemed to own (directly, indirectly or by attribution) more than 5% of our common stock or more than 5% of our pre-funded warrants;</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for U.S. federal income tax purposes to conform the timing of income accruals to their financial statements under Section 451(b) of the Code;</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our common stock or pre-funded warrants as part of a “straddle,” “hedge,” “conversion transaction,” “synthetic security” or integrated investment or other risk reduction strategy;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(as defined below) whose functional currency for U.S. tax purposes is not the U.S. dollar;</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or pre-funded warrants as “capital assets” within the meaning of Section 1221 of the Code (generally, for investment purposes);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Such investors are urged to consult their own tax advisors to determine the U.S. federal, state, local and other tax consequences that may be relevant to them.</w:t>
      </w:r>
    </w:p>
    <w:p>
      <w:pPr>
        <w:spacing w:after="0" w:line="162" w:lineRule="exact"/>
        <w:rPr>
          <w:sz w:val="20"/>
          <w:szCs w:val="20"/>
          <w:color w:val="auto"/>
        </w:rPr>
      </w:pPr>
    </w:p>
    <w:p>
      <w:pPr>
        <w:ind w:left="120" w:right="40" w:firstLine="440"/>
        <w:spacing w:after="0" w:line="289" w:lineRule="auto"/>
        <w:rPr>
          <w:sz w:val="20"/>
          <w:szCs w:val="20"/>
          <w:color w:val="auto"/>
        </w:rPr>
      </w:pPr>
      <w:r>
        <w:rPr>
          <w:rFonts w:ascii="Times New Roman" w:cs="Times New Roman" w:eastAsia="Times New Roman" w:hAnsi="Times New Roman"/>
          <w:sz w:val="17"/>
          <w:szCs w:val="17"/>
          <w:color w:val="auto"/>
        </w:rPr>
        <w:t>In addition, this discussion does not address the tax treatment of partnerships or other pass-through entities or persons who hold our common stock or pre-funded warrants through partnerships or other entities which are pass-through entities for U.S. federal income tax purposes. If a partnership or other pass-through entity holds our common stock or pre-funded warrants, the tax treatment of a partner will generally depend upon the status of the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partner and the activities of the partnership or other pass-through entity. A partner in a partnership or other pass-through entity that will hold our common stock or pre-funded warrants should consult his, her or its own tax advisor regarding the tax consequences of the ownership and disposition of our common stock or pre-funded warrants through a partnership or other pass-through entity, as applicable.</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Furthermore, the discussion below is based upon the provisions of the Code, and Treasury regulations, rulings and judicial decisions thereunder,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Internal Revenue Service, or the IRS, with respect to the statements made and the conclusions reached in the following summary, and there can be no assurance that the IRS will agree with such statements and conclusions or will not take a contrary position regarding the tax consequences described herein, or that any such contrary position would not be sustained by a court.</w:t>
      </w:r>
    </w:p>
    <w:p>
      <w:pPr>
        <w:spacing w:after="0" w:line="187" w:lineRule="exact"/>
        <w:rPr>
          <w:sz w:val="20"/>
          <w:szCs w:val="20"/>
          <w:color w:val="auto"/>
        </w:rPr>
      </w:pPr>
    </w:p>
    <w:p>
      <w:pPr>
        <w:ind w:left="120" w:right="140" w:firstLine="440"/>
        <w:spacing w:after="0" w:line="276" w:lineRule="auto"/>
        <w:rPr>
          <w:sz w:val="20"/>
          <w:szCs w:val="20"/>
          <w:color w:val="auto"/>
        </w:rPr>
      </w:pPr>
      <w:r>
        <w:rPr>
          <w:rFonts w:ascii="Times New Roman" w:cs="Times New Roman" w:eastAsia="Times New Roman" w:hAnsi="Times New Roman"/>
          <w:sz w:val="17"/>
          <w:szCs w:val="17"/>
          <w:color w:val="auto"/>
        </w:rPr>
        <w:t>For the purposes of this discussion, a “U.S. Holder” means a beneficial owner of our common stock or pre-funded warrants, other than a partnership or other pass-through entity, that is, for U.S. federal income tax purposes, (a) an individual who is a citizen or resident of the United States,</w:t>
      </w:r>
    </w:p>
    <w:p>
      <w:pPr>
        <w:spacing w:after="0" w:line="1" w:lineRule="exact"/>
        <w:rPr>
          <w:sz w:val="20"/>
          <w:szCs w:val="20"/>
          <w:color w:val="auto"/>
        </w:rPr>
      </w:pPr>
    </w:p>
    <w:p>
      <w:pPr>
        <w:ind w:left="120" w:right="60" w:hanging="4"/>
        <w:spacing w:after="0" w:line="253" w:lineRule="auto"/>
        <w:tabs>
          <w:tab w:leader="none" w:pos="3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”United States persons” (within the meaning of Section 7701(a)(30) of the Code) have the authority to control all substantial decisions of the trust or (2) has a valid election in effect under applicable U.S. Treasury regulations to be treated as a United States person.</w:t>
      </w:r>
    </w:p>
    <w:p>
      <w:pPr>
        <w:spacing w:after="0" w:line="18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 “Non-U.S. Holder” means a beneficial owner of our common stock or pre-funded warrants, other than a partnership or other pass-through entity, that, for U.S. federal income tax purposes, is (i) a foreign corporation, (ii) nonresident alien individual, or (iii) a foreign estate or trust that in each case is not subject to U.S. federal income tax on a net-income basis on income or gain from common stock or pre-funded warrants.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An individual non-U.S. citizen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spacing w:after="0" w:line="180"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or pre-funded warrants.</w:t>
      </w:r>
    </w:p>
    <w:p>
      <w:pPr>
        <w:spacing w:after="0" w:line="176"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PERSONS CONSIDERING THE PURCHASE OF OUR COMMON STOCK OR PRE-FUNDED WARRANTS PURSUANT TO THIS OFFERING SHOULD CONSULT THEIR OWN TAX ADVISORS CONCERNING THE U.S. FEDERAL INCOME TAX CONSEQUENCES OF ACQUIRING, OWNING AND DISPOSING OF OUR COMMON STOCK OR PRE-FUNDED WARRANTS IN LIGHT OF THEIR PARTICULAR SITUATIONS AS WELL AS ANY CONSEQUENCES ARISING UNDER THE LAWS OF ANY OTHER TAXING JURISDICTION, INCLUDING ANY STATE, LOCAL OR NON-U.S. TAX CONSEQUENCES OR ANY U.S. FEDERAL NON-INCOME TAX CONSEQUENCES, AND THE POSSIBLE APPLICATION OF TAX TREATIES.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Characterization of the Pre-Funded Warrants for Tax Purposes</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Although the characterization of the pre-funded warrants for U.S. federal income tax purposes is not entirely clear, because the exercise price of the pre-funded warrants is a nominal amount, we intend to treat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pre-funded warrants as our common stock for U.S. federal income tax purposes and a holder of pre-funded warrants should generally expect to be taxed in the same manner as a holder of common stock as described below. Accordingly, for U.S. federal income tax purposes, no gain or loss should be recognized upon the exercise of a pre-funded warrant (except to the extent of cash received in lieu of a fractional share), and upon exercise, the holding period of the share of common stock received should include the holding period of the pre-funded warrant. Similarly, the tax basis of a share of common stock received upon exercise of a pre-funded warrant should include the tax basis of the pre-funded warrant increased by the exercise price of $0.0001 per share. The balance of this discussion generally assumes that the characterization described above is respected for U.S. federal income tax purposes.</w:t>
      </w:r>
    </w:p>
    <w:p>
      <w:pPr>
        <w:spacing w:after="0" w:line="17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position with respect to the characterization of pre-funded warrants is not binding on the IRS and the IRS may treat the pre-funded warrants as warrants to acquire our common stock and, if so, the amount and character of a holder’s gain with respect to an investment in our pre-funded warrants could change. Each holder should consult its tax advisor regarding the characterization of pre-funded warrants for U.S. federal income tax purposes, and the consequences of an investment in the pre-funded warrants based on such holder’s own particular facts and circumstances.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stated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expect to make distributions on our common stock (or pre-funded warrants) in the foreseeable future. In the event that we do make distributions of cash or other property, distributions paid on common stock (or pre-funded warrants) will be treated as a dividend to the extent paid out of our current or accumulated earnings and profits (as determined under U.S. federal income tax principles), and will be includible in your income as ordinary income when received. However, with respect to dividends received by individuals, such dividends are generally taxed at the lower applicable qualified dividends rate, provided certain holding period requirements are satisfied. Distributions in excess of our current and accumulated earnings and profits will be treated as a return of capital to the extent of a U.S. Holder’s tax basis in the common stock (or pre-funded warrants) and thereafter as capital gain from the sale or exchange of such common stock (or pre-funded warrants). The tax treatment of such gain is further described in “—</w:t>
      </w:r>
      <w:r>
        <w:rPr>
          <w:rFonts w:ascii="Times New Roman" w:cs="Times New Roman" w:eastAsia="Times New Roman" w:hAnsi="Times New Roman"/>
          <w:sz w:val="18"/>
          <w:szCs w:val="18"/>
          <w:i w:val="1"/>
          <w:iCs w:val="1"/>
          <w:color w:val="auto"/>
        </w:rPr>
        <w:t>Sale or Other Disposition of Common Stock or Pre-funded Warrants</w:t>
      </w:r>
      <w:r>
        <w:rPr>
          <w:rFonts w:ascii="Times New Roman" w:cs="Times New Roman" w:eastAsia="Times New Roman" w:hAnsi="Times New Roman"/>
          <w:sz w:val="18"/>
          <w:szCs w:val="18"/>
          <w:color w:val="auto"/>
        </w:rPr>
        <w:t>” below. Dividends received by a corporation may be eligible for a dividends received deduction, subject to applicable limitations. Any such distributions will also be subject to the discussions below under the section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A U.S. Holder of a pre-funded warrant is entitled to receive certain distributions paid with respect to common stock prior to the exercise of the pre-funded warrant and, in such case, would be taxed in the same manner as a U.S. Holder of common stock that receives such a distribution. However, under certain circumstances, it is possible for the distributions to be held in abeyance for the U.S. Holder until a pre-funded warrant is exercised or the ownership limitations (described under “</w:t>
      </w:r>
      <w:r>
        <w:rPr>
          <w:rFonts w:ascii="Times New Roman" w:cs="Times New Roman" w:eastAsia="Times New Roman" w:hAnsi="Times New Roman"/>
          <w:sz w:val="18"/>
          <w:szCs w:val="18"/>
          <w:i w:val="1"/>
          <w:iCs w:val="1"/>
          <w:color w:val="auto"/>
        </w:rPr>
        <w:t>Description of Pre-Funded Warrants</w:t>
      </w:r>
      <w:r>
        <w:rPr>
          <w:rFonts w:ascii="Times New Roman" w:cs="Times New Roman" w:eastAsia="Times New Roman" w:hAnsi="Times New Roman"/>
          <w:sz w:val="18"/>
          <w:szCs w:val="18"/>
          <w:color w:val="auto"/>
        </w:rPr>
        <w:t>”) would not be exceeded, at which time such U.S. Holder shall be entitled to receive distributions. It is possible that such entitlement to distributions could cause the declaration of a distribution on our common stock to be currently taxable to U.S. Holders of pre-funded warrants, including under the principles governing Section 305 of the Code, even though the holders will not receive such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or Pre-funded Warrants</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or pre-funded warrants by a U.S. Holder will be capital gain or loss, and will be long-term capital gain or loss if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U.S. Holder has held the common stock or pre-funded warrants for more than one year. The amount of the gain or loss will equal the difference between the U.S. holder’s adjusted tax basis in the common stock or pre-funded warrants disposed of and the amount realized on the disposition. Long-term capital gains recognized by non-corporate U.S. Holders will be subject to reduced tax rates. The deductibility of capital losses is subject to limitations.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any payments of distributions on our common stock and pre-funded warrants, constructive distributions on our pre-funded warrants, and gross proceeds on the sale or other disposition of our common stock and pre-funded warrants, unless the U.S. Holder is an exempt recipient (such as a corporation), regardless of whether any tax was actually withheld. Backup withholding (currently at a 24% rate) will apply to those payments if the U.S. Holder fails to provide its correct taxpayer identification number, or certification of exempt status, or if the U.S. Holder is notified by the IRS that it has failed to report in full payments of interest and dividend income. Any amounts withheld under the backup withholding rules will be allowed as a refund or a credit against a U.S. Holder’s U.S. federal income tax liability provided the required information is furnished timely to the IRS.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 and Pre-funded Warrants</w:t>
      </w:r>
    </w:p>
    <w:p>
      <w:pPr>
        <w:spacing w:after="0" w:line="119" w:lineRule="exact"/>
        <w:rPr>
          <w:sz w:val="20"/>
          <w:szCs w:val="20"/>
          <w:color w:val="auto"/>
        </w:rPr>
      </w:pPr>
    </w:p>
    <w:p>
      <w:pPr>
        <w:ind w:left="120" w:right="160" w:firstLine="440"/>
        <w:spacing w:after="0" w:line="275" w:lineRule="auto"/>
        <w:rPr>
          <w:sz w:val="20"/>
          <w:szCs w:val="20"/>
          <w:color w:val="auto"/>
        </w:rPr>
      </w:pPr>
      <w:r>
        <w:rPr>
          <w:rFonts w:ascii="Times New Roman" w:cs="Times New Roman" w:eastAsia="Times New Roman" w:hAnsi="Times New Roman"/>
          <w:sz w:val="17"/>
          <w:szCs w:val="17"/>
          <w:color w:val="auto"/>
        </w:rPr>
        <w:t>As stated under “</w:t>
      </w:r>
      <w:r>
        <w:rPr>
          <w:rFonts w:ascii="Times New Roman" w:cs="Times New Roman" w:eastAsia="Times New Roman" w:hAnsi="Times New Roman"/>
          <w:sz w:val="17"/>
          <w:szCs w:val="17"/>
          <w:i w:val="1"/>
          <w:iCs w:val="1"/>
          <w:color w:val="auto"/>
        </w:rPr>
        <w:t>Dividend Policy</w:t>
      </w:r>
      <w:r>
        <w:rPr>
          <w:rFonts w:ascii="Times New Roman" w:cs="Times New Roman" w:eastAsia="Times New Roman" w:hAnsi="Times New Roman"/>
          <w:sz w:val="17"/>
          <w:szCs w:val="17"/>
          <w:color w:val="auto"/>
        </w:rPr>
        <w:t>,” we do not expect to make any distributions on our common stock (or pre-funded warrants) in the foreseeable future. If we do make distributions on our common stock (or pre-funded warrants),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(or pre-funded warrants). Any remaining excess will be treated as gain realized as described below under the section titled “—</w:t>
      </w:r>
      <w:r>
        <w:rPr>
          <w:rFonts w:ascii="Times New Roman" w:cs="Times New Roman" w:eastAsia="Times New Roman" w:hAnsi="Times New Roman"/>
          <w:sz w:val="17"/>
          <w:szCs w:val="17"/>
          <w:i w:val="1"/>
          <w:iCs w:val="1"/>
          <w:color w:val="auto"/>
        </w:rPr>
        <w:t>Sale or Other Disposition of Common Stock and Pre-funded Warrants</w:t>
      </w:r>
      <w:r>
        <w:rPr>
          <w:rFonts w:ascii="Times New Roman" w:cs="Times New Roman" w:eastAsia="Times New Roman" w:hAnsi="Times New Roman"/>
          <w:sz w:val="17"/>
          <w:szCs w:val="17"/>
          <w:color w:val="auto"/>
        </w:rPr>
        <w:t>.”</w:t>
      </w:r>
    </w:p>
    <w:p>
      <w:pPr>
        <w:spacing w:after="0" w:line="170" w:lineRule="exact"/>
        <w:rPr>
          <w:sz w:val="20"/>
          <w:szCs w:val="20"/>
          <w:color w:val="auto"/>
        </w:rPr>
      </w:pPr>
    </w:p>
    <w:p>
      <w:pPr>
        <w:ind w:left="120" w:right="180" w:firstLine="440"/>
        <w:spacing w:after="0" w:line="253" w:lineRule="auto"/>
        <w:rPr>
          <w:sz w:val="20"/>
          <w:szCs w:val="20"/>
          <w:color w:val="auto"/>
        </w:rPr>
      </w:pPr>
      <w:r>
        <w:rPr>
          <w:rFonts w:ascii="Times New Roman" w:cs="Times New Roman" w:eastAsia="Times New Roman" w:hAnsi="Times New Roman"/>
          <w:sz w:val="18"/>
          <w:szCs w:val="18"/>
          <w:color w:val="auto"/>
        </w:rPr>
        <w:t>Any distribution on our common stock (or pre-funded warrants)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A Non-U.S. holder that is eligible for a reduced rate of U.S. withholding tax under an income tax treaty should consult with its own tax advisor to determine if such holder is able to obtain a refund or credit of any excess amounts withheld by timely filing an appropriate claim for a refund with the IRS.</w:t>
      </w:r>
    </w:p>
    <w:p>
      <w:pPr>
        <w:spacing w:after="0" w:line="19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(or any applicable withholding agent)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shares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of our common stock are held through a financial institution or other agent, to the applicable withholding agent). In general, such effectively connected dividends will be subject to U.S. federal income tax on a net income basis at the regular rates applicable to U.S. persons, unless a specific treaty exemption applies.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83"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A Non-U.S. Holder of a pre-funded warrant is entitled to receive certain distributions paid with respect to common stock prior to the exercise of the pre-funded warrant and, in such case, would be taxed in the same manner as a Non-U.S. Holder of common stock that receives such a distribution. However, under certain circumstances, it is possible for the distribution to be held in abeyance for a Non-U.S. Holder until a pre-funded warrant is exercised or the ownership limitations (described under “</w:t>
      </w:r>
      <w:r>
        <w:rPr>
          <w:rFonts w:ascii="Times New Roman" w:cs="Times New Roman" w:eastAsia="Times New Roman" w:hAnsi="Times New Roman"/>
          <w:sz w:val="17"/>
          <w:szCs w:val="17"/>
          <w:i w:val="1"/>
          <w:iCs w:val="1"/>
          <w:color w:val="auto"/>
        </w:rPr>
        <w:t>Description of Pre-Funded Warrants</w:t>
      </w:r>
      <w:r>
        <w:rPr>
          <w:rFonts w:ascii="Times New Roman" w:cs="Times New Roman" w:eastAsia="Times New Roman" w:hAnsi="Times New Roman"/>
          <w:sz w:val="17"/>
          <w:szCs w:val="17"/>
          <w:color w:val="auto"/>
        </w:rPr>
        <w:t>”) would not be exceeded, at which time the Non-U.S. Holder shall be entitled to receive distributions. It is possible that such entitlement to distributions could cause the declaration of a distribution on our common stock to be currently taxable to Non-U.S. Holders of pre-funded warrants, including under the principles governing Section 305 of the Code, even though such holders will not receive the distributions until a future date. Additionally, it is possible that other adjustments to the terms of the pre-funded warrants can be considered a constructive distribution under Section 305 of the Code. A holder of a pre-funded warrant should consult its tax advisor regarding the tax treatment of any distribution with respect to such pre-funded warrant that is held in abeyance in connection with any applicable limitation on the holder’s beneficial ownership of our common stock and the tax treatment of any other adjustments to the pre-funded warrants.</w:t>
      </w:r>
    </w:p>
    <w:p>
      <w:pPr>
        <w:spacing w:after="0" w:line="175" w:lineRule="exact"/>
        <w:rPr>
          <w:sz w:val="20"/>
          <w:szCs w:val="20"/>
          <w:color w:val="auto"/>
        </w:rPr>
      </w:pPr>
    </w:p>
    <w:p>
      <w:pPr>
        <w:ind w:left="120" w:right="580" w:firstLine="440"/>
        <w:spacing w:after="0" w:line="284" w:lineRule="auto"/>
        <w:rPr>
          <w:sz w:val="20"/>
          <w:szCs w:val="20"/>
          <w:color w:val="auto"/>
        </w:rPr>
      </w:pPr>
      <w:r>
        <w:rPr>
          <w:rFonts w:ascii="Times New Roman" w:cs="Times New Roman" w:eastAsia="Times New Roman" w:hAnsi="Times New Roman"/>
          <w:sz w:val="18"/>
          <w:szCs w:val="18"/>
          <w:color w:val="auto"/>
        </w:rPr>
        <w:t>See also the section below titled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for additional withholding rules that may apply to dividends paid to certain foreign financial institutions or non-financial foreign entities.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 and Pre-funded Warrants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Subject to the discussion below under the sections titled “—</w:t>
      </w:r>
      <w:r>
        <w:rPr>
          <w:rFonts w:ascii="Times New Roman" w:cs="Times New Roman" w:eastAsia="Times New Roman" w:hAnsi="Times New Roman"/>
          <w:sz w:val="18"/>
          <w:szCs w:val="18"/>
          <w:i w:val="1"/>
          <w:iCs w:val="1"/>
          <w:color w:val="auto"/>
        </w:rPr>
        <w:t>Information Reporting and Backup Withholding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Foreign Accounts</w:t>
      </w:r>
      <w:r>
        <w:rPr>
          <w:rFonts w:ascii="Times New Roman" w:cs="Times New Roman" w:eastAsia="Times New Roman" w:hAnsi="Times New Roman"/>
          <w:sz w:val="18"/>
          <w:szCs w:val="18"/>
          <w:color w:val="auto"/>
        </w:rPr>
        <w:t>,” a Non-U.S. Holder generally will not be subject to U.S. federal income or withholding tax with respect to gain realized on a sale or other disposition of our common stock or pre-funded warrants unless (a) the gain is effectively connected with a trade or business of the holder in the United States (and, if required by an applicable income tax treaty, is attributable to a permanent establishment or fixed base that the holder maintains in the United States), (b) the Non-U.S. Holder is a nonresident alien individual and is present in the United States for a period or periods aggregating 183 or more days in the taxable year of the disposition and certain other conditions are met, or (c) we are or have been a “United States real property holding corporation” within the meaning of Code Section 897(c)(2), unless any class of our stock is regularly traded on an established securities market and the Non-U.S. Holder disposes of such class of stock and holds no more than 5% of such class of stock, directly or indirectly, actually or constructively, during the shorter of the 5-year period ending on the date of the disposition or the period that the Non-U.S. Holder held such class of stock.</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you are a Non-U.S. Holder described in (a) above, you will be required to pay tax on the net gain derived from the sale at the regular U.S. federal income tax rates applicable to U.S. persons, unless a specific treaty exemption applies. Corporate Non-U.S. Holders described in (a) above may also be subject to the additional branch profits tax at a 30% rate or such lower rate as may be specified by an applicable income tax treaty. An individual Non-U.S. Holder described in (b) above will be required to pay a flat 30% tax on the gain derived from the sale, which gain may be offset by certain U.S. source capital losses (even though such holder is not considered a resident of the United States), provided such holder has timely filed U.S. federal income tax returns with respect to such losses. With respect to (c) above, in general, we would be a U.S. real property holding corporation if interests in U.S. real estate comprised (by fair market value) at least half of our worldwide real property interests plus our other assets used or held for use in a trade or business. We believe that we are not, and do not anticipate becoming, a U.S. real property holding corporation. However, there can be no assurance that we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will not become a U.S. real property holding corporation in the future. Special rules may apply to holders of pre-funded warrants. Non-U.S. Holders of pre-funded warrants should consult their own tax advisors regarding the application of these rules to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81" w:lineRule="auto"/>
        <w:rPr>
          <w:sz w:val="20"/>
          <w:szCs w:val="20"/>
          <w:color w:val="auto"/>
        </w:rPr>
      </w:pPr>
      <w:r>
        <w:rPr>
          <w:rFonts w:ascii="Times New Roman" w:cs="Times New Roman" w:eastAsia="Times New Roman" w:hAnsi="Times New Roman"/>
          <w:sz w:val="17"/>
          <w:szCs w:val="17"/>
          <w:color w:val="auto"/>
        </w:rPr>
        <w:t>Generally, we or certain financial middlemen must report information to the IRS with respect to any distributions we pay on our common stock or pre-funded warrants and any constructive distributions deemed paid on pre-funded warrants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64"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U.S. person.</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Under current U.S. federal income tax law, U.S. information reporting and backup withholding requirements generally will apply to the proceeds of a disposition of our common stock or pre-funded warrants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If backup withholding is applied to a Non-U.S. Holder, such Non-U.S. holder should consult with its own tax advisor to determine whether such Non-U.S. Holder has overpaid U.S. federal income tax, and whether such Non-U.S. holder is able to obtain a tax refund or credit of the overpaid amount.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addition to, and separately from the withholding rules described above, U.S. federal withholding taxes may apply under the Foreign Account Tax Compliance Act, or FATCA, on certain types of payments, including dividends to non-U.S. financial institutions and certain other non-U.S. entities. Specifically, a 30% withholding tax may be imposed on dividends paid in respect of our common stock or pre-funded warrants, constructive distributions deemed paid with respect to pre-funded warrants and the gross proceeds of the disposition of our common stock or pre-funded warrants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The 30% federal withholding tax described in this paragraph cannot be reduced under an income tax treaty with the United States.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9" w:lineRule="auto"/>
        <w:rPr>
          <w:sz w:val="20"/>
          <w:szCs w:val="20"/>
          <w:color w:val="auto"/>
        </w:rPr>
      </w:pPr>
      <w:r>
        <w:rPr>
          <w:rFonts w:ascii="Times New Roman" w:cs="Times New Roman" w:eastAsia="Times New Roman" w:hAnsi="Times New Roman"/>
          <w:sz w:val="17"/>
          <w:szCs w:val="17"/>
          <w:color w:val="auto"/>
        </w:rPr>
        <w:t>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58"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Treasury Secretary has issued proposed regulations providing that the withholding provisions under FATCA do not apply with respect to payment of gross proceeds from a sale or other disposition, which may be relied upon by taxpayers until final regulations are issued. Prospective investors should consult their tax advisors regarding the potential application of withholding under FATCA to their investment in our common stock or pre-funded warrants.</w:t>
      </w:r>
    </w:p>
    <w:p>
      <w:pPr>
        <w:spacing w:after="0" w:line="180" w:lineRule="exact"/>
        <w:rPr>
          <w:sz w:val="20"/>
          <w:szCs w:val="20"/>
          <w:color w:val="auto"/>
        </w:rPr>
      </w:pPr>
    </w:p>
    <w:p>
      <w:pPr>
        <w:ind w:left="120" w:right="400" w:firstLine="440"/>
        <w:spacing w:after="0" w:line="261" w:lineRule="auto"/>
        <w:rPr>
          <w:sz w:val="20"/>
          <w:szCs w:val="20"/>
          <w:color w:val="auto"/>
        </w:rPr>
      </w:pPr>
      <w:r>
        <w:rPr>
          <w:rFonts w:ascii="Times New Roman" w:cs="Times New Roman" w:eastAsia="Times New Roman" w:hAnsi="Times New Roman"/>
          <w:sz w:val="18"/>
          <w:szCs w:val="18"/>
          <w:color w:val="auto"/>
        </w:rPr>
        <w:t>EACH PROSPECTIVE INVESTOR SHOULD CONSULT ITS OWN TAX ADVISOR REGARDING THE TAX CONSEQUENCES OF PURCHASING, HOLDING AND DISPOSING OF OUR COMMON STOCK AND PRE-FUNDED WARRANTS, INCLUDING THE CONSEQUENCES OF ANY PROPOSED CHANGE IN APPLICABLE LAW, AS WELL AS TAX CONSEQUENCES ARISING UNDER ANY STATE, LOCAL, NON-U.S. OR U.S. FEDERAL NON-INCOME TAX LAWS SUCH AS ESTATE AND GIFT TAX.</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are offering the shares of common stock and pre-funded warrants, and the selling stockholder is offering shares of common stock, described in this prospectus supplement through a number of underwriters. Jefferies LLC, Leerink Partners LLC, Morgan Stanley &amp; Co. LLC and Cantor Fitzgerald &amp; Co. are acting as joint book-running managers of the offering and as representatives of the underwriters. We and the selling stockholder intend to enter into an underwriting agreement with the underwriters. Subject to the terms and conditions of the underwriting agreement, we and the selling stockholder have agreed to sell to the underwriters, and each underwriter has severally agreed to purchase, at the public offering price less the underwriting discounts and commissions set forth on the cover page of this prospectus supplement, the number of shares of common stock and pre-funded warrants listed next to its name in the following table:</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960" w:type="dxa"/>
            <w:vAlign w:val="bottom"/>
            <w:gridSpan w:val="4"/>
            <w:vMerge w:val="restart"/>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10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gridSpan w:val="4"/>
            <w:vMerge w:val="continue"/>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73"/>
        </w:trPr>
        <w:tc>
          <w:tcPr>
            <w:tcW w:w="6000" w:type="dxa"/>
            <w:vAlign w:val="bottom"/>
            <w:tcBorders>
              <w:bottom w:val="single" w:sz="8" w:color="CCEEFF"/>
            </w:tcBorders>
            <w:vMerge w:val="continue"/>
          </w:tcPr>
          <w:p>
            <w:pPr>
              <w:spacing w:after="0"/>
              <w:rPr>
                <w:sz w:val="15"/>
                <w:szCs w:val="15"/>
                <w:color w:val="auto"/>
              </w:rPr>
            </w:pPr>
          </w:p>
        </w:tc>
        <w:tc>
          <w:tcPr>
            <w:tcW w:w="72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gridSpan w:val="3"/>
          </w:tcPr>
          <w:p>
            <w:pPr>
              <w:jc w:val="center"/>
              <w:ind w:left="131"/>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LLC</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Leerink Partners LLC</w:t>
            </w:r>
          </w:p>
        </w:tc>
        <w:tc>
          <w:tcPr>
            <w:tcW w:w="340" w:type="dxa"/>
            <w:vAlign w:val="bottom"/>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spacing w:after="0"/>
              <w:rPr>
                <w:sz w:val="18"/>
                <w:szCs w:val="18"/>
                <w:color w:val="auto"/>
              </w:rPr>
            </w:pPr>
          </w:p>
        </w:tc>
        <w:tc>
          <w:tcPr>
            <w:tcW w:w="360" w:type="dxa"/>
            <w:vAlign w:val="bottom"/>
          </w:tcPr>
          <w:p>
            <w:pPr>
              <w:ind w:left="2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3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tcPr>
          <w:p>
            <w:pPr>
              <w:spacing w:after="0"/>
              <w:rPr>
                <w:sz w:val="19"/>
                <w:szCs w:val="19"/>
                <w:color w:val="auto"/>
              </w:rPr>
            </w:pPr>
          </w:p>
        </w:tc>
        <w:tc>
          <w:tcPr>
            <w:tcW w:w="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1"/>
                <w:szCs w:val="11"/>
                <w:color w:val="auto"/>
                <w:w w:val="72"/>
              </w:rPr>
              <w:t> </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underwriters are committed to purchase all the shares of common stock and pre-funded warrants offered by us if they purchase any shares or pre-funded warrants. The underwriting agreement also provides that if an underwriter defaults, the purchase commitments of non-defaulting underwriters may also be increased or the offering may be terminated.</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underwriters propose to offer the shares of common stock and pre-funded warrants directly to the public at the public offering price set forth on the cover page of this prospectus supplement and to certain dealers at that price less a concession not in excess of $      per share. After the initial offering of the shares to the public, if all of the shares are not sold at the public offering price, the underwriters may change the offering price and the other selling terms. Sales of any shares made outside of the United States may be made by affiliates of the underwriters. The offering of the shares by the underwriters is subject to receipt and acceptance and subject to the underwriters’ right to reject any order in whole or in part.</w:t>
      </w:r>
    </w:p>
    <w:p>
      <w:pPr>
        <w:spacing w:after="0" w:line="183"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selling stockholder has granted to the underwriters an option, exercisable for 30 days from the date of this prospectus supplement, to purchase, from time to time, in whole or in part, up to an aggregate of       shares of our common stock from the selling stockholder at the public offering price set forth on the cover page of this prospectus supplement, less underwriting discounts and commissions. If the underwriters exercise this option, each underwriter will be obligated, subject to specified conditions, to purchase a number of additional shares of common stock proportionate to that underwriter’s initial purchase commitment as indicated in the table above.</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share of common stock less the amount paid by the underwriters to us per share of common stock, or the offering price per pre-funded warrant less the amount paid by the underwriters to us per pre-funded warrant, as the case may be. The underwriting fee is $      per share and per pre-funded warrant. The following table shows the per share, per pre-funded warrant and total underwriting discounts and commissions to be paid to the underwriters, assuming both no exercise and full exercise of the underwriters’ option to purchase additional shares.</w:t>
      </w:r>
    </w:p>
    <w:p>
      <w:pPr>
        <w:spacing w:after="0" w:line="19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60" w:type="dxa"/>
            <w:vAlign w:val="bottom"/>
            <w:vMerge w:val="restart"/>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Without</w:t>
            </w:r>
          </w:p>
        </w:tc>
        <w:tc>
          <w:tcPr>
            <w:tcW w:w="11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1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With full</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60" w:type="dxa"/>
            <w:vAlign w:val="bottom"/>
          </w:tcPr>
          <w:p>
            <w:pPr>
              <w:jc w:val="cente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1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Pre-</w:t>
            </w:r>
          </w:p>
        </w:tc>
        <w:tc>
          <w:tcPr>
            <w:tcW w:w="960" w:type="dxa"/>
            <w:vAlign w:val="bottom"/>
          </w:tcPr>
          <w:p>
            <w:pPr>
              <w:jc w:val="cente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180" w:type="dxa"/>
            <w:vAlign w:val="bottom"/>
          </w:tcPr>
          <w:p>
            <w:pPr>
              <w:jc w:val="center"/>
              <w:ind w:left="301"/>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960" w:type="dxa"/>
            <w:vAlign w:val="bottom"/>
          </w:tcPr>
          <w:p>
            <w:pPr>
              <w:jc w:val="cente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1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500" w:type="dxa"/>
            <w:vAlign w:val="bottom"/>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340" w:type="dxa"/>
            <w:vAlign w:val="bottom"/>
          </w:tcPr>
          <w:p>
            <w:pPr>
              <w:spacing w:after="0"/>
              <w:rPr>
                <w:sz w:val="12"/>
                <w:szCs w:val="12"/>
                <w:color w:val="auto"/>
              </w:rPr>
            </w:pPr>
          </w:p>
        </w:tc>
        <w:tc>
          <w:tcPr>
            <w:tcW w:w="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Funded</w:t>
            </w:r>
          </w:p>
        </w:tc>
        <w:tc>
          <w:tcPr>
            <w:tcW w:w="960" w:type="dxa"/>
            <w:vAlign w:val="bottom"/>
          </w:tcPr>
          <w:p>
            <w:pPr>
              <w:jc w:val="cente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80" w:type="dxa"/>
            <w:vAlign w:val="bottom"/>
          </w:tcPr>
          <w:p>
            <w:pPr>
              <w:jc w:val="center"/>
              <w:ind w:left="321"/>
              <w:spacing w:after="0" w:line="149"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1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960" w:type="dxa"/>
            <w:vAlign w:val="bottom"/>
          </w:tcPr>
          <w:p>
            <w:pPr>
              <w:jc w:val="center"/>
              <w:ind w:lef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180" w:type="dxa"/>
            <w:vAlign w:val="bottom"/>
          </w:tcPr>
          <w:p>
            <w:pPr>
              <w:jc w:val="center"/>
              <w:ind w:left="321"/>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xml:space="preserve">$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       </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       </w:t>
            </w:r>
          </w:p>
        </w:tc>
        <w:tc>
          <w:tcPr>
            <w:tcW w:w="1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xml:space="preserve">$       </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to be paid by us</w:t>
            </w:r>
          </w:p>
        </w:tc>
        <w:tc>
          <w:tcPr>
            <w:tcW w:w="1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to be paid by the selling</w:t>
            </w: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w:t>
            </w:r>
          </w:p>
        </w:tc>
        <w:tc>
          <w:tcPr>
            <w:tcW w:w="1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5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stockholder</w:t>
            </w:r>
          </w:p>
        </w:tc>
        <w:tc>
          <w:tcPr>
            <w:tcW w:w="15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total expenses of this offering, including registration, filing and listing fees, printing fees and legal and accounting expenses, but excluding the underwriting discounts and commissions, will be approximately $        .</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and all of our directors and executive officers and the selling stockholder have agreed that, without the prior written consent of Jefferies LLC, Leerink Partners LLC and Morgan Stanley &amp; Co. LLC, we and they will not, and will not publicly disclose an intention to, during the period ending 45 days after the date of this prospectus supplement (the “restricted period”):</w:t>
      </w:r>
    </w:p>
    <w:p>
      <w:pPr>
        <w:spacing w:after="0" w:line="81" w:lineRule="exact"/>
        <w:rPr>
          <w:sz w:val="20"/>
          <w:szCs w:val="20"/>
          <w:color w:val="auto"/>
        </w:rPr>
      </w:pPr>
    </w:p>
    <w:p>
      <w:pPr>
        <w:ind w:left="1080" w:hanging="424"/>
        <w:spacing w:after="0" w:line="266"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subject to the lock-up agreement;</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 relating to the offering of any shares of common stock or any securities convertible into or exercisable or exchangeable for common stock; or</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the common stock subject to the lock-up agreement;</w:t>
      </w:r>
    </w:p>
    <w:p>
      <w:pPr>
        <w:spacing w:after="0" w:line="162"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common stock or such other securities, in cash or otherwise. In addition, we and each such person agrees that, without the prior written consent of Jefferies LLC, Leerink Partners LLC and Morgan Stanley &amp; Co. LLC, we or such other person will not, during the restricted period, make any demand for, or exercise any right with respect to, the registration of any shares of common stock subject to the lock-up agreement or any security convertible into or exercisable or exchangeable for common stock.</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60"/>
          </w:cols>
          <w:pgMar w:left="320" w:top="455"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us and the selling stockholder, the restrictions described above do not apply to:</w:t>
      </w:r>
    </w:p>
    <w:p>
      <w:pPr>
        <w:spacing w:after="0" w:line="131"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sold under the underwriting agreement;</w:t>
      </w:r>
    </w:p>
    <w:p>
      <w:pPr>
        <w:spacing w:after="0" w:line="130"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upon the exercise of an option or a warrant or the conversion of a security outstanding on the date of this prospectus supplement in the manner described in this prospectus supplement or the information incorporated by reference herein;</w:t>
      </w:r>
    </w:p>
    <w:p>
      <w:pPr>
        <w:spacing w:after="0" w:line="67" w:lineRule="exact"/>
        <w:rPr>
          <w:rFonts w:ascii="Times New Roman" w:cs="Times New Roman" w:eastAsia="Times New Roman" w:hAnsi="Times New Roman"/>
          <w:sz w:val="18"/>
          <w:szCs w:val="18"/>
          <w:color w:val="auto"/>
        </w:rPr>
      </w:pPr>
    </w:p>
    <w:p>
      <w:pPr>
        <w:ind w:left="540" w:right="280" w:hanging="424"/>
        <w:spacing w:after="0" w:line="261"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shares of common stock or other securities acquired in open market transactions after the completion of the offering of the shares; provided that no filing under Section 16(a) of the Securities Exchange Act of 1934, as amended (the “Exchange Act”), is required or voluntarily made in connection with subsequent sales of the common stock or other securities acquired in such open market transactions;</w:t>
      </w:r>
    </w:p>
    <w:p>
      <w:pPr>
        <w:spacing w:after="0" w:line="85"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by us of registration statements on Form S-8 with respect to the employee benefit plans described in this prospectus supplement or the documents incorporated by reference herein;</w:t>
      </w:r>
    </w:p>
    <w:p>
      <w:pPr>
        <w:spacing w:after="0" w:line="67"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shares of common stock or options to purchase shares of common stock to our employees, officers, directors, advisors or consultants pursuant to employee benefit plans described in this prospectus supplement or in the information incorporated by reference herein, provided that, prior to the issuance of any such shares or the grant of any such options to any director or executive officer elected or appointed following the date of this prospectus supplement and prior to the end of the Restricted Period, we shall cause each such recipient of such grant or issuance to execute and deliver a “lock-up” agreement;</w:t>
      </w:r>
    </w:p>
    <w:p>
      <w:pPr>
        <w:spacing w:after="0" w:line="88" w:lineRule="exact"/>
        <w:rPr>
          <w:rFonts w:ascii="Times New Roman" w:cs="Times New Roman" w:eastAsia="Times New Roman" w:hAnsi="Times New Roman"/>
          <w:sz w:val="18"/>
          <w:szCs w:val="18"/>
          <w:color w:val="auto"/>
        </w:rPr>
      </w:pPr>
    </w:p>
    <w:p>
      <w:pPr>
        <w:ind w:left="540" w:right="20" w:hanging="424"/>
        <w:spacing w:after="0" w:line="25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issuance of or entry into an agreement to sell or issue shares of common stock in connection with our acquisition of one or more businesses, products, assets or technologies (whether by means of merger, stock purchase, asset purchase or otherwise) or in connection with joint ventures, collaboration or licensing agreements, marketing or distribution arrangements, commercial relationships or other strategic transactions; provided, that, the aggregate number of shares of our common stock that we may sell or issue or agree to sell or issue may not exceed 5% of the total number of shares of our common stock issued and outstanding immediately following the completion of the transactions contemplated by the underwriting agreement and provided further that we cause each recipient of such shares to execute and a lock up agreement;</w:t>
      </w:r>
    </w:p>
    <w:p>
      <w:pPr>
        <w:spacing w:after="0" w:line="92" w:lineRule="exact"/>
        <w:rPr>
          <w:rFonts w:ascii="Times New Roman" w:cs="Times New Roman" w:eastAsia="Times New Roman" w:hAnsi="Times New Roman"/>
          <w:sz w:val="18"/>
          <w:szCs w:val="18"/>
          <w:color w:val="auto"/>
        </w:rPr>
      </w:pPr>
    </w:p>
    <w:p>
      <w:pPr>
        <w:ind w:left="540" w:right="140" w:hanging="424"/>
        <w:spacing w:after="0" w:line="258"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us regarding the establishment of such plan, such announcement or filing shall include a statement to the effect that no transfer of common stock may be made under such plan during the restricted period; or</w:t>
      </w:r>
    </w:p>
    <w:p>
      <w:pPr>
        <w:spacing w:after="0" w:line="88"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shares of Common Stock pursuant to a placement made under any “at-the-market” offering program described in the Time of Sale Prospectus and the Prospectus, provided that no shares may be offered or sold pursuant to such program during the period ending 30 days after the date of the Prospectus.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relation to our directors and executive officers and the selling stockholder, the restrictions described above do not apply to:</w:t>
      </w:r>
    </w:p>
    <w:p>
      <w:pPr>
        <w:spacing w:after="0" w:line="131" w:lineRule="exact"/>
        <w:rPr>
          <w:sz w:val="20"/>
          <w:szCs w:val="20"/>
          <w:color w:val="auto"/>
        </w:rPr>
      </w:pPr>
    </w:p>
    <w:p>
      <w:pPr>
        <w:ind w:left="540" w:right="12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in such open market transactions;</w:t>
      </w:r>
    </w:p>
    <w:p>
      <w:pPr>
        <w:spacing w:after="0" w:line="81" w:lineRule="exact"/>
        <w:rPr>
          <w:rFonts w:ascii="Times New Roman" w:cs="Times New Roman" w:eastAsia="Times New Roman" w:hAnsi="Times New Roman"/>
          <w:sz w:val="18"/>
          <w:szCs w:val="18"/>
          <w:color w:val="auto"/>
        </w:rPr>
      </w:pPr>
    </w:p>
    <w:p>
      <w:pPr>
        <w:ind w:left="540" w:right="220" w:hanging="424"/>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460" w:hanging="424"/>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any immediate family member or any trust for the direct or indirect benefit of any immediate family member in a transaction not involving a disposition for value;</w:t>
      </w:r>
    </w:p>
    <w:p>
      <w:pPr>
        <w:spacing w:after="0" w:line="81" w:lineRule="exact"/>
        <w:rPr>
          <w:rFonts w:ascii="Times New Roman" w:cs="Times New Roman" w:eastAsia="Times New Roman" w:hAnsi="Times New Roman"/>
          <w:sz w:val="18"/>
          <w:szCs w:val="18"/>
          <w:color w:val="auto"/>
        </w:rPr>
      </w:pPr>
    </w:p>
    <w:p>
      <w:pPr>
        <w:ind w:left="540" w:right="200" w:hanging="424"/>
        <w:spacing w:after="0" w:line="266"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shares of common stock or any security convertible into common stock to general or limited partners, members, beneficiaries or other equityholders, direct or indirect affiliates (as defined in Rule 405 promulgated under the Securities Act) or to an investment fund or other entity that controls or manages, or is under common control with certain holders and their affiliates;</w:t>
      </w:r>
    </w:p>
    <w:p>
      <w:pPr>
        <w:spacing w:after="0" w:line="81" w:lineRule="exact"/>
        <w:rPr>
          <w:rFonts w:ascii="Times New Roman" w:cs="Times New Roman" w:eastAsia="Times New Roman" w:hAnsi="Times New Roman"/>
          <w:sz w:val="18"/>
          <w:szCs w:val="18"/>
          <w:color w:val="auto"/>
        </w:rPr>
      </w:pPr>
    </w:p>
    <w:p>
      <w:pPr>
        <w:ind w:left="540" w:right="40" w:hanging="424"/>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their immediate family upon their death or (ii) by operation of law pursuant to orders of a court or regulatory agency, in connection with a negotiated divorce settlement or pursuant to a qualified domestic relations order;</w:t>
      </w:r>
    </w:p>
    <w:p>
      <w:pPr>
        <w:spacing w:after="0" w:line="85" w:lineRule="exact"/>
        <w:rPr>
          <w:rFonts w:ascii="Times New Roman" w:cs="Times New Roman" w:eastAsia="Times New Roman" w:hAnsi="Times New Roman"/>
          <w:sz w:val="18"/>
          <w:szCs w:val="18"/>
          <w:color w:val="auto"/>
        </w:rPr>
      </w:pPr>
    </w:p>
    <w:p>
      <w:pPr>
        <w:ind w:left="540" w:right="300" w:hanging="424"/>
        <w:spacing w:after="0" w:line="257"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any security convertible into or exercisable or exchangeable for common stock to us pursuant to any contractual arrangement in effect on the date of this agreement and disclosed to the underwriter in writing that provides for the repurchase of common stock or other securities by us or in connection with the termination of employment with or service to us; provided that</w:t>
      </w:r>
    </w:p>
    <w:p>
      <w:pPr>
        <w:spacing w:after="0" w:line="1" w:lineRule="exact"/>
        <w:rPr>
          <w:rFonts w:ascii="Times New Roman" w:cs="Times New Roman" w:eastAsia="Times New Roman" w:hAnsi="Times New Roman"/>
          <w:sz w:val="18"/>
          <w:szCs w:val="18"/>
          <w:color w:val="auto"/>
        </w:rPr>
      </w:pPr>
    </w:p>
    <w:p>
      <w:pPr>
        <w:ind w:left="5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repurchase price for any such shares or securities shall not exceed the original purchase price (subject to appropriate adjustment in the event of any stock dividend, stock split, combination or other similar recapitalization) paid and (ii) any filing under Section 16(a) of the Exchange Act reporting a reduction in beneficial ownership of shares of common stock shall indicate by footnote disclosure or otherwise the nature of the transfer or disposition);</w:t>
      </w:r>
    </w:p>
    <w:p>
      <w:pPr>
        <w:spacing w:after="0" w:line="94" w:lineRule="exact"/>
        <w:rPr>
          <w:rFonts w:ascii="Times New Roman" w:cs="Times New Roman" w:eastAsia="Times New Roman" w:hAnsi="Times New Roman"/>
          <w:sz w:val="18"/>
          <w:szCs w:val="18"/>
          <w:color w:val="auto"/>
        </w:rPr>
      </w:pPr>
    </w:p>
    <w:p>
      <w:pPr>
        <w:ind w:left="540" w:hanging="424"/>
        <w:spacing w:after="0" w:line="253"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provided that (i) such convertible security, option or warrant is described in the prospectus and is outstanding on the date thereof, (ii) any such shares of common stock received by the undersigned shall be subject to the terms of this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 of the offering;</w:t>
      </w:r>
    </w:p>
    <w:p>
      <w:pPr>
        <w:spacing w:after="0" w:line="99" w:lineRule="exact"/>
        <w:rPr>
          <w:rFonts w:ascii="Times New Roman" w:cs="Times New Roman" w:eastAsia="Times New Roman" w:hAnsi="Times New Roman"/>
          <w:sz w:val="18"/>
          <w:szCs w:val="18"/>
          <w:color w:val="auto"/>
        </w:rPr>
      </w:pPr>
    </w:p>
    <w:p>
      <w:pPr>
        <w:ind w:left="540" w:right="180" w:hanging="424"/>
        <w:spacing w:after="0" w:line="258"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or dispositions of shares of common stock or other securities to us in connection with the vesting or settlement of restricted stock units, so long as such sale is effected pursuant to our sell to cover policy solely in an amount sufficient to cover withhold taxes, provided that (i) to the extent a filing under Section 16(a) of the Exchange Act shall be required, the filing shall clearly indicate in the footnotes thereto that the filing relates to the circumstances described herein and (ii) no other public announcement shall be required or shall be made voluntary in connection with such transfer;</w:t>
      </w:r>
    </w:p>
    <w:p>
      <w:pPr>
        <w:spacing w:after="0" w:line="88" w:lineRule="exact"/>
        <w:rPr>
          <w:rFonts w:ascii="Times New Roman" w:cs="Times New Roman" w:eastAsia="Times New Roman" w:hAnsi="Times New Roman"/>
          <w:sz w:val="18"/>
          <w:szCs w:val="18"/>
          <w:color w:val="auto"/>
        </w:rPr>
      </w:pPr>
    </w:p>
    <w:p>
      <w:pPr>
        <w:ind w:left="540" w:right="20" w:hanging="424"/>
        <w:spacing w:after="0" w:line="258"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establishment of a trading plan on behalf of a stockholder, officer or director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or on behalf of the undersigned or us regarding the establishment of such plan, such announcement or filing shall include a statement to the effect that no transfer of common stock may be made under such plan during the restricted period;</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hanging="424"/>
        <w:spacing w:after="0" w:line="257"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our board of directors and occurring after the closing of this offering, the result of which is that any person (as defined in</w:t>
      </w:r>
    </w:p>
    <w:p>
      <w:pPr>
        <w:spacing w:after="0" w:line="1" w:lineRule="exact"/>
        <w:rPr>
          <w:rFonts w:ascii="Times New Roman" w:cs="Times New Roman" w:eastAsia="Times New Roman" w:hAnsi="Times New Roman"/>
          <w:sz w:val="18"/>
          <w:szCs w:val="18"/>
          <w:color w:val="auto"/>
        </w:rPr>
      </w:pPr>
    </w:p>
    <w:p>
      <w:pPr>
        <w:ind w:left="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stockholder, officer or director shall remain subject to the restrictions contained in the lock-up agreement and title to the such shares shall remain with the applicable stockholder, officer or director; or</w:t>
      </w:r>
    </w:p>
    <w:p>
      <w:pPr>
        <w:spacing w:after="0" w:line="92"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of shares of common stock pursuant to a written trading plan pursuant to Rule 10b5-1 under the Exchange Act that has been entered into prior to the date of the lock-up agreement; provided that no amendments or other modifications are made to such plans during the restricted period and that, to the extent a public announcement or filing under the Exchange Act, if any, is required or voluntarily made regarding such sales or transfers, such announcement or filing shall include a statement to the effect that the sale or transfer was made pursuant to a trading plan pursuant to Rule 10b5-1 of the Exchange Act;</w:t>
      </w:r>
    </w:p>
    <w:p>
      <w:pPr>
        <w:spacing w:after="0" w:line="183"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provided that in the case of any transfer or distribution pursuant to clause (b), (c), (d) or (e), (i) each transferee, donee or distributee shall sign and deliver a lock-up agreement substantially in the form of the lock-up agreement signed by the transferor, donor or distributor and (ii) no filing under Section 16(a) of the Exchange Act, reporting a reduction in beneficial ownership of shares of common stock, shall be required or shall be voluntarily made during the restricted period (other than, with respect to clause (e) only, any Form 4 or Form 5 required to be filed under the Exchange Act if the undersigned is subject to Section 16 reporting under the Exchange Act due to their relationship with us, in which case any such filing will indicate by footnote disclosure or otherwise the nature of the transfer or disposition).</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underwriters have agreed to reimburse the selling stockholder for certain expenses incurred in connection with the offering.</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Jefferies LLC, Leerink Partners LLC and Morgan Stanley &amp; Co. LLC, in their sole discretion, may release the securities subject to any of the lock-up agreements with the underwriters described above, in whole or in part at any time.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and the selling stockholder have agreed to indemnify the underwriters against certain liabilities, including liabilities under the Securities Act.</w:t>
      </w:r>
    </w:p>
    <w:p>
      <w:pPr>
        <w:spacing w:after="0" w:line="225"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quoted on the Nasdaq Global Market under the symbol “IRON”. We do not intend to list the pre-funded warrants on the Nasdaq Global Market, any other nationally recognized securities exchange or any other nationally recognized trading system.</w:t>
      </w:r>
    </w:p>
    <w:p>
      <w:pPr>
        <w:spacing w:after="0" w:line="162"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this offering, the underwriters may engage in stabilizing transactions, which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060"/>
          </w:cols>
          <w:pgMar w:left="320" w:top="455" w:right="5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80" w:lineRule="exact"/>
        <w:rPr>
          <w:sz w:val="20"/>
          <w:szCs w:val="20"/>
          <w:color w:val="auto"/>
        </w:rPr>
      </w:pPr>
    </w:p>
    <w:p>
      <w:pPr>
        <w:ind w:left="120" w:right="440" w:firstLine="440"/>
        <w:spacing w:after="0" w:line="261" w:lineRule="auto"/>
        <w:rPr>
          <w:sz w:val="20"/>
          <w:szCs w:val="20"/>
          <w:color w:val="auto"/>
        </w:rPr>
      </w:pPr>
      <w:r>
        <w:rPr>
          <w:rFonts w:ascii="Times New Roman" w:cs="Times New Roman" w:eastAsia="Times New Roman" w:hAnsi="Times New Roman"/>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80"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this offering certain of the underwriters may engage in passive market making transactions in our common stock on The Nasdaq Stock Market prior to the pricing and completion of this offering. Passive market making consists of displaying bids on The Nasdaq Stock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spacing w:after="0" w:line="19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shares or pre-funded warrants have been offered or will be offered pursuant to the offering to the public in that Relevant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State prior to the publication of a prospectus in relation to the shares or pre-funded warrants which has been approved by the competent authority in that Relevant State or, where appropriate, approved in another Relevant State and notified to the competent authority in that Relevant State, all in accordance with the Prospectus Regulation, except that offers of shares or pre-funded warrants may be made to the public in that Relevant State at any time under the following exemptions under the Prospectus Regulation:</w:t>
      </w:r>
    </w:p>
    <w:p>
      <w:pPr>
        <w:spacing w:after="0" w:line="85"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540" w:right="480" w:hanging="424"/>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223"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i w:val="1"/>
          <w:iCs w:val="1"/>
          <w:color w:val="auto"/>
        </w:rPr>
        <w:t>provided that no such offer of shares or pre-funded warrants shall require us or any underwriter to publish a prospectus pursuant to Article 3 of the Prospectus Regulation or supplement a prospectus pursuant to Article 23 of the Prospectus Regulation and each person who initially acquires any shares or pre-funded warrants or to whom any offer is made will be deemed to have represented, acknowledged and agreed to and with each of the underwriters and us that it is a “qualified investor” within the meaning of Article 2(e) of the Prospectus Regulation.</w:t>
      </w:r>
    </w:p>
    <w:p>
      <w:pPr>
        <w:spacing w:after="0" w:line="18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In the case of any shares or pre-funded warrants being offered to a financial intermediary as that term is used in the Prospectus Regulation, each such financial intermediary will be deemed to have represented, acknowledged and agreed that the shares or pre-funded warrants acquired by it in the offer have not been acquired on a non-discretionary basis on behalf of, nor have they been acquired with a view to their offer or resale to, persons in circumstances which may give rise to an offer of any shares or pre-funded warrants to the public other than their offer or resale in a Relevant State to qualified investors as so defined or in circumstances in which the prior consent of the underwriters has been obtained to each such proposed offer or resale.</w:t>
      </w:r>
    </w:p>
    <w:p>
      <w:pPr>
        <w:spacing w:after="0" w:line="187" w:lineRule="exact"/>
        <w:rPr>
          <w:sz w:val="20"/>
          <w:szCs w:val="20"/>
          <w:color w:val="auto"/>
        </w:rPr>
      </w:pPr>
    </w:p>
    <w:p>
      <w:pPr>
        <w:jc w:val="both"/>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the shares in any Relevant State means the communication in any form and by any means of sufficient information on the terms of the offer and any shares or pre-funded warrants to be offered so as to enable an investor to decide to purchase or subscribe for any shares or pre-funded warrants, and the expression “Prospectus Regulation” means Regulation (EU)</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2017/1129.</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 shares or pre-funded warrants have been offered or will be offered pursuant to the offering to the public in the United Kingdom prior to the publication of a prospectus in relation to the shares or pre-funded warrants which has been approved by the Financial Conduct Authority, except that the shares or pre-funded warrants may be offered to the public in the United Kingdom at any time:</w:t>
      </w:r>
    </w:p>
    <w:p>
      <w:pPr>
        <w:spacing w:after="0" w:line="81"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30"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as amended (FSMA);</w:t>
      </w:r>
    </w:p>
    <w:p>
      <w:pPr>
        <w:spacing w:after="0" w:line="223" w:lineRule="exact"/>
        <w:rPr>
          <w:sz w:val="20"/>
          <w:szCs w:val="20"/>
          <w:color w:val="auto"/>
        </w:rPr>
      </w:pPr>
    </w:p>
    <w:p>
      <w:pPr>
        <w:jc w:val="both"/>
        <w:ind w:left="120"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shares or pre-funded warrants shall require us or any underwriter to publish a prospectus pursuant to Section 85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FSMA or supplement a prospectus pursuant to Article 23 of the U.K. Prospectus Regulation. For the purposes of this provision, the expression an “offer to the public” in relation to the shares or pre-funded warrants in the United Kingdom means the communication in any form and by any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means of sufficient information on the terms of the offer and any shares or pre-funded warrants to be offered so as to enable an investor to decide to purchase or subscribe for any shares or pre-funded warrants and the expression “U.K. Prospectus Regulation” means Regulation (EU) 2017/1129 as it forms part of domestic law by virtue of the European Union (Withdrawal) Act 2018.</w:t>
      </w:r>
    </w:p>
    <w:p>
      <w:pPr>
        <w:spacing w:after="0" w:line="176"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In addition, in the United Kingdom, this document is being distributed only to, and is directed only at, and any offer subsequently made may only be directed at persons who are “qualified investors” (as defined in the U.K.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w:t>
      </w:r>
    </w:p>
    <w:p>
      <w:pPr>
        <w:spacing w:after="0" w:line="3" w:lineRule="exact"/>
        <w:rPr>
          <w:sz w:val="20"/>
          <w:szCs w:val="20"/>
          <w:color w:val="auto"/>
        </w:rPr>
      </w:pPr>
    </w:p>
    <w:p>
      <w:pPr>
        <w:jc w:val="both"/>
        <w:ind w:left="120" w:right="200" w:hanging="4"/>
        <w:spacing w:after="0" w:line="253"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(all such persons together being referred to as “relevant persons”) or otherwise in circumstances which have not resulted and will not result in an offer to the public of the shares or pre-funded warrants in the United Kingdom within the meaning of the FSMA. In the United Kingdom, any investment or investment activity to which this document relates is only available to, and will be engaged in with, relevant persons. Any person in the UK who is not a relevant person must not act on or rely upon this document or any of its contents.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shares or pre-funded warrants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or pre-funded warrants must be made in accordance with an exemption from, or in a transaction not subject to, the prospectus requirements of applicable securities laws.</w:t>
      </w:r>
    </w:p>
    <w:p>
      <w:pPr>
        <w:spacing w:after="0" w:line="183"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the pre-funded warrants or the offering may be publicly distributed or otherwise made publicly available in Switzerland.</w:t>
      </w:r>
    </w:p>
    <w:p>
      <w:pPr>
        <w:spacing w:after="0" w:line="187" w:lineRule="exact"/>
        <w:rPr>
          <w:sz w:val="20"/>
          <w:szCs w:val="20"/>
          <w:color w:val="auto"/>
        </w:rPr>
      </w:pPr>
    </w:p>
    <w:p>
      <w:pPr>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Neither this document nor any other offering or marketing material relating to the offering, the Company, the shares or pre-funded warrants have been or will be filed with or approved by any Swiss regulatory authority. In particular, this document will not be filed with, and the offer of shares or pre-funded warrants will not be supervised by, the Swiss Financial Market Supervisory Authority (FINMA), and the offer of shares has not been</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and will not be authorized under the Swiss Federal Act on Collective Investment Schemes (CISA). The investor protection afforded to acquirers of interests in collective investment schemes under the CISA does not extend to acquirers of shares or pre-funded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21" w:lineRule="exact"/>
        <w:rPr>
          <w:sz w:val="20"/>
          <w:szCs w:val="20"/>
          <w:color w:val="auto"/>
        </w:rPr>
      </w:pPr>
    </w:p>
    <w:p>
      <w:pPr>
        <w:ind w:left="120" w:right="100" w:firstLine="440"/>
        <w:spacing w:after="0" w:line="254" w:lineRule="auto"/>
        <w:rPr>
          <w:sz w:val="20"/>
          <w:szCs w:val="20"/>
          <w:color w:val="auto"/>
        </w:rPr>
      </w:pPr>
      <w:r>
        <w:rPr>
          <w:rFonts w:ascii="Times New Roman" w:cs="Times New Roman" w:eastAsia="Times New Roman" w:hAnsi="Times New Roman"/>
          <w:sz w:val="18"/>
          <w:szCs w:val="18"/>
          <w:color w:val="auto"/>
        </w:rPr>
        <w:t>The shares or pre-funded warrants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or pre-funded warrants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or pre-funded warrants which are or are intended to be disposed of only to persons outside Hong Kong or only to “professional investors” as defined in the SFO and any rules made thereunder.</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representatives have acknowledged that this prospectus supplement and the accompanying prospectuses have not been registered as a prospectus with the Monetary Authority of Singapore. Accordingly, the representatives have represented and agreed that it has not offered or sold any shares or pre-funded warrants or caused the shares or pre-funded warrants to be made the subject of an invitation for subscription or purchase and will not offer or sell any shares or pre-funded warrants or cause the shares or pre-funded warrants to be made the subject of an invitation for subscription or purchase, and has not circulated or distributed, nor will it circulate or distribute, this prospectus supplement and the accompanying prospectuses or any other document or material in connection with the offer or sale, or invitation for subscription or purchase, of the shares or pre-funded warrants, whether directly or indirectly, to any person in Singapore other than:</w:t>
      </w:r>
    </w:p>
    <w:p>
      <w:pPr>
        <w:spacing w:after="0" w:line="94" w:lineRule="exact"/>
        <w:rPr>
          <w:sz w:val="20"/>
          <w:szCs w:val="20"/>
          <w:color w:val="auto"/>
        </w:rPr>
      </w:pPr>
    </w:p>
    <w:p>
      <w:pPr>
        <w:ind w:left="540" w:right="16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6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 the shares or pre-funded warrants are subscribed or purchased under Section 275 of the SFA by a relevant person which is:</w:t>
      </w:r>
    </w:p>
    <w:p>
      <w:pPr>
        <w:spacing w:after="0" w:line="131" w:lineRule="exact"/>
        <w:rPr>
          <w:sz w:val="20"/>
          <w:szCs w:val="20"/>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7" w:lineRule="exact"/>
        <w:rPr>
          <w:rFonts w:ascii="Times New Roman" w:cs="Times New Roman" w:eastAsia="Times New Roman" w:hAnsi="Times New Roman"/>
          <w:sz w:val="18"/>
          <w:szCs w:val="18"/>
          <w:color w:val="auto"/>
        </w:rPr>
      </w:pPr>
    </w:p>
    <w:p>
      <w:pPr>
        <w:ind w:left="540" w:right="80" w:hanging="424"/>
        <w:spacing w:after="0" w:line="282"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or pre-funded warrants pursuant to an offer made under Section 275 of the SFA except:</w:t>
      </w:r>
    </w:p>
    <w:p>
      <w:pPr>
        <w:spacing w:after="0" w:line="81" w:lineRule="exact"/>
        <w:rPr>
          <w:sz w:val="20"/>
          <w:szCs w:val="20"/>
          <w:color w:val="auto"/>
        </w:rPr>
      </w:pPr>
    </w:p>
    <w:p>
      <w:pPr>
        <w:ind w:left="540" w:right="120" w:hanging="424"/>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30" w:lineRule="exact"/>
        <w:rPr>
          <w:rFonts w:ascii="Times New Roman" w:cs="Times New Roman" w:eastAsia="Times New Roman" w:hAnsi="Times New Roman"/>
          <w:sz w:val="18"/>
          <w:szCs w:val="18"/>
          <w:color w:val="auto"/>
        </w:rPr>
      </w:pPr>
    </w:p>
    <w:p>
      <w:pPr>
        <w:ind w:left="540" w:right="520" w:hanging="424"/>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have not been and will not be registered pursuant to Article 4, Paragraph 1 of the Financial Instruments and Exchange Act. Accordingly, none of the shares, pre-funded warrants,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Arab Emirates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shares or pre-funded warrants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or the Dubai Financial Services Authority.</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shares of common stock or pre-funded warrants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5728—1968, subject to certain conditions, or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supplement or make, distribute or direct an offer to subscribe for our common stock or pre-funded warrants to any person within the State of Israel, other than to Qualified Investors and up to 35 Addressed Investors.</w:t>
      </w:r>
    </w:p>
    <w:p>
      <w:pPr>
        <w:spacing w:after="0" w:line="194"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5728—1968. In particular, we may request, as a condition to be offered common stock or pre-funded warrants,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 1968 regarding Qualified Investors is applicable to it; (iii) that it will abide by all provisions set forth in the Israeli Securities Law, 5728—1968 and the regulations promulgated thereunder in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40"/>
          </w:cols>
          <w:pgMar w:left="320" w:top="455"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76" w:lineRule="auto"/>
        <w:rPr>
          <w:sz w:val="20"/>
          <w:szCs w:val="20"/>
          <w:color w:val="auto"/>
        </w:rPr>
      </w:pPr>
      <w:r>
        <w:rPr>
          <w:rFonts w:ascii="Times New Roman" w:cs="Times New Roman" w:eastAsia="Times New Roman" w:hAnsi="Times New Roman"/>
          <w:sz w:val="17"/>
          <w:szCs w:val="17"/>
          <w:color w:val="auto"/>
        </w:rPr>
        <w:t>connection with the offer to be issued common stock or pre-funded warrants; (iv) that the shares of common stock or pre-funded warrants that it will be issued are, subject to exemptions available under the Israeli Securities Law, 5728—1968: (a) for its own account; (b) for investment purposes only; and</w:t>
      </w:r>
    </w:p>
    <w:p>
      <w:pPr>
        <w:spacing w:after="0" w:line="1" w:lineRule="exact"/>
        <w:rPr>
          <w:sz w:val="20"/>
          <w:szCs w:val="20"/>
          <w:color w:val="auto"/>
        </w:rPr>
      </w:pPr>
    </w:p>
    <w:p>
      <w:pPr>
        <w:ind w:left="360" w:hanging="244"/>
        <w:spacing w:after="0"/>
        <w:tabs>
          <w:tab w:leader="none" w:pos="3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issued with a view to resale within the State of Israel, other than in accordance with the provisions of the Israeli Securities Law, 5728—1968; and</w:t>
      </w:r>
    </w:p>
    <w:p>
      <w:pPr>
        <w:spacing w:after="0" w:line="20" w:lineRule="exact"/>
        <w:rPr>
          <w:rFonts w:ascii="Times New Roman" w:cs="Times New Roman" w:eastAsia="Times New Roman" w:hAnsi="Times New Roman"/>
          <w:sz w:val="17"/>
          <w:szCs w:val="17"/>
          <w:color w:val="auto"/>
        </w:rPr>
      </w:pPr>
    </w:p>
    <w:p>
      <w:pPr>
        <w:ind w:left="120" w:hanging="4"/>
        <w:spacing w:after="0" w:line="255" w:lineRule="auto"/>
        <w:tabs>
          <w:tab w:leader="none" w:pos="37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validity of the shares of common stock and pre-funded warrants offered hereby will be passed upon for us by Goodwin Procter LLP, Boston, Massachusetts. Wilmer Cutler Pickering Hale and Dorr LLP, New York, New York, is acting as counsel to the underwriters in connection with this offering. Certain legal matters in connection with this offering will be passed upon for the selling stockholder by Debevoise &amp; Plimpton LLP, New York, New York.</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 ended December 31, 2024, and the effectiveness of Disc Medicine Inc.’s internal control over financial reporting as of December 31, 2024 have been audited by Ernst &amp; Young LLP, independent registered public accounting firm, as set forth in its reports thereon, which conclude, among other things, that Disc Medicine, Inc. did not maintain effective internal control over financial reporting as of December 31, 2024, based on Internal Control - Integrated Framework issued by the Committee of Sponsoring Organizations of the Treadway Commission (2013 framework), because of the effects of the material weakness described therein, included therein, and incorporated herein by reference. Such financial statements have been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Our SEC filings are available to the public over the Internet at the SEC’s website at www.sec.gov and on our investor website at www.discmedicine.com. Information contained on our website is not incorporated by reference into this prospectus supplement or the accompanying prospectuses, and you should not consider any information on, or that can be accessed from, our website as part of this prospectus supplement or the accompanying prospectuses.</w:t>
      </w:r>
    </w:p>
    <w:p>
      <w:pPr>
        <w:spacing w:after="0" w:line="180"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prospectuses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prospectuses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the offering of the securities offered hereby is terminated or completed:</w:t>
      </w:r>
    </w:p>
    <w:p>
      <w:pPr>
        <w:spacing w:after="0" w:line="94"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6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February 27, 2025;</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year ended December 31, 2024 from our Definitive Proxy Statement on </w:t>
      </w:r>
      <w:hyperlink r:id="rId66">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24, 2025;</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2025 and June 30, 2025, filed with the SEC on </w:t>
      </w:r>
      <w:hyperlink r:id="rId67">
        <w:r>
          <w:rPr>
            <w:rFonts w:ascii="Times New Roman" w:cs="Times New Roman" w:eastAsia="Times New Roman" w:hAnsi="Times New Roman"/>
            <w:sz w:val="18"/>
            <w:szCs w:val="18"/>
            <w:u w:val="single" w:color="auto"/>
            <w:color w:val="0000EE"/>
          </w:rPr>
          <w:t>May 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68">
        <w:r>
          <w:rPr>
            <w:rFonts w:ascii="Times New Roman" w:cs="Times New Roman" w:eastAsia="Times New Roman" w:hAnsi="Times New Roman"/>
            <w:sz w:val="18"/>
            <w:szCs w:val="18"/>
            <w:u w:val="single" w:color="auto"/>
            <w:color w:val="0000EE"/>
          </w:rPr>
          <w:t>August 7,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hyperlink r:id="rId69">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13,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July 14,</w:t>
        </w:r>
      </w:hyperlink>
    </w:p>
    <w:p>
      <w:pPr>
        <w:spacing w:after="0" w:line="27" w:lineRule="exact"/>
        <w:rPr>
          <w:rFonts w:ascii="Times New Roman" w:cs="Times New Roman" w:eastAsia="Times New Roman" w:hAnsi="Times New Roman"/>
          <w:sz w:val="18"/>
          <w:szCs w:val="18"/>
          <w:color w:val="auto"/>
        </w:rPr>
      </w:pPr>
    </w:p>
    <w:p>
      <w:pPr>
        <w:ind w:left="1080" w:right="20"/>
        <w:spacing w:after="0" w:line="260" w:lineRule="auto"/>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October 6, 2025</w:t>
        </w:r>
      </w:hyperlink>
      <w:hyperlink r:id="rId6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1">
        <w:r>
          <w:rPr>
            <w:rFonts w:ascii="Times New Roman" w:cs="Times New Roman" w:eastAsia="Times New Roman" w:hAnsi="Times New Roman"/>
            <w:sz w:val="18"/>
            <w:szCs w:val="18"/>
            <w:u w:val="single" w:color="auto"/>
            <w:color w:val="0000EE"/>
          </w:rPr>
          <w:t xml:space="preserve">October 17, 2025 </w:t>
        </w:r>
      </w:hyperlink>
      <w:hyperlink r:id="rId6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72">
        <w:r>
          <w:rPr>
            <w:rFonts w:ascii="Times New Roman" w:cs="Times New Roman" w:eastAsia="Times New Roman" w:hAnsi="Times New Roman"/>
            <w:sz w:val="18"/>
            <w:szCs w:val="18"/>
            <w:u w:val="single" w:color="auto"/>
            <w:color w:val="0000EE"/>
          </w:rPr>
          <w:t xml:space="preserve">October 20, 2025 </w:t>
        </w:r>
      </w:hyperlink>
      <w:hyperlink r:id="rId69">
        <w:r>
          <w:rPr>
            <w:rFonts w:ascii="Times New Roman" w:cs="Times New Roman" w:eastAsia="Times New Roman" w:hAnsi="Times New Roman"/>
            <w:sz w:val="18"/>
            <w:szCs w:val="18"/>
            <w:color w:val="000000"/>
          </w:rPr>
          <w:t xml:space="preserve">(in each case, excluding information furnished pursuant to Items 2.02 </w:t>
        </w:r>
      </w:hyperlink>
      <w:r>
        <w:rPr>
          <w:rFonts w:ascii="Times New Roman" w:cs="Times New Roman" w:eastAsia="Times New Roman" w:hAnsi="Times New Roman"/>
          <w:sz w:val="18"/>
          <w:szCs w:val="18"/>
          <w:color w:val="0000EE"/>
        </w:rPr>
        <w:t xml:space="preserve">and </w:t>
      </w:r>
      <w:r>
        <w:rPr>
          <w:rFonts w:ascii="Times New Roman" w:cs="Times New Roman" w:eastAsia="Times New Roman" w:hAnsi="Times New Roman"/>
          <w:sz w:val="18"/>
          <w:szCs w:val="18"/>
          <w:color w:val="000000"/>
        </w:rPr>
        <w:t>7.01); and</w:t>
      </w:r>
    </w:p>
    <w:p>
      <w:pPr>
        <w:spacing w:after="0" w:line="86" w:lineRule="exact"/>
        <w:rPr>
          <w:rFonts w:ascii="Times New Roman" w:cs="Times New Roman" w:eastAsia="Times New Roman" w:hAnsi="Times New Roman"/>
          <w:sz w:val="18"/>
          <w:szCs w:val="18"/>
          <w:color w:val="0000EE"/>
        </w:rPr>
      </w:pPr>
    </w:p>
    <w:p>
      <w:pPr>
        <w:ind w:left="1080" w:hanging="424"/>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our common stock set forth in </w:t>
      </w:r>
      <w:hyperlink r:id="rId74">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Form 10-K for the year ended December 31, 2021, filed with the SEC on March 10, 2022, and as further supplemented by the description of our common stock set forth in our Registration Statement on </w:t>
      </w:r>
      <w:hyperlink r:id="rId75">
        <w:r>
          <w:rPr>
            <w:rFonts w:ascii="Times New Roman" w:cs="Times New Roman" w:eastAsia="Times New Roman" w:hAnsi="Times New Roman"/>
            <w:sz w:val="18"/>
            <w:szCs w:val="18"/>
            <w:u w:val="single" w:color="auto"/>
            <w:color w:val="0000EE"/>
          </w:rPr>
          <w:t>Form S-4/A</w:t>
        </w:r>
      </w:hyperlink>
      <w:r>
        <w:rPr>
          <w:rFonts w:ascii="Times New Roman" w:cs="Times New Roman" w:eastAsia="Times New Roman" w:hAnsi="Times New Roman"/>
          <w:sz w:val="18"/>
          <w:szCs w:val="18"/>
          <w:color w:val="auto"/>
        </w:rPr>
        <w:t>, filed with the SEC on December 1, 2022,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request a copy of these filings, at no cost, by writing or telephoning us at the following address or telephone number:</w:t>
      </w:r>
    </w:p>
    <w:p>
      <w:pPr>
        <w:spacing w:after="0" w:line="11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(617) 674-9274</w:t>
      </w:r>
    </w:p>
    <w:p>
      <w:pPr>
        <w:spacing w:after="0" w:line="205" w:lineRule="exact"/>
        <w:rPr>
          <w:rFonts w:ascii="Times New Roman" w:cs="Times New Roman" w:eastAsia="Times New Roman" w:hAnsi="Times New Roman"/>
          <w:sz w:val="18"/>
          <w:szCs w:val="18"/>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You may also access these documents, free of charge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or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Information contained on our website is not incorporated by reference into this prospectus supplement or the accompanying prospectuses, and you should not consider any information on, or that can be accessed from, our website as part of this prospectus supplement or the accompanying prospectuses.</w:t>
      </w:r>
    </w:p>
    <w:p>
      <w:pPr>
        <w:spacing w:after="0" w:line="182" w:lineRule="exact"/>
        <w:rPr>
          <w:rFonts w:ascii="Times New Roman" w:cs="Times New Roman" w:eastAsia="Times New Roman" w:hAnsi="Times New Roman"/>
          <w:sz w:val="18"/>
          <w:szCs w:val="18"/>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prospectuses.</w:t>
      </w:r>
    </w:p>
    <w:p>
      <w:pPr>
        <w:spacing w:after="0" w:line="108"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108"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0720"/>
          </w:cols>
          <w:pgMar w:left="320" w:top="455" w:right="8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173990</wp:posOffset>
            </wp:positionV>
            <wp:extent cx="3737610" cy="5918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373761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From time to time, we may offer and sell, in one or more series or classes, our Common Stock, Preferred Stock, Debt Securities, Warrants or Units, in each case in one or more issuances and at prices and on terms that we will determine at the time of the offering.</w:t>
      </w:r>
    </w:p>
    <w:p>
      <w:pPr>
        <w:spacing w:after="0" w:line="162"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76"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of our common stock, as reported on The Nasdaq Global Market, was $41.27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120" w:right="160" w:firstLine="440"/>
        <w:spacing w:after="0" w:line="238"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22"/>
          <w:szCs w:val="22"/>
          <w:b w:val="1"/>
          <w:bCs w:val="1"/>
          <w:i w:val="1"/>
          <w:iCs w:val="1"/>
          <w:u w:val="single" w:color="auto"/>
          <w:color w:val="0000EE"/>
        </w:rPr>
        <w:t>Risk Factors</w:t>
      </w:r>
      <w:r>
        <w:rPr>
          <w:rFonts w:ascii="Times New Roman" w:cs="Times New Roman" w:eastAsia="Times New Roman" w:hAnsi="Times New Roman"/>
          <w:sz w:val="22"/>
          <w:szCs w:val="22"/>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22"/>
          <w:szCs w:val="22"/>
          <w:b w:val="1"/>
          <w:bCs w:val="1"/>
          <w:i w:val="1"/>
          <w:iCs w:val="1"/>
          <w:color w:val="auto"/>
        </w:rPr>
        <w:t>Special Note Regarding Forward-Looking Statements</w:t>
      </w:r>
      <w:r>
        <w:rPr>
          <w:rFonts w:ascii="Times New Roman" w:cs="Times New Roman" w:eastAsia="Times New Roman" w:hAnsi="Times New Roman"/>
          <w:sz w:val="22"/>
          <w:szCs w:val="22"/>
          <w:b w:val="1"/>
          <w:bCs w:val="1"/>
          <w:color w:val="auto"/>
        </w:rPr>
        <w:t>” on page 4 of this prospectus. You should read the entire prospectus and any applicable prospectus supplement carefully before you make your investment decision.</w:t>
      </w:r>
    </w:p>
    <w:p>
      <w:pPr>
        <w:spacing w:after="0" w:line="19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Distribution</w:t>
      </w:r>
      <w:r>
        <w:rPr>
          <w:rFonts w:ascii="Times New Roman" w:cs="Times New Roman" w:eastAsia="Times New Roman" w:hAnsi="Times New Roman"/>
          <w:sz w:val="18"/>
          <w:szCs w:val="18"/>
          <w:color w:val="auto"/>
        </w:rPr>
        <w:t>” in this prospectus. We will also describe in an applicable prospectus supplement the way(s) in which we expect to use the net proceeds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receive from any sale.</w:t>
      </w:r>
    </w:p>
    <w:p>
      <w:pPr>
        <w:spacing w:after="0" w:line="179"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251460</wp:posOffset>
            </wp:positionV>
            <wp:extent cx="14744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date of this prospectus is August 8, 2024.</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4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4"/>
        </w:trPr>
        <w:tc>
          <w:tcPr>
            <w:tcW w:w="80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9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2820" w:type="dxa"/>
            <w:vAlign w:val="bottom"/>
            <w:gridSpan w:val="2"/>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94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ABOUT THE COMPANY</w:t>
            </w:r>
          </w:p>
        </w:tc>
        <w:tc>
          <w:tcPr>
            <w:tcW w:w="3380" w:type="dxa"/>
            <w:vAlign w:val="bottom"/>
            <w:tcBorders>
              <w:top w:val="single" w:sz="8" w:color="0000EE"/>
            </w:tcBorders>
            <w:gridSpan w:val="11"/>
          </w:tcPr>
          <w:p>
            <w:pPr>
              <w:spacing w:after="0"/>
              <w:rPr>
                <w:sz w:val="17"/>
                <w:szCs w:val="17"/>
                <w:color w:val="auto"/>
              </w:rPr>
            </w:pPr>
          </w:p>
        </w:tc>
        <w:tc>
          <w:tcPr>
            <w:tcW w:w="2680" w:type="dxa"/>
            <w:vAlign w:val="bottom"/>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20" w:type="dxa"/>
            <w:vAlign w:val="bottom"/>
            <w:gridSpan w:val="4"/>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2960" w:type="dxa"/>
            <w:vAlign w:val="bottom"/>
          </w:tcPr>
          <w:p>
            <w:pPr>
              <w:spacing w:after="0"/>
              <w:rPr>
                <w:sz w:val="17"/>
                <w:szCs w:val="17"/>
                <w:color w:val="auto"/>
              </w:rPr>
            </w:pPr>
          </w:p>
        </w:tc>
      </w:tr>
      <w:tr>
        <w:trPr>
          <w:trHeight w:val="196"/>
        </w:trPr>
        <w:tc>
          <w:tcPr>
            <w:tcW w:w="16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820" w:type="dxa"/>
            <w:vAlign w:val="bottom"/>
            <w:tcBorders>
              <w:top w:val="single" w:sz="8" w:color="0000EE"/>
            </w:tcBorders>
            <w:gridSpan w:val="5"/>
          </w:tcPr>
          <w:p>
            <w:pPr>
              <w:spacing w:after="0"/>
              <w:rPr>
                <w:sz w:val="17"/>
                <w:szCs w:val="17"/>
                <w:color w:val="auto"/>
              </w:rPr>
            </w:pPr>
          </w:p>
        </w:tc>
        <w:tc>
          <w:tcPr>
            <w:tcW w:w="5580" w:type="dxa"/>
            <w:vAlign w:val="bottom"/>
            <w:gridSpan w:val="8"/>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POLICY</w:t>
            </w:r>
          </w:p>
        </w:tc>
        <w:tc>
          <w:tcPr>
            <w:tcW w:w="6420" w:type="dxa"/>
            <w:vAlign w:val="bottom"/>
            <w:gridSpan w:val="1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GENERAL DESCRIPTION OF SECURITIES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33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620" w:type="dxa"/>
            <w:vAlign w:val="bottom"/>
            <w:gridSpan w:val="4"/>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80" w:type="dxa"/>
            <w:vAlign w:val="bottom"/>
            <w:gridSpan w:val="5"/>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96"/>
        </w:trPr>
        <w:tc>
          <w:tcPr>
            <w:tcW w:w="30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4980" w:type="dxa"/>
            <w:vAlign w:val="bottom"/>
            <w:gridSpan w:val="5"/>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4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5520" w:type="dxa"/>
            <w:vAlign w:val="bottom"/>
            <w:gridSpan w:val="7"/>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196"/>
        </w:trPr>
        <w:tc>
          <w:tcPr>
            <w:tcW w:w="20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5980" w:type="dxa"/>
            <w:vAlign w:val="bottom"/>
            <w:gridSpan w:val="11"/>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r>
      <w:tr>
        <w:trPr>
          <w:trHeight w:val="196"/>
        </w:trPr>
        <w:tc>
          <w:tcPr>
            <w:tcW w:w="146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17"/>
                <w:szCs w:val="17"/>
                <w:color w:val="auto"/>
              </w:rPr>
            </w:pPr>
          </w:p>
        </w:tc>
        <w:tc>
          <w:tcPr>
            <w:tcW w:w="5960" w:type="dxa"/>
            <w:vAlign w:val="bottom"/>
            <w:gridSpan w:val="10"/>
          </w:tcPr>
          <w:p>
            <w:pPr>
              <w:spacing w:after="0"/>
              <w:rPr>
                <w:sz w:val="17"/>
                <w:szCs w:val="17"/>
                <w:color w:val="auto"/>
              </w:rPr>
            </w:pP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196"/>
        </w:trPr>
        <w:tc>
          <w:tcPr>
            <w:tcW w:w="80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9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bl>
    <w:p>
      <w:pPr>
        <w:spacing w:after="0" w:line="2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85" w:lineRule="exact"/>
        <w:rPr>
          <w:sz w:val="20"/>
          <w:szCs w:val="20"/>
          <w:color w:val="auto"/>
        </w:rPr>
      </w:pP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This prospectus is part of an automatic shelf registration statement on Form S-3 that we have filed with the Securities and Exchange Commission, or the SEC, as a “well-known seasoned issuer” as defined in Rule 405 of the Securities Act of 1933, as amended, or the Securities Act.</w:t>
      </w:r>
    </w:p>
    <w:p>
      <w:pPr>
        <w:spacing w:after="0" w:line="162"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92"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7"/>
          <w:szCs w:val="17"/>
          <w:i w:val="1"/>
          <w:iCs w:val="1"/>
          <w:color w:val="auto"/>
        </w:rPr>
        <w:t>Where You Can Find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More Information” </w:t>
      </w: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i w:val="1"/>
          <w:iCs w:val="1"/>
          <w:color w:val="auto"/>
        </w:rPr>
        <w:t>Incorporation of Certain Information by Reference</w:t>
      </w:r>
      <w:r>
        <w:rPr>
          <w:rFonts w:ascii="Times New Roman" w:cs="Times New Roman" w:eastAsia="Times New Roman" w:hAnsi="Times New Roman"/>
          <w:sz w:val="17"/>
          <w:szCs w:val="17"/>
          <w:color w:val="auto"/>
        </w:rPr>
        <w:t>” in both this prospectus and the applicable prospectus supplement, and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8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88"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220"/>
        <w:spacing w:after="0" w:line="267" w:lineRule="auto"/>
        <w:rPr>
          <w:sz w:val="20"/>
          <w:szCs w:val="20"/>
          <w:color w:val="auto"/>
        </w:rPr>
      </w:pPr>
      <w:r>
        <w:rPr>
          <w:rFonts w:ascii="Times New Roman" w:cs="Times New Roman" w:eastAsia="Times New Roman" w:hAnsi="Times New Roman"/>
          <w:sz w:val="18"/>
          <w:szCs w:val="18"/>
          <w:color w:val="auto"/>
        </w:rPr>
        <w:t xml:space="preserve">We also make these documents available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94" w:lineRule="exact"/>
        <w:rPr>
          <w:sz w:val="20"/>
          <w:szCs w:val="20"/>
          <w:color w:val="auto"/>
        </w:rPr>
      </w:pPr>
    </w:p>
    <w:p>
      <w:pPr>
        <w:ind w:left="540" w:hanging="316"/>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December 31, 2023, filed with the SEC on </w:t>
      </w:r>
      <w:hyperlink r:id="rId85">
        <w:r>
          <w:rPr>
            <w:rFonts w:ascii="Times New Roman" w:cs="Times New Roman" w:eastAsia="Times New Roman" w:hAnsi="Times New Roman"/>
            <w:sz w:val="18"/>
            <w:szCs w:val="18"/>
            <w:u w:val="single" w:color="auto"/>
            <w:color w:val="0000EE"/>
          </w:rPr>
          <w:t>March 21,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540" w:right="320" w:hanging="316"/>
        <w:spacing w:after="0" w:line="282" w:lineRule="auto"/>
        <w:tabs>
          <w:tab w:leader="none" w:pos="540" w:val="left"/>
        </w:tabs>
        <w:numPr>
          <w:ilvl w:val="0"/>
          <w:numId w:val="29"/>
        </w:numPr>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auto"/>
          </w:rPr>
          <w:t xml:space="preserve">Quarterly Reports on Form 10-Q for the quarters ended March 31, 2024 and June 30, 2024, filed with the SEC on </w:t>
        </w:r>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8,</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540" w:right="380" w:hanging="316"/>
        <w:spacing w:after="0" w:line="282"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87">
        <w:r>
          <w:rPr>
            <w:rFonts w:ascii="Times New Roman" w:cs="Times New Roman" w:eastAsia="Times New Roman" w:hAnsi="Times New Roman"/>
            <w:sz w:val="18"/>
            <w:szCs w:val="18"/>
            <w:u w:val="single" w:color="auto"/>
            <w:color w:val="0000EE"/>
          </w:rPr>
          <w:t>February 7, 2024</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April 2, 2024</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June 14, 2024</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(in each case, excluding information furnished pursuant to Item 7.01) and </w:t>
      </w:r>
      <w:hyperlink r:id="rId91">
        <w:r>
          <w:rPr>
            <w:rFonts w:ascii="Times New Roman" w:cs="Times New Roman" w:eastAsia="Times New Roman" w:hAnsi="Times New Roman"/>
            <w:sz w:val="18"/>
            <w:szCs w:val="18"/>
            <w:u w:val="single" w:color="auto"/>
            <w:color w:val="0000EE"/>
          </w:rPr>
          <w:t>June 14,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540" w:right="120" w:hanging="316"/>
        <w:spacing w:after="0" w:line="258"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filed with the SEC on </w:t>
      </w:r>
      <w:hyperlink r:id="rId73">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as set forth by the description of the Registrant’s common stock set forth in </w:t>
      </w:r>
      <w:hyperlink r:id="rId74">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Form 10-K for the year ended December 31, 2021, filed with the SEC on </w:t>
      </w:r>
      <w:hyperlink r:id="rId92">
        <w:r>
          <w:rPr>
            <w:rFonts w:ascii="Times New Roman" w:cs="Times New Roman" w:eastAsia="Times New Roman" w:hAnsi="Times New Roman"/>
            <w:sz w:val="18"/>
            <w:szCs w:val="18"/>
            <w:u w:val="single" w:color="auto"/>
            <w:color w:val="0000EE"/>
          </w:rPr>
          <w:t>March 10, 2022</w:t>
        </w:r>
      </w:hyperlink>
      <w:r>
        <w:rPr>
          <w:rFonts w:ascii="Times New Roman" w:cs="Times New Roman" w:eastAsia="Times New Roman" w:hAnsi="Times New Roman"/>
          <w:sz w:val="18"/>
          <w:szCs w:val="18"/>
          <w:color w:val="auto"/>
        </w:rPr>
        <w:t xml:space="preserve">, and as further supplemented by the description of the Registrant’s common stock set forth in the Registrant’s Registration Statement on Form S-4/A, filed with the SEC on </w:t>
      </w:r>
      <w:hyperlink r:id="rId75">
        <w:r>
          <w:rPr>
            <w:rFonts w:ascii="Times New Roman" w:cs="Times New Roman" w:eastAsia="Times New Roman" w:hAnsi="Times New Roman"/>
            <w:sz w:val="18"/>
            <w:szCs w:val="18"/>
            <w:u w:val="single" w:color="auto"/>
            <w:color w:val="0000EE"/>
          </w:rPr>
          <w:t>December 1, 2022</w:t>
        </w:r>
      </w:hyperlink>
      <w:r>
        <w:rPr>
          <w:rFonts w:ascii="Times New Roman" w:cs="Times New Roman" w:eastAsia="Times New Roman" w:hAnsi="Times New Roman"/>
          <w:sz w:val="18"/>
          <w:szCs w:val="18"/>
          <w:color w:val="auto"/>
        </w:rPr>
        <w:t>, including any amendments or reports filed for the purpose of updating such description.</w:t>
      </w:r>
    </w:p>
    <w:p>
      <w:pPr>
        <w:spacing w:after="0" w:line="183" w:lineRule="exact"/>
        <w:rPr>
          <w:rFonts w:ascii="Times New Roman" w:cs="Times New Roman" w:eastAsia="Times New Roman" w:hAnsi="Times New Roman"/>
          <w:sz w:val="18"/>
          <w:szCs w:val="18"/>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89" w:lineRule="exact"/>
        <w:rPr>
          <w:rFonts w:ascii="Times New Roman" w:cs="Times New Roman" w:eastAsia="Times New Roman" w:hAnsi="Times New Roman"/>
          <w:sz w:val="18"/>
          <w:szCs w:val="18"/>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87" w:lineRule="exact"/>
        <w:rPr>
          <w:rFonts w:ascii="Times New Roman" w:cs="Times New Roman" w:eastAsia="Times New Roman" w:hAnsi="Times New Roman"/>
          <w:sz w:val="18"/>
          <w:szCs w:val="18"/>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excluding all exhibits unless specifically incorporated by reference as an exhibit to this prospectus and the applicable prospectus supplement.</w:t>
      </w:r>
    </w:p>
    <w:p>
      <w:pPr>
        <w:spacing w:after="0" w:line="94"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Prospective investors may obtain documents incorporated by reference in this prospectus and the applicable prospectus supplement at no cost by requesting them in writing or by telephone from us at our executive offices at:</w:t>
      </w:r>
    </w:p>
    <w:p>
      <w:pPr>
        <w:spacing w:after="0" w:line="5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5500" w:hanging="438"/>
        <w:spacing w:after="0"/>
        <w:tabs>
          <w:tab w:leader="none" w:pos="5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674-9274</w:t>
      </w:r>
    </w:p>
    <w:p>
      <w:pPr>
        <w:spacing w:after="0" w:line="139"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0520"/>
          </w:cols>
          <w:pgMar w:left="320" w:top="455" w:right="10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include, among other things:</w:t>
      </w:r>
    </w:p>
    <w:p>
      <w:pPr>
        <w:spacing w:after="0" w:line="97" w:lineRule="exact"/>
        <w:rPr>
          <w:sz w:val="20"/>
          <w:szCs w:val="20"/>
          <w:color w:val="auto"/>
        </w:rPr>
      </w:pPr>
    </w:p>
    <w:p>
      <w:pPr>
        <w:ind w:left="1080" w:right="80" w:hanging="424"/>
        <w:spacing w:after="0" w:line="261"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83"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 and Estimates</w:t>
      </w:r>
    </w:p>
    <w:p>
      <w:pPr>
        <w:spacing w:after="0" w:line="121"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Disc Medicine, Inc., the Disc logo and our other registered or common law trademarks, trade names or service marks appearing in this prospectus are owned by us. This prospectus, any applicable prospectus supplement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76" w:lineRule="auto"/>
        <w:rPr>
          <w:sz w:val="20"/>
          <w:szCs w:val="20"/>
          <w:color w:val="auto"/>
        </w:rPr>
      </w:pPr>
      <w:r>
        <w:rPr>
          <w:rFonts w:ascii="Times New Roman" w:cs="Times New Roman" w:eastAsia="Times New Roman" w:hAnsi="Times New Roman"/>
          <w:sz w:val="17"/>
          <w:szCs w:val="17"/>
          <w:color w:val="auto"/>
        </w:rPr>
        <w:t>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w:t>
      </w:r>
    </w:p>
    <w:p>
      <w:pPr>
        <w:spacing w:after="0" w:line="1" w:lineRule="exact"/>
        <w:rPr>
          <w:sz w:val="20"/>
          <w:szCs w:val="20"/>
          <w:color w:val="auto"/>
        </w:rPr>
      </w:pPr>
    </w:p>
    <w:p>
      <w:pPr>
        <w:ind w:left="120" w:hanging="4"/>
        <w:spacing w:after="0" w:line="227" w:lineRule="auto"/>
        <w:tabs>
          <w:tab w:leader="none" w:pos="267" w:val="left"/>
        </w:tabs>
        <w:numPr>
          <w:ilvl w:val="0"/>
          <w:numId w:val="3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3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27" w:lineRule="exact"/>
        <w:rPr>
          <w:sz w:val="20"/>
          <w:szCs w:val="20"/>
          <w:color w:val="auto"/>
        </w:rPr>
      </w:pPr>
    </w:p>
    <w:p>
      <w:pPr>
        <w:ind w:left="1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9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w:t>
      </w:r>
    </w:p>
    <w:p>
      <w:pPr>
        <w:spacing w:after="0" w:line="6" w:lineRule="exact"/>
        <w:rPr>
          <w:sz w:val="20"/>
          <w:szCs w:val="20"/>
          <w:color w:val="auto"/>
        </w:rPr>
      </w:pPr>
    </w:p>
    <w:p>
      <w:pPr>
        <w:ind w:left="120" w:right="400"/>
        <w:spacing w:after="0" w:line="260" w:lineRule="auto"/>
        <w:rPr>
          <w:sz w:val="20"/>
          <w:szCs w:val="20"/>
          <w:color w:val="auto"/>
        </w:rPr>
      </w:pPr>
      <w:r>
        <w:rPr>
          <w:rFonts w:ascii="Times New Roman" w:cs="Times New Roman" w:eastAsia="Times New Roman" w:hAnsi="Times New Roman"/>
          <w:sz w:val="18"/>
          <w:szCs w:val="18"/>
          <w:color w:val="auto"/>
        </w:rPr>
        <w:t>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with Gemini</w:t>
      </w:r>
    </w:p>
    <w:p>
      <w:pPr>
        <w:spacing w:after="0" w:line="121"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40"/>
          </w:cols>
          <w:pgMar w:left="320" w:top="45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21" w:lineRule="exact"/>
        <w:rPr>
          <w:sz w:val="20"/>
          <w:szCs w:val="20"/>
          <w:color w:val="auto"/>
        </w:rPr>
      </w:pPr>
    </w:p>
    <w:p>
      <w:pPr>
        <w:jc w:val="both"/>
        <w:ind w:left="120" w:right="320"/>
        <w:spacing w:after="0" w:line="266"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81" w:lineRule="exact"/>
        <w:rPr>
          <w:sz w:val="20"/>
          <w:szCs w:val="20"/>
          <w:color w:val="auto"/>
        </w:rPr>
      </w:pPr>
    </w:p>
    <w:p>
      <w:pPr>
        <w:ind w:left="1080" w:right="42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w:t>
      </w:r>
    </w:p>
    <w:p>
      <w:pPr>
        <w:spacing w:after="0" w:line="130" w:lineRule="exact"/>
        <w:rPr>
          <w:rFonts w:ascii="Times New Roman" w:cs="Times New Roman" w:eastAsia="Times New Roman" w:hAnsi="Times New Roman"/>
          <w:sz w:val="18"/>
          <w:szCs w:val="18"/>
          <w:color w:val="auto"/>
        </w:rPr>
      </w:pPr>
    </w:p>
    <w:p>
      <w:pPr>
        <w:ind w:left="1080" w:right="86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hold advisory votes on executive compensation or to obtain stockholder approval of any golden parachute arrangements not previously approved;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9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320" w:top="455" w:right="5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80"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1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320" w:top="455" w:right="6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760"/>
          </w:cols>
          <w:pgMar w:left="320" w:top="455" w:right="8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GENERAL DESCRIPTION OF SECURITIES</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89"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designation or classification;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principal amount or aggregate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or other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rates and times of payment of interest, dividends or other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 issue discount;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w:t>
      </w:r>
    </w:p>
    <w:p>
      <w:pPr>
        <w:spacing w:after="0" w:line="130" w:lineRule="exact"/>
        <w:rPr>
          <w:rFonts w:ascii="Times New Roman" w:cs="Times New Roman" w:eastAsia="Times New Roman" w:hAnsi="Times New Roman"/>
          <w:sz w:val="18"/>
          <w:szCs w:val="18"/>
          <w:color w:val="auto"/>
        </w:rPr>
      </w:pPr>
    </w:p>
    <w:p>
      <w:pPr>
        <w:jc w:val="both"/>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listing arrangements;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U.S. federal income tax considerations.</w:t>
      </w:r>
    </w:p>
    <w:p>
      <w:pPr>
        <w:spacing w:after="0" w:line="225"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8"/>
          <w:szCs w:val="18"/>
          <w:i w:val="1"/>
          <w:iCs w:val="1"/>
          <w:color w:val="auto"/>
        </w:rPr>
        <w:t>Where You Can Find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More 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21"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80"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“IRON.” On August 7, 2024, the closing price for our common stock, as reported on The Nasdaq Global Market, was $41.27 per share. As of June 30, 2024, we had estimated approximately 19 stockholders of record.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121"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Broadridge Corporate Issuer Solutions, LLC. The transfer agent and registrar’s address is 51 Mercedes Way, Edgewood, NY 11717.</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81"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preferences.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Series of Preferred Stock</w:t>
      </w:r>
    </w:p>
    <w:p>
      <w:pPr>
        <w:spacing w:after="0" w:line="121"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authorized;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period and payment date, and method of calculation for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dividends will accumulate;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redemption or repurchase, if applicable, and any restrictions on our ability to exercise those redemption and repurchase rights;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 or market;</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convertible into our common stock, and, if applicable, the conversion price, or how it will be calculated, and the conversion period;</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stock will be exchangeable into debt securities, and, if applicable, the exchange price, or how it will be calculated, and the exchange period;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of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preemptive rights,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interests in the preferred stock will be represented by depositary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United States federal income tax considerations applicable to the preferred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rights and rights if we liquidate, dissolve or wind up our affairs;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preferred stock.</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When we issue shares of preferred stock under this prospectus, the shares will fully be paid and nonassessable and will not be subject to any preemptive or similar rights.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2022 Registration Rights Agreement</w:t>
      </w:r>
    </w:p>
    <w:p>
      <w:pPr>
        <w:spacing w:after="0" w:line="121" w:lineRule="exact"/>
        <w:rPr>
          <w:sz w:val="20"/>
          <w:szCs w:val="20"/>
          <w:color w:val="auto"/>
        </w:rPr>
      </w:pPr>
    </w:p>
    <w:p>
      <w:pPr>
        <w:jc w:val="both"/>
        <w:ind w:left="120" w:right="600"/>
        <w:spacing w:after="0" w:line="266" w:lineRule="auto"/>
        <w:rPr>
          <w:sz w:val="20"/>
          <w:szCs w:val="20"/>
          <w:color w:val="auto"/>
        </w:rPr>
      </w:pPr>
      <w:r>
        <w:rPr>
          <w:rFonts w:ascii="Times New Roman" w:cs="Times New Roman" w:eastAsia="Times New Roman" w:hAnsi="Times New Roman"/>
          <w:sz w:val="18"/>
          <w:szCs w:val="18"/>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2022 Registration Rights Agreement provides for the following registration rights:</w:t>
      </w:r>
    </w:p>
    <w:p>
      <w:pPr>
        <w:spacing w:after="0" w:line="129" w:lineRule="exact"/>
        <w:rPr>
          <w:sz w:val="20"/>
          <w:szCs w:val="20"/>
          <w:color w:val="auto"/>
        </w:rPr>
      </w:pPr>
    </w:p>
    <w:p>
      <w:pPr>
        <w:ind w:left="1080" w:right="60" w:hanging="424"/>
        <w:spacing w:after="0" w:line="267"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Following the completion of the merger as contemplated by the Merger Agreement, we were required to file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SEC, a shelf registration statement registering the resale of the Registrable Securities, and use our commercially reasonable efforts to have such registration statement declared effective by the SEC as promptly as possible.</w:t>
      </w:r>
    </w:p>
    <w:p>
      <w:pPr>
        <w:spacing w:after="0" w:line="78"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The fees, costs and expenses of registrations pursuant to the registration rights granted to the 2022 Investors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1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2021 Registration Rights Agreement</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particular, the 2021 Registration Rights Agreement provides for the following registration rights:</w:t>
      </w:r>
    </w:p>
    <w:p>
      <w:pPr>
        <w:spacing w:after="0" w:line="129" w:lineRule="exact"/>
        <w:rPr>
          <w:sz w:val="20"/>
          <w:szCs w:val="20"/>
          <w:color w:val="auto"/>
        </w:rPr>
      </w:pPr>
    </w:p>
    <w:p>
      <w:pPr>
        <w:ind w:left="108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We are required, upon the written request of either (i) FSDC Investors holding a majority of the Registrable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Shelf registration rights</w:t>
      </w:r>
      <w:r>
        <w:rPr>
          <w:rFonts w:ascii="Times New Roman" w:cs="Times New Roman" w:eastAsia="Times New Roman" w:hAnsi="Times New Roman"/>
          <w:sz w:val="18"/>
          <w:szCs w:val="18"/>
          <w:color w:val="auto"/>
        </w:rPr>
        <w:t>. A shelf registration statement pursuant to Rule 415 of Securities Act, was filed on February 17, 2021 and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demand registration rights and shelf registration rights. </w:t>
      </w:r>
      <w:r>
        <w:rPr>
          <w:rFonts w:ascii="Times New Roman" w:cs="Times New Roman" w:eastAsia="Times New Roman" w:hAnsi="Times New Roman"/>
          <w:sz w:val="18"/>
          <w:szCs w:val="18"/>
          <w:color w:val="auto"/>
        </w:rPr>
        <w:t>We shall not be obligated to effect: (a) more than one (1) demand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87" w:lineRule="exact"/>
        <w:rPr>
          <w:rFonts w:ascii="Times New Roman" w:cs="Times New Roman" w:eastAsia="Times New Roman" w:hAnsi="Times New Roman"/>
          <w:sz w:val="18"/>
          <w:szCs w:val="18"/>
          <w:color w:val="auto"/>
        </w:rPr>
      </w:pPr>
    </w:p>
    <w:p>
      <w:pPr>
        <w:ind w:left="1080" w:right="160" w:hanging="424"/>
        <w:spacing w:after="0" w:line="261"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At any time after the first anniversary of the closing date, if we propose to file a registration statement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85" w:lineRule="exact"/>
        <w:rPr>
          <w:rFonts w:ascii="Times New Roman" w:cs="Times New Roman" w:eastAsia="Times New Roman" w:hAnsi="Times New Roman"/>
          <w:sz w:val="18"/>
          <w:szCs w:val="18"/>
          <w:color w:val="auto"/>
        </w:rPr>
      </w:pPr>
    </w:p>
    <w:p>
      <w:pPr>
        <w:ind w:left="1080" w:right="240" w:hanging="424"/>
        <w:spacing w:after="0" w:line="258"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Expenses and indemnification</w:t>
      </w:r>
      <w:r>
        <w:rPr>
          <w:rFonts w:ascii="Times New Roman" w:cs="Times New Roman" w:eastAsia="Times New Roman" w:hAnsi="Times New Roman"/>
          <w:sz w:val="18"/>
          <w:szCs w:val="18"/>
          <w:color w:val="auto"/>
        </w:rPr>
        <w:t>. All fees, costs and expenses of underwritten registrations will be borne by us and underwriting discounts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rFonts w:ascii="Times New Roman" w:cs="Times New Roman" w:eastAsia="Times New Roman" w:hAnsi="Times New Roman"/>
          <w:sz w:val="18"/>
          <w:szCs w:val="18"/>
          <w:color w:val="auto"/>
        </w:rPr>
      </w:pPr>
    </w:p>
    <w:p>
      <w:pPr>
        <w:ind w:left="1080" w:right="20" w:hanging="424"/>
        <w:spacing w:after="0" w:line="257"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Registrable securities</w:t>
      </w:r>
      <w:r>
        <w:rPr>
          <w:rFonts w:ascii="Times New Roman" w:cs="Times New Roman" w:eastAsia="Times New Roman" w:hAnsi="Times New Roman"/>
          <w:sz w:val="18"/>
          <w:szCs w:val="18"/>
          <w:color w:val="auto"/>
        </w:rPr>
        <w:t>. Securities of ours shall cease to be registrable securities upon the earlier of (i) tenth anniversary of February 5, 2021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6" w:lineRule="auto"/>
        <w:rPr>
          <w:sz w:val="20"/>
          <w:szCs w:val="20"/>
          <w:color w:val="auto"/>
        </w:rPr>
      </w:pPr>
      <w:r>
        <w:rPr>
          <w:rFonts w:ascii="Times New Roman" w:cs="Times New Roman" w:eastAsia="Times New Roman" w:hAnsi="Times New Roman"/>
          <w:sz w:val="18"/>
          <w:szCs w:val="18"/>
          <w:color w:val="auto"/>
        </w:rPr>
        <w:t>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121"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Amended and Restated Certificate of Incorporation and Amended and Restated Bylaws and Delaware Law</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83"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statute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not governed by Section 203 of the Delaware General Corporation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Special stockholder meetings</w:t>
      </w:r>
    </w:p>
    <w:p>
      <w:pPr>
        <w:spacing w:after="0" w:line="121"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certificate of incorporation does not allow stockholders to act by written consent without a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election and removal of directors; filling vacancies</w:t>
      </w:r>
    </w:p>
    <w:p>
      <w:pPr>
        <w:spacing w:after="0" w:line="22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89"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96" w:lineRule="exact"/>
        <w:rPr>
          <w:sz w:val="20"/>
          <w:szCs w:val="20"/>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Amendment of charter provisions or bylaws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83"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or free writing prospectus the terms of the series of debt securities being offered, including:</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being offered, and if a series, the total amount authorized and the total amount outstanding;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amount that may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we will issue the series of debt securities in global form, and, if so, the terms and who the depository will be;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debt securities will be secured or unsecured, and the terms of any secured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subordination of any series of subordinated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where payments will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transfer, sale or other assignment,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if any, to defer payment of interest and the maximum length of any such deferral period;</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restrict our ability to:</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distributions in respect of our capital stock or the capital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capital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restrictions on our subsidiaries’ ability to pay dividends, make distributions or transfer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 other restricted payments;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otherwise dispose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stockholders or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or sell stock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indenture will require us to maintain any interest coverage, fixed charge, cash flow-based, asset-based or other financial ratios;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material or special United States federal income tax considerations applicable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describing any book-entry features;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a sinking fund purchase or other analogous fund, if 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applicability of the provisions in the indenture on discharge;</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67"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we will issue the series of debt securities,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payment of debt securities if other than U.S. dollars and the manner of determining the equivalent amount in U.S. dollars;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2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or Exchange Rights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or Sale</w:t>
      </w:r>
    </w:p>
    <w:p>
      <w:pPr>
        <w:spacing w:after="0" w:line="121"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Under the Indenture</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67"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90 days and the time for payment has not been extended;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premium or sinking fund payment, if any, when due and payable at maturity, upon redemption or repurchase or otherwise, and the time for payment has not been extended;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w:t>
      </w:r>
    </w:p>
    <w:p>
      <w:pPr>
        <w:spacing w:after="0" w:line="225"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We will describe in each applicable prospectus supplement or free writing prospectus any additional events of default relating to the relevant series of debt securities.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66"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93"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direction so given by the holder is not in conflict with any law or the applicable indenture;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duties under the Trust Indenture Act, the trustee need not take any action that might involve it in personal liability or might be unduly prejudicial to the holders not involved in the proceeding.</w:t>
      </w:r>
    </w:p>
    <w:p>
      <w:pPr>
        <w:spacing w:after="0" w:line="162"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 holder of the debt securities of any series will have the right to institute a proceeding under the indentures or to appoint a receiver or trustee, or to seek other remedies if:</w:t>
      </w:r>
    </w:p>
    <w:p>
      <w:pPr>
        <w:spacing w:after="0" w:line="67"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written notice to the trustee of a continuing event of default with respect to that series;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81"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periodically file statements with the trustee regarding our compliance with specified covenants in the indentures.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of Indenture; Waiver</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Subject to the terms of the indenture for any series of debt securities that we may issue, we and the trustee may change an indenture without the consent of any holders with respect to the following specific matters:</w:t>
      </w:r>
    </w:p>
    <w:p>
      <w:pPr>
        <w:spacing w:after="0" w:line="67"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fix any ambiguity, defect or inconsistency in the indenture;</w:t>
      </w:r>
    </w:p>
    <w:p>
      <w:pPr>
        <w:spacing w:after="0" w:line="12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described above under “</w:t>
      </w:r>
      <w:r>
        <w:rPr>
          <w:rFonts w:ascii="Times New Roman" w:cs="Times New Roman" w:eastAsia="Times New Roman" w:hAnsi="Times New Roman"/>
          <w:sz w:val="18"/>
          <w:szCs w:val="18"/>
          <w:i w:val="1"/>
          <w:iCs w:val="1"/>
          <w:color w:val="auto"/>
        </w:rPr>
        <w:t>Description of Debt Securities-Consolidation, Merger or Sale</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SEC in connection with the qualification of any indenture under the Trust Indenture Act;</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debt securities, as set forth in the indenture;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debt securities of any series as provided under</w:t>
      </w:r>
    </w:p>
    <w:p>
      <w:pPr>
        <w:spacing w:after="0" w:line="27" w:lineRule="exact"/>
        <w:rPr>
          <w:rFonts w:ascii="Times New Roman" w:cs="Times New Roman" w:eastAsia="Times New Roman" w:hAnsi="Times New Roman"/>
          <w:sz w:val="18"/>
          <w:szCs w:val="18"/>
          <w:color w:val="auto"/>
        </w:rPr>
      </w:pPr>
    </w:p>
    <w:p>
      <w:pPr>
        <w:ind w:left="1080" w:right="2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Debt Securities-General</w:t>
      </w:r>
      <w:r>
        <w:rPr>
          <w:rFonts w:ascii="Times New Roman" w:cs="Times New Roman" w:eastAsia="Times New Roman" w:hAnsi="Times New Roman"/>
          <w:sz w:val="18"/>
          <w:szCs w:val="18"/>
          <w:color w:val="auto"/>
        </w:rPr>
        <w:t>,” to establish the form of any certifications required to be furnished pursuant to the terms of the indenture or any series of debt securities, or to add to the rights of the holders of any series of debt securities;</w:t>
      </w:r>
    </w:p>
    <w:p>
      <w:pPr>
        <w:spacing w:after="0" w:line="86"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and to make all appropriate changes for such purpose;</w:t>
      </w:r>
    </w:p>
    <w:p>
      <w:pPr>
        <w:spacing w:after="0" w:line="130" w:lineRule="exact"/>
        <w:rPr>
          <w:rFonts w:ascii="Times New Roman" w:cs="Times New Roman" w:eastAsia="Times New Roman" w:hAnsi="Times New Roman"/>
          <w:sz w:val="18"/>
          <w:szCs w:val="18"/>
          <w:color w:val="auto"/>
        </w:rPr>
      </w:pPr>
    </w:p>
    <w:p>
      <w:pPr>
        <w:jc w:val="both"/>
        <w:ind w:left="1080" w:right="40" w:hanging="424"/>
        <w:spacing w:after="0" w:line="266"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anything that does not materially adversely affect the interests of any holder of debt securities of any series.</w:t>
      </w:r>
    </w:p>
    <w:p>
      <w:pPr>
        <w:spacing w:after="0" w:line="225"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89"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of the series of debt securities;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principal amount, reducing the rate of or extending the time of payment of interest, or reducing any premium payable upon the redemption or repurchase of any debt securities; or</w:t>
      </w:r>
    </w:p>
    <w:p>
      <w:pPr>
        <w:spacing w:after="0" w:line="67"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percentage of debt securities, the holders of which are required to consent to any amendment, supplement, modification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Discharge</w:t>
      </w:r>
    </w:p>
    <w:p>
      <w:pPr>
        <w:spacing w:after="0" w:line="121"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81"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or exchange of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stolen, lost or mutilated debt securities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paying agencies;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 monies for payment in trust;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 excess money held by the trustee;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and indemnify the trustee;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 any successor trustee.</w:t>
      </w:r>
    </w:p>
    <w:p>
      <w:pPr>
        <w:spacing w:after="0" w:line="225"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Exchange and Transfer</w:t>
      </w:r>
    </w:p>
    <w:p>
      <w:pPr>
        <w:spacing w:after="0" w:line="121"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We will issue the debt securities of each series only in fully registered form without coupons and, unless we otherwise specify in the applicable prospectus supplement or free writing prospectus, in denominations of $1,000</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87"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85" w:lineRule="exact"/>
        <w:rPr>
          <w:sz w:val="20"/>
          <w:szCs w:val="20"/>
          <w:color w:val="auto"/>
        </w:rPr>
      </w:pPr>
    </w:p>
    <w:p>
      <w:pPr>
        <w:jc w:val="both"/>
        <w:ind w:left="1080" w:right="26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 the transfer of or exchange any debt securities so selected for redemption, in whole or in part, except the unredeemed portion of any debt securities we are redeeming in part.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Concerning the Trustee</w:t>
      </w:r>
    </w:p>
    <w:p>
      <w:pPr>
        <w:spacing w:after="0" w:line="121" w:lineRule="exact"/>
        <w:rPr>
          <w:sz w:val="20"/>
          <w:szCs w:val="20"/>
          <w:color w:val="auto"/>
        </w:rPr>
      </w:pPr>
    </w:p>
    <w:p>
      <w:pPr>
        <w:jc w:val="both"/>
        <w:ind w:left="120" w:right="140"/>
        <w:spacing w:after="0" w:line="266" w:lineRule="auto"/>
        <w:rPr>
          <w:sz w:val="20"/>
          <w:szCs w:val="20"/>
          <w:color w:val="auto"/>
        </w:rPr>
      </w:pPr>
      <w:r>
        <w:rPr>
          <w:rFonts w:ascii="Times New Roman" w:cs="Times New Roman" w:eastAsia="Times New Roman" w:hAnsi="Times New Roman"/>
          <w:sz w:val="18"/>
          <w:szCs w:val="18"/>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and Paying Agents</w:t>
      </w:r>
    </w:p>
    <w:p>
      <w:pPr>
        <w:spacing w:after="0" w:line="121"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76"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indentures and the debt securities will be governed by and construed in accordance with the laws of the State of New York, except to the extent that the Trust Indenture Act is applicable.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 of Debt Securities</w:t>
      </w:r>
    </w:p>
    <w:p>
      <w:pPr>
        <w:spacing w:after="0" w:line="121"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80"/>
          </w:cols>
          <w:pgMar w:left="320" w:top="455"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2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76"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of the series of warrants, including:</w:t>
      </w:r>
    </w:p>
    <w:p>
      <w:pPr>
        <w:spacing w:after="0" w:line="131"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for which the warrants may be purchased;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any merger, consolidation, sale or other disposition of our business on the warrant agreement and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periods during which, and places at which, the warrants are exercisable;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exercise;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 and warrants may be modified;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88"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85" w:lineRule="exact"/>
        <w:rPr>
          <w:sz w:val="20"/>
          <w:szCs w:val="20"/>
          <w:color w:val="auto"/>
        </w:rPr>
      </w:pPr>
    </w:p>
    <w:p>
      <w:pPr>
        <w:ind w:left="1080" w:right="2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of the governing unit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United States federal income tax considerations relating to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of the securities comprising the units.</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w:t>
      </w:r>
      <w:r>
        <w:rPr>
          <w:rFonts w:ascii="Times New Roman" w:cs="Times New Roman" w:eastAsia="Times New Roman" w:hAnsi="Times New Roman"/>
          <w:sz w:val="18"/>
          <w:szCs w:val="18"/>
          <w:i w:val="1"/>
          <w:iCs w:val="1"/>
          <w:color w:val="auto"/>
        </w:rPr>
        <w:t>Description of Capital Stock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Debt Securities”</w:t>
      </w:r>
      <w:r>
        <w:rPr>
          <w:rFonts w:ascii="Times New Roman" w:cs="Times New Roman" w:eastAsia="Times New Roman" w:hAnsi="Times New Roman"/>
          <w:sz w:val="18"/>
          <w:szCs w:val="18"/>
          <w:color w:val="auto"/>
        </w:rPr>
        <w:t xml:space="preserve">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Description of Warrants</w:t>
      </w:r>
      <w:r>
        <w:rPr>
          <w:rFonts w:ascii="Times New Roman" w:cs="Times New Roman" w:eastAsia="Times New Roman" w:hAnsi="Times New Roman"/>
          <w:sz w:val="17"/>
          <w:szCs w:val="17"/>
          <w:color w:val="auto"/>
        </w:rPr>
        <w:t>” will apply to the securities included in each unit, to the extent relevant and as may be updated in any prospectus supplements.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Series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Unit Agreements</w:t>
      </w:r>
    </w:p>
    <w:p>
      <w:pPr>
        <w:spacing w:after="0" w:line="121"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55" w:right="4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provisions will generally apply to all unit agreements unless otherwise stated in the applicable prospectus supplement:</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without Consent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and the applicable unit agent may amend any unit or unit agreement without the consent of any holder:</w:t>
      </w:r>
    </w:p>
    <w:p>
      <w:pPr>
        <w:spacing w:after="0" w:line="131"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any provisions of the governing unit agreement that differ from those described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or supplement any defective or inconsistent provision; or</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change that we believe is necessary or desirable and will not adversely affect the interests of the affected holders in any material respect.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Modification with Consent</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may not amend any particular unit or a unit agreement with respect to any particular unit unless we obtain the consent of the holder of that unit, if the amendment would:</w:t>
      </w:r>
    </w:p>
    <w:p>
      <w:pPr>
        <w:spacing w:after="0" w:line="67" w:lineRule="exact"/>
        <w:rPr>
          <w:sz w:val="20"/>
          <w:szCs w:val="20"/>
          <w:color w:val="auto"/>
        </w:rPr>
      </w:pPr>
    </w:p>
    <w:p>
      <w:pPr>
        <w:ind w:left="1080" w:right="1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other change to a particular unit agreement and the units issued under that agreement would require the following approval:</w:t>
      </w:r>
    </w:p>
    <w:p>
      <w:pPr>
        <w:spacing w:after="0" w:line="131" w:lineRule="exact"/>
        <w:rPr>
          <w:sz w:val="20"/>
          <w:szCs w:val="20"/>
          <w:color w:val="auto"/>
        </w:rPr>
      </w:pPr>
    </w:p>
    <w:p>
      <w:pPr>
        <w:ind w:left="1080" w:right="360" w:hanging="424"/>
        <w:spacing w:after="0" w:line="282" w:lineRule="auto"/>
        <w:tabs>
          <w:tab w:leader="none" w:pos="10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change affects only the units of a particular series issued under that agreement, the change must be approved by the holders of a majority of the outstanding units of that series; or</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312" w:lineRule="auto"/>
        <w:tabs>
          <w:tab w:leader="none" w:pos="108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40" w:lineRule="exact"/>
        <w:rPr>
          <w:sz w:val="20"/>
          <w:szCs w:val="20"/>
          <w:color w:val="auto"/>
        </w:rPr>
      </w:pPr>
    </w:p>
    <w:p>
      <w:pPr>
        <w:ind w:left="120" w:right="680"/>
        <w:spacing w:after="0" w:line="282" w:lineRule="auto"/>
        <w:rPr>
          <w:sz w:val="20"/>
          <w:szCs w:val="20"/>
          <w:color w:val="auto"/>
        </w:rPr>
      </w:pPr>
      <w:r>
        <w:rPr>
          <w:rFonts w:ascii="Times New Roman" w:cs="Times New Roman" w:eastAsia="Times New Roman" w:hAnsi="Times New Roman"/>
          <w:sz w:val="18"/>
          <w:szCs w:val="18"/>
          <w:color w:val="auto"/>
        </w:rPr>
        <w:t>These provisions regarding changes with majority approval also apply to changes affecting any securities issued under a unit agreement, as the governing document.</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the required approval must be given by written consent.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 Agreements Will Not Be Qualified under Trust Indenture Act</w:t>
      </w:r>
    </w:p>
    <w:p>
      <w:pPr>
        <w:spacing w:after="0" w:line="121"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Transactions Permitted; No Restrictive Covenants or Events of Default</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80"/>
          </w:cols>
          <w:pgMar w:left="320" w:top="455"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62"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unit agreements and the units will be governed by New York law.</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Exchange and Transfer</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unit and all securities comprising the unit will be issued in the same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issue any units in registered, non-global form, the following will apply to them.</w:t>
      </w:r>
    </w:p>
    <w:p>
      <w:pPr>
        <w:spacing w:after="0" w:line="225"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67" w:lineRule="exact"/>
        <w:rPr>
          <w:sz w:val="20"/>
          <w:szCs w:val="20"/>
          <w:color w:val="auto"/>
        </w:rPr>
      </w:pPr>
    </w:p>
    <w:p>
      <w:pPr>
        <w:ind w:left="1080" w:right="260" w:hanging="424"/>
        <w:spacing w:after="0" w:line="282"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Only the depositary will be entitled to transfer or exchange a unit in global form, since it will be the sole holder of the unit.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and Notices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making payments and giving notices with respect to our units, we will follow the procedures as described in the applicable prospectus supplement.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76"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If underwriters or dealers are used in the sale, the securities will be acquired by the underwriters or dealers for their own account and may be resold from time to time in one or more transactions, including:</w:t>
      </w:r>
    </w:p>
    <w:p>
      <w:pPr>
        <w:spacing w:after="0" w:line="67" w:lineRule="exact"/>
        <w:rPr>
          <w:sz w:val="20"/>
          <w:szCs w:val="20"/>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one or more transactions at a fixed price or prices, which may be changed from time to time;</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within the meaning of Rule 415(a)(4) of the Securities Act, to or through a market maker or into an existing trading market, on an exchange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market maker or into an existing trading market on an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those prevailing market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will set forth the following information to the extent applicable:</w:t>
      </w:r>
    </w:p>
    <w:p>
      <w:pPr>
        <w:spacing w:after="0" w:line="131" w:lineRule="exact"/>
        <w:rPr>
          <w:sz w:val="20"/>
          <w:szCs w:val="20"/>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188"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80"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If any securities are offered through dealers, we will sell the securities to them as principals. They may then resell those securities to the public at varying prices determined by the dealers at the time of resale.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Offerings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Remarketing Arrangements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3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1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60"/>
          </w:cols>
          <w:pgMar w:left="320" w:top="455" w:right="6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173990</wp:posOffset>
            </wp:positionV>
            <wp:extent cx="3720465" cy="5740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7">
                      <a:extLst>
                        <a:ext uri="{28A0092B-C50C-407E-A947-70E740481C1C}"/>
                      </a:extLst>
                    </a:blip>
                    <a:srcRect/>
                    <a:stretch>
                      <a:fillRect/>
                    </a:stretch>
                  </pic:blipFill>
                  <pic:spPr bwMode="auto">
                    <a:xfrm>
                      <a:off x="0" y="0"/>
                      <a:ext cx="372046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DISC MEDICINE, INC.</w:t>
      </w:r>
    </w:p>
    <w:p>
      <w:pPr>
        <w:spacing w:after="0" w:line="24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5"/>
          <w:szCs w:val="25"/>
          <w:b w:val="1"/>
          <w:bCs w:val="1"/>
          <w:color w:val="auto"/>
        </w:rPr>
        <w:t>12,635,956 Shares of Common Stock</w:t>
      </w:r>
    </w:p>
    <w:p>
      <w:pPr>
        <w:spacing w:after="0" w:line="4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prospectus relates to the proposed resale or other disposition by the selling stockholders identified in this prospectus of up to an aggregate of 12,635,956 shares of common stock, par value $0.0001 per share, of Disc Medicine, Inc.</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registration of the shares of common stock covered by this prospectus does not mean that the selling stockholders will offer or sell all or any of the shares. Common stock offered hereby by the selling stockholders, or its pledgees, donees, transferees or other successors in interest, may be sold from time to time directly or indirectly through one or more underwriters, broker-dealers or agents, and in one or more public or private transactions.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If the shares of common stock are sold through underwriters, broker-dealers or agents, the selling stockholders will be responsible for underwriting discounts or commissions. The timing and amount of any sale is within the sole discretion of the selling stockholders, subject to certain restrictions. See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w:t>
      </w:r>
    </w:p>
    <w:p>
      <w:pPr>
        <w:spacing w:after="0" w:line="192"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any sale of common stock by the selling stockholders. 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76"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or Nasdaq, under the symbol “IRON.” On January 13, 2023, the closing price for our common stock, as reported on Nasdaq, was $19.25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208280</wp:posOffset>
            </wp:positionV>
            <wp:extent cx="1474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Before making an investment decision, please read the information under the heading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7 of this prospectus and in the documents incorporated by reference into this prospectus.</w:t>
      </w:r>
    </w:p>
    <w:p>
      <w:pPr>
        <w:spacing w:after="0" w:line="15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198120</wp:posOffset>
            </wp:positionV>
            <wp:extent cx="14744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January 24, 2023.</w:t>
      </w:r>
    </w:p>
    <w:p>
      <w:pPr>
        <w:sectPr>
          <w:pgSz w:w="11900" w:h="16838" w:orient="portrait"/>
          <w:cols w:equalWidth="0" w:num="1">
            <w:col w:w="11100"/>
          </w:cols>
          <w:pgMar w:left="320" w:top="455" w:right="4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68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24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60" w:type="dxa"/>
            <w:vAlign w:val="bottom"/>
            <w:gridSpan w:val="2"/>
          </w:tcPr>
          <w:p>
            <w:pPr>
              <w:ind w:left="16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4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67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4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3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7"/>
              </w:rPr>
              <w:t>CAUTIONARY STATEMENT REGARDING FORWARD-LOOKING STATEMENTS</w:t>
            </w:r>
          </w:p>
        </w:tc>
        <w:tc>
          <w:tcPr>
            <w:tcW w:w="380" w:type="dxa"/>
            <w:vAlign w:val="bottom"/>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120" w:type="dxa"/>
            <w:vAlign w:val="bottom"/>
          </w:tcPr>
          <w:p>
            <w:pPr>
              <w:spacing w:after="0"/>
              <w:rPr>
                <w:sz w:val="17"/>
                <w:szCs w:val="17"/>
                <w:color w:val="auto"/>
              </w:rPr>
            </w:pPr>
          </w:p>
        </w:tc>
        <w:tc>
          <w:tcPr>
            <w:tcW w:w="13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THE COMPANY</w:t>
            </w:r>
          </w:p>
        </w:tc>
        <w:tc>
          <w:tcPr>
            <w:tcW w:w="5420" w:type="dxa"/>
            <w:vAlign w:val="bottom"/>
            <w:gridSpan w:val="8"/>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20" w:type="dxa"/>
            <w:vAlign w:val="bottom"/>
          </w:tcPr>
          <w:p>
            <w:pPr>
              <w:spacing w:after="0"/>
              <w:rPr>
                <w:sz w:val="17"/>
                <w:szCs w:val="17"/>
                <w:color w:val="auto"/>
              </w:rPr>
            </w:pPr>
          </w:p>
        </w:tc>
        <w:tc>
          <w:tcPr>
            <w:tcW w:w="12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5440" w:type="dxa"/>
            <w:vAlign w:val="bottom"/>
            <w:gridSpan w:val="9"/>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SELECTED FINANCIAL DATA</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12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840" w:type="dxa"/>
            <w:vAlign w:val="bottom"/>
            <w:tcBorders>
              <w:top w:val="single" w:sz="8" w:color="0000EE"/>
            </w:tcBorders>
            <w:gridSpan w:val="3"/>
          </w:tcPr>
          <w:p>
            <w:pPr>
              <w:spacing w:after="0"/>
              <w:rPr>
                <w:sz w:val="17"/>
                <w:szCs w:val="17"/>
                <w:color w:val="auto"/>
              </w:rPr>
            </w:pPr>
          </w:p>
        </w:tc>
        <w:tc>
          <w:tcPr>
            <w:tcW w:w="4300" w:type="dxa"/>
            <w:vAlign w:val="bottom"/>
            <w:gridSpan w:val="3"/>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SELLING STOCKHOLDERS</w:t>
            </w:r>
          </w:p>
        </w:tc>
        <w:tc>
          <w:tcPr>
            <w:tcW w:w="3860" w:type="dxa"/>
            <w:vAlign w:val="bottom"/>
            <w:gridSpan w:val="2"/>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196"/>
        </w:trPr>
        <w:tc>
          <w:tcPr>
            <w:tcW w:w="120" w:type="dxa"/>
            <w:vAlign w:val="bottom"/>
          </w:tcPr>
          <w:p>
            <w:pPr>
              <w:spacing w:after="0"/>
              <w:rPr>
                <w:sz w:val="17"/>
                <w:szCs w:val="17"/>
                <w:color w:val="auto"/>
              </w:rPr>
            </w:pPr>
          </w:p>
        </w:tc>
        <w:tc>
          <w:tcPr>
            <w:tcW w:w="222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4500" w:type="dxa"/>
            <w:vAlign w:val="bottom"/>
            <w:gridSpan w:val="4"/>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2"/>
          </w:tcPr>
          <w:p>
            <w:pPr>
              <w:spacing w:after="0"/>
              <w:rPr>
                <w:sz w:val="17"/>
                <w:szCs w:val="17"/>
                <w:color w:val="auto"/>
              </w:rPr>
            </w:pPr>
          </w:p>
        </w:tc>
        <w:tc>
          <w:tcPr>
            <w:tcW w:w="4680" w:type="dxa"/>
            <w:vAlign w:val="bottom"/>
            <w:gridSpan w:val="5"/>
          </w:tcPr>
          <w:p>
            <w:pPr>
              <w:spacing w:after="0"/>
              <w:rPr>
                <w:sz w:val="17"/>
                <w:szCs w:val="17"/>
                <w:color w:val="auto"/>
              </w:rPr>
            </w:pP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6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960" w:type="dxa"/>
            <w:vAlign w:val="bottom"/>
            <w:gridSpan w:val="11"/>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7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WHERE YOU CAN FIND MORE INFORMATION; INCORPORATION BY REFERENCE</w:t>
            </w:r>
          </w:p>
        </w:tc>
        <w:tc>
          <w:tcPr>
            <w:tcW w:w="42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line="259" w:lineRule="auto"/>
        <w:rPr>
          <w:sz w:val="20"/>
          <w:szCs w:val="20"/>
          <w:color w:val="auto"/>
        </w:rPr>
      </w:pPr>
      <w:r>
        <w:rPr>
          <w:rFonts w:ascii="Times New Roman" w:cs="Times New Roman" w:eastAsia="Times New Roman" w:hAnsi="Times New Roman"/>
          <w:sz w:val="18"/>
          <w:szCs w:val="18"/>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11100"/>
          </w:cols>
          <w:pgMar w:left="320" w:top="446" w:right="4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U.S. Securities and Exchange Commission, or the SEC, utilizing a “shelf” registration process. Under this shelf registration process, the selling stockholders may, from time to time, sell the shares of common stock described in this prospectus in one or more offerings.</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Neither we, nor the selling stockholders, have authorized anyone to give any information or to make any representation other than those contained or incorporated by reference in this prospectus. You must not rely upon any information or representation not contained or incorporated by reference in this prospectus. The selling stockholders are offering to sell, and seeking offers to buy, shares of our common stock only in jurisdictions where it is lawful to do so. This prospectus does not constitute an offer to sell or the solicitation of an offer to buy any shares other than the registered shares to which it relates, nor does this prospectus constitute an offer to sell or the solicitation of an offer to buy shares in any jurisdiction to any person to whom it is unlawful to make such offer or solicitation in such jurisdiction. You should not assume that the information contained in this prospectus is accurate on any date subsequent to the date set forth on the front of the document or that any information we have incorporated by reference is correct on any date subsequent to the date of the document incorporated by reference, even though this prospectus is delivered or shares are sold on a later date. Our business, financial condition, results of operations and prospects may have changed since those dates. This prospectus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may involve estimates, assumptions and other risks and uncertainties and are subject to change based on various factors, including those discussed under the heading “Risk Factors” contained in this prospectus, and under similar headings in other documents that are incorporated by reference into this prospectus. Accordingly, investors should not place undue reliance on this information.</w:t>
      </w:r>
    </w:p>
    <w:p>
      <w:pPr>
        <w:spacing w:after="0" w:line="196"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A prospectus supplement may add to, update or change the information contained in this prospectus. You should read both this prospectus and any applicable prospectus supplement together with additional information described below under the heading “Where You Can Find Additional Information.”</w:t>
      </w:r>
    </w:p>
    <w:p>
      <w:pPr>
        <w:spacing w:after="0" w:line="176" w:lineRule="exact"/>
        <w:rPr>
          <w:sz w:val="20"/>
          <w:szCs w:val="20"/>
          <w:color w:val="auto"/>
        </w:rPr>
      </w:pPr>
    </w:p>
    <w:p>
      <w:pPr>
        <w:ind w:left="120" w:right="26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Unless the context otherwise indicates, the term “securities” refers to the shares of our common stock offered by this prospectus.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This prospectus contains and/or incorporates by reference statements that are not historical facts and are considered forward-looking within the meaning of Section 27A of the Securities Act of 1933, as amended, or the Securities Act, and Section 21E of the Securities Exchange Act of 1934, as amended, or the Exchange Act.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97" w:lineRule="exact"/>
        <w:rPr>
          <w:sz w:val="20"/>
          <w:szCs w:val="20"/>
          <w:color w:val="auto"/>
        </w:rPr>
      </w:pPr>
    </w:p>
    <w:p>
      <w:pPr>
        <w:ind w:left="1080" w:right="6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benefits of the previously announced merger pursuant to the terms of the Agreement and Plan of Merger, dated August 9, 2022, by and among Gemini Therapeutics, Inc. (“Gemini”), Gemstone Merger Sub, Inc. and Disc Medicine Opco, Inc. (f/k/a Disc Medicine, Inc.);</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discover and develop product candidates;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7"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development and commercialization of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revenues, capital requirements, and our needs for additional financing;</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and any other approved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or product candidates with advantages in turnaround times or manufacturing cost;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w:t>
      </w:r>
    </w:p>
    <w:p>
      <w:pPr>
        <w:spacing w:after="0" w:line="81" w:lineRule="exact"/>
        <w:rPr>
          <w:rFonts w:ascii="Times New Roman" w:cs="Times New Roman" w:eastAsia="Times New Roman" w:hAnsi="Times New Roman"/>
          <w:sz w:val="18"/>
          <w:szCs w:val="18"/>
          <w:color w:val="auto"/>
        </w:rPr>
      </w:pPr>
    </w:p>
    <w:p>
      <w:pPr>
        <w:ind w:left="1080" w:right="40" w:hanging="424"/>
        <w:spacing w:after="0" w:line="312" w:lineRule="auto"/>
        <w:tabs>
          <w:tab w:leader="none" w:pos="108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the caption “Risk Factors.”</w:t>
      </w:r>
    </w:p>
    <w:p>
      <w:pPr>
        <w:spacing w:after="0" w:line="225"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to us at the time of this prospectus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81" w:lineRule="exact"/>
        <w:rPr>
          <w:sz w:val="20"/>
          <w:szCs w:val="20"/>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maintain the listing of our common stock on Nasdaq;</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downturns in the economy and the possibility of rapid change in the highly competitive industry in which we operate;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will need to raise additional capital to execute our business plan, which may not be available on acceptable terms or at all;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experience difficulties in managing our growth and expanding operations.</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16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6998970" cy="55162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including erythropoietic protoporphyria (“EPP”) and X-linked protoporphyria (“XLP”); and DISC-0974 for the treatment of anemia of myelofibrosis (“MF”) and anemia of chronic kidney disease (“CKD”). In addition, we have two programs in preclinical development: DISC-0998 for the treatment of anemia associated with inflammatory diseases; and a Matriptase-2 inhibitor for the treatment of polycythemia vera (“PV”) and diseases of iron overload. Our approach to product candidate development leverages well understood molecular mechanisms that have been validated in humans. We believe that each of our product candidates, if approved, has the potential to improve the lives of patients suffering from hematologic diseases.</w:t>
      </w:r>
    </w:p>
    <w:p>
      <w:pPr>
        <w:spacing w:after="0" w:line="18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Bitopertin is the lead product candidate in our heme biosynthesis modulation portfolio. Bitopertin was previously evaluated by Hoffmann-La Roche Inc. in a comprehensive clinical program in over 4,000 individuals in other indications which demonstrated the activity of bitopertin as a glycine transporter 1 (“GlyT1”) inhibitor and its effect on heme biosynthesis. We are planning to initially develop bitopertin for the treatment of erythropoietic porphyrias, including EPP and XLP. In July 2022, we received clearance of our investigational new drug application (“IND”) for “A Randomized, Double-blind, Placebo-Controlled Study of Bitopertin to Evaluate the Safety, Tolerability, Efficacy, and Protoporphyrin IX (“PPIX”) Concentrations in Participants with Erythropoietic Protoporphyria (“EPP”)” from the Food and Drug Administration. In July 2022, we initiated BEACON, a Phase 2 open-label, parallel-dose clinical trial designed to evaluate the safety, tolerability and effectiveness of bitopertin in EPP and XLP patients that is being conducted at sites in Australia. Separately, in October 2022, we initiated AURORA, a Phase 2, randomized, double-blind, placebo-controlled clinical trial designed to evaluate the safety, tolerability and efficacy of bitopertin in EPP patients that is being conducted at sites in the United States. We expect interim data from these two trials in 2023. We are planning additional studies in Diamond-Blackfan Anemia (“DBA”) and other indications.</w:t>
      </w:r>
    </w:p>
    <w:p>
      <w:pPr>
        <w:spacing w:after="0" w:line="192" w:lineRule="exact"/>
        <w:rPr>
          <w:sz w:val="20"/>
          <w:szCs w:val="20"/>
          <w:color w:val="auto"/>
        </w:rPr>
      </w:pPr>
    </w:p>
    <w:p>
      <w:pPr>
        <w:ind w:left="300" w:right="40"/>
        <w:spacing w:after="0" w:line="271" w:lineRule="auto"/>
        <w:rPr>
          <w:sz w:val="20"/>
          <w:szCs w:val="20"/>
          <w:color w:val="auto"/>
        </w:rPr>
      </w:pPr>
      <w:r>
        <w:rPr>
          <w:rFonts w:ascii="Times New Roman" w:cs="Times New Roman" w:eastAsia="Times New Roman" w:hAnsi="Times New Roman"/>
          <w:sz w:val="17"/>
          <w:szCs w:val="17"/>
          <w:color w:val="auto"/>
        </w:rPr>
        <w:t>DISC-0974 is the lead product candidate in our iron homeostasis portfolio. DISC-0974 is a monoclonal antibody that is designed to suppress hepcidin production and increase serum iron levels by inhibiting hemojuvelin (“HJV”). We submitted an IND for DISC-0974 in June 2021, received clearance in July 2021, and participants completed a Phase 1 clinical trial in healthy volunteers in the U.S. in June 2022 with results showing evidence of target engagement, iron mobilization and erythropoiesis. We initiated a Phase 1b/2 clinical trial in June 2022 to evaluate the safety, tolerability, pharmacokinetics and pharmacodynamics of DISC-0974 in patients with anemia of MF, and plan to initiate a separate Phase 1b/2 clinical trial in the first half of 2023 in patients with anemia of CKD. We expect interim data from these two trials in 2023. In addition, we are developing a preclinical anti- HJV monoclonal antibody, DISC-0998, which is designed to target hepcidin suppression and was in-licensed from AbbVie Deutschland GmbH &amp; Co. KG. DISC-0998 is designed to increase serum iron levels and has an extended serum half-life as compared to DISC-0974. We believe this profile may be desirable in certain subsets of patients with anemia associated with inflammatory diseases.</w:t>
      </w:r>
    </w:p>
    <w:p>
      <w:pPr>
        <w:spacing w:after="0" w:line="173" w:lineRule="exact"/>
        <w:rPr>
          <w:sz w:val="20"/>
          <w:szCs w:val="20"/>
          <w:color w:val="auto"/>
        </w:rPr>
      </w:pPr>
    </w:p>
    <w:p>
      <w:pPr>
        <w:ind w:left="300" w:right="60"/>
        <w:spacing w:after="0" w:line="289" w:lineRule="auto"/>
        <w:rPr>
          <w:sz w:val="20"/>
          <w:szCs w:val="20"/>
          <w:color w:val="auto"/>
        </w:rPr>
      </w:pPr>
      <w:r>
        <w:rPr>
          <w:rFonts w:ascii="Times New Roman" w:cs="Times New Roman" w:eastAsia="Times New Roman" w:hAnsi="Times New Roman"/>
          <w:sz w:val="17"/>
          <w:szCs w:val="17"/>
          <w:color w:val="auto"/>
        </w:rPr>
        <w:t>Lastly, we are developing a Matriptase-2 inhibitor as part of our iron homeostasis portfolio, which is designed to induce hepcidin production and reduce serum iron levels. Preclinical data has demonstrated positive results, and we are in the process of identifying and optimizing a development candidate in our Matriptase-2 inhibitor program. If successful, we expect to designate a lead candidate and commence IND-enabling studies.</w:t>
      </w:r>
    </w:p>
    <w:p>
      <w:pPr>
        <w:spacing w:after="0" w:line="27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7044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6998970" cy="27044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Disc Medicine, Inc. was originally incorporated under the laws of the state of Delaware in October 2017, and changed its name to Disc Medicine Opco, Inc. (“Disc Opco”), in December 2022. On December 29, 2022, we completed our business combination with Gemini Therapeutics, Inc. (“Gemini”) in accordance with the terms of the Agreement and Plan of Merger and Reorganization, dated as of August 9, 2022 (the “Merger Agreement”), by and among Gemini, us and Gemstone Merger Sub, Inc., a Delaware corporation and a wholly owned subsidiary of Gemini (“Merger Sub”), pursuant to which, among other matters, Merger Sub merged with and into Disc Opco, with Disc Opco continuing as a wholly owned subsidiary of us and the surviving corporation of the merger (the “Merger”). In connection with the closing of the Merger, Gemini changed its name to Disc Medicine, Inc.</w:t>
      </w:r>
    </w:p>
    <w:p>
      <w:pPr>
        <w:spacing w:after="0" w:line="81"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80" w:lineRule="exact"/>
        <w:rPr>
          <w:sz w:val="20"/>
          <w:szCs w:val="20"/>
          <w:color w:val="auto"/>
        </w:rPr>
      </w:pPr>
    </w:p>
    <w:p>
      <w:pPr>
        <w:ind w:left="300" w:right="160"/>
        <w:spacing w:after="0" w:line="230" w:lineRule="auto"/>
        <w:rPr>
          <w:sz w:val="20"/>
          <w:szCs w:val="20"/>
          <w:color w:val="auto"/>
        </w:rPr>
      </w:pPr>
      <w:r>
        <w:rPr>
          <w:rFonts w:ascii="Times New Roman" w:cs="Times New Roman" w:eastAsia="Times New Roman" w:hAnsi="Times New Roman"/>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5"/>
        </w:trPr>
        <w:tc>
          <w:tcPr>
            <w:tcW w:w="4360" w:type="dxa"/>
            <w:vAlign w:val="bottom"/>
            <w:tcBorders>
              <w:top w:val="single" w:sz="8" w:color="auto"/>
              <w:left w:val="single" w:sz="8" w:color="auto"/>
            </w:tcBorders>
          </w:tcPr>
          <w:p>
            <w:pPr>
              <w:spacing w:after="0"/>
              <w:rPr>
                <w:sz w:val="24"/>
                <w:szCs w:val="24"/>
                <w:color w:val="auto"/>
              </w:rPr>
            </w:pPr>
          </w:p>
        </w:tc>
        <w:tc>
          <w:tcPr>
            <w:tcW w:w="6660" w:type="dxa"/>
            <w:vAlign w:val="bottom"/>
            <w:tcBorders>
              <w:top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59"/>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stock Offered by the Selling Stockholders</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12,635,956 shares of common stock</w:t>
            </w:r>
          </w:p>
        </w:tc>
      </w:tr>
      <w:tr>
        <w:trPr>
          <w:trHeight w:val="306"/>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We will not receive any proceeds from the sale of the shares of</w:t>
            </w:r>
          </w:p>
        </w:tc>
      </w:tr>
      <w:tr>
        <w:trPr>
          <w:trHeight w:val="234"/>
        </w:trPr>
        <w:tc>
          <w:tcPr>
            <w:tcW w:w="4360" w:type="dxa"/>
            <w:vAlign w:val="bottom"/>
            <w:tcBorders>
              <w:left w:val="single" w:sz="8" w:color="auto"/>
            </w:tcBorders>
          </w:tcPr>
          <w:p>
            <w:pPr>
              <w:spacing w:after="0"/>
              <w:rPr>
                <w:sz w:val="20"/>
                <w:szCs w:val="20"/>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common stock covered by this prospectus.</w:t>
            </w:r>
          </w:p>
        </w:tc>
      </w:tr>
      <w:tr>
        <w:trPr>
          <w:trHeight w:val="324"/>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Nasdaq Symbol</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IRON</w:t>
            </w:r>
          </w:p>
        </w:tc>
      </w:tr>
      <w:tr>
        <w:trPr>
          <w:trHeight w:val="306"/>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Price</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The selling stockholders will offer the shares of common stock</w:t>
            </w:r>
          </w:p>
        </w:tc>
      </w:tr>
      <w:tr>
        <w:trPr>
          <w:trHeight w:val="216"/>
        </w:trPr>
        <w:tc>
          <w:tcPr>
            <w:tcW w:w="436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offered by this prospectus at the prevailing market prices or at</w:t>
            </w:r>
          </w:p>
        </w:tc>
      </w:tr>
      <w:tr>
        <w:trPr>
          <w:trHeight w:val="234"/>
        </w:trPr>
        <w:tc>
          <w:tcPr>
            <w:tcW w:w="4360" w:type="dxa"/>
            <w:vAlign w:val="bottom"/>
            <w:tcBorders>
              <w:left w:val="single" w:sz="8" w:color="auto"/>
            </w:tcBorders>
          </w:tcPr>
          <w:p>
            <w:pPr>
              <w:spacing w:after="0"/>
              <w:rPr>
                <w:sz w:val="20"/>
                <w:szCs w:val="20"/>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privately negotiated prices.</w:t>
            </w:r>
          </w:p>
        </w:tc>
      </w:tr>
      <w:tr>
        <w:trPr>
          <w:trHeight w:val="306"/>
        </w:trPr>
        <w:tc>
          <w:tcPr>
            <w:tcW w:w="4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You should read the “Risk Factors” section of this prospectus for a</w:t>
            </w:r>
          </w:p>
        </w:tc>
      </w:tr>
      <w:tr>
        <w:trPr>
          <w:trHeight w:val="216"/>
        </w:trPr>
        <w:tc>
          <w:tcPr>
            <w:tcW w:w="4360" w:type="dxa"/>
            <w:vAlign w:val="bottom"/>
            <w:tcBorders>
              <w:left w:val="single" w:sz="8" w:color="auto"/>
            </w:tcBorders>
          </w:tcPr>
          <w:p>
            <w:pPr>
              <w:spacing w:after="0"/>
              <w:rPr>
                <w:sz w:val="18"/>
                <w:szCs w:val="18"/>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discussion of factors to consider carefully before deciding to invest</w:t>
            </w:r>
          </w:p>
        </w:tc>
      </w:tr>
      <w:tr>
        <w:trPr>
          <w:trHeight w:val="234"/>
        </w:trPr>
        <w:tc>
          <w:tcPr>
            <w:tcW w:w="4360" w:type="dxa"/>
            <w:vAlign w:val="bottom"/>
            <w:tcBorders>
              <w:left w:val="single" w:sz="8" w:color="auto"/>
            </w:tcBorders>
          </w:tcPr>
          <w:p>
            <w:pPr>
              <w:spacing w:after="0"/>
              <w:rPr>
                <w:sz w:val="20"/>
                <w:szCs w:val="20"/>
                <w:color w:val="auto"/>
              </w:rPr>
            </w:pPr>
          </w:p>
        </w:tc>
        <w:tc>
          <w:tcPr>
            <w:tcW w:w="6660" w:type="dxa"/>
            <w:vAlign w:val="bottom"/>
            <w:tcBorders>
              <w:right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in shares of our common stock.</w:t>
            </w:r>
          </w:p>
        </w:tc>
      </w:tr>
      <w:tr>
        <w:trPr>
          <w:trHeight w:val="172"/>
        </w:trPr>
        <w:tc>
          <w:tcPr>
            <w:tcW w:w="4360" w:type="dxa"/>
            <w:vAlign w:val="bottom"/>
            <w:tcBorders>
              <w:left w:val="single" w:sz="8" w:color="auto"/>
              <w:bottom w:val="single" w:sz="8" w:color="auto"/>
            </w:tcBorders>
          </w:tcPr>
          <w:p>
            <w:pPr>
              <w:spacing w:after="0"/>
              <w:rPr>
                <w:sz w:val="14"/>
                <w:szCs w:val="14"/>
                <w:color w:val="auto"/>
              </w:rPr>
            </w:pPr>
          </w:p>
        </w:tc>
        <w:tc>
          <w:tcPr>
            <w:tcW w:w="6660" w:type="dxa"/>
            <w:vAlign w:val="bottom"/>
            <w:tcBorders>
              <w:bottom w:val="single" w:sz="8" w:color="auto"/>
              <w:right w:val="single" w:sz="8" w:color="auto"/>
            </w:tcBorders>
          </w:tcPr>
          <w:p>
            <w:pPr>
              <w:spacing w:after="0"/>
              <w:rPr>
                <w:sz w:val="14"/>
                <w:szCs w:val="14"/>
                <w:color w:val="auto"/>
              </w:rPr>
            </w:pPr>
          </w:p>
        </w:tc>
      </w:tr>
      <w:tr>
        <w:trPr>
          <w:trHeight w:val="361"/>
        </w:trPr>
        <w:tc>
          <w:tcPr>
            <w:tcW w:w="4360" w:type="dxa"/>
            <w:vAlign w:val="bottom"/>
          </w:tcPr>
          <w:p>
            <w:pPr>
              <w:spacing w:after="0"/>
              <w:rPr>
                <w:sz w:val="24"/>
                <w:szCs w:val="24"/>
                <w:color w:val="auto"/>
              </w:rPr>
            </w:pPr>
          </w:p>
        </w:tc>
        <w:tc>
          <w:tcPr>
            <w:tcW w:w="666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An investment in our securities involves risks and uncertainties. You should carefully consider the risk factors incorporated by reference to our Current Report on Form 8-K filed on December 29, 2022, and all other information contained or incorporated by reference into this prospectus, as updated by our subsequent filings under the Exchange Act, and the risk factors and other information contained in any applicable prospectus supplement before making an investment decision. The risks described in these documents are not the only ones we face. Additional risks and uncertainties not presently known to us or that we currently deem immaterial also may impair our business operations. Past financial performance may not be a reliable indicator of future performance, and historical trends should not be used to anticipate results or trends in future periods. If any of these risks actually occurs, our business, financial condition, results of operations or cash flow could be materially adversely affected. This could cause the trading price of our securities to decline, resulting in a loss of all or part of your investment. Please also carefully read the section titled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w:t>
      </w:r>
      <w:r>
        <w:rPr>
          <w:rFonts w:ascii="Times New Roman" w:cs="Times New Roman" w:eastAsia="Times New Roman" w:hAnsi="Times New Roman"/>
          <w:sz w:val="18"/>
          <w:szCs w:val="18"/>
          <w:color w:val="auto"/>
        </w:rPr>
        <w:t>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On December 29, 2022, we effected a 1-for-10 reverse stock split of our common stock. The total number of authorized shares of capital stock was amended from 260,000,000 to 110,000,000. The par value per common share remained unchanged. The audited consolidated financial statements of Gemini Therapeutics, Inc. included in the Annual Report on Form 10-K for the year ended December 31, 2021, and the unaudited condensed consolidated financial statements included in our Quarterly Reports on Form 10-Q for the periods ended March 31, 2022, June 30, 2022, and September 30, 2022, that are incorporated by reference into this prospectus are presented without giving effect to the reverse stock split. Except where the context otherwise requires, share numbers in this prospectus reflect the 1-for-10 reverse stock split of our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following selected financial data has been derived from our audited consolidated financial statements included in our Annual Report on Form 10-K filed with the SEC on March 10, 2022, and our unaudited condensed consolidated financial statements included in our Quarterly Reports on Form 10-Q filed with the SEC on May 6, 2022, August 11, 2022, and November 10, 2022, as adjusted to reflect the reverse stock split for all periods presented. Our historical results are not indicative of the results that may be expected in the future and results of interim periods are not indicative of the results for the entire year. In addition, the below presented historical results do not present the pro forma impact of the reverse merger, as presented in the unaudited pro forma financial statements and accompanying notes for the nine months ended September 30, 2022, and the fiscal year ended December 31, 2021, contained in the Company’s Proxy Statement/Prospectus on Form S-4/A and incorporated herein by reference.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REPORTED (in thousands, except per share amounts):</w:t>
      </w:r>
    </w:p>
    <w:p>
      <w:pPr>
        <w:spacing w:after="0" w:line="25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56"/>
        </w:trPr>
        <w:tc>
          <w:tcPr>
            <w:tcW w:w="58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15"/>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6"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40,362,303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15,115,129</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43,208,159</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15,565,380</w:t>
            </w:r>
          </w:p>
        </w:tc>
        <w:tc>
          <w:tcPr>
            <w:tcW w:w="0" w:type="dxa"/>
            <w:vAlign w:val="bottom"/>
          </w:tcPr>
          <w:p>
            <w:pPr>
              <w:spacing w:after="0"/>
              <w:rPr>
                <w:sz w:val="1"/>
                <w:szCs w:val="1"/>
                <w:color w:val="auto"/>
              </w:rPr>
            </w:pPr>
          </w:p>
        </w:tc>
      </w:tr>
      <w:tr>
        <w:trPr>
          <w:trHeight w:val="321"/>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780" w:type="dxa"/>
            <w:vAlign w:val="bottom"/>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43,212,803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32,027,161</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43,227,159</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43,002,144</w:t>
            </w:r>
          </w:p>
        </w:tc>
        <w:tc>
          <w:tcPr>
            <w:tcW w:w="0" w:type="dxa"/>
            <w:vAlign w:val="bottom"/>
          </w:tcPr>
          <w:p>
            <w:pPr>
              <w:spacing w:after="0"/>
              <w:rPr>
                <w:sz w:val="1"/>
                <w:szCs w:val="1"/>
                <w:color w:val="auto"/>
              </w:rPr>
            </w:pPr>
          </w:p>
        </w:tc>
      </w:tr>
      <w:tr>
        <w:trPr>
          <w:trHeight w:val="321"/>
        </w:trPr>
        <w:tc>
          <w:tcPr>
            <w:tcW w:w="5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780" w:type="dxa"/>
            <w:vAlign w:val="bottom"/>
            <w:gridSpan w:val="2"/>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16"/>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(7,090)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43,230,523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8"/>
              </w:rPr>
              <w:t>43,041,856</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43,244,453</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43,055,112</w:t>
            </w:r>
          </w:p>
        </w:tc>
        <w:tc>
          <w:tcPr>
            <w:tcW w:w="0" w:type="dxa"/>
            <w:vAlign w:val="bottom"/>
          </w:tcPr>
          <w:p>
            <w:pPr>
              <w:spacing w:after="0"/>
              <w:rPr>
                <w:sz w:val="1"/>
                <w:szCs w:val="1"/>
                <w:color w:val="auto"/>
              </w:rPr>
            </w:pPr>
          </w:p>
        </w:tc>
      </w:tr>
      <w:tr>
        <w:trPr>
          <w:trHeight w:val="346"/>
        </w:trPr>
        <w:tc>
          <w:tcPr>
            <w:tcW w:w="580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5"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42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42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42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7"/>
              <w:spacing w:after="0" w:line="156" w:lineRule="exact"/>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4"/>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4"/>
        </w:trPr>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0"/>
                <w:szCs w:val="10"/>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43,221,712</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37,564,936</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43,244,453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43,055,112</w:t>
            </w:r>
          </w:p>
        </w:tc>
      </w:tr>
      <w:tr>
        <w:trPr>
          <w:trHeight w:val="340"/>
        </w:trPr>
        <w:tc>
          <w:tcPr>
            <w:tcW w:w="100" w:type="dxa"/>
            <w:vAlign w:val="bottom"/>
          </w:tcPr>
          <w:p>
            <w:pPr>
              <w:spacing w:after="0"/>
              <w:rPr>
                <w:sz w:val="24"/>
                <w:szCs w:val="24"/>
                <w:color w:val="auto"/>
              </w:rPr>
            </w:pPr>
          </w:p>
        </w:tc>
        <w:tc>
          <w:tcPr>
            <w:tcW w:w="242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62"/>
        </w:trPr>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4"/>
        </w:trPr>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0"/>
                <w:szCs w:val="10"/>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43,264,616</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43,091,822</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43,299,453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43,112,742</w:t>
            </w:r>
          </w:p>
        </w:tc>
      </w:tr>
      <w:tr>
        <w:trPr>
          <w:trHeight w:val="340"/>
        </w:trPr>
        <w:tc>
          <w:tcPr>
            <w:tcW w:w="100" w:type="dxa"/>
            <w:vAlign w:val="bottom"/>
          </w:tcPr>
          <w:p>
            <w:pPr>
              <w:spacing w:after="0"/>
              <w:rPr>
                <w:sz w:val="24"/>
                <w:szCs w:val="24"/>
                <w:color w:val="auto"/>
              </w:rPr>
            </w:pPr>
          </w:p>
        </w:tc>
        <w:tc>
          <w:tcPr>
            <w:tcW w:w="242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2"/>
        </w:trPr>
        <w:tc>
          <w:tcPr>
            <w:tcW w:w="100" w:type="dxa"/>
            <w:vAlign w:val="bottom"/>
          </w:tcPr>
          <w:p>
            <w:pPr>
              <w:spacing w:after="0"/>
              <w:rPr>
                <w:sz w:val="14"/>
                <w:szCs w:val="1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4"/>
                <w:szCs w:val="14"/>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24"/>
        </w:trPr>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jc w:val="center"/>
              <w:ind w:right="16"/>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820" w:type="dxa"/>
            <w:vAlign w:val="bottom"/>
          </w:tcPr>
          <w:p>
            <w:pPr>
              <w:spacing w:after="0"/>
              <w:rPr>
                <w:sz w:val="10"/>
                <w:szCs w:val="10"/>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(54,046)</w:t>
            </w: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43,236,171</w:t>
            </w:r>
          </w:p>
        </w:tc>
        <w:tc>
          <w:tcPr>
            <w:tcW w:w="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39,427,476</w:t>
            </w:r>
          </w:p>
        </w:tc>
      </w:tr>
      <w:tr>
        <w:trPr>
          <w:trHeight w:val="234"/>
        </w:trPr>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43,299,453</w:t>
            </w:r>
          </w:p>
        </w:tc>
        <w:tc>
          <w:tcPr>
            <w:tcW w:w="7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43,112,742</w:t>
            </w:r>
          </w:p>
        </w:tc>
      </w:tr>
    </w:tbl>
    <w:p>
      <w:pPr>
        <w:spacing w:after="0" w:line="216" w:lineRule="exact"/>
        <w:rPr>
          <w:sz w:val="20"/>
          <w:szCs w:val="20"/>
          <w:color w:val="auto"/>
        </w:rPr>
      </w:pPr>
    </w:p>
    <w:p>
      <w:pPr>
        <w:sectPr>
          <w:pgSz w:w="11900" w:h="16838" w:orient="portrait"/>
          <w:cols w:equalWidth="0" w:num="2">
            <w:col w:w="6520" w:space="720"/>
            <w:col w:w="2899"/>
          </w:cols>
          <w:pgMar w:left="320" w:top="455" w:right="1440" w:bottom="1440" w:gutter="0" w:footer="0" w:header="0"/>
          <w:type w:val="continuous"/>
        </w:sectPr>
      </w:pP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AS ADJUSTED FOR 1-FOR-10 REVERSE STOCK SPLIT (unaudited, in thousands, except per share amounts):</w:t>
      </w:r>
    </w:p>
    <w:p>
      <w:pPr>
        <w:spacing w:after="0" w:line="250"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Years Ended</w:t>
      </w:r>
    </w:p>
    <w:p>
      <w:pPr>
        <w:spacing w:after="0" w:line="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56"/>
        </w:trPr>
        <w:tc>
          <w:tcPr>
            <w:tcW w:w="5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7"/>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7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line="156"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left="537"/>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(71,869)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(40,837)</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(27.02)</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4,036,230</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1,511,512</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year end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4,320,815</w:t>
            </w:r>
          </w:p>
        </w:tc>
        <w:tc>
          <w:tcPr>
            <w:tcW w:w="7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1,556,538</w:t>
            </w:r>
          </w:p>
        </w:tc>
        <w:tc>
          <w:tcPr>
            <w:tcW w:w="0" w:type="dxa"/>
            <w:vAlign w:val="bottom"/>
          </w:tcPr>
          <w:p>
            <w:pPr>
              <w:spacing w:after="0"/>
              <w:rPr>
                <w:sz w:val="1"/>
                <w:szCs w:val="1"/>
                <w:color w:val="auto"/>
              </w:rPr>
            </w:pPr>
          </w:p>
        </w:tc>
      </w:tr>
      <w:tr>
        <w:trPr>
          <w:trHeight w:val="321"/>
        </w:trPr>
        <w:tc>
          <w:tcPr>
            <w:tcW w:w="5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restart"/>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left="537"/>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(19,048)</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4,321,280</w:t>
            </w:r>
          </w:p>
        </w:tc>
        <w:tc>
          <w:tcPr>
            <w:tcW w:w="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3,202,716</w:t>
            </w:r>
          </w:p>
        </w:tc>
        <w:tc>
          <w:tcPr>
            <w:tcW w:w="0" w:type="dxa"/>
            <w:vAlign w:val="bottom"/>
          </w:tcPr>
          <w:p>
            <w:pPr>
              <w:spacing w:after="0"/>
              <w:rPr>
                <w:sz w:val="1"/>
                <w:szCs w:val="1"/>
                <w:color w:val="auto"/>
              </w:rPr>
            </w:pP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 outstanding at period end</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4,322,715</w:t>
            </w:r>
          </w:p>
        </w:tc>
        <w:tc>
          <w:tcPr>
            <w:tcW w:w="7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4,300,214</w:t>
            </w:r>
          </w:p>
        </w:tc>
        <w:tc>
          <w:tcPr>
            <w:tcW w:w="0" w:type="dxa"/>
            <w:vAlign w:val="bottom"/>
          </w:tcPr>
          <w:p>
            <w:pPr>
              <w:spacing w:after="0"/>
              <w:rPr>
                <w:sz w:val="1"/>
                <w:szCs w:val="1"/>
                <w:color w:val="auto"/>
              </w:rPr>
            </w:pPr>
          </w:p>
        </w:tc>
      </w:tr>
      <w:tr>
        <w:trPr>
          <w:trHeight w:val="346"/>
        </w:trPr>
        <w:tc>
          <w:tcPr>
            <w:tcW w:w="5340" w:type="dxa"/>
            <w:vAlign w:val="bottom"/>
          </w:tcPr>
          <w:p>
            <w:pPr>
              <w:ind w:left="4140"/>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5" w:right="1440"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-119380</wp:posOffset>
            </wp:positionV>
            <wp:extent cx="531495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5715</wp:posOffset>
            </wp:positionV>
            <wp:extent cx="531495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ind w:left="1440" w:right="660"/>
        <w:spacing w:after="0" w:line="260" w:lineRule="auto"/>
        <w:rPr>
          <w:sz w:val="20"/>
          <w:szCs w:val="20"/>
          <w:color w:val="auto"/>
        </w:rPr>
      </w:pPr>
      <w:r>
        <w:rPr>
          <w:rFonts w:ascii="Times New Roman" w:cs="Times New Roman" w:eastAsia="Times New Roman" w:hAnsi="Times New Roman"/>
          <w:sz w:val="18"/>
          <w:szCs w:val="18"/>
          <w:color w:val="auto"/>
        </w:rPr>
        <w:t>Weighted average common shares outstanding, basic and diluted Common shares outstanding at period end</w:t>
      </w:r>
    </w:p>
    <w:p>
      <w:pPr>
        <w:spacing w:after="0" w:line="11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56"/>
        </w:trPr>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18"/>
              <w:spacing w:after="0" w:line="156"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94"/>
              <w:spacing w:after="0" w:line="156"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(16,447)</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4,323,052</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4,304,185</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4,324,445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2180" w:type="dxa"/>
            <w:vAlign w:val="bottom"/>
            <w:gridSpan w:val="3"/>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100" w:type="dxa"/>
            <w:vAlign w:val="bottom"/>
          </w:tcPr>
          <w:p>
            <w:pPr>
              <w:spacing w:after="0"/>
              <w:rPr>
                <w:sz w:val="16"/>
                <w:szCs w:val="16"/>
                <w:color w:val="auto"/>
              </w:rPr>
            </w:pPr>
          </w:p>
        </w:tc>
        <w:tc>
          <w:tcPr>
            <w:tcW w:w="740" w:type="dxa"/>
            <w:vAlign w:val="bottom"/>
            <w:vMerge w:val="restart"/>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5"/>
        </w:trPr>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(35,495)</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4,322,171</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3,756,493</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4,324,445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4,305,511</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2180" w:type="dxa"/>
            <w:vAlign w:val="bottom"/>
            <w:gridSpan w:val="3"/>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18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(18,551)</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4,326,461</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4,309,182</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4,329,945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r>
        <w:trPr>
          <w:trHeight w:val="340"/>
        </w:trPr>
        <w:tc>
          <w:tcPr>
            <w:tcW w:w="100" w:type="dxa"/>
            <w:vAlign w:val="bottom"/>
          </w:tcPr>
          <w:p>
            <w:pPr>
              <w:spacing w:after="0"/>
              <w:rPr>
                <w:sz w:val="24"/>
                <w:szCs w:val="24"/>
                <w:color w:val="auto"/>
              </w:rPr>
            </w:pPr>
          </w:p>
        </w:tc>
        <w:tc>
          <w:tcPr>
            <w:tcW w:w="2180" w:type="dxa"/>
            <w:vAlign w:val="bottom"/>
            <w:gridSpan w:val="3"/>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2180" w:type="dxa"/>
            <w:vAlign w:val="bottom"/>
            <w:gridSpan w:val="3"/>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4"/>
        </w:trPr>
        <w:tc>
          <w:tcPr>
            <w:tcW w:w="100" w:type="dxa"/>
            <w:vAlign w:val="bottom"/>
          </w:tcPr>
          <w:p>
            <w:pPr>
              <w:spacing w:after="0"/>
              <w:rPr>
                <w:sz w:val="10"/>
                <w:szCs w:val="10"/>
                <w:color w:val="auto"/>
              </w:rPr>
            </w:pPr>
          </w:p>
        </w:tc>
        <w:tc>
          <w:tcPr>
            <w:tcW w:w="1440" w:type="dxa"/>
            <w:vAlign w:val="bottom"/>
            <w:gridSpan w:val="2"/>
          </w:tcPr>
          <w:p>
            <w:pPr>
              <w:jc w:val="center"/>
              <w:ind w:left="538"/>
              <w:spacing w:after="0" w:line="124" w:lineRule="exact"/>
              <w:rPr>
                <w:sz w:val="20"/>
                <w:szCs w:val="20"/>
                <w:color w:val="auto"/>
              </w:rPr>
            </w:pPr>
            <w:r>
              <w:rPr>
                <w:rFonts w:ascii="Times New Roman" w:cs="Times New Roman" w:eastAsia="Times New Roman" w:hAnsi="Times New Roman"/>
                <w:sz w:val="14"/>
                <w:szCs w:val="14"/>
                <w:color w:val="auto"/>
              </w:rPr>
              <w:t>(Unaudited)</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(25,598)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(54,046)</w:t>
            </w:r>
          </w:p>
        </w:tc>
        <w:tc>
          <w:tcPr>
            <w:tcW w:w="0" w:type="dxa"/>
            <w:vAlign w:val="bottom"/>
          </w:tcPr>
          <w:p>
            <w:pPr>
              <w:spacing w:after="0"/>
              <w:rPr>
                <w:sz w:val="1"/>
                <w:szCs w:val="1"/>
                <w:color w:val="auto"/>
              </w:rPr>
            </w:pPr>
          </w:p>
        </w:tc>
      </w:tr>
      <w:tr>
        <w:trPr>
          <w:trHeight w:val="216"/>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4,323,617</w:t>
            </w:r>
          </w:p>
        </w:tc>
        <w:tc>
          <w:tcPr>
            <w:tcW w:w="7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3,942,747</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4,329,945</w:t>
            </w:r>
          </w:p>
        </w:tc>
        <w:tc>
          <w:tcPr>
            <w:tcW w:w="7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4,311,274</w:t>
            </w:r>
          </w:p>
        </w:tc>
        <w:tc>
          <w:tcPr>
            <w:tcW w:w="0" w:type="dxa"/>
            <w:vAlign w:val="bottom"/>
          </w:tcPr>
          <w:p>
            <w:pPr>
              <w:spacing w:after="0"/>
              <w:rPr>
                <w:sz w:val="1"/>
                <w:szCs w:val="1"/>
                <w:color w:val="auto"/>
              </w:rPr>
            </w:pPr>
          </w:p>
        </w:tc>
      </w:tr>
    </w:tbl>
    <w:p>
      <w:pPr>
        <w:sectPr>
          <w:pgSz w:w="11900" w:h="16838" w:orient="portrait"/>
          <w:cols w:equalWidth="0" w:num="2">
            <w:col w:w="6760" w:space="720"/>
            <w:col w:w="2659"/>
          </w:cols>
          <w:pgMar w:left="320" w:top="455"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12,635,956 shares of our common stock. The selling stockholders will receive all of the proceeds from any sale of such shares. We will not receive any proceeds from any sales of shares of our common stock by the selling stockholders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have agreed to bear the expenses in connection with the registration of the shares of common stock to be offered by this prospectus by the selling stockholders other than any underwriting discounts and commissions or transfer taxes relating to the sale of common stock, which will be borne by the selling stockholders.</w:t>
      </w:r>
    </w:p>
    <w:p>
      <w:pPr>
        <w:spacing w:after="0" w:line="10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320" w:top="455" w:right="57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the Certificate of Incorporation and the Bylaws described herein, which are exhibits to the registration statement of which this prospectus is a part. We urge you to read each of the Certificate of Incorporation and the Bylaws described herein in their entirety for a complete description of the rights and preferences of our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and Outstanding Capital Stock</w:t>
      </w:r>
    </w:p>
    <w:p>
      <w:pPr>
        <w:spacing w:after="0" w:line="121"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100,000,000 shares of common stock, $0.0001 par value per share and 10,000,000 shares of preferred stock, $0.0001 par value. The outstanding shares of the Company are duly authorized, validly issued, fully paid and non-assessable. As of January 4, 2023, there was 17,405,598 shares of common stock and no shares of preferred stock issued and outstanding.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2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Except as otherwise required by law or as otherwise provided in any certificate of designation for any series of preferred stock,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common stock possess all voting power for the election of directors and all other matters requiring stockholder action. Holders of common stock are entitled to one vote per share on matters to be voted on by stockholders. Each election of directors by stockholders will be determined by a plurality of the votes cast by the stockholders entitled to vote on the election.</w:t>
      </w:r>
    </w:p>
    <w:p>
      <w:pPr>
        <w:spacing w:after="0" w:line="176" w:lineRule="exact"/>
        <w:rPr>
          <w:sz w:val="20"/>
          <w:szCs w:val="20"/>
          <w:color w:val="auto"/>
        </w:rPr>
      </w:pPr>
    </w:p>
    <w:p>
      <w:pPr>
        <w:ind w:left="120"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 rights</w:t>
      </w:r>
      <w:r>
        <w:rPr>
          <w:rFonts w:ascii="Times New Roman" w:cs="Times New Roman" w:eastAsia="Times New Roman" w:hAnsi="Times New Roman"/>
          <w:sz w:val="18"/>
          <w:szCs w:val="18"/>
          <w:color w:val="auto"/>
        </w:rPr>
        <w:t>. Holders of common stock will be entitled to receive such dividends, if any, as may be declared from time to time by the Company’s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of directors (the “Board”) in its discretion out of funds legally available therefor. In no event will any stock dividends or stock splits or combinations of stock be declared or made on shares of common stock unless the shares of common stock at the time outstanding are treated equally and identically.</w:t>
      </w:r>
    </w:p>
    <w:p>
      <w:pPr>
        <w:spacing w:after="0" w:line="176"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Rights upon liquidation</w:t>
      </w:r>
      <w:r>
        <w:rPr>
          <w:rFonts w:ascii="Times New Roman" w:cs="Times New Roman" w:eastAsia="Times New Roman" w:hAnsi="Times New Roman"/>
          <w:sz w:val="18"/>
          <w:szCs w:val="18"/>
          <w:color w:val="auto"/>
        </w:rPr>
        <w:t>. In the event of a voluntary or involuntary liquidation, dissolution, distribution of assets or winding-up, the holders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will be entitled to receive an equal amount per share of all of our assets of whatever kind available for distribution to stockholders, after the rights of the holders of the preferred stock have been satisfied.</w:t>
      </w:r>
    </w:p>
    <w:p>
      <w:pPr>
        <w:spacing w:after="0" w:line="171" w:lineRule="exact"/>
        <w:rPr>
          <w:sz w:val="20"/>
          <w:szCs w:val="20"/>
          <w:color w:val="auto"/>
        </w:rPr>
      </w:pPr>
    </w:p>
    <w:p>
      <w:pPr>
        <w:ind w:left="12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rights</w:t>
      </w:r>
      <w:r>
        <w:rPr>
          <w:rFonts w:ascii="Times New Roman" w:cs="Times New Roman" w:eastAsia="Times New Roman" w:hAnsi="Times New Roman"/>
          <w:sz w:val="18"/>
          <w:szCs w:val="18"/>
          <w:color w:val="auto"/>
        </w:rPr>
        <w:t>. The holders of common stock have no preemptive or conversion rights or other subscription rights. There are no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applicable to the common stock. The rights, preferences and privileges of holders of common stock will be subject to those of the holders of any shares of the preferred stock we may issue in the future.</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General Corporation Law of Delaware (the “DGCL”). The issuance of preferred stock could have the effect of decreasing the trading price of our common stock, restricting dividends on our capital stock, diluting the voting power of our common stock, impairing the liquidation rights of our capital stock, or delaying or preventing a change in control. As of the date of this prospectus, there are no shares of preferred stock outstanding, and we have no present plans to issue any shares of preferred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The Company has not paid any cash dividends on the common stock to date and does not intend to pay cash dividends. The payment of cash dividends in the future will be dependent upon the Company’s revenues and earnings, if any, capital requirements and general financial condition. The payment of any cash dividends will be within the discretion of the Board at such time. Our ability to declare dividends may also be limited by restrictive covenants pursuant to any debt financing agreements.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Restrictions</w:t>
      </w:r>
    </w:p>
    <w:p>
      <w:pPr>
        <w:spacing w:after="0" w:line="121"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Certain of our stockholders are subject to certain restrictions on transfer of shares of our common stock until the termination of applicable lock-up periods pursuant to lock-up agreements entered into in connection with the merger.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common stock is listed on Nasdaq under the symbol “IRON.”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the Board is divided into three classes of directors, with the classes to be as nearly equal in number as possible, and with each director serving a three-year term. As a result, approximately one-third of the Board will be elected each year. The classification of directors has the effect of making it more difficult for stockholders to change the composition of the Board.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Authorized but Unissued Shares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authorized but unissued shares of Company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shares of the Company’s common stock and preferred stock could make more difficult or discourage an attempt to obtain control of the Company by means of a proxy contest, tender offer, merger or otherwise.</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Stockholder Action; Special Meetings of Stockholders</w:t>
      </w:r>
    </w:p>
    <w:p>
      <w:pPr>
        <w:spacing w:after="0" w:line="11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provides that any action required or permitted to be taken by stockholders at any annual or special meeting, may not be effected by written consent or by electronic transmission, and must be effected at an annual or special meetings of stockholders called in accordance with the Bylaws. As a result, a holder controlling a majority of Company capital stock would not be able to amend the Bylaws or remove directors without holding a meeting of stockholders called in accordance with the Bylaws. This restriction does not apply to actions taken by the holders of any series of preferred stock of the Company to the extent expressly provided in the applicable preferred stock designation. Further, the Certificate of Incorporation provides that, subject to any special rights of the holders of preferred stock of the Company, only a majority of the total number of directors then in office may call special meetings of stockholders, thus prohibiting a holder of the Company’s common stock from calling a special meeting. These provisions might delay the ability of stockholders to force consideration of a proposal or for stockholders controlling a majority of Company capital stock to take any action, including the removal of directors.</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60"/>
          </w:cols>
          <w:pgMar w:left="320" w:top="455"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Advance Notice Requirements for Stockholder Proposals and Director Nominations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Bylaws provide that stockholders seeking to propose business before the Company’s annual meeting of stockholders, or to nominate candidates for election as directors at its annual meeting of stockholders, must provide timely notice. To be timely, a stockholder’s notice will need to be delivered to, or mailed and received at, the Company’s principal executive offices not less than on the 90th day nor earlier than the close of business on the 120th day prior to the one-year anniversary of the preceding year’s annual meeting. In the event that the date of the annual meeting is more than 30 days before or more than 60 days after such anniversary date or if no annual meeting was held in the preceding year, to be timely, a stockholder’s notice must be so received, not earlier than the close of business on the 90th day prior to the scheduled date of the annual meeting, the 10th day following the day on which public announcement of the date of such annual meeting was first made by the Company. The Company’s bylaws will also specify certain requirements as to the form and content of a stockholders’ notice. These provisions may preclude the Company’s stockholders from bringing matters before its annual meeting of stockholders or from making nominations for directors at its annual meeting of stockholders.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Amendment of Charter or Bylaws</w:t>
      </w:r>
    </w:p>
    <w:p>
      <w:pPr>
        <w:spacing w:after="0" w:line="11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Bylaws may be amended or repealed by the Board or by the affirmative vote of not the holders of not less than two-thirds of the voting power of all of the shares of the capital stock of the Company entitled to vote on such amendment or repeal, voting as one class; provided, however, that if the Board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the Company entitled to vote thereon as a class, and the affirmative vote of the holders of a majority of the outstanding shares of each class entitled to vote thereon as a class voting together as a single class, will be required to amend certain provisions of the Certificate of Incorporation.</w:t>
      </w:r>
    </w:p>
    <w:p>
      <w:pPr>
        <w:spacing w:after="0" w:line="2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Board Vacancies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Any vacancy on the Board may be filled solely by the affirmative vote of a majority vote of the directors then in office, even if less than a quorum, or by a sole remaining director, subject to any special rights of the holders of preferred stock of the Company. Any director chosen to fill a vacancy will hold office until the expiration of the term of the class for which he or she was elected and until his or her successor is elected and qualified or until their earlier resignation, death or removal. Except as otherwise provided by law, in the event of a vacancy in the Board, the remaining directors may exercise the powers of the full Board until the vacancy is filled.</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shall not be governed by Section 203 of the DGCL.</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provides that the Company’s directors, officers and agents will be indemnified and advanced expenses by the Company to the fullest extent permitted by law as it now exists or may in the future be amended. In addition, the Certificate of Incorporation provides that the Company’s directors will not be personally liable to the Company or its stockholders for monetary damages for breaches of their fiduciary duty as directors to the fullest extent permitted by the DGCL.</w:t>
      </w:r>
    </w:p>
    <w:p>
      <w:pPr>
        <w:spacing w:after="0" w:line="180"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also permits the Company to purchase and maintain insurance on behalf of any officer, director or employee of the Company for any liability arising out of his or her status as such, regardless of whether the DGCL would permit indemnification.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77" w:lineRule="auto"/>
        <w:rPr>
          <w:sz w:val="20"/>
          <w:szCs w:val="20"/>
          <w:color w:val="auto"/>
        </w:rPr>
      </w:pPr>
      <w:r>
        <w:rPr>
          <w:rFonts w:ascii="Times New Roman" w:cs="Times New Roman" w:eastAsia="Times New Roman" w:hAnsi="Times New Roman"/>
          <w:sz w:val="17"/>
          <w:szCs w:val="17"/>
          <w:color w:val="auto"/>
        </w:rPr>
        <w:t>These provisions may discourage stockholders from bringing a lawsuit against the Company directors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provisions. We believe that these provisions, the insurance and the indemnity agreements are necessary to attract and retain talented and experienced directors and officers.</w:t>
      </w:r>
    </w:p>
    <w:p>
      <w:pPr>
        <w:spacing w:after="0" w:line="16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the Company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55" w:right="5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relates to the potential resale from time to time of some or all of 12,635,956 shares of our common stock which were issued to the selling stockholders. The information presented regarding the selling stockholders is based, in part, on information the selling stockholders provided to us specifically for use in this prospectus. The selling stockholders may sell all, some or none of their shares in this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We may supplement this prospectus from time to time in the future to update or change the selling stockholders list and the number of shares of common stock that may be offered and sold by the selling stockholders. The registration for resale of the shares of common stock does not necessarily mean that the selling stockholders will sell all or any of these shares. In addition, the selling stockholders may have sold, transferred or otherwise disposed of, or may sell, transfer or otherwise dispose of, at any time and from time to time, shares of common stock in transactions exempt from the registration requirements of the Securities Act, after the date on which it provided the information set forth in the table below.</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Beneficial ownership for the purposes of the table below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names of the selling stockholders, the aggregate number of shares of common stock beneficially owned, the aggregate number of shares of common stock that the selling stockholders may offer pursuant to this prospectus and the number of shares of common stock beneficially owned by the selling stockholders after the sale of the securities offered hereby. Because the selling stockholders are not obligated to sell the shares of common stock, we cannot estimate the amount of the shares of common stock that the selling stockholders will hold upon consummation of any such sales. For purposes of the following table, we have assumed the sale of all of the shares of common stock that may be offered for sale pursuant to this prospectus. Percentage of beneficial ownership is based on 17,405,598 shares of common stock outstanding as of January 4, 2023. Pursuant to Rule 416 under the Securities Act, the prospectus also covers any additional shares of our common stock that may become issuable in connection with shares of common stock by reason of a stock dividend, stock split or other similar transaction effected without our receiving any cash or other value, which results in an increase in the number of shares of our common stock outstanding.</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340" w:type="dxa"/>
            <w:vAlign w:val="bottom"/>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Shares that</w:t>
            </w:r>
          </w:p>
        </w:tc>
        <w:tc>
          <w:tcPr>
            <w:tcW w:w="20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30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May Be</w:t>
            </w:r>
          </w:p>
        </w:tc>
        <w:tc>
          <w:tcPr>
            <w:tcW w:w="2060" w:type="dxa"/>
            <w:vAlign w:val="bottom"/>
            <w:gridSpan w:val="4"/>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Offering</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20" w:type="dxa"/>
            <w:vAlign w:val="bottom"/>
            <w:gridSpan w:val="2"/>
            <w:vMerge w:val="restart"/>
          </w:tcPr>
          <w:p>
            <w:pPr>
              <w:jc w:val="center"/>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300" w:type="dxa"/>
            <w:vAlign w:val="bottom"/>
            <w:gridSpan w:val="2"/>
            <w:vMerge w:val="restart"/>
          </w:tcPr>
          <w:p>
            <w:pPr>
              <w:jc w:val="center"/>
              <w:ind w:right="540"/>
              <w:spacing w:after="0" w:line="124" w:lineRule="exact"/>
              <w:rPr>
                <w:sz w:val="20"/>
                <w:szCs w:val="20"/>
                <w:color w:val="auto"/>
              </w:rPr>
            </w:pPr>
            <w:r>
              <w:rPr>
                <w:rFonts w:ascii="Times New Roman" w:cs="Times New Roman" w:eastAsia="Times New Roman" w:hAnsi="Times New Roman"/>
                <w:sz w:val="14"/>
                <w:szCs w:val="14"/>
                <w:b w:val="1"/>
                <w:bCs w:val="1"/>
                <w:color w:val="auto"/>
              </w:rPr>
              <w:t>Offered</w:t>
            </w: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Selling stockholders</w:t>
            </w:r>
          </w:p>
        </w:tc>
        <w:tc>
          <w:tcPr>
            <w:tcW w:w="1420" w:type="dxa"/>
            <w:vAlign w:val="bottom"/>
            <w:gridSpan w:val="2"/>
            <w:vMerge w:val="continue"/>
          </w:tcPr>
          <w:p>
            <w:pPr>
              <w:spacing w:after="0"/>
              <w:rPr>
                <w:sz w:val="6"/>
                <w:szCs w:val="6"/>
                <w:color w:val="auto"/>
              </w:rPr>
            </w:pPr>
          </w:p>
        </w:tc>
        <w:tc>
          <w:tcPr>
            <w:tcW w:w="1300" w:type="dxa"/>
            <w:vAlign w:val="bottom"/>
            <w:gridSpan w:val="2"/>
            <w:vMerge w:val="continue"/>
          </w:tcPr>
          <w:p>
            <w:pPr>
              <w:spacing w:after="0"/>
              <w:rPr>
                <w:sz w:val="6"/>
                <w:szCs w:val="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73"/>
        </w:trPr>
        <w:tc>
          <w:tcPr>
            <w:tcW w:w="5340" w:type="dxa"/>
            <w:vAlign w:val="bottom"/>
            <w:vMerge w:val="continue"/>
          </w:tcPr>
          <w:p>
            <w:pPr>
              <w:spacing w:after="0"/>
              <w:rPr>
                <w:sz w:val="15"/>
                <w:szCs w:val="15"/>
                <w:color w:val="auto"/>
              </w:rPr>
            </w:pPr>
          </w:p>
        </w:tc>
        <w:tc>
          <w:tcPr>
            <w:tcW w:w="14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the Offering</w:t>
            </w: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Hereby(9)</w:t>
            </w:r>
          </w:p>
        </w:tc>
        <w:tc>
          <w:tcPr>
            <w:tcW w:w="114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34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AI DMI LLC</w:t>
            </w:r>
            <w:r>
              <w:rPr>
                <w:rFonts w:ascii="Times New Roman" w:cs="Times New Roman" w:eastAsia="Times New Roman" w:hAnsi="Times New Roman"/>
                <w:sz w:val="24"/>
                <w:szCs w:val="24"/>
                <w:b w:val="1"/>
                <w:bCs w:val="1"/>
                <w:color w:val="auto"/>
                <w:vertAlign w:val="superscript"/>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2,706,976</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2,706,976</w:t>
            </w:r>
          </w:p>
        </w:tc>
        <w:tc>
          <w:tcPr>
            <w:tcW w:w="5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— </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OrbiMed Advisors LLC</w:t>
            </w:r>
            <w:r>
              <w:rPr>
                <w:rFonts w:ascii="Times New Roman" w:cs="Times New Roman" w:eastAsia="Times New Roman" w:hAnsi="Times New Roman"/>
                <w:sz w:val="25"/>
                <w:szCs w:val="25"/>
                <w:b w:val="1"/>
                <w:bCs w:val="1"/>
                <w:color w:val="auto"/>
                <w:vertAlign w:val="superscript"/>
              </w:rPr>
              <w:t>(2)</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2,160,941</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2,160,941</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Atlas Ventures</w:t>
            </w:r>
            <w:r>
              <w:rPr>
                <w:rFonts w:ascii="Times New Roman" w:cs="Times New Roman" w:eastAsia="Times New Roman" w:hAnsi="Times New Roman"/>
                <w:sz w:val="25"/>
                <w:szCs w:val="25"/>
                <w:b w:val="1"/>
                <w:bCs w:val="1"/>
                <w:color w:val="auto"/>
                <w:vertAlign w:val="superscript"/>
              </w:rPr>
              <w:t>(3)</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3,461,785</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3,461,785</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Novo Holdings A/S</w:t>
            </w:r>
            <w:r>
              <w:rPr>
                <w:rFonts w:ascii="Times New Roman" w:cs="Times New Roman" w:eastAsia="Times New Roman" w:hAnsi="Times New Roman"/>
                <w:sz w:val="25"/>
                <w:szCs w:val="25"/>
                <w:b w:val="1"/>
                <w:bCs w:val="1"/>
                <w:color w:val="auto"/>
                <w:vertAlign w:val="superscript"/>
              </w:rPr>
              <w:t>(4)</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2,340,772</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2,340,772</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Arix Bioscience Holdings Limited</w:t>
            </w:r>
            <w:r>
              <w:rPr>
                <w:rFonts w:ascii="Times New Roman" w:cs="Times New Roman" w:eastAsia="Times New Roman" w:hAnsi="Times New Roman"/>
                <w:sz w:val="25"/>
                <w:szCs w:val="25"/>
                <w:color w:val="auto"/>
                <w:vertAlign w:val="superscript"/>
              </w:rPr>
              <w:t>(5)</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589,663</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589,663</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Janus Henderson Investors</w:t>
            </w:r>
            <w:r>
              <w:rPr>
                <w:rFonts w:ascii="Times New Roman" w:cs="Times New Roman" w:eastAsia="Times New Roman" w:hAnsi="Times New Roman"/>
                <w:sz w:val="25"/>
                <w:szCs w:val="25"/>
                <w:color w:val="auto"/>
                <w:vertAlign w:val="superscript"/>
              </w:rPr>
              <w:t>(6)</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500,330</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500,330</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Entities Affiliated with Rock Springs Capital</w:t>
            </w:r>
            <w:r>
              <w:rPr>
                <w:rFonts w:ascii="Times New Roman" w:cs="Times New Roman" w:eastAsia="Times New Roman" w:hAnsi="Times New Roman"/>
                <w:sz w:val="25"/>
                <w:szCs w:val="25"/>
                <w:color w:val="auto"/>
                <w:vertAlign w:val="superscript"/>
              </w:rPr>
              <w:t>(7)</w:t>
            </w:r>
          </w:p>
        </w:tc>
        <w:tc>
          <w:tcPr>
            <w:tcW w:w="14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339,497</w:t>
            </w:r>
          </w:p>
        </w:tc>
        <w:tc>
          <w:tcPr>
            <w:tcW w:w="130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339,497</w:t>
            </w:r>
          </w:p>
        </w:tc>
        <w:tc>
          <w:tcPr>
            <w:tcW w:w="11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355"/>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5AM Opportunities II, L.P.</w:t>
            </w:r>
            <w:r>
              <w:rPr>
                <w:rFonts w:ascii="Times New Roman" w:cs="Times New Roman" w:eastAsia="Times New Roman" w:hAnsi="Times New Roman"/>
                <w:sz w:val="26"/>
                <w:szCs w:val="26"/>
                <w:color w:val="auto"/>
                <w:vertAlign w:val="superscript"/>
              </w:rPr>
              <w:t>(8)</w:t>
            </w: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535,992</w:t>
            </w:r>
          </w:p>
        </w:tc>
        <w:tc>
          <w:tcPr>
            <w:tcW w:w="13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535,992</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wp:posOffset>
            </wp:positionV>
            <wp:extent cx="7715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540" w:right="580" w:hanging="424"/>
        <w:spacing w:after="0" w:line="282"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held by AI DMI LLC may be deemed to be beneficially owned by Access Industries Holdings LLC (“AIH”), Access Industries Management, LLC (“AIM”) and Len Blavatnik because (i) AIH indirectly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right="60"/>
        <w:spacing w:after="0" w:line="254" w:lineRule="auto"/>
        <w:rPr>
          <w:sz w:val="20"/>
          <w:szCs w:val="20"/>
          <w:color w:val="auto"/>
        </w:rPr>
      </w:pPr>
      <w:r>
        <w:rPr>
          <w:rFonts w:ascii="Times New Roman" w:cs="Times New Roman" w:eastAsia="Times New Roman" w:hAnsi="Times New Roman"/>
          <w:sz w:val="18"/>
          <w:szCs w:val="18"/>
          <w:color w:val="auto"/>
        </w:rPr>
        <w:t>controls all of the outstanding voting interests in AI ETI LLC, (ii) AIM controls AIH and (iii) Mr. Blavatnik controls AIM and holds a majority of the outstanding voting interests in AIH. Liam Ratcliffe, a member of Disc’s board of directors, is Head of Biotechnology at Access Industries, Inc., which is an affiliate of AI DMI LLC. Each of AIM, AIH, Mr. Blavatnik and Dr. Ratcliffe, and each of their affiliated entities and the officers, partners, members and managers thereof, disclaims beneficial ownership of the shares held by AI DMI LLC. The address of AI DMI LLC is c/o Access Industries, Inc., 40 West 57th Street, 28th Floor, New York, NY 10019.</w:t>
      </w:r>
    </w:p>
    <w:p>
      <w:pPr>
        <w:spacing w:after="0" w:line="3" w:lineRule="exact"/>
        <w:rPr>
          <w:sz w:val="20"/>
          <w:szCs w:val="20"/>
          <w:color w:val="auto"/>
        </w:rPr>
      </w:pPr>
    </w:p>
    <w:p>
      <w:pPr>
        <w:ind w:left="540" w:right="16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OrbiMed Advisors LLC exercises voting and investment power through a management committee comprised of Carl L. Gordon, Sven H. Borho, and W. Carter Neild. The business address is 601 Lexington Avenue, 54th Floor, New York, NY 10022.</w:t>
      </w:r>
    </w:p>
    <w:p>
      <w:pPr>
        <w:ind w:left="540" w:right="80" w:hanging="424"/>
        <w:spacing w:after="0" w:line="265" w:lineRule="auto"/>
        <w:tabs>
          <w:tab w:leader="none" w:pos="54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2,237,303 shares held by Atlas Venture Fund X, L.P. (“Atlas Fund X”), 955,156 shares held by Atlas Venture Opportunity Fund I, L.P. (“AVOF I”), 218,326 shares held by Atlas Venture Opportunity Fund II, L.P. (“AVOF II”) and 51,000 shares held by Atlas Venture Fund XII, L.P. (“Atlas Fund XII”). Atlas Venture Associates X, L.P. is the general partner of Atlas Fund X, and Atlas Venture Associates X, LLC is the general partner of Atlas Venture Associates X, L.P. Each of Atlas Fund X, Atlas Venture Associates X, L.P., and Atlas Venture Associates X, LLC may be deemed to beneficially own the shares held by Atlas Fund X. Each of Atlas Venture Associates X, L.P. and Atlas Venture Associates X, LLC disclaim Section 16 beneficial ownership of the securities owned by Atlas Fund X, except to the extent of its pecuniary interest therein, if any. The general partner of AVOF I is Atlas Venture Associates Opportunity I, L.P. (“AVAO I LP”) and the general partner of AVAO I LP is Atlas Venture Associates Opportunity I, LLC (“AVAO I LLC”). The members of AVAO I LLC collectively make investment decisions on behalf of AVAO I LLC. Kevin Bitterman, Ph.D., is a member of AVAO I LLC and a member of the Company’s Board. Each of AVOF I, AVAO I LP, AVAO I LLC and Dr. Bitterman may be deemed to beneficially own the shares held by AVOF I. Each of AVAO I LP, AVAO I LLC and Dr. Bitterman expressly disclaim beneficial ownership of the securities owned by AVOF I, except to the extent of its pecuniary interest therein, if any. The general partner of AVOF II is Atlas Venture Associates Opportunity II, L.P. (“AVAO II LP”) and the general partner of AVAO II LP is Atlas Venture Associates Opportunity II, LLC (“AVAO II LLC”). The members of AVAO II LLC collectively make investment decisions on behalf of AVAO II LLC. Dr. Bitterman is a member of AVAO II LLC and a member of the Company’s Board. Each of AVAO II LP, AVAO II LLC and Dr. Bitterman may be deemed to beneficially own the shares held by AVOF II. Each of AVOF II, AVAO II LP, AVAO II LLC and Dr. Bitterman expressly disclaim beneficial ownership of the securities owned by AVOF II, except to the extent of its pecuniary interest therein, if any. The general partner of Atlas Fund XII is Atlas Venture Associates XII, L.P. (“AVA XII LP”). Atlas Venture Associates XII, LLC (“AVA XII LLC”) is the general partner of AVA XII LP. The members of AVA XII LLC collectively make investment decisions on behalf of AVA XII LLC. Dr. Bitterman is a member of AVA XII LLC and a member of the Company’s Board. Each of Atlas Fund XII, AVA XII LP, AVA XII LLC and</w:t>
      </w:r>
    </w:p>
    <w:p>
      <w:pPr>
        <w:spacing w:after="0" w:line="2" w:lineRule="exact"/>
        <w:rPr>
          <w:rFonts w:ascii="Times New Roman" w:cs="Times New Roman" w:eastAsia="Times New Roman" w:hAnsi="Times New Roman"/>
          <w:sz w:val="17"/>
          <w:szCs w:val="17"/>
          <w:color w:val="auto"/>
        </w:rPr>
      </w:pPr>
    </w:p>
    <w:p>
      <w:pPr>
        <w:ind w:left="54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Dr. Bitterman may be deemed to beneficially own the shares held by Atlas Fund XII. Each of AVA XII LP, AVA XII LLC and Dr. Bitterman expressly disclaim Section 16 beneficial ownership of the securities owned by Atlas Fund XII, except to the extent of its pecuniary interest therein, if any. The address for Atlas Ventures is 300 Technology Sq., 8th Floor, Cambridge, MA 02139.</w:t>
      </w:r>
    </w:p>
    <w:p>
      <w:pPr>
        <w:spacing w:after="0" w:line="1" w:lineRule="exact"/>
        <w:rPr>
          <w:rFonts w:ascii="Times New Roman" w:cs="Times New Roman" w:eastAsia="Times New Roman" w:hAnsi="Times New Roman"/>
          <w:sz w:val="17"/>
          <w:szCs w:val="17"/>
          <w:color w:val="auto"/>
        </w:rPr>
      </w:pPr>
    </w:p>
    <w:p>
      <w:pPr>
        <w:ind w:left="540" w:right="160" w:hanging="424"/>
        <w:spacing w:after="0" w:line="250"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Novo Holdings A/S has the sole power to vote and dispose of the shares, and no individual or other entity is deemed to hold any beneficial ownership in the shares. Eric Snyder, Ph.D. is employed as a Partner at Novo Ventures (US), Inc., which provides certain consultancy services to Novo Holdings A/S, and is a former member of the Company’s Board. Dr. Snyder is not deemed to hold any beneficiary ownership or reportable pecuniary interest in the shares held by Novo Holdings A/S. The business address of Novo Holdings A/S is Tuborg Havnevej 19, 2900 Hellerup, Denmark.</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Arix Bioscience Holdings Limited is Duke Street House, 50 Duke Street, London W1K 6JL, United Kingdom.</w:t>
      </w:r>
    </w:p>
    <w:p>
      <w:pPr>
        <w:spacing w:after="0" w:line="9" w:lineRule="exact"/>
        <w:rPr>
          <w:rFonts w:ascii="Times New Roman" w:cs="Times New Roman" w:eastAsia="Times New Roman" w:hAnsi="Times New Roman"/>
          <w:sz w:val="18"/>
          <w:szCs w:val="18"/>
          <w:color w:val="auto"/>
        </w:rPr>
      </w:pPr>
    </w:p>
    <w:p>
      <w:pPr>
        <w:ind w:left="540" w:right="260" w:hanging="424"/>
        <w:spacing w:after="0" w:line="255"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271,998 shares held by Janus Henderson Biotech Innovation Master Fund Limited (“Janus Biotech”), (ii) 109,462 shares held by Janus Henderson Capital Funds plc - Janus Henderson Global Life Sciences Fund (“Janus Capital”), and (iii) 118,870 shares held by Janus Henderson Global Life Sciences Fund (“Janus Global Life Sciences”). Such shares owned by Janus Biotech, Janus Capital, and Janus Global</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40"/>
        <w:spacing w:after="0" w:line="253" w:lineRule="auto"/>
        <w:rPr>
          <w:sz w:val="20"/>
          <w:szCs w:val="20"/>
          <w:color w:val="auto"/>
        </w:rPr>
      </w:pPr>
      <w:r>
        <w:rPr>
          <w:rFonts w:ascii="Times New Roman" w:cs="Times New Roman" w:eastAsia="Times New Roman" w:hAnsi="Times New Roman"/>
          <w:sz w:val="18"/>
          <w:szCs w:val="18"/>
          <w:color w:val="auto"/>
        </w:rPr>
        <w:t>Life Sciences may be deemed to be beneficially owned by, Janus Henderson Investors US LLC (“Janus”), an investment adviser registered under the Investment Advisers Act of 1940, who acts as investment adviser for the Fund and has the ability to make decisions with respect to the voting and disposition of the shares subject to the oversight of the board of trustees (or similar entity) of the Fund. Under the terms of its management contract, Janus has overall responsibility for directing the investments of the Fund in accordance with the Fund’s investment objective, policies and limitations. The Fund has one or more portfolio managers appointed by and serving at the pleasure of Janus who makes decisions with respect to the disposition of the Shares. The address for Janus is 151 Detroit Street, Denver, CO 80206. The portfolio managers for this Fund are Andrew Acker and Daniel S. Lyons.</w:t>
      </w:r>
    </w:p>
    <w:p>
      <w:pPr>
        <w:spacing w:after="0" w:line="3" w:lineRule="exact"/>
        <w:rPr>
          <w:sz w:val="20"/>
          <w:szCs w:val="20"/>
          <w:color w:val="auto"/>
        </w:rPr>
      </w:pPr>
    </w:p>
    <w:p>
      <w:pPr>
        <w:ind w:left="540" w:right="120" w:hanging="424"/>
        <w:spacing w:after="0" w:line="25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271,598 shares of our common stock owned by Rock Springs Capital Master Fund LP (“Master Fund”) and (ii) 67,899 shares of our common stock owned by Four Pines Master Fund LP (“Four Pines”). Rock Springs Capital LLC (“RSC”) is the general partner of Rock Springs Capital Management LP (“RSCM”) which is the investment manager to Master Fund and Four Pines. RSC and RSCM may therefore be deemed to have or share beneficial ownership of the shares held directly by Master Fund and Four Pines. The address for RSC and RSCM is 650 South Exeter St., Suite 1070, Baltimore, Maryland 21202.</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5AM Opportunities II, L.P. is 501 Second Street, Suite 350, San Francisco, CA 94107.</w:t>
      </w:r>
    </w:p>
    <w:p>
      <w:pPr>
        <w:spacing w:after="0" w:line="9" w:lineRule="exact"/>
        <w:rPr>
          <w:rFonts w:ascii="Times New Roman" w:cs="Times New Roman" w:eastAsia="Times New Roman" w:hAnsi="Times New Roman"/>
          <w:sz w:val="18"/>
          <w:szCs w:val="18"/>
          <w:color w:val="auto"/>
        </w:rPr>
      </w:pPr>
    </w:p>
    <w:p>
      <w:pPr>
        <w:ind w:left="540" w:right="60" w:hanging="424"/>
        <w:spacing w:after="0" w:line="260"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shares of common stock, including, without limitation, shares of common stock acquired in the open market are being offered under this prospectus.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selling stockholders may sell all or a portion of the shares of common stock held by them and offered hereby from time to time, in one or more transactions, directly or through one or more underwriters, broker-dealers or agents. As used in this prospectus, the term “selling stockholders” includes any donees, pledgees, transferees or other successors in interest of the selling stockholders after the date of this prospectus. If the shares of common stock are sold through underwriters, broker-dealers, or agents, the selling stockholders will be responsible for underwriting discounts or commissions. The shares of common stock may be sold in one or more transactions at fixed prices, at prevailing market prices at the time of the sale, at varying prices determined at the time of sale, at negotiated prices or such other price as the selling stockholders determines from time to time. These sales may be effected in transactions, which may involve crosses or block transactions, pursuant to one or more of the following methods:</w:t>
      </w:r>
    </w:p>
    <w:p>
      <w:pPr>
        <w:spacing w:after="0" w:line="94" w:lineRule="exact"/>
        <w:rPr>
          <w:sz w:val="20"/>
          <w:szCs w:val="20"/>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any national securities exchange or quotation service on which the shares of common stock may be listed or quoted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otherwise than on these exchanges or systems or in the over-the-counter market;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whether such options are listed on an options exchange or otherwise;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one or more underwritten offerings on a firm commitment or best efforts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shares of common stock as agent but may position and resell a portion of the block as principal to facilitate the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multiple purchasers or a single purchaser;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made after the date the registration statement is declared effective by the SEC;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 may agree with the selling stockholders to sell a specified number of such shares at a stipulated price per share;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selling stockholders may also sell shares of common stock under Rule 144 promulgated under the Securities Act, if available, rather than under this prospectus. In addition, the selling stockholders may transfer the shares of common stock by other means not described in this prospectus. If the selling stockholders effects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the selling stockholders may enter into hedging transactions with broker-dealers, which may in turn engage in short sales of the shares of common stock in the course of hedging in positions they assume. The selling stockholders may also sell shares of common stock short and deliver shares of common stock covered by this prospectus to close out short positions and to return borrowed shares in connection with such short sales. The selling stockholders may also loan or pledge shares of common stock to broker-dealers that in turn may sell such shares.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selling stockholders may pledge or grant a security interest in some or all of the shares of common stock owned by it and, if it defaults in the performance of its secured obligations, the pledgees or secured parties may offer and sell the shares of common stock from time to time pursuant to this prospectus. The selling stockholders also may transfer and donate the shares of common stock in other circumstances in which case the pledgees, transferees, donees, or other successors in interest will be the selling beneficial owners for purposes of this prospectus.</w:t>
      </w:r>
    </w:p>
    <w:p>
      <w:pPr>
        <w:spacing w:after="0" w:line="180"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To the extent required by the Securities Act and the rules and regulations thereunder, the selling stockholders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a time a particular offering of shares of our common stock is made, an additional prospectus supplement, if required, may be distributed that will set forth the number of shares of our common stock being offered, the method of distribution and the terms of the offering, including the name or names of any underwriters, dealers or agents, the purchase price paid by any underwriter and any discount. In order to comply with the securities laws of some states, if applicable, the shares of our common stock may be sold in these jurisdictions only through registered or licensed brokers or dealers. In addition, in some states shares of our common stock may not be sold unless they has been registered or qualified for sale or an exemption from registration or qualification requirements is available and is complied with.</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selling stockholders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87"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receive any proceeds from sales of any shares of common stock by the selling stockholders.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cannot assure you that the selling stockholders will sell all or any portion of the shares of common stock offered hereby. We are registering the resale of shares of our common stock to provide the selling stockholders with freely tradable securities, but the registration of such shares does not necessarily mean that any of such shares will be offered or sold by the selling stockholders pursuant to this prospectus or at all.</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required, this prospectus may be amended and/or supplemented from time to time to describe a specific plan of distribution.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validity of the common stock being offered by this prospectus has been passed upon for us by Goodwin Procter LLP, Boston, Massachusetts.</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Inc. (formerly known as Gemini Therapeutics, Inc.) for the year ended December 31, 2021 included in the Annual Report on Form 10-K dated March 10,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Disc Medicine Opco, Inc. (formerly known as Disc Medicine, Inc.) for the year ended December 31, 2021, appearing in the Company’s Current Report on Form 8-K dated December 29, 2022,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INCORPORATION BY REFERENCE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 The SEC maintains a website that contains reports, proxy and information statements and other information about issuers, such as us, who file electronically with the SEC. The address of that website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left="120" w:right="740"/>
        <w:spacing w:after="0" w:line="284"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The information on our website, however, is not, and should not be deemed to be, a part of this prospectus.</w:t>
      </w:r>
    </w:p>
    <w:p>
      <w:pPr>
        <w:spacing w:after="0" w:line="16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incorporate by reference the documents set forth below that have previously been filed with the SEC:</w:t>
      </w:r>
    </w:p>
    <w:p>
      <w:pPr>
        <w:spacing w:after="0" w:line="67" w:lineRule="exact"/>
        <w:rPr>
          <w:sz w:val="20"/>
          <w:szCs w:val="20"/>
          <w:color w:val="auto"/>
        </w:rPr>
      </w:pPr>
    </w:p>
    <w:p>
      <w:pPr>
        <w:ind w:left="1080" w:hanging="424"/>
        <w:spacing w:after="0"/>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9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March 10, 2022;</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quarters ended March 31, 2022, June 30, 2022 and September 30, 2022, filed with the SEC on </w:t>
      </w:r>
      <w:hyperlink r:id="rId171">
        <w:r>
          <w:rPr>
            <w:rFonts w:ascii="Times New Roman" w:cs="Times New Roman" w:eastAsia="Times New Roman" w:hAnsi="Times New Roman"/>
            <w:sz w:val="18"/>
            <w:szCs w:val="18"/>
            <w:u w:val="single" w:color="auto"/>
            <w:color w:val="0000EE"/>
          </w:rPr>
          <w:t>May 6,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72">
        <w:r>
          <w:rPr>
            <w:rFonts w:ascii="Times New Roman" w:cs="Times New Roman" w:eastAsia="Times New Roman" w:hAnsi="Times New Roman"/>
            <w:sz w:val="18"/>
            <w:szCs w:val="18"/>
            <w:u w:val="single" w:color="auto"/>
            <w:color w:val="0000EE"/>
          </w:rPr>
          <w:t>August 11,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73">
        <w:r>
          <w:rPr>
            <w:rFonts w:ascii="Times New Roman" w:cs="Times New Roman" w:eastAsia="Times New Roman" w:hAnsi="Times New Roman"/>
            <w:sz w:val="18"/>
            <w:szCs w:val="18"/>
            <w:u w:val="single" w:color="auto"/>
            <w:color w:val="0000EE"/>
          </w:rPr>
          <w:t xml:space="preserve">November 10, 2022 </w:t>
        </w:r>
      </w:hyperlink>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right="20" w:hanging="424"/>
        <w:spacing w:after="0" w:line="261" w:lineRule="auto"/>
        <w:tabs>
          <w:tab w:leader="none" w:pos="1080" w:val="left"/>
        </w:tabs>
        <w:numPr>
          <w:ilvl w:val="0"/>
          <w:numId w:val="67"/>
        </w:numPr>
        <w:rPr>
          <w:rFonts w:ascii="Times New Roman" w:cs="Times New Roman" w:eastAsia="Times New Roman" w:hAnsi="Times New Roman"/>
          <w:sz w:val="18"/>
          <w:szCs w:val="18"/>
          <w:color w:val="000000"/>
        </w:rPr>
      </w:pPr>
      <w:hyperlink r:id="rId174">
        <w:r>
          <w:rPr>
            <w:rFonts w:ascii="Times New Roman" w:cs="Times New Roman" w:eastAsia="Times New Roman" w:hAnsi="Times New Roman"/>
            <w:sz w:val="18"/>
            <w:szCs w:val="18"/>
            <w:color w:val="auto"/>
          </w:rPr>
          <w:t xml:space="preserve">Current Reports on Form 8-K filed with the SEC on </w:t>
        </w:r>
        <w:r>
          <w:rPr>
            <w:rFonts w:ascii="Times New Roman" w:cs="Times New Roman" w:eastAsia="Times New Roman" w:hAnsi="Times New Roman"/>
            <w:sz w:val="18"/>
            <w:szCs w:val="18"/>
            <w:u w:val="single" w:color="auto"/>
            <w:color w:val="0000EE"/>
          </w:rPr>
          <w:t>January 10, 2022</w:t>
        </w:r>
        <w:r>
          <w:rPr>
            <w:rFonts w:ascii="Times New Roman" w:cs="Times New Roman" w:eastAsia="Times New Roman" w:hAnsi="Times New Roman"/>
            <w:sz w:val="18"/>
            <w:szCs w:val="18"/>
            <w:color w:val="auto"/>
          </w:rPr>
          <w:t xml:space="preserve"> (excluding information furnished pursuant to Item 7.01), </w:t>
        </w:r>
        <w:r>
          <w:rPr>
            <w:rFonts w:ascii="Times New Roman" w:cs="Times New Roman" w:eastAsia="Times New Roman" w:hAnsi="Times New Roman"/>
            <w:sz w:val="18"/>
            <w:szCs w:val="18"/>
            <w:u w:val="single" w:color="auto"/>
            <w:color w:val="0000EE"/>
          </w:rPr>
          <w:t>January 14,</w:t>
        </w:r>
      </w:hyperlink>
      <w:r>
        <w:rPr>
          <w:rFonts w:ascii="Times New Roman" w:cs="Times New Roman" w:eastAsia="Times New Roman" w:hAnsi="Times New Roman"/>
          <w:sz w:val="18"/>
          <w:szCs w:val="18"/>
          <w:color w:val="auto"/>
        </w:rPr>
        <w:t xml:space="preserve"> </w:t>
      </w:r>
      <w:hyperlink r:id="rId174">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5">
        <w:r>
          <w:rPr>
            <w:rFonts w:ascii="Times New Roman" w:cs="Times New Roman" w:eastAsia="Times New Roman" w:hAnsi="Times New Roman"/>
            <w:sz w:val="18"/>
            <w:szCs w:val="18"/>
            <w:u w:val="single" w:color="auto"/>
            <w:color w:val="0000EE"/>
          </w:rPr>
          <w:t xml:space="preserve">February 28, 2022 </w:t>
        </w:r>
      </w:hyperlink>
      <w:hyperlink r:id="rId174">
        <w:r>
          <w:rPr>
            <w:rFonts w:ascii="Times New Roman" w:cs="Times New Roman" w:eastAsia="Times New Roman" w:hAnsi="Times New Roman"/>
            <w:sz w:val="18"/>
            <w:szCs w:val="18"/>
            <w:color w:val="000000"/>
          </w:rPr>
          <w:t>(excluding information furnished pursuant to Item 7.01),</w:t>
        </w:r>
        <w:r>
          <w:rPr>
            <w:rFonts w:ascii="Times New Roman" w:cs="Times New Roman" w:eastAsia="Times New Roman" w:hAnsi="Times New Roman"/>
            <w:sz w:val="18"/>
            <w:szCs w:val="18"/>
            <w:color w:val="0000EE"/>
          </w:rPr>
          <w:t xml:space="preserve"> </w:t>
        </w:r>
      </w:hyperlink>
      <w:hyperlink r:id="rId176">
        <w:r>
          <w:rPr>
            <w:rFonts w:ascii="Times New Roman" w:cs="Times New Roman" w:eastAsia="Times New Roman" w:hAnsi="Times New Roman"/>
            <w:sz w:val="18"/>
            <w:szCs w:val="18"/>
            <w:u w:val="single" w:color="auto"/>
            <w:color w:val="0000EE"/>
          </w:rPr>
          <w:t>April 5, 2022</w:t>
        </w:r>
      </w:hyperlink>
      <w:hyperlink r:id="rId17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7">
        <w:r>
          <w:rPr>
            <w:rFonts w:ascii="Times New Roman" w:cs="Times New Roman" w:eastAsia="Times New Roman" w:hAnsi="Times New Roman"/>
            <w:sz w:val="18"/>
            <w:szCs w:val="18"/>
            <w:u w:val="single" w:color="auto"/>
            <w:color w:val="0000EE"/>
          </w:rPr>
          <w:t xml:space="preserve">August 10, 2022 </w:t>
        </w:r>
      </w:hyperlink>
      <w:hyperlink r:id="rId174">
        <w:r>
          <w:rPr>
            <w:rFonts w:ascii="Times New Roman" w:cs="Times New Roman" w:eastAsia="Times New Roman" w:hAnsi="Times New Roman"/>
            <w:sz w:val="18"/>
            <w:szCs w:val="18"/>
            <w:color w:val="000000"/>
          </w:rPr>
          <w:t>(excluding information</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furnished pursuant to Item 7.01), </w:t>
      </w:r>
      <w:hyperlink r:id="rId178">
        <w:r>
          <w:rPr>
            <w:rFonts w:ascii="Times New Roman" w:cs="Times New Roman" w:eastAsia="Times New Roman" w:hAnsi="Times New Roman"/>
            <w:sz w:val="18"/>
            <w:szCs w:val="18"/>
            <w:u w:val="single" w:color="auto"/>
            <w:color w:val="0000EE"/>
          </w:rPr>
          <w:t>December 8, 2022</w:t>
        </w:r>
      </w:hyperlink>
      <w:r>
        <w:rPr>
          <w:rFonts w:ascii="Times New Roman" w:cs="Times New Roman" w:eastAsia="Times New Roman" w:hAnsi="Times New Roman"/>
          <w:sz w:val="18"/>
          <w:szCs w:val="18"/>
          <w:color w:val="000000"/>
        </w:rPr>
        <w:t xml:space="preserve">, </w:t>
      </w:r>
      <w:hyperlink r:id="rId179">
        <w:r>
          <w:rPr>
            <w:rFonts w:ascii="Times New Roman" w:cs="Times New Roman" w:eastAsia="Times New Roman" w:hAnsi="Times New Roman"/>
            <w:sz w:val="18"/>
            <w:szCs w:val="18"/>
            <w:u w:val="single" w:color="auto"/>
            <w:color w:val="0000EE"/>
          </w:rPr>
          <w:t>December 28,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 xml:space="preserve">and </w:t>
      </w:r>
      <w:hyperlink r:id="rId180">
        <w:r>
          <w:rPr>
            <w:rFonts w:ascii="Times New Roman" w:cs="Times New Roman" w:eastAsia="Times New Roman" w:hAnsi="Times New Roman"/>
            <w:sz w:val="18"/>
            <w:szCs w:val="18"/>
            <w:u w:val="single" w:color="auto"/>
            <w:color w:val="0000EE"/>
          </w:rPr>
          <w:t>December 29, 2022</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(excluding information furnished pursuant to Items 2.02 or 7.01, or corresponding information furnished under Item 9.01 or included as an exhibit); and</w:t>
      </w:r>
    </w:p>
    <w:p>
      <w:pPr>
        <w:spacing w:after="0" w:line="85" w:lineRule="exact"/>
        <w:rPr>
          <w:rFonts w:ascii="Times New Roman" w:cs="Times New Roman" w:eastAsia="Times New Roman" w:hAnsi="Times New Roman"/>
          <w:sz w:val="18"/>
          <w:szCs w:val="18"/>
          <w:color w:val="000000"/>
        </w:rPr>
      </w:pPr>
    </w:p>
    <w:p>
      <w:pPr>
        <w:ind w:left="1080" w:hanging="424"/>
        <w:spacing w:after="0" w:line="258" w:lineRule="auto"/>
        <w:tabs>
          <w:tab w:leader="none" w:pos="10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with the SEC on August 10, 2020, and as set forth by the description of the Registrant’s common stock set forth in </w:t>
      </w:r>
      <w:hyperlink r:id="rId74">
        <w:r>
          <w:rPr>
            <w:rFonts w:ascii="Times New Roman" w:cs="Times New Roman" w:eastAsia="Times New Roman" w:hAnsi="Times New Roman"/>
            <w:sz w:val="18"/>
            <w:szCs w:val="18"/>
            <w:u w:val="single" w:color="auto"/>
            <w:color w:val="0000EE"/>
          </w:rPr>
          <w:t>Exhibit 4.4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Registrant’s Annual Report on </w:t>
      </w:r>
      <w:hyperlink r:id="rId92">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2021, filed with the SEC on March 10, 2022, and as further supplemented by the description of the Registrant’s common stock set forth in the Registrant’s Registration Statement on </w:t>
      </w:r>
      <w:hyperlink r:id="rId75">
        <w:r>
          <w:rPr>
            <w:rFonts w:ascii="Times New Roman" w:cs="Times New Roman" w:eastAsia="Times New Roman" w:hAnsi="Times New Roman"/>
            <w:sz w:val="18"/>
            <w:szCs w:val="18"/>
            <w:u w:val="single" w:color="auto"/>
            <w:color w:val="0000EE"/>
          </w:rPr>
          <w:t>Form S-4/A</w:t>
        </w:r>
      </w:hyperlink>
      <w:r>
        <w:rPr>
          <w:rFonts w:ascii="Times New Roman" w:cs="Times New Roman" w:eastAsia="Times New Roman" w:hAnsi="Times New Roman"/>
          <w:sz w:val="18"/>
          <w:szCs w:val="18"/>
          <w:color w:val="auto"/>
        </w:rPr>
        <w:t>, filed with the SEC on December 1, 2022, including any amendments or reports filed for the purpose of updating such description.</w:t>
      </w:r>
    </w:p>
    <w:p>
      <w:pPr>
        <w:spacing w:after="0" w:line="116" w:lineRule="exact"/>
        <w:rPr>
          <w:rFonts w:ascii="Times New Roman" w:cs="Times New Roman" w:eastAsia="Times New Roman" w:hAnsi="Times New Roman"/>
          <w:sz w:val="18"/>
          <w:szCs w:val="18"/>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right="320"/>
        <w:spacing w:after="0" w:line="284" w:lineRule="auto"/>
        <w:rPr>
          <w:sz w:val="20"/>
          <w:szCs w:val="20"/>
          <w:color w:val="auto"/>
        </w:rPr>
      </w:pPr>
      <w:r>
        <w:rPr>
          <w:rFonts w:ascii="Times New Roman" w:cs="Times New Roman" w:eastAsia="Times New Roman" w:hAnsi="Times New Roman"/>
          <w:sz w:val="18"/>
          <w:szCs w:val="18"/>
          <w:color w:val="auto"/>
        </w:rPr>
        <w:t xml:space="preserve">These documents may also be accessed on our website at </w:t>
      </w:r>
      <w:r>
        <w:rPr>
          <w:rFonts w:ascii="Times New Roman" w:cs="Times New Roman" w:eastAsia="Times New Roman" w:hAnsi="Times New Roman"/>
          <w:sz w:val="18"/>
          <w:szCs w:val="18"/>
          <w:i w:val="1"/>
          <w:iCs w:val="1"/>
          <w:color w:val="auto"/>
        </w:rPr>
        <w:t>www.discmedicine.com</w:t>
      </w:r>
      <w:r>
        <w:rPr>
          <w:rFonts w:ascii="Times New Roman" w:cs="Times New Roman" w:eastAsia="Times New Roman" w:hAnsi="Times New Roman"/>
          <w:sz w:val="18"/>
          <w:szCs w:val="18"/>
          <w:color w:val="auto"/>
        </w:rPr>
        <w:t>. Except as otherwise specifically incorporated by reference in this prospectus, information contained in, or accessible through, our website is not a part of this prospectus.</w:t>
      </w:r>
    </w:p>
    <w:p>
      <w:pPr>
        <w:spacing w:after="0" w:line="160"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You may request a free copy of any of the documents incorporated by reference in this prospectus by writing or telephoning us at the following address:</w:t>
      </w:r>
    </w:p>
    <w:p>
      <w:pPr>
        <w:spacing w:after="0" w:line="1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Disc Medicine,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321 Arsenal Street, Suite 101</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Watertown, MA 02472</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(617) 674-9274</w:t>
      </w:r>
    </w:p>
    <w:p>
      <w:pPr>
        <w:spacing w:after="0" w:line="207"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Exhibits to the filings will not be sent, however, unless those exhibits have specifically been incorporated by reference in this prospectus or any accompanying prospectus supplement.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$220,000,000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344170</wp:posOffset>
            </wp:positionV>
            <wp:extent cx="3446145" cy="548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34461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Pre-Funded Warrants to Purchase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410210</wp:posOffset>
            </wp:positionV>
            <wp:extent cx="1474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41" w:lineRule="exact"/>
        <w:rPr>
          <w:sz w:val="20"/>
          <w:szCs w:val="20"/>
          <w:color w:val="auto"/>
        </w:rPr>
      </w:pPr>
    </w:p>
    <w:p>
      <w:pPr>
        <w:ind w:left="120"/>
        <w:spacing w:after="0"/>
        <w:tabs>
          <w:tab w:leader="none" w:pos="3340" w:val="left"/>
          <w:tab w:leader="none" w:pos="6260" w:val="left"/>
          <w:tab w:leader="none" w:pos="10460" w:val="left"/>
        </w:tabs>
        <w:rPr>
          <w:sz w:val="20"/>
          <w:szCs w:val="20"/>
          <w:color w:val="auto"/>
        </w:rPr>
      </w:pPr>
      <w:r>
        <w:rPr>
          <w:rFonts w:ascii="Times New Roman" w:cs="Times New Roman" w:eastAsia="Times New Roman" w:hAnsi="Times New Roman"/>
          <w:sz w:val="22"/>
          <w:szCs w:val="22"/>
          <w:b w:val="1"/>
          <w:bCs w:val="1"/>
          <w:color w:val="auto"/>
        </w:rPr>
        <w:t>Jefferies</w:t>
      </w:r>
      <w:r>
        <w:rPr>
          <w:sz w:val="20"/>
          <w:szCs w:val="20"/>
          <w:color w:val="auto"/>
        </w:rPr>
        <w:tab/>
      </w:r>
      <w:r>
        <w:rPr>
          <w:rFonts w:ascii="Times New Roman" w:cs="Times New Roman" w:eastAsia="Times New Roman" w:hAnsi="Times New Roman"/>
          <w:sz w:val="22"/>
          <w:szCs w:val="22"/>
          <w:b w:val="1"/>
          <w:bCs w:val="1"/>
          <w:color w:val="auto"/>
        </w:rPr>
        <w:t>Leerink Partners</w:t>
      </w:r>
      <w:r>
        <w:rPr>
          <w:sz w:val="20"/>
          <w:szCs w:val="20"/>
          <w:color w:val="auto"/>
        </w:rPr>
        <w:tab/>
      </w:r>
      <w:r>
        <w:rPr>
          <w:rFonts w:ascii="Times New Roman" w:cs="Times New Roman" w:eastAsia="Times New Roman" w:hAnsi="Times New Roman"/>
          <w:sz w:val="22"/>
          <w:szCs w:val="22"/>
          <w:b w:val="1"/>
          <w:bCs w:val="1"/>
          <w:color w:val="auto"/>
        </w:rPr>
        <w:t>Morgan Stanley</w:t>
      </w:r>
      <w:r>
        <w:rPr>
          <w:sz w:val="20"/>
          <w:szCs w:val="20"/>
          <w:color w:val="auto"/>
        </w:rPr>
        <w:tab/>
      </w:r>
      <w:r>
        <w:rPr>
          <w:rFonts w:ascii="Times New Roman" w:cs="Times New Roman" w:eastAsia="Times New Roman" w:hAnsi="Times New Roman"/>
          <w:sz w:val="21"/>
          <w:szCs w:val="21"/>
          <w:b w:val="1"/>
          <w:bCs w:val="1"/>
          <w:color w:val="auto"/>
        </w:rPr>
        <w:t>Cantor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431165</wp:posOffset>
            </wp:positionV>
            <wp:extent cx="699516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4FD4A1"/>
    <w:multiLevelType w:val="hybridMultilevel"/>
    <w:lvl w:ilvl="0">
      <w:lvlJc w:val="left"/>
      <w:lvlText w:val="(%1)"/>
      <w:numFmt w:val="decimal"/>
      <w:start w:val="1"/>
    </w:lvl>
  </w:abstractNum>
  <w:abstractNum w:abstractNumId="1">
    <w:nsid w:val="419AC241"/>
    <w:multiLevelType w:val="hybridMultilevel"/>
    <w:lvl w:ilvl="0">
      <w:lvlJc w:val="left"/>
      <w:lvlText w:val="•"/>
      <w:numFmt w:val="bullet"/>
      <w:start w:val="1"/>
    </w:lvl>
  </w:abstractNum>
  <w:abstractNum w:abstractNumId="2">
    <w:nsid w:val="5577F8E1"/>
    <w:multiLevelType w:val="hybridMultilevel"/>
    <w:lvl w:ilvl="0">
      <w:lvlJc w:val="left"/>
      <w:lvlText w:val="•"/>
      <w:numFmt w:val="bullet"/>
      <w:start w:val="1"/>
    </w:lvl>
  </w:abstractNum>
  <w:abstractNum w:abstractNumId="3">
    <w:nsid w:val="440BADFC"/>
    <w:multiLevelType w:val="hybridMultilevel"/>
    <w:lvl w:ilvl="0">
      <w:lvlJc w:val="left"/>
      <w:lvlText w:val="•"/>
      <w:numFmt w:val="bullet"/>
      <w:start w:val="1"/>
    </w:lvl>
  </w:abstractNum>
  <w:abstractNum w:abstractNumId="4">
    <w:nsid w:val="5072367"/>
    <w:multiLevelType w:val="hybridMultilevel"/>
    <w:lvl w:ilvl="0">
      <w:lvlJc w:val="left"/>
      <w:lvlText w:val="•"/>
      <w:numFmt w:val="bullet"/>
      <w:start w:val="1"/>
    </w:lvl>
  </w:abstractNum>
  <w:abstractNum w:abstractNumId="5">
    <w:nsid w:val="3804823E"/>
    <w:multiLevelType w:val="hybridMultilevel"/>
    <w:lvl w:ilvl="0">
      <w:lvlJc w:val="left"/>
      <w:lvlText w:val="•"/>
      <w:numFmt w:val="bullet"/>
      <w:start w:val="1"/>
    </w:lvl>
  </w:abstractNum>
  <w:abstractNum w:abstractNumId="6">
    <w:nsid w:val="77465F01"/>
    <w:multiLevelType w:val="hybridMultilevel"/>
    <w:lvl w:ilvl="0">
      <w:lvlJc w:val="left"/>
      <w:lvlText w:val="•"/>
      <w:numFmt w:val="bullet"/>
      <w:start w:val="1"/>
    </w:lvl>
  </w:abstractNum>
  <w:abstractNum w:abstractNumId="7">
    <w:nsid w:val="7724C67E"/>
    <w:multiLevelType w:val="hybridMultilevel"/>
    <w:lvl w:ilvl="0">
      <w:lvlJc w:val="left"/>
      <w:lvlText w:val="•"/>
      <w:numFmt w:val="bullet"/>
      <w:start w:val="1"/>
    </w:lvl>
  </w:abstractNum>
  <w:abstractNum w:abstractNumId="8">
    <w:nsid w:val="5C482A97"/>
    <w:multiLevelType w:val="hybridMultilevel"/>
    <w:lvl w:ilvl="0">
      <w:lvlJc w:val="left"/>
      <w:lvlText w:val="•"/>
      <w:numFmt w:val="bullet"/>
      <w:start w:val="1"/>
    </w:lvl>
  </w:abstractNum>
  <w:abstractNum w:abstractNumId="9">
    <w:nsid w:val="2463B9EA"/>
    <w:multiLevelType w:val="hybridMultilevel"/>
    <w:lvl w:ilvl="0">
      <w:lvlJc w:val="left"/>
      <w:lvlText w:val="(%1)"/>
      <w:numFmt w:val="decimal"/>
      <w:start w:val="1"/>
    </w:lvl>
  </w:abstractNum>
  <w:abstractNum w:abstractNumId="10">
    <w:nsid w:val="5E884ADC"/>
    <w:multiLevelType w:val="hybridMultilevel"/>
    <w:lvl w:ilvl="0">
      <w:lvlJc w:val="left"/>
      <w:lvlText w:val="(%1)"/>
      <w:numFmt w:val="lowerRoman"/>
      <w:start w:val="1"/>
    </w:lvl>
  </w:abstractNum>
  <w:abstractNum w:abstractNumId="11">
    <w:nsid w:val="51EAD36B"/>
    <w:multiLevelType w:val="hybridMultilevel"/>
    <w:lvl w:ilvl="0">
      <w:lvlJc w:val="left"/>
      <w:lvlText w:val="•"/>
      <w:numFmt w:val="bullet"/>
      <w:start w:val="1"/>
    </w:lvl>
  </w:abstractNum>
  <w:abstractNum w:abstractNumId="12">
    <w:nsid w:val="2D517796"/>
    <w:multiLevelType w:val="hybridMultilevel"/>
    <w:lvl w:ilvl="0">
      <w:lvlJc w:val="left"/>
      <w:lvlText w:val="(%1)"/>
      <w:numFmt w:val="lowerLetter"/>
      <w:start w:val="2"/>
    </w:lvl>
  </w:abstractNum>
  <w:abstractNum w:abstractNumId="13">
    <w:nsid w:val="580BD78F"/>
    <w:multiLevelType w:val="hybridMultilevel"/>
    <w:lvl w:ilvl="0">
      <w:lvlJc w:val="left"/>
      <w:lvlText w:val="•"/>
      <w:numFmt w:val="bullet"/>
      <w:start w:val="1"/>
    </w:lvl>
  </w:abstractNum>
  <w:abstractNum w:abstractNumId="14">
    <w:nsid w:val="153EA438"/>
    <w:multiLevelType w:val="hybridMultilevel"/>
    <w:lvl w:ilvl="0">
      <w:lvlJc w:val="left"/>
      <w:lvlText w:val="%1)"/>
      <w:numFmt w:val="lowerLetter"/>
      <w:start w:val="1"/>
    </w:lvl>
  </w:abstractNum>
  <w:abstractNum w:abstractNumId="15">
    <w:nsid w:val="3855585C"/>
    <w:multiLevelType w:val="hybridMultilevel"/>
    <w:lvl w:ilvl="0">
      <w:lvlJc w:val="left"/>
      <w:lvlText w:val="%1)"/>
      <w:numFmt w:val="lowerLetter"/>
      <w:start w:val="1"/>
    </w:lvl>
  </w:abstractNum>
  <w:abstractNum w:abstractNumId="16">
    <w:nsid w:val="70A64E2A"/>
    <w:multiLevelType w:val="hybridMultilevel"/>
    <w:lvl w:ilvl="0">
      <w:lvlJc w:val="left"/>
      <w:lvlText w:val="%1)"/>
      <w:numFmt w:val="lowerLetter"/>
      <w:start w:val="3"/>
    </w:lvl>
  </w:abstractNum>
  <w:abstractNum w:abstractNumId="17">
    <w:nsid w:val="6A2342EC"/>
    <w:multiLevelType w:val="hybridMultilevel"/>
    <w:lvl w:ilvl="0">
      <w:lvlJc w:val="left"/>
      <w:lvlText w:val="%1)"/>
      <w:numFmt w:val="lowerLetter"/>
      <w:start w:val="10"/>
    </w:lvl>
  </w:abstractNum>
  <w:abstractNum w:abstractNumId="18">
    <w:nsid w:val="2A487CB0"/>
    <w:multiLevelType w:val="hybridMultilevel"/>
    <w:lvl w:ilvl="0">
      <w:lvlJc w:val="left"/>
      <w:lvlText w:val="%1)"/>
      <w:numFmt w:val="lowerLetter"/>
      <w:start w:val="1"/>
    </w:lvl>
  </w:abstractNum>
  <w:abstractNum w:abstractNumId="19">
    <w:nsid w:val="1D4ED43B"/>
    <w:multiLevelType w:val="hybridMultilevel"/>
    <w:lvl w:ilvl="0">
      <w:lvlJc w:val="left"/>
      <w:lvlText w:val="%1)"/>
      <w:numFmt w:val="lowerLetter"/>
      <w:start w:val="1"/>
    </w:lvl>
  </w:abstractNum>
  <w:abstractNum w:abstractNumId="20">
    <w:nsid w:val="725A06FB"/>
    <w:multiLevelType w:val="hybridMultilevel"/>
    <w:lvl w:ilvl="0">
      <w:lvlJc w:val="left"/>
      <w:lvlText w:val="(%1)"/>
      <w:numFmt w:val="lowerLetter"/>
      <w:start w:val="4"/>
    </w:lvl>
  </w:abstractNum>
  <w:abstractNum w:abstractNumId="21">
    <w:nsid w:val="2CD89A32"/>
    <w:multiLevelType w:val="hybridMultilevel"/>
    <w:lvl w:ilvl="0">
      <w:lvlJc w:val="left"/>
      <w:lvlText w:val="%1)"/>
      <w:numFmt w:val="lowerLetter"/>
      <w:start w:val="1"/>
    </w:lvl>
  </w:abstractNum>
  <w:abstractNum w:abstractNumId="22">
    <w:nsid w:val="57E4CCAF"/>
    <w:multiLevelType w:val="hybridMultilevel"/>
    <w:lvl w:ilvl="0">
      <w:lvlJc w:val="left"/>
      <w:lvlText w:val="%1)"/>
      <w:numFmt w:val="lowerLetter"/>
      <w:start w:val="1"/>
    </w:lvl>
  </w:abstractNum>
  <w:abstractNum w:abstractNumId="23">
    <w:nsid w:val="7A6D8D3C"/>
    <w:multiLevelType w:val="hybridMultilevel"/>
    <w:lvl w:ilvl="0">
      <w:lvlJc w:val="left"/>
      <w:lvlText w:val="%1."/>
      <w:numFmt w:val="lowerRoman"/>
      <w:start w:val="1"/>
    </w:lvl>
  </w:abstractNum>
  <w:abstractNum w:abstractNumId="24">
    <w:nsid w:val="4B588F54"/>
    <w:multiLevelType w:val="hybridMultilevel"/>
    <w:lvl w:ilvl="0">
      <w:lvlJc w:val="left"/>
      <w:lvlText w:val="%1."/>
      <w:numFmt w:val="lowerRoman"/>
      <w:start w:val="2"/>
    </w:lvl>
  </w:abstractNum>
  <w:abstractNum w:abstractNumId="25">
    <w:nsid w:val="542289EC"/>
    <w:multiLevelType w:val="hybridMultilevel"/>
    <w:lvl w:ilvl="0">
      <w:lvlJc w:val="left"/>
      <w:lvlText w:val="(%1)"/>
      <w:numFmt w:val="lowerLetter"/>
      <w:start w:val="3"/>
    </w:lvl>
  </w:abstractNum>
  <w:abstractNum w:abstractNumId="26">
    <w:nsid w:val="6DE91B18"/>
    <w:multiLevelType w:val="hybridMultilevel"/>
    <w:lvl w:ilvl="0">
      <w:lvlJc w:val="left"/>
      <w:lvlText w:val="(%1)"/>
      <w:numFmt w:val="lowerLetter"/>
      <w:start w:val="22"/>
    </w:lvl>
  </w:abstractNum>
  <w:abstractNum w:abstractNumId="27">
    <w:nsid w:val="38437FDB"/>
    <w:multiLevelType w:val="hybridMultilevel"/>
    <w:lvl w:ilvl="0">
      <w:lvlJc w:val="left"/>
      <w:lvlText w:val="•"/>
      <w:numFmt w:val="bullet"/>
      <w:start w:val="1"/>
    </w:lvl>
  </w:abstractNum>
  <w:abstractNum w:abstractNumId="28">
    <w:nsid w:val="7644A45C"/>
    <w:multiLevelType w:val="hybridMultilevel"/>
    <w:lvl w:ilvl="0">
      <w:lvlJc w:val="left"/>
      <w:lvlText w:val="•"/>
      <w:numFmt w:val="bullet"/>
      <w:start w:val="1"/>
    </w:lvl>
  </w:abstractNum>
  <w:abstractNum w:abstractNumId="29">
    <w:nsid w:val="32FFF902"/>
    <w:multiLevelType w:val="hybridMultilevel"/>
    <w:lvl w:ilvl="0">
      <w:lvlJc w:val="left"/>
      <w:lvlText w:val="(%1)"/>
      <w:numFmt w:val="decimal"/>
      <w:start w:val="617"/>
    </w:lvl>
  </w:abstractNum>
  <w:abstractNum w:abstractNumId="30">
    <w:nsid w:val="684A481A"/>
    <w:multiLevelType w:val="hybridMultilevel"/>
    <w:lvl w:ilvl="0">
      <w:lvlJc w:val="left"/>
      <w:lvlText w:val="•"/>
      <w:numFmt w:val="bullet"/>
      <w:start w:val="1"/>
    </w:lvl>
  </w:abstractNum>
  <w:abstractNum w:abstractNumId="31">
    <w:nsid w:val="579478FE"/>
    <w:multiLevelType w:val="hybridMultilevel"/>
    <w:lvl w:ilvl="0">
      <w:lvlJc w:val="left"/>
      <w:lvlText w:val="•"/>
      <w:numFmt w:val="bullet"/>
      <w:start w:val="1"/>
    </w:lvl>
  </w:abstractNum>
  <w:abstractNum w:abstractNumId="32">
    <w:nsid w:val="749ABB43"/>
    <w:multiLevelType w:val="hybridMultilevel"/>
    <w:lvl w:ilvl="0">
      <w:lvlJc w:val="left"/>
      <w:lvlText w:val="®"/>
      <w:numFmt w:val="bullet"/>
      <w:start w:val="1"/>
    </w:lvl>
  </w:abstractNum>
  <w:abstractNum w:abstractNumId="33">
    <w:nsid w:val="3DC240FB"/>
    <w:multiLevelType w:val="hybridMultilevel"/>
    <w:lvl w:ilvl="0">
      <w:lvlJc w:val="left"/>
      <w:lvlText w:val="•"/>
      <w:numFmt w:val="bullet"/>
      <w:start w:val="1"/>
    </w:lvl>
  </w:abstractNum>
  <w:abstractNum w:abstractNumId="34">
    <w:nsid w:val="1BA026FA"/>
    <w:multiLevelType w:val="hybridMultilevel"/>
    <w:lvl w:ilvl="0">
      <w:lvlJc w:val="left"/>
      <w:lvlText w:val="•"/>
      <w:numFmt w:val="bullet"/>
      <w:start w:val="1"/>
    </w:lvl>
  </w:abstractNum>
  <w:abstractNum w:abstractNumId="35">
    <w:nsid w:val="79A1DEAA"/>
    <w:multiLevelType w:val="hybridMultilevel"/>
    <w:lvl w:ilvl="0">
      <w:lvlJc w:val="left"/>
      <w:lvlText w:val="•"/>
      <w:numFmt w:val="bullet"/>
      <w:start w:val="1"/>
    </w:lvl>
  </w:abstractNum>
  <w:abstractNum w:abstractNumId="36">
    <w:nsid w:val="75C6C33A"/>
    <w:multiLevelType w:val="hybridMultilevel"/>
    <w:lvl w:ilvl="0">
      <w:lvlJc w:val="left"/>
      <w:lvlText w:val="•"/>
      <w:numFmt w:val="bullet"/>
      <w:start w:val="1"/>
    </w:lvl>
  </w:abstractNum>
  <w:abstractNum w:abstractNumId="37">
    <w:nsid w:val="12E685FB"/>
    <w:multiLevelType w:val="hybridMultilevel"/>
    <w:lvl w:ilvl="0">
      <w:lvlJc w:val="left"/>
      <w:lvlText w:val="•"/>
      <w:numFmt w:val="bullet"/>
      <w:start w:val="1"/>
    </w:lvl>
  </w:abstractNum>
  <w:abstractNum w:abstractNumId="38">
    <w:nsid w:val="70C6A529"/>
    <w:multiLevelType w:val="hybridMultilevel"/>
    <w:lvl w:ilvl="0">
      <w:lvlJc w:val="left"/>
      <w:lvlText w:val="•"/>
      <w:numFmt w:val="bullet"/>
      <w:start w:val="1"/>
    </w:lvl>
  </w:abstractNum>
  <w:abstractNum w:abstractNumId="39">
    <w:nsid w:val="520EEDD1"/>
    <w:multiLevelType w:val="hybridMultilevel"/>
    <w:lvl w:ilvl="0">
      <w:lvlJc w:val="left"/>
      <w:lvlText w:val="•"/>
      <w:numFmt w:val="bullet"/>
      <w:start w:val="1"/>
    </w:lvl>
  </w:abstractNum>
  <w:abstractNum w:abstractNumId="40">
    <w:nsid w:val="374A3FE6"/>
    <w:multiLevelType w:val="hybridMultilevel"/>
    <w:lvl w:ilvl="0">
      <w:lvlJc w:val="left"/>
      <w:lvlText w:val="•"/>
      <w:numFmt w:val="bullet"/>
      <w:start w:val="1"/>
    </w:lvl>
  </w:abstractNum>
  <w:abstractNum w:abstractNumId="41">
    <w:nsid w:val="4F4EF005"/>
    <w:multiLevelType w:val="hybridMultilevel"/>
    <w:lvl w:ilvl="0">
      <w:lvlJc w:val="left"/>
      <w:lvlText w:val="•"/>
      <w:numFmt w:val="bullet"/>
      <w:start w:val="1"/>
    </w:lvl>
  </w:abstractNum>
  <w:abstractNum w:abstractNumId="42">
    <w:nsid w:val="23F9C13C"/>
    <w:multiLevelType w:val="hybridMultilevel"/>
    <w:lvl w:ilvl="0">
      <w:lvlJc w:val="left"/>
      <w:lvlText w:val="•"/>
      <w:numFmt w:val="bullet"/>
      <w:start w:val="1"/>
    </w:lvl>
  </w:abstractNum>
  <w:abstractNum w:abstractNumId="43">
    <w:nsid w:val="649BB77C"/>
    <w:multiLevelType w:val="hybridMultilevel"/>
    <w:lvl w:ilvl="0">
      <w:lvlJc w:val="left"/>
      <w:lvlText w:val="•"/>
      <w:numFmt w:val="bullet"/>
      <w:start w:val="1"/>
    </w:lvl>
  </w:abstractNum>
  <w:abstractNum w:abstractNumId="44">
    <w:nsid w:val="275AC794"/>
    <w:multiLevelType w:val="hybridMultilevel"/>
    <w:lvl w:ilvl="0">
      <w:lvlJc w:val="left"/>
      <w:lvlText w:val="•"/>
      <w:numFmt w:val="bullet"/>
      <w:start w:val="1"/>
    </w:lvl>
  </w:abstractNum>
  <w:abstractNum w:abstractNumId="45">
    <w:nsid w:val="39386575"/>
    <w:multiLevelType w:val="hybridMultilevel"/>
    <w:lvl w:ilvl="0">
      <w:lvlJc w:val="left"/>
      <w:lvlText w:val="•"/>
      <w:numFmt w:val="bullet"/>
      <w:start w:val="1"/>
    </w:lvl>
  </w:abstractNum>
  <w:abstractNum w:abstractNumId="46">
    <w:nsid w:val="1CF10FD8"/>
    <w:multiLevelType w:val="hybridMultilevel"/>
    <w:lvl w:ilvl="0">
      <w:lvlJc w:val="left"/>
      <w:lvlText w:val="•"/>
      <w:numFmt w:val="bullet"/>
      <w:start w:val="1"/>
    </w:lvl>
  </w:abstractNum>
  <w:abstractNum w:abstractNumId="47">
    <w:nsid w:val="180115BE"/>
    <w:multiLevelType w:val="hybridMultilevel"/>
    <w:lvl w:ilvl="0">
      <w:lvlJc w:val="left"/>
      <w:lvlText w:val="•"/>
      <w:numFmt w:val="bullet"/>
      <w:start w:val="1"/>
    </w:lvl>
  </w:abstractNum>
  <w:abstractNum w:abstractNumId="48">
    <w:nsid w:val="235BA861"/>
    <w:multiLevelType w:val="hybridMultilevel"/>
    <w:lvl w:ilvl="0">
      <w:lvlJc w:val="left"/>
      <w:lvlText w:val="•"/>
      <w:numFmt w:val="bullet"/>
      <w:start w:val="1"/>
    </w:lvl>
  </w:abstractNum>
  <w:abstractNum w:abstractNumId="49">
    <w:nsid w:val="47398C89"/>
    <w:multiLevelType w:val="hybridMultilevel"/>
    <w:lvl w:ilvl="0">
      <w:lvlJc w:val="left"/>
      <w:lvlText w:val="•"/>
      <w:numFmt w:val="bullet"/>
      <w:start w:val="1"/>
    </w:lvl>
  </w:abstractNum>
  <w:abstractNum w:abstractNumId="50">
    <w:nsid w:val="354FE9F9"/>
    <w:multiLevelType w:val="hybridMultilevel"/>
    <w:lvl w:ilvl="0">
      <w:lvlJc w:val="left"/>
      <w:lvlText w:val="•"/>
      <w:numFmt w:val="bullet"/>
      <w:start w:val="1"/>
    </w:lvl>
  </w:abstractNum>
  <w:abstractNum w:abstractNumId="51">
    <w:nsid w:val="15B5AF5C"/>
    <w:multiLevelType w:val="hybridMultilevel"/>
    <w:lvl w:ilvl="0">
      <w:lvlJc w:val="left"/>
      <w:lvlText w:val="•"/>
      <w:numFmt w:val="bullet"/>
      <w:start w:val="1"/>
    </w:lvl>
  </w:abstractNum>
  <w:abstractNum w:abstractNumId="52">
    <w:nsid w:val="741226BB"/>
    <w:multiLevelType w:val="hybridMultilevel"/>
    <w:lvl w:ilvl="0">
      <w:lvlJc w:val="left"/>
      <w:lvlText w:val="•"/>
      <w:numFmt w:val="bullet"/>
      <w:start w:val="1"/>
    </w:lvl>
  </w:abstractNum>
  <w:abstractNum w:abstractNumId="53">
    <w:nsid w:val="D34B6A8"/>
    <w:multiLevelType w:val="hybridMultilevel"/>
    <w:lvl w:ilvl="0">
      <w:lvlJc w:val="left"/>
      <w:lvlText w:val="•"/>
      <w:numFmt w:val="bullet"/>
      <w:start w:val="1"/>
    </w:lvl>
  </w:abstractNum>
  <w:abstractNum w:abstractNumId="54">
    <w:nsid w:val="10233C99"/>
    <w:multiLevelType w:val="hybridMultilevel"/>
    <w:lvl w:ilvl="0">
      <w:lvlJc w:val="left"/>
      <w:lvlText w:val="•"/>
      <w:numFmt w:val="bullet"/>
      <w:start w:val="1"/>
    </w:lvl>
  </w:abstractNum>
  <w:abstractNum w:abstractNumId="55">
    <w:nsid w:val="3F6AB60F"/>
    <w:multiLevelType w:val="hybridMultilevel"/>
    <w:lvl w:ilvl="0">
      <w:lvlJc w:val="left"/>
      <w:lvlText w:val="•"/>
      <w:numFmt w:val="bullet"/>
      <w:start w:val="1"/>
    </w:lvl>
  </w:abstractNum>
  <w:abstractNum w:abstractNumId="56">
    <w:nsid w:val="61574095"/>
    <w:multiLevelType w:val="hybridMultilevel"/>
    <w:lvl w:ilvl="0">
      <w:lvlJc w:val="left"/>
      <w:lvlText w:val="•"/>
      <w:numFmt w:val="bullet"/>
      <w:start w:val="1"/>
    </w:lvl>
  </w:abstractNum>
  <w:abstractNum w:abstractNumId="57">
    <w:nsid w:val="7E0C57B1"/>
    <w:multiLevelType w:val="hybridMultilevel"/>
    <w:lvl w:ilvl="0">
      <w:lvlJc w:val="left"/>
      <w:lvlText w:val="•"/>
      <w:numFmt w:val="bullet"/>
      <w:start w:val="1"/>
    </w:lvl>
  </w:abstractNum>
  <w:abstractNum w:abstractNumId="58">
    <w:nsid w:val="77AE35EB"/>
    <w:multiLevelType w:val="hybridMultilevel"/>
    <w:lvl w:ilvl="0">
      <w:lvlJc w:val="left"/>
      <w:lvlText w:val="•"/>
      <w:numFmt w:val="bullet"/>
      <w:start w:val="1"/>
    </w:lvl>
  </w:abstractNum>
  <w:abstractNum w:abstractNumId="59">
    <w:nsid w:val="579BE4F1"/>
    <w:multiLevelType w:val="hybridMultilevel"/>
    <w:lvl w:ilvl="0">
      <w:lvlJc w:val="left"/>
      <w:lvlText w:val="•"/>
      <w:numFmt w:val="bullet"/>
      <w:start w:val="1"/>
    </w:lvl>
  </w:abstractNum>
  <w:abstractNum w:abstractNumId="60">
    <w:nsid w:val="310C50B3"/>
    <w:multiLevelType w:val="hybridMultilevel"/>
    <w:lvl w:ilvl="0">
      <w:lvlJc w:val="left"/>
      <w:lvlText w:val="•"/>
      <w:numFmt w:val="bullet"/>
      <w:start w:val="1"/>
    </w:lvl>
  </w:abstractNum>
  <w:abstractNum w:abstractNumId="61">
    <w:nsid w:val="5FF87E05"/>
    <w:multiLevelType w:val="hybridMultilevel"/>
    <w:lvl w:ilvl="0">
      <w:lvlJc w:val="left"/>
      <w:lvlText w:val="•"/>
      <w:numFmt w:val="bullet"/>
      <w:start w:val="1"/>
    </w:lvl>
  </w:abstractNum>
  <w:abstractNum w:abstractNumId="62">
    <w:nsid w:val="2F305DEF"/>
    <w:multiLevelType w:val="hybridMultilevel"/>
    <w:lvl w:ilvl="0">
      <w:lvlJc w:val="left"/>
      <w:lvlText w:val="(%1)"/>
      <w:numFmt w:val="decimal"/>
      <w:start w:val="1"/>
    </w:lvl>
  </w:abstractNum>
  <w:abstractNum w:abstractNumId="63">
    <w:nsid w:val="25A70BF7"/>
    <w:multiLevelType w:val="hybridMultilevel"/>
    <w:lvl w:ilvl="0">
      <w:lvlJc w:val="left"/>
      <w:lvlText w:val="(%1)"/>
      <w:numFmt w:val="decimal"/>
      <w:start w:val="2"/>
    </w:lvl>
  </w:abstractNum>
  <w:abstractNum w:abstractNumId="64">
    <w:nsid w:val="1DBABF00"/>
    <w:multiLevelType w:val="hybridMultilevel"/>
    <w:lvl w:ilvl="0">
      <w:lvlJc w:val="left"/>
      <w:lvlText w:val="(%1)"/>
      <w:numFmt w:val="decimal"/>
      <w:start w:val="7"/>
    </w:lvl>
  </w:abstractNum>
  <w:abstractNum w:abstractNumId="65">
    <w:nsid w:val="4AD084E9"/>
    <w:multiLevelType w:val="hybridMultilevel"/>
    <w:lvl w:ilvl="0">
      <w:lvlJc w:val="left"/>
      <w:lvlText w:val="•"/>
      <w:numFmt w:val="bullet"/>
      <w:start w:val="1"/>
    </w:lvl>
  </w:abstractNum>
  <w:abstractNum w:abstractNumId="66">
    <w:nsid w:val="1F48EA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jpe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pn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109" Type="http://schemas.openxmlformats.org/officeDocument/2006/relationships/image" Target="media/image83.png"/><Relationship Id="rId110" Type="http://schemas.openxmlformats.org/officeDocument/2006/relationships/image" Target="media/image84.png"/><Relationship Id="rId111" Type="http://schemas.openxmlformats.org/officeDocument/2006/relationships/image" Target="media/image85.png"/><Relationship Id="rId112" Type="http://schemas.openxmlformats.org/officeDocument/2006/relationships/image" Target="media/image86.png"/><Relationship Id="rId113" Type="http://schemas.openxmlformats.org/officeDocument/2006/relationships/image" Target="media/image87.png"/><Relationship Id="rId114" Type="http://schemas.openxmlformats.org/officeDocument/2006/relationships/image" Target="media/image88.png"/><Relationship Id="rId115" Type="http://schemas.openxmlformats.org/officeDocument/2006/relationships/image" Target="media/image89.png"/><Relationship Id="rId116" Type="http://schemas.openxmlformats.org/officeDocument/2006/relationships/image" Target="media/image90.png"/><Relationship Id="rId117" Type="http://schemas.openxmlformats.org/officeDocument/2006/relationships/image" Target="media/image91.png"/><Relationship Id="rId118" Type="http://schemas.openxmlformats.org/officeDocument/2006/relationships/image" Target="media/image92.png"/><Relationship Id="rId119" Type="http://schemas.openxmlformats.org/officeDocument/2006/relationships/image" Target="media/image93.png"/><Relationship Id="rId120" Type="http://schemas.openxmlformats.org/officeDocument/2006/relationships/image" Target="media/image94.png"/><Relationship Id="rId121" Type="http://schemas.openxmlformats.org/officeDocument/2006/relationships/image" Target="media/image95.png"/><Relationship Id="rId122" Type="http://schemas.openxmlformats.org/officeDocument/2006/relationships/image" Target="media/image96.png"/><Relationship Id="rId123" Type="http://schemas.openxmlformats.org/officeDocument/2006/relationships/image" Target="media/image97.png"/><Relationship Id="rId124" Type="http://schemas.openxmlformats.org/officeDocument/2006/relationships/image" Target="media/image98.png"/><Relationship Id="rId125" Type="http://schemas.openxmlformats.org/officeDocument/2006/relationships/image" Target="media/image99.png"/><Relationship Id="rId126" Type="http://schemas.openxmlformats.org/officeDocument/2006/relationships/image" Target="media/image100.png"/><Relationship Id="rId127" Type="http://schemas.openxmlformats.org/officeDocument/2006/relationships/image" Target="media/image101.jpeg"/><Relationship Id="rId128" Type="http://schemas.openxmlformats.org/officeDocument/2006/relationships/image" Target="media/image102.png"/><Relationship Id="rId129"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pn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61" Type="http://schemas.openxmlformats.org/officeDocument/2006/relationships/image" Target="media/image135.png"/><Relationship Id="rId162" Type="http://schemas.openxmlformats.org/officeDocument/2006/relationships/image" Target="media/image136.png"/><Relationship Id="rId163" Type="http://schemas.openxmlformats.org/officeDocument/2006/relationships/image" Target="media/image137.png"/><Relationship Id="rId164" Type="http://schemas.openxmlformats.org/officeDocument/2006/relationships/image" Target="media/image138.png"/><Relationship Id="rId165" Type="http://schemas.openxmlformats.org/officeDocument/2006/relationships/image" Target="media/image139.png"/><Relationship Id="rId166" Type="http://schemas.openxmlformats.org/officeDocument/2006/relationships/image" Target="media/image140.png"/><Relationship Id="rId167" Type="http://schemas.openxmlformats.org/officeDocument/2006/relationships/image" Target="media/image141.png"/><Relationship Id="rId168" Type="http://schemas.openxmlformats.org/officeDocument/2006/relationships/image" Target="media/image142.png"/><Relationship Id="rId169" Type="http://schemas.openxmlformats.org/officeDocument/2006/relationships/image" Target="media/image143.png"/><Relationship Id="rId17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png"/><Relationship Id="rId183" Type="http://schemas.openxmlformats.org/officeDocument/2006/relationships/image" Target="media/image147.png"/><Relationship Id="rId184" Type="http://schemas.openxmlformats.org/officeDocument/2006/relationships/image" Target="media/image148.png"/><Relationship Id="rId185" Type="http://schemas.openxmlformats.org/officeDocument/2006/relationships/image" Target="media/image149.jpeg"/><Relationship Id="rId186" Type="http://schemas.openxmlformats.org/officeDocument/2006/relationships/image" Target="media/image150.png"/><Relationship Id="rId187" Type="http://schemas.openxmlformats.org/officeDocument/2006/relationships/image" Target="media/image151.png"/><Relationship Id="rId188" Type="http://schemas.openxmlformats.org/officeDocument/2006/relationships/image" Target="media/image152.png"/><Relationship Id="rId189" Type="http://schemas.openxmlformats.org/officeDocument/2006/relationships/image" Target="media/image153.png"/><Relationship Id="rId190" Type="http://schemas.openxmlformats.org/officeDocument/2006/relationships/image" Target="media/image154.png"/><Relationship Id="rId65" Type="http://schemas.openxmlformats.org/officeDocument/2006/relationships/hyperlink" Target="http://www.sec.gov/ix?doc=/Archives/edgar/data/1816736/000095017025028390/iron-20241231.htm" TargetMode="External"/><Relationship Id="rId66" Type="http://schemas.openxmlformats.org/officeDocument/2006/relationships/hyperlink" Target="http://www.sec.gov/ix?doc=/Archives/edgar/data/1816736/000095017025058142/iron-20250424.htm" TargetMode="External"/><Relationship Id="rId67" Type="http://schemas.openxmlformats.org/officeDocument/2006/relationships/hyperlink" Target="http://www.sec.gov/ix?doc=/Archives/edgar/data/1816736/000095017025065069/iron-20250331.htm" TargetMode="External"/><Relationship Id="rId68" Type="http://schemas.openxmlformats.org/officeDocument/2006/relationships/hyperlink" Target="http://www.sec.gov/ix?doc=/Archives/edgar/data/1816736/000181673625000007/iron-20250630.htm" TargetMode="External"/><Relationship Id="rId69" Type="http://schemas.openxmlformats.org/officeDocument/2006/relationships/hyperlink" Target="http://www.sec.gov/ix?doc=/Archives/edgar/data/1816736/000095017025095466/iron-20250709.htm" TargetMode="External"/><Relationship Id="rId70" Type="http://schemas.openxmlformats.org/officeDocument/2006/relationships/hyperlink" Target="http://www.sec.gov/ix?doc=/Archives/edgar/data/1816736/000119312525231911/iron-20251003.htm" TargetMode="External"/><Relationship Id="rId71" Type="http://schemas.openxmlformats.org/officeDocument/2006/relationships/hyperlink" Target="http://www.sec.gov/ix?doc=/Archives/edgar/data/1816736/000119312525242026/iron-20251016.htm" TargetMode="External"/><Relationship Id="rId72" Type="http://schemas.openxmlformats.org/officeDocument/2006/relationships/hyperlink" Target="http://www.sec.gov/ix?doc=/Archives/edgar/data/1816736/000119312525242959/d272031d8k.htm" TargetMode="External"/><Relationship Id="rId73" Type="http://schemas.openxmlformats.org/officeDocument/2006/relationships/hyperlink" Target="http://www.sec.gov/Archives/edgar/data/1816736/000121390020021145/ea125295-8a12b_fsdevelop.htm" TargetMode="External"/><Relationship Id="rId74" Type="http://schemas.openxmlformats.org/officeDocument/2006/relationships/hyperlink" Target="http://www.sec.gov/Archives/edgar/data/1816736/000095017022003288/gmtx-ex4_4.htm" TargetMode="External"/><Relationship Id="rId75" Type="http://schemas.openxmlformats.org/officeDocument/2006/relationships/hyperlink" Target="http://www.sec.gov/Archives/edgar/data/1816736/000114036122043943/ny20005172x8_s4a.htm" TargetMode="External"/><Relationship Id="rId85" Type="http://schemas.openxmlformats.org/officeDocument/2006/relationships/hyperlink" Target="http://www.sec.gov/ix?doc=/Archives/edgar/data/0001816736/000095017024034432/iron-20231231.htm" TargetMode="External"/><Relationship Id="rId86" Type="http://schemas.openxmlformats.org/officeDocument/2006/relationships/hyperlink" Target="http://www.sec.gov/ix?doc=/Archives/edgar/data/1816736/000095017024093357/iron-20240630.htm" TargetMode="External"/><Relationship Id="rId87" Type="http://schemas.openxmlformats.org/officeDocument/2006/relationships/hyperlink" Target="http://www.sec.gov/ix?doc=/Archives/edgar/data/0001816736/000119312524025951/d758257d8k.htm" TargetMode="External"/><Relationship Id="rId88" Type="http://schemas.openxmlformats.org/officeDocument/2006/relationships/hyperlink" Target="http://www.sec.gov/ix?doc=/Archives/edgar/data/0001816736/000119312524084937/d815786d8k.htm" TargetMode="External"/><Relationship Id="rId89" Type="http://schemas.openxmlformats.org/officeDocument/2006/relationships/hyperlink" Target="http://www.sec.gov/ix?doc=/Archives/edgar/data/0001816736/000119312524161170/d826950d8k.htm" TargetMode="External"/><Relationship Id="rId90" Type="http://schemas.openxmlformats.org/officeDocument/2006/relationships/hyperlink" Target="http://www.sec.gov/ix?doc=/Archives/edgar/data/0001816736/000119312524161587/d828009d8k.htm" TargetMode="External"/><Relationship Id="rId91" Type="http://schemas.openxmlformats.org/officeDocument/2006/relationships/hyperlink" Target="http://www.sec.gov/ix?doc=/Archives/edgar/data/0001816736/000119312524161603/d829753d8k.htm" TargetMode="External"/><Relationship Id="rId92" Type="http://schemas.openxmlformats.org/officeDocument/2006/relationships/hyperlink" Target="http://www.sec.gov/ix?doc=/Archives/edgar/data/1816736/000095017022003288/gmtx-20211231.htm" TargetMode="External"/><Relationship Id="rId171" Type="http://schemas.openxmlformats.org/officeDocument/2006/relationships/hyperlink" Target="http://www.sec.gov/ix?doc=/Archives/edgar/data/1816736/000095017022008015/gmtx-20220331.htm" TargetMode="External"/><Relationship Id="rId172" Type="http://schemas.openxmlformats.org/officeDocument/2006/relationships/hyperlink" Target="http://www.sec.gov/ix?doc=/Archives/edgar/data/1816736/000095017022016671/gmtx-20220630.htm" TargetMode="External"/><Relationship Id="rId173" Type="http://schemas.openxmlformats.org/officeDocument/2006/relationships/hyperlink" Target="http://www.sec.gov/ix?doc=/Archives/edgar/data/1816736/000095017022024195/gmtx-20220930.htm" TargetMode="External"/><Relationship Id="rId174" Type="http://schemas.openxmlformats.org/officeDocument/2006/relationships/hyperlink" Target="http://www.sec.gov/ix?doc=/Archives/edgar/data/1816736/000119312522009374/d237658d8k.htm" TargetMode="External"/><Relationship Id="rId175" Type="http://schemas.openxmlformats.org/officeDocument/2006/relationships/hyperlink" Target="http://www.sec.gov/ix?doc=/Archives/edgar/data/1816736/000119312522055899/d29362d8k.htm" TargetMode="External"/><Relationship Id="rId176" Type="http://schemas.openxmlformats.org/officeDocument/2006/relationships/hyperlink" Target="http://www.sec.gov/ix?doc=/Archives/edgar/data/1816736/000119312522095633/d345871d8k.htm" TargetMode="External"/><Relationship Id="rId177" Type="http://schemas.openxmlformats.org/officeDocument/2006/relationships/hyperlink" Target="http://www.sec.gov/ix?doc=/Archives/edgar/data/1816736/000119312522216814/d94880d8k.htm" TargetMode="External"/><Relationship Id="rId178" Type="http://schemas.openxmlformats.org/officeDocument/2006/relationships/hyperlink" Target="http://www.sec.gov/ix?doc=/Archives/edgar/data/1816736/000119312522301064/d425106d8k.htm" TargetMode="External"/><Relationship Id="rId179" Type="http://schemas.openxmlformats.org/officeDocument/2006/relationships/hyperlink" Target="http://www.sec.gov/ix?doc=/Archives/edgar/data/1816736/000114036122047153/brhc10045909_8k.htm" TargetMode="External"/><Relationship Id="rId180" Type="http://schemas.openxmlformats.org/officeDocument/2006/relationships/hyperlink" Target="http://www.sec.gov/ix?doc=/Archives/edgar/data/1816736/000114036122047453/brhc1004589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2025-10-20T06:13:51Z</dcterms:created>
  <dcterms:modified xsi:type="dcterms:W3CDTF">2025-10-20T06:13:51Z</dcterms:modified>
</cp:coreProperties>
</file>