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January 10, 2025, Disc Medicine, Inc. (the "Company") issued a press release outlining the Company’s recent pipeline and operational progress and strategic priorities for 2025. A copy of the press release is attached as Exhibit 99.1 to this Current Report on Form 8-K.</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expects to report a material weakness in its internal control over financial reporting in the Company’s annual report on Form 10-K for the year ended December 31, 2024. This material weakness is related to a lack of design and maintenance of effective Information Technology General Controls (“ITGC”) over certain key financial IT systems. As a result, the related business process controls (IT application controls and IT-dependent manual controls) that are dependent on the ineffective ITGCs, or that use information produced from the systems impacted by the ineffective ITGCs, were also ineffective. To date, the Company has not identified any misstatements in its financial statements.</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not completed its audit of the Company's internal control over financial reporting and, accordingly, does not express an opinion on or any other assessment of 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Disc Medicine, Inc. on January 10, 2025, furnished herewith</w:t>
            </w:r>
          </w:p>
        </w:tc>
        <w:tc>
          <w:tcPr>
            <w:tcW w:w="3920" w:type="dxa"/>
            <w:vAlign w:val="bottom"/>
          </w:tcPr>
          <w:p>
            <w:pPr>
              <w:spacing w:after="0"/>
              <w:rPr>
                <w:sz w:val="24"/>
                <w:szCs w:val="24"/>
                <w:color w:val="auto"/>
              </w:rPr>
            </w:pPr>
          </w:p>
        </w:tc>
      </w:tr>
      <w:tr>
        <w:trPr>
          <w:trHeight w:val="23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5425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auto"/>
        </w:rPr>
        <w:t>Disc Medicine Highlights Recent Achievements Across Hematology Portfolio and Key Business Objectives and Milestones for 2025</w:t>
      </w:r>
    </w:p>
    <w:p>
      <w:pPr>
        <w:spacing w:after="0" w:line="127" w:lineRule="exact"/>
        <w:rPr>
          <w:sz w:val="20"/>
          <w:szCs w:val="20"/>
          <w:color w:val="auto"/>
        </w:rPr>
      </w:pPr>
    </w:p>
    <w:p>
      <w:pPr>
        <w:ind w:left="380" w:right="680" w:hanging="372"/>
        <w:spacing w:after="0" w:line="243"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 Q1 2025, the Company will discuss the plans for NDA submission under a potential accelerated approval path for bitopertin in erythropoietic protoporphyria (EPP), following a Type C meeting with FDA on confirmatory study design</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Initial data from an ongoing phase 2 study of DISC-0974 (anti-hemojuvelin antibody) in anemia of myelofibrosis (MF) expected H2 2025</w:t>
      </w:r>
    </w:p>
    <w:p>
      <w:pPr>
        <w:spacing w:after="0" w:line="8" w:lineRule="exact"/>
        <w:rPr>
          <w:rFonts w:ascii="Times New Roman" w:cs="Times New Roman" w:eastAsia="Times New Roman" w:hAnsi="Times New Roman"/>
          <w:sz w:val="18"/>
          <w:szCs w:val="18"/>
          <w:color w:val="auto"/>
        </w:rPr>
      </w:pPr>
    </w:p>
    <w:p>
      <w:pPr>
        <w:ind w:left="380" w:right="680" w:hanging="372"/>
        <w:spacing w:after="0" w:line="234"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Data from higher doses and multiple dose cohorts of a phase 1b study of DISC-0974 in anemia of chronic kidney disease (CKD) expected H2 2025</w:t>
      </w: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Initiation of phase 2 study of DISC-3405 (anti-TMPRSS6 antibody) in polycythemia vera (PV) planned for H1 2025</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WATERTOWN, Mass., Jan. 10, 2025 – Disc Medicine, Inc. (NASDAQ:IRON), a clinical-stage biopharmaceutical company focused on the discovery, development, and commercialization of novel treatments for patients suffering from serious hematologic diseases, today outlined its recent pipeline and operational progress and strategic priorities for 2025.</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past year has been another one of tremendous execution and achievement for Disc. During 2024, we successfully advanced every clinical program in our portfolio, transformed our company into a late-stage development organization, and fortified our balance sheet to position us well for Disc’s next chapter,” said John Quisel, J.D., Ph.D., Chief Executive Officer and President of Disc. “Most prominently, we completed and presented positive results from our two phase 2 studies of bitopertin in EPP, which showed that reducing PPIX in the blood results in marked improvements across multiple clinical outcomes in EPP patients. This culminated in a successful end-of-phase 2 meeting with the FDA, which provided a path for potential accelerated approval. We will provide an update this quarter on our NDA plans following discussion with the FDA on the design of APOLLO, our planned confirmatory study.</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We’re equally excited about the data we presented this year from our iron homeostasis portfolio, DISC-0974 and DISC-3405, as these programs will be important drivers of Disc’s future growth. In particular, we were encouraged by the robust results from our phase 1b study of DISC-0974 for anemia of myelofibrosis. These data were recently shared in an oral presentation at the 66th American Society of Hematology Annual Meeting and suggest that DISC-0974 has the potential for best-in-class activity. We’ve now begun the phase 2 portion of this study and look forward to presenting the initial findings later this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Achievements During 2024</w:t>
      </w:r>
    </w:p>
    <w:p>
      <w:pPr>
        <w:spacing w:after="0" w:line="19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Positive end-of-phase 2 meeting with FDA providing a path toward potential accelerated approval for bitopertin in EPP</w:t>
      </w:r>
    </w:p>
    <w:p>
      <w:pPr>
        <w:spacing w:after="0" w:line="62"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Presentation of full results from phase 2 AURORA and BEACON studies demonstrating significant reductions in PPIX are associated with substantial improvements in time spent in sunlight, measures of quality of life, and reduction in phototoxic reactions</w:t>
      </w:r>
    </w:p>
    <w:p>
      <w:pPr>
        <w:ind w:left="760" w:right="20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Presentation of positive data from the phase 1b study of DISC-0974 (anti-hemojuvelin antibody) for anemia of myelofibrosis (MF), demonstrating robust and broad hematologic activity across patient segments</w:t>
      </w:r>
    </w:p>
    <w:p>
      <w:pPr>
        <w:spacing w:after="0" w:line="1" w:lineRule="exact"/>
        <w:rPr>
          <w:sz w:val="20"/>
          <w:szCs w:val="20"/>
          <w:color w:val="auto"/>
        </w:rPr>
      </w:pPr>
    </w:p>
    <w:p>
      <w:pPr>
        <w:ind w:left="1500" w:right="1140" w:hanging="369"/>
        <w:spacing w:after="0" w:line="265" w:lineRule="auto"/>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Results showed substantial and durable improvements in hemoglobin, reductions in transfusion burden, and improvements in fatigue scores</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Initiated the phase 2 portion of the study after positive discussions with FDA</w:t>
      </w:r>
    </w:p>
    <w:p>
      <w:pPr>
        <w:spacing w:after="0" w:line="62"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Presentation of data from initial cohorts of the ongoing phase 1b study of DISC-0974 in anemia of non-dialysis dependent CKD patients, demonstrating hematologic activity following a single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ind w:left="760" w:right="4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Presentation of positive, first-in-human data from the phase 1 SAD / MAD study of DISC-3405 (anti-TMPRSS6 antibody) in healthy volunteers, demonstrating proof-of-mechanism with substantial, dose-dependent increases in hepcidin and reductions in serum iron supportive of a once-monthly dosing regimen</w:t>
      </w:r>
    </w:p>
    <w:p>
      <w:pPr>
        <w:spacing w:after="0" w:line="8" w:lineRule="exact"/>
        <w:rPr>
          <w:rFonts w:ascii="Times New Roman" w:cs="Times New Roman" w:eastAsia="Times New Roman" w:hAnsi="Times New Roman"/>
          <w:sz w:val="18"/>
          <w:szCs w:val="18"/>
          <w:color w:val="auto"/>
        </w:rPr>
      </w:pPr>
    </w:p>
    <w:p>
      <w:pPr>
        <w:ind w:left="760" w:right="240" w:hanging="378"/>
        <w:spacing w:after="0" w:line="300" w:lineRule="auto"/>
        <w:tabs>
          <w:tab w:leader="none" w:pos="76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Strengthened balance sheet through an equity offering with gross proceeds of approximately $178 million and a non-dilutive debt facility, which provide cash runway well into 2027, and expanded executive team to support next phase of company’s growth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Objectives and Milestones for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Bitopertin: GlyT1 Inhibitor (Heme Synthesis Modulator)</w:t>
      </w:r>
    </w:p>
    <w:p>
      <w:pPr>
        <w:spacing w:after="0" w:line="19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Pursue development and global registration of bitopertin in erythropoietic protoporphyria (EPP), with the potential for accelerated approval in the U.S. using PPIX as surrogate endpoint</w:t>
      </w:r>
    </w:p>
    <w:p>
      <w:pPr>
        <w:spacing w:after="0" w:line="140"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Provide update in Q1 2025 on design of confirmatory APOLLO trial and plans for NDA submission, following Type C meeting with</w:t>
      </w:r>
    </w:p>
    <w:p>
      <w:pPr>
        <w:spacing w:after="0" w:line="12" w:lineRule="exact"/>
        <w:rPr>
          <w:rFonts w:ascii="Times New Roman" w:cs="Times New Roman" w:eastAsia="Times New Roman" w:hAnsi="Times New Roman"/>
          <w:sz w:val="18"/>
          <w:szCs w:val="18"/>
          <w:color w:val="auto"/>
        </w:rPr>
      </w:pPr>
    </w:p>
    <w:p>
      <w:pPr>
        <w:ind w:left="760"/>
        <w:spacing w:after="0" w:line="234" w:lineRule="auto"/>
        <w:rPr>
          <w:rFonts w:ascii="Times New Roman" w:cs="Times New Roman" w:eastAsia="Times New Roman" w:hAnsi="Times New Roman"/>
          <w:sz w:val="18"/>
          <w:szCs w:val="18"/>
          <w:color w:val="auto"/>
        </w:rPr>
      </w:pPr>
      <w:r>
        <w:rPr>
          <w:rFonts w:ascii="Arial" w:cs="Arial" w:eastAsia="Arial" w:hAnsi="Arial"/>
          <w:sz w:val="18"/>
          <w:szCs w:val="18"/>
          <w:color w:val="auto"/>
        </w:rPr>
        <w:t>FDA</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Initiate global, confirmatory APOLLO trial by mid-2025</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Obtain protocol assistance and feedback on regulatory path from EMA</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pre-commercialization and launch preparation activities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DISC-0974: Anti-hemojuvelin Antibody (Hepcidin Suppression)</w:t>
      </w:r>
    </w:p>
    <w:p>
      <w:pPr>
        <w:spacing w:after="0" w:line="19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Pursue next stage of development of DISC-0974 for the treatment of anemia in myelofibrosis patients and generate additional data supporting activity and dose selection in CKD anemia</w:t>
      </w:r>
    </w:p>
    <w:p>
      <w:pPr>
        <w:spacing w:after="0" w:line="140"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Progress ongoing phase 2 MF anemia trial with initial data expected H2 2025</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Progress ongoing phase 1b CKD anemia trial with multiple-dose data expected H2 2025</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develop scientific rationale for hepcidin suppression in other anemias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DISC-3405: Anti-TMPRSS6 Antibody (Hepcidin Induction)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Initiate phase 2 clinical trial of DISC-3405 in PV and broaden role of iron restriction in other indications</w:t>
      </w:r>
    </w:p>
    <w:p>
      <w:pPr>
        <w:spacing w:after="0" w:line="19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Plan to initiate phase 2 clinical trial of DISC-3405 in PV in H1 2025</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to develop scientific rationale for therapeutic iron restriction in sickle cell disease and other indications</w:t>
      </w:r>
    </w:p>
    <w:p>
      <w:pPr>
        <w:spacing w:after="0" w:line="193" w:lineRule="exact"/>
        <w:rPr>
          <w:sz w:val="20"/>
          <w:szCs w:val="20"/>
          <w:color w:val="auto"/>
        </w:rPr>
      </w:pPr>
    </w:p>
    <w:p>
      <w:pPr>
        <w:ind w:right="320"/>
        <w:spacing w:after="0" w:line="469" w:lineRule="auto"/>
        <w:rPr>
          <w:sz w:val="20"/>
          <w:szCs w:val="20"/>
          <w:color w:val="auto"/>
        </w:rPr>
      </w:pPr>
      <w:r>
        <w:rPr>
          <w:rFonts w:ascii="Arial" w:cs="Arial" w:eastAsia="Arial" w:hAnsi="Arial"/>
          <w:sz w:val="18"/>
          <w:szCs w:val="18"/>
          <w:color w:val="auto"/>
        </w:rPr>
        <w:t xml:space="preserve">Bitopertin, DISC-0974, and DISC-3405 are investigational agents and are not approved for use as therapies in any jurisdiction worldwide. </w:t>
      </w:r>
      <w:r>
        <w:rPr>
          <w:rFonts w:ascii="Arial" w:cs="Arial" w:eastAsia="Arial" w:hAnsi="Arial"/>
          <w:sz w:val="18"/>
          <w:szCs w:val="18"/>
          <w:b w:val="1"/>
          <w:bCs w:val="1"/>
          <w:color w:val="auto"/>
        </w:rPr>
        <w:t>About Disc Medicine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Arial" w:cs="Arial" w:eastAsia="Arial" w:hAnsi="Arial"/>
          <w:sz w:val="18"/>
          <w:szCs w:val="18"/>
          <w:u w:val="single" w:color="auto"/>
          <w:color w:val="0563C1"/>
        </w:rPr>
        <w:t>www.discmedicine.com</w:t>
      </w:r>
      <w:r>
        <w:rPr>
          <w:rFonts w:ascii="Arial" w:cs="Arial" w:eastAsia="Arial" w:hAnsi="Arial"/>
          <w:sz w:val="18"/>
          <w:szCs w:val="18"/>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Cautionary Statement Regarding Forward-Looking Statements</w:t>
      </w:r>
    </w:p>
    <w:p>
      <w:pPr>
        <w:spacing w:after="0" w:line="185"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including, but not limited to, express or implied statements regarding Disc’s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ind w:right="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accelerated approval; the potential of its development programs in new indications;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Securities and Exchange Commission, including in the “Risk Factors” section of our Annual Report on Form 10-K for the year ended December 31, 2023,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Peg Rusconi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Deerfield Group</w:t>
      </w:r>
    </w:p>
    <w:p>
      <w:pPr>
        <w:spacing w:after="0"/>
        <w:rPr>
          <w:sz w:val="20"/>
          <w:szCs w:val="20"/>
          <w:color w:val="auto"/>
        </w:rPr>
      </w:pPr>
      <w:r>
        <w:rPr>
          <w:rFonts w:ascii="Arial" w:cs="Arial" w:eastAsia="Arial" w:hAnsi="Arial"/>
          <w:sz w:val="18"/>
          <w:szCs w:val="18"/>
          <w:u w:val="single" w:color="auto"/>
          <w:color w:val="0563C1"/>
        </w:rPr>
        <w:t>peg.rusconi@deerfieldgroup.com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Investor Relations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12529"/>
        </w:rPr>
        <w:t>Christina Tartaglia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12529"/>
        </w:rPr>
        <w:t>Precision AQ</w:t>
      </w:r>
    </w:p>
    <w:p>
      <w:pPr>
        <w:spacing w:after="0"/>
        <w:rPr>
          <w:sz w:val="20"/>
          <w:szCs w:val="20"/>
          <w:color w:val="auto"/>
        </w:rPr>
      </w:pPr>
      <w:r>
        <w:rPr>
          <w:rFonts w:ascii="Arial" w:cs="Arial" w:eastAsia="Arial" w:hAnsi="Arial"/>
          <w:sz w:val="18"/>
          <w:szCs w:val="18"/>
          <w:color w:val="0563C1"/>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1811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2025-01-10T08:09:07Z</dcterms:created>
  <dcterms:modified xsi:type="dcterms:W3CDTF">2025-01-10T08:09:07Z</dcterms:modified>
</cp:coreProperties>
</file>