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Securities Exchange Act of 1934 (Amendment No.</w:t>
        <w:tab/>
        <w:t>)</w:t>
      </w:r>
    </w:p>
    <w:p>
      <w:pPr>
        <w:sectPr>
          <w:pgSz w:w="11900" w:h="16838" w:orient="portrait"/>
          <w:cols w:equalWidth="0" w:num="1">
            <w:col w:w="10139"/>
          </w:cols>
          <w:pgMar w:left="320" w:top="646"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489" w:lineRule="exact"/>
        <w:rPr>
          <w:sz w:val="24"/>
          <w:szCs w:val="24"/>
          <w:color w:val="auto"/>
        </w:rPr>
      </w:pPr>
    </w:p>
    <w:p>
      <w:pPr>
        <w:sectPr>
          <w:pgSz w:w="11900" w:h="16838" w:orient="portrait"/>
          <w:cols w:equalWidth="0" w:num="2">
            <w:col w:w="5320" w:space="720"/>
            <w:col w:w="4099"/>
          </w:cols>
          <w:pgMar w:left="320" w:top="646" w:right="1440" w:bottom="1440" w:gutter="0" w:footer="0" w:header="0"/>
          <w:type w:val="continuous"/>
        </w:sectPr>
      </w:pPr>
    </w:p>
    <w:p>
      <w:pPr>
        <w:spacing w:after="0" w:line="19"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7" w:lineRule="exact"/>
        <w:rPr>
          <w:rFonts w:ascii="MS PGothic" w:cs="MS PGothic" w:eastAsia="MS PGothic" w:hAnsi="MS PGothic"/>
          <w:sz w:val="18"/>
          <w:szCs w:val="18"/>
          <w:color w:val="auto"/>
        </w:rPr>
      </w:pPr>
    </w:p>
    <w:p>
      <w:pPr>
        <w:ind w:left="20" w:right="3959" w:firstLine="1"/>
        <w:spacing w:after="0" w:line="243" w:lineRule="exact"/>
        <w:tabs>
          <w:tab w:leader="none" w:pos="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32"/>
          <w:szCs w:val="32"/>
          <w:b w:val="1"/>
          <w:bCs w:val="1"/>
          <w:color w:val="auto"/>
        </w:rPr>
        <w:t>DISC MEDICINE,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260" w:hanging="239"/>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260" w:hanging="239"/>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226060</wp:posOffset>
            </wp:positionV>
            <wp:extent cx="3086100" cy="1234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0861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2023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9, 2023</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2023 Annual Meeting of Stockholders, or Annual Meeting, of Disc Medicine, Inc., will be held on June 9, 2023 at 9:00 A.M. Eastern Time. The Annual Meeting will be a completely virtual meeting, which will be conducted by live webcast at www.virtualshareholdermeeting.com/IRON2023.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purpose of the Annual Meeting is the following:</w:t>
      </w:r>
    </w:p>
    <w:p>
      <w:pPr>
        <w:spacing w:after="0" w:line="143" w:lineRule="exact"/>
        <w:rPr>
          <w:sz w:val="20"/>
          <w:szCs w:val="20"/>
          <w:color w:val="auto"/>
        </w:rPr>
      </w:pPr>
    </w:p>
    <w:p>
      <w:pPr>
        <w:jc w:val="both"/>
        <w:ind w:left="240" w:hanging="232"/>
        <w:spacing w:after="0" w:line="261"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our board of directors, to serve until the 2025 annual meeting of stockholders and until their successors have been duly elected and qualified, or until their earlier death, resignation or removal, and to elect three Class III directors to our board of directors, to serve until the 2026 annual meeting of stockholders and until their successors have been duly elected and qualified, or until their earlier death, resignation or removal;</w:t>
      </w:r>
    </w:p>
    <w:p>
      <w:pPr>
        <w:spacing w:after="0" w:line="152"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2023; and</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three Class II directors and three Class III directors nominated by the board of directors.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Disc Medicine, Inc. stockholders of record at the close of business on April 14, 2023, will be entitled to vote at the Annual Meeting and any adjournment or postponement thereof.</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 Medicine,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2022, or 2022 Annual Report. The Notice contains instructions on how to access both the 2022 Annual Report and accompanying proxy statement over the Internet. This method provides our stockholders with expedited access to proxy materials, lowers the cost of printing and distribution, and reduces the environmental impact of the Annual Meeting. If you would like to receive a print version of the proxy materials, free of charge, please follow the instructions on the Notice.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Annual Meeting.</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virtual meeting, by submitting your proxy via the Internet at the address listed on the proxy card or by signing, dating and returning the proxy card. Even if you have voted by proxy, you may still vote online during the virtual meeting. Please note, however, that if your shares are held through a broker, bank or other nominee and you wish to vote at the virtual meeting, you must obtain a proxy issued in your name from that record holder.</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27305</wp:posOffset>
            </wp:positionV>
            <wp:extent cx="3505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PROXY STATEMENT FOR THE 2023 ANNUAL MEETING OF STOCKHOLDERS</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5</w:t>
            </w:r>
          </w:p>
        </w:tc>
      </w:tr>
      <w:tr>
        <w:trPr>
          <w:trHeight w:val="189"/>
        </w:trPr>
        <w:tc>
          <w:tcPr>
            <w:tcW w:w="20" w:type="dxa"/>
            <w:vAlign w:val="bottom"/>
            <w:tcBorders>
              <w:top w:val="single" w:sz="8" w:color="CCEEFF"/>
            </w:tcBorders>
          </w:tcPr>
          <w:p>
            <w:pPr>
              <w:spacing w:after="0"/>
              <w:rPr>
                <w:sz w:val="16"/>
                <w:szCs w:val="16"/>
                <w:color w:val="auto"/>
              </w:rPr>
            </w:pPr>
          </w:p>
        </w:tc>
        <w:tc>
          <w:tcPr>
            <w:tcW w:w="628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GENERAL INFORMATION</w:t>
            </w:r>
          </w:p>
        </w:tc>
        <w:tc>
          <w:tcPr>
            <w:tcW w:w="4380" w:type="dxa"/>
            <w:vAlign w:val="bottom"/>
            <w:tcBorders>
              <w:top w:val="single" w:sz="8" w:color="CCEEFF"/>
            </w:tcBorders>
            <w:gridSpan w:val="3"/>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6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NO. 1 – ELECTION OF CLASS II and CLASS III DIRECTORS</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52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PROPOSAL NO. 2 – RATIFICATION OF THE APPOINTMENT OF ERNST &amp; YOUNG LLP AS DISC MEDICINE, INC.’S INDEPENDENT</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2023</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CORPORATE GOVERNANCE</w:t>
            </w:r>
          </w:p>
        </w:tc>
        <w:tc>
          <w:tcPr>
            <w:tcW w:w="8320" w:type="dxa"/>
            <w:vAlign w:val="bottom"/>
            <w:tcBorders>
              <w:bottom w:val="single" w:sz="8" w:color="CCEEFF"/>
            </w:tcBorders>
            <w:gridSpan w:val="10"/>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189"/>
        </w:trPr>
        <w:tc>
          <w:tcPr>
            <w:tcW w:w="20" w:type="dxa"/>
            <w:vAlign w:val="bottom"/>
          </w:tcPr>
          <w:p>
            <w:pPr>
              <w:spacing w:after="0"/>
              <w:rPr>
                <w:sz w:val="16"/>
                <w:szCs w:val="16"/>
                <w:color w:val="auto"/>
              </w:rPr>
            </w:pPr>
          </w:p>
        </w:tc>
        <w:tc>
          <w:tcPr>
            <w:tcW w:w="106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8760" w:type="dxa"/>
            <w:vAlign w:val="bottom"/>
            <w:tcBorders>
              <w:bottom w:val="single" w:sz="8" w:color="CCEEFF"/>
            </w:tcBorders>
            <w:gridSpan w:val="12"/>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189"/>
        </w:trPr>
        <w:tc>
          <w:tcPr>
            <w:tcW w:w="20" w:type="dxa"/>
            <w:vAlign w:val="bottom"/>
          </w:tcPr>
          <w:p>
            <w:pPr>
              <w:spacing w:after="0"/>
              <w:rPr>
                <w:sz w:val="16"/>
                <w:szCs w:val="16"/>
                <w:color w:val="auto"/>
              </w:rPr>
            </w:pPr>
          </w:p>
        </w:tc>
        <w:tc>
          <w:tcPr>
            <w:tcW w:w="106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5180" w:type="dxa"/>
            <w:vAlign w:val="bottom"/>
            <w:tcBorders>
              <w:bottom w:val="single" w:sz="8" w:color="CCEEFF"/>
            </w:tcBorders>
            <w:gridSpan w:val="5"/>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37</w:t>
            </w:r>
          </w:p>
        </w:tc>
      </w:tr>
      <w:tr>
        <w:trPr>
          <w:trHeight w:val="189"/>
        </w:trPr>
        <w:tc>
          <w:tcPr>
            <w:tcW w:w="20" w:type="dxa"/>
            <w:vAlign w:val="bottom"/>
          </w:tcPr>
          <w:p>
            <w:pPr>
              <w:spacing w:after="0"/>
              <w:rPr>
                <w:sz w:val="16"/>
                <w:szCs w:val="16"/>
                <w:color w:val="auto"/>
              </w:rPr>
            </w:pPr>
          </w:p>
        </w:tc>
        <w:tc>
          <w:tcPr>
            <w:tcW w:w="106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PRINCIPAL STOCKHOLDERS</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189"/>
        </w:trPr>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HOUSEHOLDING</w:t>
            </w:r>
          </w:p>
        </w:tc>
        <w:tc>
          <w:tcPr>
            <w:tcW w:w="7600" w:type="dxa"/>
            <w:vAlign w:val="bottom"/>
            <w:tcBorders>
              <w:top w:val="single" w:sz="8" w:color="CCEEFF"/>
            </w:tcBorders>
            <w:gridSpan w:val="7"/>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STOCKHOLDER PROPOSALS</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189"/>
        </w:trPr>
        <w:tc>
          <w:tcPr>
            <w:tcW w:w="20" w:type="dxa"/>
            <w:vAlign w:val="bottom"/>
            <w:tcBorders>
              <w:top w:val="single" w:sz="8" w:color="CCEEFF"/>
            </w:tcBorders>
          </w:tcPr>
          <w:p>
            <w:pPr>
              <w:spacing w:after="0"/>
              <w:rPr>
                <w:sz w:val="16"/>
                <w:szCs w:val="16"/>
                <w:color w:val="auto"/>
              </w:rPr>
            </w:pPr>
          </w:p>
        </w:tc>
        <w:tc>
          <w:tcPr>
            <w:tcW w:w="238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OTHER MATTERS</w:t>
            </w:r>
          </w:p>
        </w:tc>
        <w:tc>
          <w:tcPr>
            <w:tcW w:w="8280" w:type="dxa"/>
            <w:vAlign w:val="bottom"/>
            <w:tcBorders>
              <w:top w:val="single" w:sz="8" w:color="CCEEFF"/>
            </w:tcBorders>
            <w:gridSpan w:val="9"/>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723"/>
        </w:trPr>
        <w:tc>
          <w:tcPr>
            <w:tcW w:w="2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4"/>
                <w:szCs w:val="24"/>
                <w:color w:val="auto"/>
              </w:rPr>
            </w:pPr>
          </w:p>
        </w:tc>
        <w:tc>
          <w:tcPr>
            <w:tcW w:w="42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226060</wp:posOffset>
            </wp:positionV>
            <wp:extent cx="2237105" cy="899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37105" cy="89979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9,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2023 Annual Meeting of Stockholders, or the Annual Meeting, of Disc Medicine, Inc., which will be held on June 9, 2023 at 9:00 A.M. Eastern Time. The Annual Meeting will be a completely virtual meeting, which will be conducted by live webcast at www.virtualshareholdermeeting.com/IRON2023. There will be no physical meeting location.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board of directors of Disc Medicine, Inc. is using this proxy statement to solicit proxies for use at the Annual Meeting. In this proxy statement, the terms “Disc,” “Disc Medicine,” the “Company,” “we,” “us,” and “our” refer to Disc Medicine, Inc. The mailing address of our principal executive offices is Disc Medicine, Inc., 321 Arsenal Street, Suite 101, Watertown, Massachusetts 02472.</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mail a Notice of Internet Availability of Proxy Materials, or the Notice, to our stockholders on or about April 24, 2023, and it contains instructions on how to access our proxy materials, including this proxy statement and our 2022 Annual Report, over the Internet.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utilizing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participate fully and equally, and without cost, and to exercise the same rights as if they had attended an in-person meeting. We believe that these measures will enhance stockholder access and encourage participation and communication with our board of directors and management. In addition, the virtual-only meeting format increases our ability to engage with all stockholders, regardless of size, resources or physical location.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(ii) the last day of the fiscal year in which our total annual gross revenue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equal to or more than $1.235 billion; (iii) the date on which we have issued more than $1 billion in nonconvertible debt during the previous three years; or</w:t>
      </w:r>
    </w:p>
    <w:p>
      <w:pPr>
        <w:spacing w:after="0" w:line="27" w:lineRule="exact"/>
        <w:rPr>
          <w:sz w:val="20"/>
          <w:szCs w:val="20"/>
          <w:color w:val="auto"/>
        </w:rPr>
      </w:pPr>
    </w:p>
    <w:p>
      <w:pPr>
        <w:ind w:right="20" w:firstLine="8"/>
        <w:spacing w:after="0" w:line="260"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rules of the Securities and Exchange Commission, or the SEC. Even after we are no longer an “emerging growth company,” we may remain a “smaller reporting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9,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 and our 2022 Annual Report 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2022 Annual Report, as filed with the SEC, except for exhibits, will be furnished without charge to any stockholder upon written request to Disc Medicine, Inc., 321 Arsenal Street, Suite 101, Watertown, Massachusetts 02472, Attention: Corporate Secretary. This proxy statement and our 2022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the Notice instead of a paper copy of this proxy statement and our 2022 Annual Report, on or about April 24, 2023,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02" w:lineRule="exact"/>
        <w:rPr>
          <w:sz w:val="20"/>
          <w:szCs w:val="20"/>
          <w:color w:val="auto"/>
        </w:rPr>
      </w:pPr>
    </w:p>
    <w:p>
      <w:pPr>
        <w:ind w:right="1800"/>
        <w:spacing w:after="0" w:line="453" w:lineRule="auto"/>
        <w:rPr>
          <w:sz w:val="20"/>
          <w:szCs w:val="20"/>
          <w:color w:val="auto"/>
        </w:rPr>
      </w:pPr>
      <w:r>
        <w:rPr>
          <w:rFonts w:ascii="Times New Roman" w:cs="Times New Roman" w:eastAsia="Times New Roman" w:hAnsi="Times New Roman"/>
          <w:sz w:val="18"/>
          <w:szCs w:val="18"/>
          <w:color w:val="auto"/>
        </w:rPr>
        <w:t xml:space="preserve">The record date for determination of stockholders entitled to vote at the Annual Meeting is the close of business on April 14, 2023. </w:t>
      </w:r>
      <w:r>
        <w:rPr>
          <w:rFonts w:ascii="Times New Roman" w:cs="Times New Roman" w:eastAsia="Times New Roman" w:hAnsi="Times New Roman"/>
          <w:sz w:val="18"/>
          <w:szCs w:val="18"/>
          <w:b w:val="1"/>
          <w:bCs w:val="1"/>
          <w:color w:val="auto"/>
        </w:rPr>
        <w:t>How many votes can be cast by all stockholders?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19,793,870 shares of our common stock, par value $0.0001 per share, outstanding on April 14, 2023,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Annual Meeting. None of our shares of preferred stock were outstanding as of April 14,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Annual Meeting. Throughout this proxy statement, we refer to these registered stockholders as “stockholders of record.”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81" w:lineRule="exact"/>
        <w:rPr>
          <w:sz w:val="20"/>
          <w:szCs w:val="20"/>
          <w:color w:val="auto"/>
        </w:rPr>
      </w:pPr>
    </w:p>
    <w:p>
      <w:pPr>
        <w:jc w:val="both"/>
        <w:ind w:left="240" w:hanging="232"/>
        <w:spacing w:after="0" w:line="259"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the voter control number printed on the furnished proxy card, 24 hours a day, seven days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 Use the Internet to transmit your voting instructions and for electronic delivery of information up until 11:59 p.m. Eastern Time the day before the meeting date. You will need the control number included on your proxy card.</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ind w:left="240" w:right="20" w:hanging="232"/>
        <w:spacing w:after="0" w:line="268"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 telephone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transmit your voting instructions up until 11:59 p.m. Eastern Time the day before the meeting date. You will need the control number included on your proxy card.</w:t>
      </w:r>
    </w:p>
    <w:p>
      <w:pPr>
        <w:spacing w:after="0" w:line="143" w:lineRule="exact"/>
        <w:rPr>
          <w:rFonts w:ascii="Times New Roman" w:cs="Times New Roman" w:eastAsia="Times New Roman" w:hAnsi="Times New Roman"/>
          <w:sz w:val="18"/>
          <w:szCs w:val="18"/>
          <w:color w:val="auto"/>
        </w:rPr>
      </w:pPr>
    </w:p>
    <w:p>
      <w:pPr>
        <w:jc w:val="both"/>
        <w:ind w:left="240" w:hanging="232"/>
        <w:spacing w:after="0" w:line="268"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completing, signing and mailing your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postage-paid envelope we have provided or return it to Vote Processing, c/o Broadridge, 51 Mercedes Way, Edgewood, NY 11717. Votes submitted through the mail must be received by June 8, 2023.</w:t>
      </w:r>
    </w:p>
    <w:p>
      <w:pPr>
        <w:spacing w:after="0" w:line="130" w:lineRule="exact"/>
        <w:rPr>
          <w:rFonts w:ascii="Times New Roman" w:cs="Times New Roman" w:eastAsia="Times New Roman" w:hAnsi="Times New Roman"/>
          <w:sz w:val="18"/>
          <w:szCs w:val="18"/>
          <w:color w:val="auto"/>
        </w:rPr>
      </w:pPr>
    </w:p>
    <w:p>
      <w:pPr>
        <w:ind w:left="240" w:hanging="232"/>
        <w:spacing w:after="0" w:line="286"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at the Annual Meeting. </w:t>
      </w:r>
      <w:r>
        <w:rPr>
          <w:rFonts w:ascii="Times New Roman" w:cs="Times New Roman" w:eastAsia="Times New Roman" w:hAnsi="Times New Roman"/>
          <w:sz w:val="18"/>
          <w:szCs w:val="18"/>
          <w:color w:val="auto"/>
        </w:rPr>
        <w:t>Instructions on how to attend and vote at the Annual Meeting are described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www.virtualshareholdermeeting.com/IRON2023.</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you plan to attend our Annual Meeting, we recommend that you also vote by proxy so that your vote will be counted if you later decide not to attend the Annual Meeting.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 online?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be hosting our Annual Meeting via live webcast only. All stockholders as of the record date, or their duly appointed proxies, can attend the Annual Meeting live online at www.virtualshareholdermeeting.com/IRON2023. The webcast will start at 9:00 a.m. Eastern Time on June 9, 2023. Stockholders may vote and ask questions while attending the Annual Meeting online. In order to be able to attend the Annual Meeting, you will need the 16-digit control number, which is located on your Notice of Internet Availability, on your proxy card or in the instructions accompanying your proxy materials. Instructions on how to participate in the Annual Meeting are also posted online at www.proxyvote.com.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jc w:val="both"/>
        <w:ind w:firstLine="8"/>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virtually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Disc Medicine, Inc., 321 Arsenal Street, Suite 101, Watertown, Massachusetts 02472, Attention: Corporate Secretary.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votes withheld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your shares with respect to this proposal, your broker may not vote for this proposal, and those shares will be counted as broker “non-votes.” Proposal No. 2 is considered to be a discretionary item, and your brokerage firm will be able to vote your shares on this proposal even if it does not receive instructions from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last occurs.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2024 must also satisfy the requirements of SEC Rule 14a-8 under the Securities Exchange Act of 1934, as amended, or the Exchange Act, and be received not later than December 26, 2023.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AND CLASS III DIRECTORS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consists of nine members. Jay Backstrom, M.D., M.P.H. has informed our board of directors that he will be resigning from the board of directors effective as of the close of business on June 9, 2023. Dr. Backstrom’s decision to resign is not the result of any disagreement with the Company relating to any of our operations, policies or practices. Following the resignation of Dr. Backstrom, we will have eight directors. In accordance with the terms of our certificate of incorporation and bylaws, our board of directors is divided into three classes, Class I, Class II and Class III, with members of each class serving staggered three-year terms. However, because we did not hold an annual meeting of stockholders in 2022, due to the anticipation and timing of our merger with Gemini Therapeutics, Inc., or Gemini, which we completed in December 2022, or the merger, our certificate of incorporation requires that the election of both Class II and Class III directors be voted on at the Annual Meeting. The members of the classes are divided as follows:</w:t>
      </w:r>
    </w:p>
    <w:p>
      <w:pPr>
        <w:spacing w:after="0" w:line="151" w:lineRule="exact"/>
        <w:rPr>
          <w:sz w:val="20"/>
          <w:szCs w:val="20"/>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Mona Ashiya, Ph.D., Kevin Bitterman, Ph.D. and Jay Backstrom, M.D., M.P.H., and their terms will expire at the annual meeting of stockholders to be held in 2024. Dr. Backstrom will be resigning from our board of directors effective as of the close of business on June 9, 2023;</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Georges Gemayel, Ph.D., Mark Chin, MS, MBA and Liam Ratcliffe, M.D., Ph.D., and their terms will expire at the Annual Meeting;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Donald Nicholson, Ph.D., William White, MPP, J.D. and John Quisel, J.D., Ph.D., and their terms will expire at the Annual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typically be eligible to be elected for a new three-year term at the annual meeting of stockholders in the year in which their term expires. However, because we, operating as Gemini, did not hold an annual meeting of stockholders in 2022, our Class II directors will be elected for a two-year term expiring at our annual meeting of stockholders to be held in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nominated (i) each of Georges Gemayel, Ph.D., Mark Chin, MS, MBA and Liam Ratcliffe, M.D., Ph.D. for election as a Class II director at the Annual Meeting to serve until the annual meeting of stockholders to be held in 2025 and until their successor has been duly elected and qualified, or until their earlier death, resignation or removal and (ii) each of Donald Nicholson, Ph.D., William White, MPP, J.D. and John Quisel, J.D., Ph.D. for election as a Class III director at the Annual Meeting to serve until the annual meeting of stockholders to be held in 2026 and until their successor has been duly elected and qualified, or until their earlier death, resignation or removal. The nominees are presently directors, and have indicated a willingness to continue to serve as directors, if elected. If the nominees become unable or unwilling to serve, however, the properly submitted proxies may be voted for substitute nominees selected by our board of directors.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Director Candidates, or the Director Guidelines, provide that the value of diversity should be considered in determining director candidates as well as other factors such as a candidate’s character, integrity, judgment, skills, education, expertise, business acumen and experience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of directors with diversity of expertise and experience in substantive matters pertaining to our business relative and diversity of background and perspective, including, but not limited to, with respect to gender, ethnicity, religion, nationality, disability and sexual orientation. Our board of directors and nominating and corporate governance committee are committed to identifying, recruiting and advancing candidates offering such diversity in future searches.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and Class III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14,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46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2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8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200" w:type="dxa"/>
            <w:vAlign w:val="bottom"/>
            <w:shd w:val="clear" w:color="auto" w:fill="CFF0FC"/>
          </w:tcPr>
          <w:p>
            <w:pPr>
              <w:spacing w:after="0"/>
              <w:rPr>
                <w:sz w:val="20"/>
                <w:szCs w:val="20"/>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200" w:type="dxa"/>
            <w:vAlign w:val="bottom"/>
            <w:shd w:val="clear" w:color="auto" w:fill="CFF0FC"/>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1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200" w:type="dxa"/>
            <w:vAlign w:val="bottom"/>
            <w:shd w:val="clear" w:color="auto" w:fill="CFF0FC"/>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Georges Gemayel, Ph.D. </w:t>
      </w:r>
      <w:r>
        <w:rPr>
          <w:rFonts w:ascii="Times New Roman" w:cs="Times New Roman" w:eastAsia="Times New Roman" w:hAnsi="Times New Roman"/>
          <w:sz w:val="18"/>
          <w:szCs w:val="18"/>
          <w:color w:val="auto"/>
        </w:rPr>
        <w:t>has served as a member of our board of directors since December 2022. Prior to that, Dr. Gemayel served as Gemini’s Interim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Dynacure, Enterome SA, and GlycoEra. Previously, Dr. Gemayel served as Executive Chair of FoldRx Pharmaceuticals and of Syndexa Pharmaceuticals, as Chair of Oxthera AB, Dimension Therapeutics, Orphazyme A/S,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Chin, MS, MBA </w:t>
      </w:r>
      <w:r>
        <w:rPr>
          <w:rFonts w:ascii="Times New Roman" w:cs="Times New Roman" w:eastAsia="Times New Roman" w:hAnsi="Times New Roman"/>
          <w:sz w:val="18"/>
          <w:szCs w:val="18"/>
          <w:color w:val="auto"/>
        </w:rPr>
        <w:t>has served as a member of our board of directors since September 2021. Mr. Chin has served as managing director at Arix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Bioscience PLC, a biotechnology-focused venture capital firm, since July 2021. From August 2016 to April 2020, Mr. Chin served as an investment director at Arix Bioscience. Prior to Arix Bioscience, he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Harpoon Therapeutics, Inc. (Nasdaq: HARP), Imara Inc. (Nasdaq: IMRA), and Iterum Therapeutics plc (Nasdaq: ITRM) and a number of private biotechnology companies. Mr. Chin received a BS from the University of California at San Diego, an MS from the University of Pennsylvania, and an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Liam Ratcliffe, MD, Ph.D. </w:t>
      </w:r>
      <w:r>
        <w:rPr>
          <w:rFonts w:ascii="Times New Roman" w:cs="Times New Roman" w:eastAsia="Times New Roman" w:hAnsi="Times New Roman"/>
          <w:sz w:val="18"/>
          <w:szCs w:val="18"/>
          <w:color w:val="auto"/>
        </w:rPr>
        <w:t>has served as a member of our board of directors since September 2019. Dr. Ratcliffe has served as Head of Biotechnology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Industries, a privately held industrial group, since April 2019. Previously, he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he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 Nominees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Nicholson, Ph.D. </w:t>
      </w:r>
      <w:r>
        <w:rPr>
          <w:rFonts w:ascii="Times New Roman" w:cs="Times New Roman" w:eastAsia="Times New Roman" w:hAnsi="Times New Roman"/>
          <w:sz w:val="18"/>
          <w:szCs w:val="18"/>
          <w:color w:val="auto"/>
        </w:rPr>
        <w:t>has served as Executive Chairman of our board of directors since April 2019. Dr. Nicholson is the former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White, MPP, J.D., </w:t>
      </w:r>
      <w:r>
        <w:rPr>
          <w:rFonts w:ascii="Times New Roman" w:cs="Times New Roman" w:eastAsia="Times New Roman" w:hAnsi="Times New Roman"/>
          <w:sz w:val="18"/>
          <w:szCs w:val="18"/>
          <w:color w:val="auto"/>
        </w:rPr>
        <w:t>has served as a member of our board of directors since December 2020. Mr. White has served as the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until March 2019. Prior to that position, Mr. White was a Managing Director in Healthcare Investment Banking at Citigroup from May 2006 until September 2017. Previously, he served as an associate and later as a Vice President in Healthcare Investment Banking at Goldman, Sachs &amp; Co. from November 2000 to March 2006. Mr. White received an AB from Princeton University, an MPP from Harvard University and a J.D. from Columbia University. Mr. White also serves as a board member and Audit Committee Chair of Ventyx Bioscience (Nasdaq: VTYX). Mr. White is qualified to serve on our board of directors because of his extensive financial and investment experience in the life sciences industry.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Quisel, J.D. Ph.D. </w:t>
      </w:r>
      <w:r>
        <w:rPr>
          <w:rFonts w:ascii="Times New Roman" w:cs="Times New Roman" w:eastAsia="Times New Roman" w:hAnsi="Times New Roman"/>
          <w:sz w:val="18"/>
          <w:szCs w:val="18"/>
          <w:color w:val="auto"/>
        </w:rPr>
        <w:t>has served as our President, Chief Executive Officer and as a member of our board of directors since February 2020.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October 2006 through February 2020, Dr. Quisel served in various positions at Acceleron Pharma Inc., a biopharmaceutical company, most recently as Chief Business Officer. Prior to joining Acceleron, Dr. Quisel worked as an associate at the law firms of Ropes &amp; Gray and Foley Hoag.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properly submitted proxies will be voted for the election of such substitute nominee as our board of directors may designate.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this Proposal No. 1 must receive a plurality of the votes properly cast on the election of directors, meaning that the director nominees receiving the most votes will be elected. Shares voting “withheld” and broker non-votes will have no effect on the election of directors.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each of the Class II and Class III director nominees named above for re-election to the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directors, and sets forth their principal occupation and business experience during the last five years and their ages as of April 14,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42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1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60" w:type="dxa"/>
            <w:vAlign w:val="bottom"/>
            <w:shd w:val="clear" w:color="auto" w:fill="CFF0FC"/>
          </w:tcPr>
          <w:p>
            <w:pPr>
              <w:spacing w:after="0"/>
              <w:rPr>
                <w:sz w:val="20"/>
                <w:szCs w:val="20"/>
                <w:color w:val="auto"/>
              </w:rPr>
            </w:pPr>
          </w:p>
        </w:tc>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Class I – 2024</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6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 – 2024</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2024 Annual Meeting)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Mona Ashiya, Ph.D. </w:t>
      </w:r>
      <w:r>
        <w:rPr>
          <w:rFonts w:ascii="Times New Roman" w:cs="Times New Roman" w:eastAsia="Times New Roman" w:hAnsi="Times New Roman"/>
          <w:sz w:val="18"/>
          <w:szCs w:val="18"/>
          <w:color w:val="auto"/>
        </w:rPr>
        <w:t>has served as a member of our board of directors since September 2021. Dr. Ashiya is currently a Partner at OrbiMed Advisors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where she has been employed since October 2010. She currently serves on the board of directors of several private companies. Dr. Ashiya also previously served on the board of directors of Prevail Therapeutics Inc. and Sierra Oncology, Inc.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Bitterman, Ph.D. </w:t>
      </w:r>
      <w:r>
        <w:rPr>
          <w:rFonts w:ascii="Times New Roman" w:cs="Times New Roman" w:eastAsia="Times New Roman" w:hAnsi="Times New Roman"/>
          <w:sz w:val="18"/>
          <w:szCs w:val="18"/>
          <w:color w:val="auto"/>
        </w:rPr>
        <w:t>has served as a member of our board of directors since November 2017. Dr. Bitterman currently serves as a partner at venture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Atlas Venture,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June 2017. Dr. Bitterman serves on the boards of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Biosciences(NASDAQ: GNCA). He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Non-Continuing Director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non-continuing director, and sets forth his principal occupation and business experience during the last five years and his age as of April 14,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444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2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0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Jay Backstrom, M.D., M.P.H.</w:t>
            </w:r>
          </w:p>
        </w:tc>
        <w:tc>
          <w:tcPr>
            <w:tcW w:w="180" w:type="dxa"/>
            <w:vAlign w:val="bottom"/>
            <w:shd w:val="clear" w:color="auto" w:fill="CFF0FC"/>
          </w:tcPr>
          <w:p>
            <w:pPr>
              <w:spacing w:after="0"/>
              <w:rPr>
                <w:sz w:val="20"/>
                <w:szCs w:val="20"/>
                <w:color w:val="auto"/>
              </w:rPr>
            </w:pPr>
          </w:p>
        </w:tc>
        <w:tc>
          <w:tcPr>
            <w:tcW w:w="4440" w:type="dxa"/>
            <w:vAlign w:val="bottom"/>
            <w:shd w:val="clear" w:color="auto" w:fill="CFF0FC"/>
          </w:tcPr>
          <w:p>
            <w:pPr>
              <w:jc w:val="right"/>
              <w:ind w:right="3739"/>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4620" w:type="dxa"/>
            <w:vAlign w:val="bottom"/>
            <w:gridSpan w:val="2"/>
          </w:tcPr>
          <w:p>
            <w:pPr>
              <w:jc w:val="right"/>
              <w:ind w:right="1639"/>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 Backstrom, M.D., </w:t>
      </w:r>
      <w:r>
        <w:rPr>
          <w:rFonts w:ascii="Times New Roman" w:cs="Times New Roman" w:eastAsia="Times New Roman" w:hAnsi="Times New Roman"/>
          <w:sz w:val="18"/>
          <w:szCs w:val="18"/>
          <w:b w:val="1"/>
          <w:bCs w:val="1"/>
          <w:color w:val="auto"/>
        </w:rPr>
        <w:t>M.P.H.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of directors since December 2021. Dr. Backstrom is currently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Scholar Rock, a position that he assumed in October 2022. Dr. Backstrom previously served as Executive Vice President, Research and Development at Acceleron Pharma Inc. from December 2019 through December 2021. Dr. Backstrom previously served as Chief Medical Officer of Celgene Corporation from April 2016 until November 2019. Prior to that he served as Senior Vice President, Clinical R&amp;D and Regulatory Affairs at Celgene where he was responsible for the late stage clinical and regulatory programs across the Hematology &amp; Oncology portfolio. Dr. Backstrom joined Celgene in March 2008 as Vice President, Clinical R&amp;D after serving as Vice President, Global Medical Affairs and Safety for Pharmion from 2002 to 2008. Prior to joining Pharmion, Dr. Backstrom was with Marion Merrell Dow and its successor companies including Hoechst Marion Roussel. Dr. Backstrom received his M.D. from Temple University School of Medicine. He did his post graduate training in Internal Medicine at Temple University Hospital and earned a Masters degree in Public Health from Saint Louis University School of Public Health. Dr. Backstrom notified our board of directors in April 2023 of his intention to resign from our board of directors effective as of the close of business on June 9, 2023. Dr. Backstrom’s decision to resign from our board of directors is not the result of any disagreement with the Company relating to any of our operations, policies or practices.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ERNST &amp; YOUNG LLP AS DISC MEDICINE, INC.’S INDEPENDENT REGISTERED PUBLIC ACCOUNTING FIRM FOR THE FISCAL YEAR ENDING DECEMBER 31, 2023</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or EY, as our independent registered public accounting firm for the fiscal year ending December 31, 2023. EY has served as our independent registered public accounting firm since 2020.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2023. Stockholder approval is not required to appoint EY as our independent registered public accounting firm. However, the board of directors believes that submitting the appointment of EY to the stockholders for ratification is good corporate governance. If the stockholders do not ratify this appointment, the audit committee will reconsider whether to retain EY. If the selection of EY is ratified, the audit committee, at its discretion, may direct the appointment of a different independent registered public accounting firm at any time it decides that such a change would be in the best interest of Disc and its stockholders.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representative of EY is expected to be present at the Annual Meeting and will have an opportunity to make a statement if he or she desires to do so and to respond to appropriate questions from our stockholders.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EY for the audit of the financial statements and for other services provided during the years ended December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1,145,000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1,085,000</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1,180,000</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300" w:hanging="292"/>
        <w:spacing w:after="0" w:line="261"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the filing of our Registration Statement on Form S-4 and related services that are normally provided in connection with regulatory filings. We engaged EY in 2022 to audit our 2022 and 2021 annual financial statements.</w:t>
      </w:r>
    </w:p>
    <w:p>
      <w:pPr>
        <w:spacing w:after="0" w:line="17" w:lineRule="exact"/>
        <w:rPr>
          <w:rFonts w:ascii="Times New Roman" w:cs="Times New Roman" w:eastAsia="Times New Roman" w:hAnsi="Times New Roman"/>
          <w:sz w:val="18"/>
          <w:szCs w:val="18"/>
          <w:color w:val="auto"/>
        </w:rPr>
      </w:pPr>
    </w:p>
    <w:p>
      <w:pPr>
        <w:ind w:left="300" w:hanging="292"/>
        <w:spacing w:after="0" w:line="281"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that are reasonably related to the performance of the audit or review of our financial statements. There were no such fees incurred in 2022 or 2021.</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w:t>
      </w:r>
    </w:p>
    <w:p>
      <w:pPr>
        <w:spacing w:after="0" w:line="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incurred in 2022 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2022 and 2021 were pre-approved by the Audit Committee in accordance with the pre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approval policy described above.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votes properly cast for and against this Proposal No. 2 is required to ratify the appointment of Ernst &amp; Young LLP as our independent registered public accounting firm for the fiscal year ending December 31, 2023. Abstentions and broker non-votes, if any, will have no effect on the outcome of the vote.</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Ernst &amp; Young LLP as Disc Medicine, Inc.’s independent registered public accounting firm for the fiscal year ending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established by the nominating and corporate governance committee. These criteria include, among other things, the skills of the candidate, his or her depth and breadth of business experience and other background characteristics, his or her independence and the needs of the board of directors.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does not believe that limits on the number of consecutive terms a director may serve or on the directors’ ages are appropriate at this stage. Instead, each director’s performance and their continued service is assessed by the nominating and corporate governance committee in light of the needs of the board of directors and other relevant factors.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Disc Medicine, Inc., 321 Arsenal Street, Suite 101, Watertown, MA 02472,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the section of this proxy statement 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for a discussion of submitting stockholder proposals.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 3 under the Securities Exchange Act of 1934, as amended, or the Exchange Act, and compensation committee members must also satisfy the independence criteria set forth in Rule 10C 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 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 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each of our directors, with the exception of Dr. Quisel, who serves as our President and Chief Executive Officer, and Georges Gemayel, who served as the chief executive officer of Gemini prior to the merger, is an “independent director” within the meaning of the director independence standards established by the SEC and Nasdaq. Our 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non-management directors meet at regularly scheduled executive sessions without management participation, and at least once each year an executive session with only independent directors present is held. In 2022, there were four executive sessions at which only the independent directors were present.</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has a written board diversity policy and believes that our board of directors, taken as a whole, should embody a diverse set of skills, experience, knowledge and backgrounds, including an appropriate number of women directors. The board of directors has not adopted targets for the number or proportion of female directors as the company is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the company considers candidates on merit against objective criteria and the needs of the board of directors and considers the need to increase the number of women directors on the board of directors to meet the company’s goal. When recruiting new candidates for appointment, search protocols will go beyond the networks of existing board of director members and will incorporate diversity, including identification of female candidates, as a component. Any search firm engaged to assist the board of directors or the nominating and corporate governance committee in identifying candidates for appointment to the board of directors shall be directed to include women candidates and women candidates will be included in the board of director’s evergreen list of potential board of director nominees.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not adopted targets for the number or proportion of directors who are members of a visible minority, Indigenous peoples or persons with a disability, or the designated groups, or for other diversity characteristics at this time. For now, the board of directors has chosen to focus on gender in exclusion to other diversity characteristics and the nominating and corporate governance committee does not specifically consider the level of representation of members of designated groups on the board of directors in identifying and nominating candidates for election or re-election to the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board diversity matrix reports self-identified diversity statistics for the board of directors.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Total Numbers of Directors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4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1460" w:type="dxa"/>
            <w:vAlign w:val="bottom"/>
          </w:tcPr>
          <w:p>
            <w:pPr>
              <w:ind w:left="500"/>
              <w:spacing w:after="0" w:line="131"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140" w:type="dxa"/>
            <w:vAlign w:val="bottom"/>
          </w:tcPr>
          <w:p>
            <w:pPr>
              <w:spacing w:after="0"/>
              <w:rPr>
                <w:sz w:val="16"/>
                <w:szCs w:val="16"/>
                <w:color w:val="auto"/>
              </w:rPr>
            </w:pP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1: Gender Identity</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2: Demographic Background</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Media—Corporate Governance” section of our website, which is located at </w:t>
      </w:r>
      <w:r>
        <w:rPr>
          <w:rFonts w:ascii="Times New Roman" w:cs="Times New Roman" w:eastAsia="Times New Roman" w:hAnsi="Times New Roman"/>
          <w:sz w:val="18"/>
          <w:szCs w:val="18"/>
          <w:b w:val="1"/>
          <w:bCs w:val="1"/>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discmedicine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color w:val="auto"/>
        </w:rPr>
        <w:t>. We do not incorporate the information contained on, or accessible through, our corporate website into this proxy statement, and you should not consider it a part of this proxy statement.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the board of directors on the work of the committee and any recommendations for approval by the board of directors. The committee chairperson also ensures that the committee receives the information required for the performance of its responsibilities. The board of directors may also establish other committees from time to time to assist the company and the board of directors.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the board of directors with respect to our accounting, financial, and other reporting and internal control practices and to oversee our independent registered accounting firm. The report of the audit committee is included in this proxy statement under “Report of the Audit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8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Audit Committee are William White, Liam Ratcliffe and Mark Chin. William White is the chair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2022, the Disc audit committee met four times. We believe that the composition of the audit committee complies with the applicable requirements of the rules and regulations of Nasdaq and the SEC.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the board of directors to oversee our compensation policies, plans and programs and to review and determine the compensation to be paid to our executive officers, directors and other senior management, as appropriate.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85" w:lineRule="exact"/>
        <w:rPr>
          <w:sz w:val="20"/>
          <w:szCs w:val="20"/>
          <w:color w:val="auto"/>
        </w:rPr>
      </w:pPr>
    </w:p>
    <w:p>
      <w:pPr>
        <w:ind w:left="5540" w:right="1580" w:hanging="5158"/>
        <w:spacing w:after="0" w:line="282" w:lineRule="auto"/>
        <w:tabs>
          <w:tab w:leader="none" w:pos="7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executive officers;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21" w:lineRule="exact"/>
        <w:rPr>
          <w:rFonts w:ascii="Times New Roman" w:cs="Times New Roman" w:eastAsia="Times New Roman" w:hAnsi="Times New Roman"/>
          <w:sz w:val="18"/>
          <w:szCs w:val="18"/>
          <w:color w:val="auto"/>
        </w:rPr>
      </w:pPr>
    </w:p>
    <w:p>
      <w:pPr>
        <w:jc w:val="both"/>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Donald Nicholson, Mona Ashiya and Kevin Bitterman. Dr. Nicholson is the chair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2022, the Disc compensation committee met three times. We believe that the composition of the compensation committee complies with the applicable requirements of the rules and regulations of Nasdaq and the SEC.</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However, our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analyses of executive and director compensation paid at a peer group of other companies approved by our Compensation Committee. In 2022, the Compensation Committee retained the services of Pearl Meyer &amp; Partners, LLC, or Pearl Meyer, as its external, independent compensation consultant and considered Pearl Meyer’s input on certain compensation matters as they deemed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2022, our compensation committee engaged Pearl Meyer to provide compensation consulting services. During fiscal year 2022,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8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Kevin Bitterman, Mona Ashiya, Donald Nicholson and Liam Ratcliffe. Dr. Bitterman is the chair of the Nominating and Corporate Governance Committee. During the fiscal year ended December 31, 2022, the Disc nominating and corporate governance committee did not meet.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Identifying and Evaluating Director Nominees.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 board of directors held 14 meetings during 2022. During 2022, each of the Disc directors then in office attended at least 75% of the aggregate of all meetings of the board of directors and all meetings of the committees of the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We did not hold an annual meeting of stockholders in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designated consultants and contractors. Our insider trading policy expressly prohibits purchases of any derivative securities that provide the economic equivalent of ownership.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 w:cs="Times New Roman" w:eastAsia="Times New Roman" w:hAnsi="Times New Roman"/>
          <w:sz w:val="18"/>
          <w:szCs w:val="18"/>
          <w:b w:val="1"/>
          <w:bCs w:val="1"/>
          <w:i w:val="1"/>
          <w:iCs w:val="1"/>
          <w:color w:val="auto"/>
        </w:rPr>
        <w:t>www.discmedicine.com</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Donald Nicholson, an independent director. Currently, the role of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The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our Annual Report on Form 10-K for the fiscal year ended December 31, 2022.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Disc Medicine,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chairman of our board of directors or the chairman of our nominating and corporate governance committee, by submitting a written communication to the attention of such director at the following address: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 Disc Medicine,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(833) 869-0478.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2022.</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89" w:lineRule="exact"/>
        <w:rPr>
          <w:sz w:val="20"/>
          <w:szCs w:val="20"/>
          <w:color w:val="auto"/>
        </w:rPr>
      </w:pPr>
    </w:p>
    <w:p>
      <w:pPr>
        <w:jc w:val="both"/>
        <w:ind w:firstLine="45"/>
        <w:spacing w:after="0" w:line="261" w:lineRule="auto"/>
        <w:rPr>
          <w:sz w:val="20"/>
          <w:szCs w:val="20"/>
          <w:color w:val="auto"/>
        </w:rPr>
      </w:pPr>
      <w:r>
        <w:rPr>
          <w:rFonts w:ascii="Times New Roman" w:cs="Times New Roman" w:eastAsia="Times New Roman" w:hAnsi="Times New Roman"/>
          <w:sz w:val="18"/>
          <w:szCs w:val="18"/>
          <w:color w:val="231F20"/>
        </w:rPr>
        <w:t xml:space="preserve">The following table presents the total compensation for each person who served as a non-employee member of our board of directors during the fiscal year ended December 31, 2022. Dr. Quisel, one of our directors who also serves as our President and Chief Executive Officer, does not receive any additional compensation for his service as a director. Dr. Quisel is one of our named executive officers and, accordingly, the compensation that we pay to Dr. Quisel is discussed in </w:t>
      </w:r>
      <w:r>
        <w:rPr>
          <w:rFonts w:ascii="Times New Roman" w:cs="Times New Roman" w:eastAsia="Times New Roman" w:hAnsi="Times New Roman"/>
          <w:sz w:val="18"/>
          <w:szCs w:val="18"/>
          <w:color w:val="000000"/>
        </w:rPr>
        <w:t>the section of this proxy statement titled “</w:t>
      </w:r>
      <w:r>
        <w:rPr>
          <w:rFonts w:ascii="Times New Roman" w:cs="Times New Roman" w:eastAsia="Times New Roman" w:hAnsi="Times New Roman"/>
          <w:sz w:val="18"/>
          <w:szCs w:val="18"/>
          <w:color w:val="231F20"/>
        </w:rPr>
        <w:t xml:space="preserve">—2022 Summary Compensation Table” and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—Narrative to Summary Compensation Table.”</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2022 for their services as members of the board of directors.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2022 Director Compensation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 Earned or</w:t>
            </w:r>
          </w:p>
        </w:tc>
        <w:tc>
          <w:tcPr>
            <w:tcW w:w="240" w:type="dxa"/>
            <w:vAlign w:val="bottom"/>
          </w:tcPr>
          <w:p>
            <w:pPr>
              <w:spacing w:after="0"/>
              <w:rPr>
                <w:sz w:val="13"/>
                <w:szCs w:val="13"/>
                <w:color w:val="auto"/>
              </w:rPr>
            </w:pPr>
          </w:p>
        </w:tc>
        <w:tc>
          <w:tcPr>
            <w:tcW w:w="16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3"/>
                <w:szCs w:val="13"/>
                <w:color w:val="auto"/>
              </w:rPr>
            </w:pPr>
          </w:p>
        </w:tc>
        <w:tc>
          <w:tcPr>
            <w:tcW w:w="166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vMerge w:val="continue"/>
          </w:tcPr>
          <w:p>
            <w:pPr>
              <w:spacing w:after="0"/>
              <w:rPr>
                <w:sz w:val="16"/>
                <w:szCs w:val="16"/>
                <w:color w:val="auto"/>
              </w:rPr>
            </w:pPr>
          </w:p>
        </w:tc>
        <w:tc>
          <w:tcPr>
            <w:tcW w:w="18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00" w:type="dxa"/>
            <w:vAlign w:val="bottom"/>
            <w:gridSpan w:val="2"/>
          </w:tcPr>
          <w:p>
            <w:pPr>
              <w:jc w:val="right"/>
              <w:ind w:right="556"/>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(1)(2)</w:t>
            </w:r>
          </w:p>
        </w:tc>
        <w:tc>
          <w:tcPr>
            <w:tcW w:w="1880" w:type="dxa"/>
            <w:vAlign w:val="bottom"/>
            <w:gridSpan w:val="2"/>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4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2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Jay Backstrom, M.D., M.P.H.</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Georges Gemayel, Ph.D.</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Eric Snyder, Ph.D.</w:t>
            </w:r>
            <w:r>
              <w:rPr>
                <w:rFonts w:ascii="Times New Roman" w:cs="Times New Roman" w:eastAsia="Times New Roman" w:hAnsi="Times New Roman"/>
                <w:sz w:val="24"/>
                <w:szCs w:val="24"/>
                <w:color w:val="auto"/>
                <w:vertAlign w:val="superscript"/>
              </w:rPr>
              <w:t>(4)</w:t>
            </w: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2"/>
        <w:spacing w:after="0" w:line="25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the non-employee directors during fiscal year 2022, calculated in accordance with FASB ASC Topic 718. The assumptions used in calculating the grant date fair value of the awards reported in this column are set forth in Note 2 to our audited consolidated financial statements presented in our Annual Report on Form 10-K for the fiscal year ended December 31, 2022.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21"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our non-employee members of our board of directors held the following aggregate number of unexercised options and unvested shares of restricted stock as of such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Unvested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128,462</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Jay Backstrom, MD, M.P.H.</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Eric Snyder, Ph.D.</w:t>
            </w:r>
          </w:p>
        </w:tc>
        <w:tc>
          <w:tcPr>
            <w:tcW w:w="1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Gemayel joined our board of directors on December 29, 2022.</w:t>
      </w:r>
    </w:p>
    <w:p>
      <w:pPr>
        <w:spacing w:after="0" w:line="63" w:lineRule="exact"/>
        <w:rPr>
          <w:rFonts w:ascii="Times New Roman" w:cs="Times New Roman" w:eastAsia="Times New Roman" w:hAnsi="Times New Roman"/>
          <w:sz w:val="18"/>
          <w:szCs w:val="18"/>
          <w:color w:val="auto"/>
        </w:rPr>
      </w:pPr>
    </w:p>
    <w:p>
      <w:pPr>
        <w:ind w:left="380" w:right="20" w:hanging="372"/>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Snyder resigned from our board of directors on December 29, 2022, and held no outstanding stock as he was not an independent member of the board of directors.</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a formal policy pursuant to which our non-employee directors are eligible to receive the following cash retainers: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6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Retainer for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06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800" w:type="dxa"/>
            <w:vAlign w:val="bottom"/>
            <w:gridSpan w:val="2"/>
          </w:tcPr>
          <w:p>
            <w:pPr>
              <w:jc w:val="center"/>
              <w:ind w:left="8174"/>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840" w:type="dxa"/>
            <w:vAlign w:val="bottom"/>
            <w:gridSpan w:val="2"/>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0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c>
          <w:tcPr>
            <w:tcW w:w="3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non-employee director compensation policy also provides that, upon initial election to our board of directors, each non-employee director will be granted an option to purchase 14,272 shares of our common stock, or the Initial Grant. The Initial Grant will vest in equal monthly installments over three years, with a one-year cliff from the date of grant, subject to continued service through the applicable vesting date. Furthermore, on the date of each annual meeting of stockholders, each non-employee director who continues as a non-employee director following such meeting will be granted an annual option to purchase 7,136 shares of our common stock, or the Annual Grant. The Annual Grant will vest in full on the earlier of (i) the first anniversary of the grant date or (ii) our next annual meeting of stockholders, subject to continued service through the applicable vesting date. Such awards are subject to full accelerated vesting upon the sale of the company.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 We reimburse all reasonable out-of-pocket expenses incurred by directors for their attendance at meetings of our board of directors or any committee thereof.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and their ages as of April 14,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53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34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80" w:type="dxa"/>
            <w:vAlign w:val="bottom"/>
            <w:shd w:val="clear" w:color="auto" w:fill="CFF0FC"/>
          </w:tcPr>
          <w:p>
            <w:pPr>
              <w:spacing w:after="0"/>
              <w:rPr>
                <w:sz w:val="20"/>
                <w:szCs w:val="20"/>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Bryce, CPA</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w:t>
            </w:r>
          </w:p>
        </w:tc>
        <w:tc>
          <w:tcPr>
            <w:tcW w:w="180" w:type="dxa"/>
            <w:vAlign w:val="bottom"/>
            <w:shd w:val="clear" w:color="auto" w:fill="CFF0FC"/>
          </w:tcPr>
          <w:p>
            <w:pPr>
              <w:spacing w:after="0"/>
              <w:rPr>
                <w:sz w:val="21"/>
                <w:szCs w:val="21"/>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Brian MacDonald, MB, Ch.B., Ph.D.</w:t>
            </w:r>
          </w:p>
        </w:tc>
        <w:tc>
          <w:tcPr>
            <w:tcW w:w="180" w:type="dxa"/>
            <w:vAlign w:val="bottom"/>
            <w:shd w:val="clear" w:color="auto" w:fill="CFF0FC"/>
          </w:tcPr>
          <w:p>
            <w:pPr>
              <w:spacing w:after="0"/>
              <w:rPr>
                <w:sz w:val="21"/>
                <w:szCs w:val="21"/>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Innovation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Rahul Khara, Pharm.D., J.D.</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Class III Director Nominees</w:t>
      </w:r>
      <w:r>
        <w:rPr>
          <w:rFonts w:ascii="Times New Roman" w:cs="Times New Roman" w:eastAsia="Times New Roman" w:hAnsi="Times New Roman"/>
          <w:sz w:val="18"/>
          <w:szCs w:val="18"/>
          <w:color w:val="auto"/>
        </w:rPr>
        <w:t>” above for information about our President and Chief Executive Officer, John Quisel. Biographical information for our other executive officers, as of April 14, 2023, is set forth below.</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Joanne Bryce, CPA </w:t>
      </w:r>
      <w:r>
        <w:rPr>
          <w:rFonts w:ascii="Times New Roman" w:cs="Times New Roman" w:eastAsia="Times New Roman" w:hAnsi="Times New Roman"/>
          <w:sz w:val="18"/>
          <w:szCs w:val="18"/>
          <w:color w:val="auto"/>
        </w:rPr>
        <w:t>has served as our Chief Financial Officer since September 2021. Previously, she served as a part-time consultant for us acting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from November 2017 to September 2021. Ms. Bryce was previously the Chief Financial Officer of Arkuda Therapeutics, a biotechnology company, having served from February 2018 to September 2021. Additionally, she previously served as a consultant to Dyne Therapeutics, a muscle disease company, acting as head of finance, from January 2018 to March 2020, and was also previously Chief Financial Officer of Quartet Medicine, a biotechnology company, from November 2016 to November 2018. Prior to Quartet, Ms. Bryce held Chief Financial Officer roles at a number of technology companies, including Speedy Packets from October 2014 to November 2016 and WiTricity from September 2008 to June 2014. Ms. Bryce was Interim Chief Executive Officer at Jingle Networks from November 2005 to November 2008 and served as an independent consultant for multiple organizations between 2001 and 2005. Ms. Bryce was also Chief Financial Officer at Narrative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Communications, later acquired by At Home Corporation, from January 1997 to July 2000. Ms. Bryce began her career at Arthur Andersen &amp; Co., an accounting firm. Ms. Bryce holds a B.S. from Babson College and is a certified public accountant licensed in the Commonwealth of Massachusetts.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Yu </w:t>
      </w:r>
      <w:r>
        <w:rPr>
          <w:rFonts w:ascii="Times New Roman" w:cs="Times New Roman" w:eastAsia="Times New Roman" w:hAnsi="Times New Roman"/>
          <w:sz w:val="18"/>
          <w:szCs w:val="18"/>
          <w:color w:val="auto"/>
        </w:rPr>
        <w:t>has served as our Chief Business Officer since August 2021, and was previously our Senior Vice President of Corporate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2020 to August 2021. Previously, he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Pharma and Johnson &amp; Johnson, spanning commercial planning and assessment, business development and finance. Mr. Yu holds an AB from Harvard College and an MBA from the Wharton School of the University of Pennsylvania.</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Savage, MD, Ph.D. </w:t>
      </w:r>
      <w:r>
        <w:rPr>
          <w:rFonts w:ascii="Times New Roman" w:cs="Times New Roman" w:eastAsia="Times New Roman" w:hAnsi="Times New Roman"/>
          <w:sz w:val="18"/>
          <w:szCs w:val="18"/>
          <w:color w:val="auto"/>
        </w:rPr>
        <w:t>has served as our Chief Medical Officer since August 2021 and was previously our Vice President, Head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August 2020 to August 2021. Previously, he served as Senior Medical Director at 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He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MacDonald, MB, Ch.B., Ph.D., </w:t>
      </w:r>
      <w:r>
        <w:rPr>
          <w:rFonts w:ascii="Times New Roman" w:cs="Times New Roman" w:eastAsia="Times New Roman" w:hAnsi="Times New Roman"/>
          <w:sz w:val="18"/>
          <w:szCs w:val="18"/>
          <w:color w:val="auto"/>
        </w:rPr>
        <w:t>has served as our Chief Innovation Officer since September 2021 and served as a member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February 2020 until September 2021. Dr. MacDonald was our founding and Interim Chief Executive Officer from October 2017 through February 2020, and has founded another company engaged in the discovery of hepcidin-targeting therapeutics, Merganser Biotech, Inc., where he was the Chief Executive Officer from September 2011 through July 2016. Prior to that, he spent six years as Chief Executive Officer of Zelos Therapeutics from October 2005 through September 2011. He was also previously Head of Regulatory Affairs at Tetralogic from 2004 to 2005, Vice President, Development at 3-Dimensional Pharmaceuticals, Inc. from 2002 to 2003 and Group Director, Emerging Therapeutic Areas, at GSK from 2000 to 2002. Dr. MacDonald received his MB, Ch.B. and Ph.D. from the University of Sheffield, and is a member of the Royal College of Physicians.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Khara, Pharm.D., J.D., </w:t>
      </w:r>
      <w:r>
        <w:rPr>
          <w:rFonts w:ascii="Times New Roman" w:cs="Times New Roman" w:eastAsia="Times New Roman" w:hAnsi="Times New Roman"/>
          <w:sz w:val="18"/>
          <w:szCs w:val="18"/>
          <w:color w:val="auto"/>
        </w:rPr>
        <w:t>has served as our General Counsel since December 2021 and as our Compliance Officer and Secretary since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Dr. Khara previously served as Vice President, Legal and Chief Compliance Officer at Acceleron Pharma Inc. from August 2018 until December</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2021. Prior to joining Acceleron he was a Senior Associate at the law firm Arnold &amp; Porter LLP from March 2015 until August 2018. Prior to that, Dr. Khara was a Senior Associate at the law firm Sidley Austin LLP from September 2008 until March 2015. Dr. Khara received his J.D. from the University of Michigan Law School. He earned a Pharm.D. from Rutgers University.</w:t>
      </w:r>
    </w:p>
    <w:p>
      <w:pPr>
        <w:spacing w:after="0" w:line="1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the fiscal years ended December 31, 2022 and 2021, as applicable, is detailed in the 2022 Summary Compensation Table and accompanying footnotes and narrative that follow. Our named executive officers for the fiscal year ended December 31, 2022, which consisted of our Chief Executive Officer and our three most highly compensated executive officers other than the Chief Executive Officer, were:</w:t>
      </w:r>
    </w:p>
    <w:p>
      <w:pPr>
        <w:spacing w:after="0" w:line="139"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Quisel, J.D., Ph.D., President and Chief Executive Officer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Savage, MD, Ph.D., Chief Medical Officer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Joanne Bryce, CPA, Chief Financial Officer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Yu, Chief Business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for services rendered to us in all capacities for the fiscal years ended December 31, 2022 and 2021, as applicable.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20" w:type="dxa"/>
            <w:vAlign w:val="bottom"/>
          </w:tcPr>
          <w:p>
            <w:pPr>
              <w:spacing w:after="0"/>
              <w:rPr>
                <w:sz w:val="12"/>
                <w:szCs w:val="12"/>
                <w:color w:val="auto"/>
              </w:rPr>
            </w:pPr>
          </w:p>
        </w:tc>
        <w:tc>
          <w:tcPr>
            <w:tcW w:w="9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Pr>
          <w:p>
            <w:pPr>
              <w:ind w:left="340"/>
              <w:spacing w:after="0" w:line="18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6"/>
                <w:szCs w:val="16"/>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340" w:type="dxa"/>
            <w:vAlign w:val="bottom"/>
            <w:gridSpan w:val="2"/>
          </w:tcPr>
          <w:p>
            <w:pPr>
              <w:jc w:val="center"/>
              <w:ind w:left="133"/>
              <w:spacing w:after="0" w:line="189"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476,477</w:t>
            </w:r>
          </w:p>
        </w:tc>
        <w:tc>
          <w:tcPr>
            <w:tcW w:w="42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1,081,150</w:t>
            </w:r>
          </w:p>
        </w:tc>
        <w:tc>
          <w:tcPr>
            <w:tcW w:w="22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273,638</w:t>
            </w:r>
          </w:p>
        </w:tc>
        <w:tc>
          <w:tcPr>
            <w:tcW w:w="22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455,400</w:t>
            </w: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891,605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250,470</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1,597,475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378,234</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173,719</w:t>
            </w:r>
          </w:p>
        </w:tc>
        <w:tc>
          <w:tcPr>
            <w:tcW w:w="22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320,000</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220" w:type="dxa"/>
            <w:vAlign w:val="bottom"/>
          </w:tcPr>
          <w:p>
            <w:pPr>
              <w:spacing w:after="0"/>
              <w:rPr>
                <w:sz w:val="21"/>
                <w:szCs w:val="21"/>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720,599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FF0FC"/>
          </w:tcPr>
          <w:p>
            <w:pPr>
              <w:ind w:left="60"/>
              <w:spacing w:after="0" w:line="250"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355,884</w:t>
            </w: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277,221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163,438</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303,818</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88,825</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836,244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Jonathan Yu</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355,884</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163,438</w:t>
            </w:r>
          </w:p>
        </w:tc>
        <w:tc>
          <w:tcPr>
            <w:tcW w:w="22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salaries earned by each named executive officer during the respective fiscal year.</w:t>
      </w:r>
    </w:p>
    <w:p>
      <w:pPr>
        <w:spacing w:after="0" w:line="63"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our named executive officers during the 2022 and 2021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audited consolidated financial statements presented in our Annual Report on Form 10-K for the fiscal year ended December 31, 2022.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w:t>
      </w:r>
    </w:p>
    <w:p>
      <w:pPr>
        <w:spacing w:after="0" w:line="26" w:lineRule="exact"/>
        <w:rPr>
          <w:rFonts w:ascii="Times New Roman" w:cs="Times New Roman" w:eastAsia="Times New Roman" w:hAnsi="Times New Roman"/>
          <w:sz w:val="18"/>
          <w:szCs w:val="18"/>
          <w:color w:val="auto"/>
        </w:rPr>
      </w:pPr>
    </w:p>
    <w:p>
      <w:pPr>
        <w:jc w:val="both"/>
        <w:ind w:left="380" w:hanging="372"/>
        <w:spacing w:after="0" w:line="257"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bonuses earned as of December 31, 2021 and December 31, 2022, upon the attainment of one or more pre-established performance goals established by our board of directors on an annual basis. A portion of Ms. Bryce’s 2021 bonus was attributable to her service as a consultant.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was a consultant of ours until September 14, 2021 when she transitioned to Chief Financial Officer.</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amount of discretionary bonuses earned in year 2022.</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$210,818 in consulting fees that Ms. Bryce earned during 2021, prior to becoming Chief Financial Officer.</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received a signing bonus for her employment in the position of Chief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 The annual base salaries for Dr. Quisel, Ms. Bryce and Mr. Yu were increased to $562,000, $419,000 and $419,000, respectively effective December 29, 2022 due to updated employment agreements entered into with the Company. Dr. Savage’s base salary was increased from $355,300 to $400,000 effective July 1, 2022 in connection with his mid-year performance review, and then increased again to $458,000 effective December 29, 2022 due to an updated employment agreement entered into with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2022,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Drs. Quisel and Savage, Ms. Bryce and Mr. Yu for 2022 was 50%, 40%, 40% and 40% of their respective annual base salary as in effect on December 28, 2022 (i.e., prior to the increase provided in the updated employment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we granted stock option awards to each of our named executive officers, as described in more detail in the “Outstanding Equity Awards at Fiscal 2022 Year-End” table.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2022 Year-End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2022:</w:t>
      </w:r>
    </w:p>
    <w:p>
      <w:pPr>
        <w:sectPr>
          <w:pgSz w:w="11900" w:h="16838" w:orient="portrait"/>
          <w:cols w:equalWidth="0" w:num="1">
            <w:col w:w="11240"/>
          </w:cols>
          <w:pgMar w:left="320" w:top="293" w:right="339" w:bottom="1440" w:gutter="0" w:footer="0" w:header="0"/>
        </w:sectPr>
      </w:pPr>
    </w:p>
    <w:p>
      <w:pPr>
        <w:spacing w:after="0" w:line="24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John Quisel, J.D., Ph.D.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6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shd w:val="clear" w:color="auto" w:fill="CFF0FC"/>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5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William Savage, MD, Ph.D.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Joanne Bryce, CPA</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60" w:type="dxa"/>
            <w:vAlign w:val="bottom"/>
            <w:shd w:val="clear" w:color="auto" w:fill="CFF0FC"/>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11/6/2019</w:t>
            </w:r>
          </w:p>
        </w:tc>
        <w:tc>
          <w:tcPr>
            <w:tcW w:w="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11/6/2019</w:t>
            </w:r>
          </w:p>
        </w:tc>
        <w:tc>
          <w:tcPr>
            <w:tcW w:w="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(6)​</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Jonathan Yu</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9/14/2021</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8/11/2020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40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60" w:type="dxa"/>
            <w:vAlign w:val="bottom"/>
            <w:gridSpan w:val="2"/>
          </w:tcPr>
          <w:p>
            <w:pPr>
              <w:jc w:val="center"/>
              <w:ind w:left="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8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132,002</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45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5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250"/>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9/13/2019</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23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12/28/2032</w:t>
            </w:r>
          </w:p>
        </w:tc>
        <w:tc>
          <w:tcPr>
            <w:tcW w:w="0" w:type="dxa"/>
            <w:vAlign w:val="bottom"/>
          </w:tcPr>
          <w:p>
            <w:pPr>
              <w:spacing w:after="0"/>
              <w:rPr>
                <w:sz w:val="1"/>
                <w:szCs w:val="1"/>
                <w:color w:val="auto"/>
              </w:rPr>
            </w:pPr>
          </w:p>
        </w:tc>
      </w:tr>
      <w:tr>
        <w:trPr>
          <w:trHeight w:val="238"/>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-3213735</wp:posOffset>
            </wp:positionV>
            <wp:extent cx="713232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-1688465</wp:posOffset>
            </wp:positionV>
            <wp:extent cx="7132320" cy="771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0"/>
            <w:col w:w="6880"/>
          </w:cols>
          <w:pgMar w:left="320" w:top="293" w:right="339" w:bottom="1440" w:gutter="0" w:footer="0" w:header="0"/>
          <w:type w:val="continuous"/>
        </w:sectPr>
      </w:pPr>
    </w:p>
    <w:p>
      <w:pPr>
        <w:spacing w:after="0" w:line="11" w:lineRule="exact"/>
        <w:rPr>
          <w:sz w:val="20"/>
          <w:szCs w:val="20"/>
          <w:color w:val="auto"/>
        </w:rPr>
      </w:pPr>
    </w:p>
    <w:p>
      <w:pPr>
        <w:jc w:val="both"/>
        <w:ind w:left="380" w:hanging="372"/>
        <w:spacing w:after="0" w:line="255"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granted in years 2020 and 2021 have been granted pursuant to the terms of our 2017 Stock Option and Grant Plan, as amended, or our 2017 Plan. All stock options granted in year 2022 have been granted pursuant to the terms of our Amended and Restated 2021 Stock Option and Incentive Plan, or our 2021 Plan. Pursuant to provisions in the Company’s stock plans, the exercise price and number of shares subject to certain of these stock options were adjusted in connection with (i) the 1-for-10 reverse stock split that occurred on December 29, 2022 and (ii) the merger,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w:t>
      </w:r>
    </w:p>
    <w:p>
      <w:pPr>
        <w:spacing w:after="0" w:line="26"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48 equal monthly installments following the Vesting Commencement Date, subject to the named executive officer’s continuous service.</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5,138 shares vested on February 25, 2021. The remaining 56,512 shares vest in 44 equal monthly installments following the Vesting Commencement Date, subject to the named executive officer’s continuous service.</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vested on the one-year anniversary of the Vesting Commencement Date. The remaining shares vest in 36 equal monthly installments following the Vesting Commencement Date, subject to the named executive officer’s continuous service.</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2,140 shares vested on August 3, 2021. The remaining 8,135 shares vest in 38 equal monthly installments following the Vesting Commencement Date, subject to the named executive officer’s continuous service.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16 equal quarterly installments commencing on the three-month anniversary of the Vesting Commencement Date, subject to</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named executive officer’s continuous service.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for Named Executive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Quisel</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Quisel effective as of December 29, 2022, or the Quisel Employment Agreement, who currently serves as our President and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 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William Savage</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Joanne Bryce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 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shall be immediately and fully accelerated and she shall be entitled to the 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Jonathan Yu</w:t>
      </w:r>
    </w:p>
    <w:p>
      <w:pPr>
        <w:spacing w:after="0" w:line="200"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Mr. Yu effective December 29, 2022, or the Yu Employment Agreement, who currently serves as our Chief Business Officer, that supersedes his previous offer letter. The Yu Employment Agreement provides for Mr. Yu’s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Yu Employment Agreement also provides that upon a termination without cause (and not due to death or disability) or if Mr. Yu resigns for good reason, in each case, outside of the period that is within 3 months prior to, or within 12 months after, the occurrence of the first event constituting a change in control, then Mr. Yu is entitled to receive cash severance equal to continued base salary payments for 9 months, any earned, but unpaid bonus for the fiscal year prior to the fiscal year of termination, and payment of COBRA premiums (subject to Mr. Yu’s continued copayment of such premiums at the active employees’ rate) for up to 9 months. If within 3 months prior to or 12 months following a change of control, Mr. Yu is terminated by the Company or successor involuntarily without cause (and not due to death or disability) or Mr. Yu resigns for good reason, Mr. Yu shall be entitled to a lump sum cash payment equal to 12 months of his then current base salary, plus 100% of his target bonus for the year of termination, plus any earned, but unpaid bonus for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the fiscal year prior to the fiscal year of termination. In addition, upon such a termination, all of Mr. Yu’s outstanding equity awards subject to time-based vesting shall be immediately and fully accelerated and he shall be entitled to the payment of COBRA premiums (subject to Mr. Yu’s continued copayment of such premiums at the active employees’ rate) for up to 12 months. All severance payments and benefits are conditioned upon Mr. Yu’s execution of a release of claims in our favor. If as a result of a termination of his employment Mr. Yu becomes subject to the excise tax imposed by Section 4999 of the Internal Revenue Code, Mr. Yu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Mr. Yu is also subject to our confidentiality, assignment, non-solicitation, and noncompetition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like all full-time employees, are eligible to participate in our health and welfare benefit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executives.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We did not provide a matching contribution to the named executive officers or to any employees in 2022.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r>
        <w:rPr>
          <w:rFonts w:ascii="Times New Roman" w:cs="Times New Roman" w:eastAsia="Times New Roman" w:hAnsi="Times New Roman"/>
          <w:sz w:val="18"/>
          <w:szCs w:val="18"/>
          <w:b w:val="1"/>
          <w:b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720" w:type="dxa"/>
            <w:vAlign w:val="bottom"/>
            <w:gridSpan w:val="2"/>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Borders>
              <w:top w:val="single" w:sz="8" w:color="auto"/>
            </w:tcBorders>
          </w:tcPr>
          <w:p>
            <w:pPr>
              <w:spacing w:after="0"/>
              <w:rPr>
                <w:sz w:val="14"/>
                <w:szCs w:val="14"/>
                <w:color w:val="auto"/>
              </w:rPr>
            </w:pPr>
          </w:p>
        </w:tc>
        <w:tc>
          <w:tcPr>
            <w:tcW w:w="5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80" w:type="dxa"/>
            <w:vAlign w:val="bottom"/>
          </w:tcPr>
          <w:p>
            <w:pPr>
              <w:spacing w:after="0"/>
              <w:rPr>
                <w:sz w:val="14"/>
                <w:szCs w:val="14"/>
                <w:color w:val="auto"/>
              </w:rPr>
            </w:pPr>
          </w:p>
        </w:tc>
        <w:tc>
          <w:tcPr>
            <w:tcW w:w="14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(3)</w:t>
            </w:r>
          </w:p>
        </w:tc>
        <w:tc>
          <w:tcPr>
            <w:tcW w:w="220" w:type="dxa"/>
            <w:vAlign w:val="bottom"/>
          </w:tcPr>
          <w:p>
            <w:pPr>
              <w:spacing w:after="0"/>
              <w:rPr>
                <w:sz w:val="14"/>
                <w:szCs w:val="14"/>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54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 Option and Incentive Plan</w:t>
            </w:r>
            <w:r>
              <w:rPr>
                <w:rFonts w:ascii="Times New Roman" w:cs="Times New Roman" w:eastAsia="Times New Roman" w:hAnsi="Times New Roman"/>
                <w:sz w:val="24"/>
                <w:szCs w:val="24"/>
                <w:color w:val="auto"/>
                <w:vertAlign w:val="superscript"/>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833,812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1,031,615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2021 Employee Stock Purchase Plan</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and Grant Plan of Disc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1,670,839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and Grant Plan of Gemini</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2,640,590</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-156845</wp:posOffset>
            </wp:positionV>
            <wp:extent cx="7683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6"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number of shares of common stock reserved for issuance under the 2021 Stock Option and Incentive Plan automatically increases on January 1 of</w:t>
      </w:r>
    </w:p>
    <w:p>
      <w:pPr>
        <w:spacing w:after="0" w:line="27" w:lineRule="exact"/>
        <w:rPr>
          <w:sz w:val="20"/>
          <w:szCs w:val="20"/>
          <w:color w:val="auto"/>
        </w:rPr>
      </w:pPr>
    </w:p>
    <w:p>
      <w:pPr>
        <w:ind w:left="380" w:right="20"/>
        <w:spacing w:after="0" w:line="250" w:lineRule="auto"/>
        <w:rPr>
          <w:sz w:val="20"/>
          <w:szCs w:val="20"/>
          <w:color w:val="auto"/>
        </w:rPr>
      </w:pPr>
      <w:r>
        <w:rPr>
          <w:rFonts w:ascii="Times New Roman" w:cs="Times New Roman" w:eastAsia="Times New Roman" w:hAnsi="Times New Roman"/>
          <w:sz w:val="18"/>
          <w:szCs w:val="18"/>
          <w:color w:val="auto"/>
        </w:rPr>
        <w:t>each calendar year, starting on January 1, 2022 and continuing through January 1, 2031, in an amount equal to 4% of the total number of shares of the Company’s capital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ind w:left="380"/>
        <w:spacing w:after="0"/>
        <w:rPr>
          <w:sz w:val="20"/>
          <w:szCs w:val="20"/>
          <w:color w:val="auto"/>
        </w:rPr>
      </w:pPr>
      <w:r>
        <w:rPr>
          <w:rFonts w:ascii="Times New Roman" w:cs="Times New Roman" w:eastAsia="Times New Roman" w:hAnsi="Times New Roman"/>
          <w:sz w:val="18"/>
          <w:szCs w:val="18"/>
          <w:color w:val="auto"/>
        </w:rPr>
        <w:t>outstanding on the last day of the calendar month before the date of each automatic increase, or a lesser number of shares determined by the Board.</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Subject to this provision, we added 696,224 shares to the 2021 Stock Option and Incentive Plan effective January 1, 2023.</w:t>
      </w:r>
    </w:p>
    <w:p>
      <w:pPr>
        <w:spacing w:after="0" w:line="45" w:lineRule="exact"/>
        <w:rPr>
          <w:sz w:val="20"/>
          <w:szCs w:val="20"/>
          <w:color w:val="auto"/>
        </w:rPr>
      </w:pPr>
    </w:p>
    <w:p>
      <w:pPr>
        <w:jc w:val="both"/>
        <w:ind w:left="380" w:hanging="372"/>
        <w:spacing w:after="0" w:line="258"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2023.</w:t>
      </w:r>
    </w:p>
    <w:p>
      <w:pPr>
        <w:spacing w:after="0" w:line="2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weighted-average exercise price is calculated based solely on outstanding stock options and does not include outstanding restricted stock awards,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which do not have an exercise price.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2022, to which we were or will be a party, in which:</w:t>
      </w:r>
    </w:p>
    <w:p>
      <w:pPr>
        <w:spacing w:after="0" w:line="185" w:lineRule="exact"/>
        <w:rPr>
          <w:sz w:val="20"/>
          <w:szCs w:val="20"/>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for the last two completed fiscal years;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Compensation arrangements for our named executive officers and directors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or the Registrable Securities, and (ii) granted certain other registration rights to the 2022 Investors.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83" w:lineRule="exact"/>
        <w:rPr>
          <w:sz w:val="20"/>
          <w:szCs w:val="20"/>
          <w:color w:val="auto"/>
        </w:rPr>
      </w:pPr>
    </w:p>
    <w:p>
      <w:pPr>
        <w:jc w:val="both"/>
        <w:ind w:left="760" w:hanging="378"/>
        <w:spacing w:after="0" w:line="267"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No later than 45 calendar days following the completion of the merger, we were required to file with the SEC, a shelf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registering the resale of the Registrable Securities, and use our commercially reasonable efforts to have such registration statement declared effective by the SEC as promptly as possible.</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Registration Rights Agreement will be borne by us. The 2022 Registration Rights Agreement contains customary cross-indemnification provisions, under which we are obligated to indemnify holders of Registrable Securities in the event of material misstatements or omissions in</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the registration statement attributable to us, and holders of Registrable Securities are obligated to indemnify us for material misstatements or omissions attributable to them.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in connection with the merger, we entered into a Subscription Agreement with certain investors. Pursuant to the Subscription Agreement, we sold an aggregate of 21,341,737 shares of our common stock, at a price of $2.51 per share, for aggregate gross proceeds of $53.5 million. At the closing of the merger, shares of our common stock held before the merger were exchanged for shares of common stock in the combined publicly-traded company based on an exchange ratio of 0.1096. Four of the investors or their affiliates are beneficial holders of more than 5% of our capital stock, and the table below sets forth the number of shares of our common stock purchased by such 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r>
      <w:tr>
        <w:trPr>
          <w:trHeight w:val="148"/>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r>
      <w:tr>
        <w:trPr>
          <w:trHeight w:val="149"/>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r>
      <w:tr>
        <w:trPr>
          <w:trHeight w:val="18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237"/>
        </w:trPr>
        <w:tc>
          <w:tcPr>
            <w:tcW w:w="75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Atlas Venture Opportunity Fund I, L.P.</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1,992,031</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20"/>
                <w:szCs w:val="20"/>
                <w:color w:val="auto"/>
              </w:rPr>
            </w:pPr>
          </w:p>
        </w:tc>
      </w:tr>
      <w:tr>
        <w:trPr>
          <w:trHeight w:val="243"/>
        </w:trPr>
        <w:tc>
          <w:tcPr>
            <w:tcW w:w="75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Novo Holdings A/S</w:t>
            </w:r>
            <w:r>
              <w:rPr>
                <w:rFonts w:ascii="Times New Roman" w:cs="Times New Roman" w:eastAsia="Times New Roman" w:hAnsi="Times New Roman"/>
                <w:sz w:val="24"/>
                <w:szCs w:val="24"/>
                <w:color w:val="auto"/>
                <w:vertAlign w:val="superscript"/>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1,195,219</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21"/>
                <w:szCs w:val="21"/>
                <w:color w:val="auto"/>
              </w:rPr>
            </w:pPr>
          </w:p>
        </w:tc>
      </w:tr>
      <w:tr>
        <w:trPr>
          <w:trHeight w:val="243"/>
        </w:trPr>
        <w:tc>
          <w:tcPr>
            <w:tcW w:w="75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9,960,159</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shd w:val="clear" w:color="auto" w:fill="CFF0FC"/>
          </w:tcPr>
          <w:p>
            <w:pPr>
              <w:spacing w:after="0"/>
              <w:rPr>
                <w:sz w:val="21"/>
                <w:szCs w:val="21"/>
                <w:color w:val="auto"/>
              </w:rPr>
            </w:pPr>
          </w:p>
        </w:tc>
      </w:tr>
      <w:tr>
        <w:trPr>
          <w:trHeight w:val="3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OrbiMed Advisors LLC</w:t>
            </w:r>
            <w:r>
              <w:rPr>
                <w:rFonts w:ascii="Times New Roman" w:cs="Times New Roman" w:eastAsia="Times New Roman" w:hAnsi="Times New Roman"/>
                <w:sz w:val="24"/>
                <w:szCs w:val="24"/>
                <w:color w:val="auto"/>
                <w:vertAlign w:val="superscript"/>
              </w:rPr>
              <w:t>(4)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3,984,063</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9,999,998</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903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5" w:lineRule="exact"/>
        <w:rPr>
          <w:sz w:val="20"/>
          <w:szCs w:val="20"/>
          <w:color w:val="auto"/>
        </w:rPr>
      </w:pPr>
    </w:p>
    <w:p>
      <w:pPr>
        <w:ind w:left="380" w:hanging="372"/>
        <w:spacing w:after="0" w:line="281"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Atlas Venture Opportunity Fund I, L.P. beneficially own more than five percent of our outstanding capital stock. Dr. Bitterman is a Partner at Atlas Ventures and a member of our board of directors.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Holdings A/S is an affiliate of Novo Ventures (US), Inc., and beneficially owns more than five percent of our outstanding capital stock.</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OrbiMed Advisors LLC beneficially own more than five percent of our outstanding capital stock. Dr. Ashiya is a Partner at OrbiMed Advisors LLC and a member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or the Purchase Agreement, with certain investors. Pursuant to the Purchase Agreement, we sold (i) an aggregate of 1,488,166 shares of our common stock, at a purchase price of $23.00 per share, and (ii) with respect to certain investors, in lieu of shares of our common stock, pre-funded warrants to purchase an aggregate of 1,229,224 shares of our common stock, at a purchase price of $22.9999 per pre-funded warrant, for aggregate gross proceeds of approximately $62.5 million. The investors or their affiliates are beneficial holders of more than 5% of our capital stock, and the table below sets forth the number of shares of our common stock and pre-funded warrants to purchase shares of our common stock purchased by such 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our</w:t>
            </w:r>
          </w:p>
        </w:tc>
        <w:tc>
          <w:tcPr>
            <w:tcW w:w="2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Underlying</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60" w:type="dxa"/>
            <w:vAlign w:val="bottom"/>
            <w:tcBorders>
              <w:top w:val="single" w:sz="8" w:color="auto"/>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944,687</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1,229,224</w:t>
            </w: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49,999,830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 Advisors LLC</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108,696</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434,783</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903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59" w:lineRule="exact"/>
        <w:rPr>
          <w:sz w:val="20"/>
          <w:szCs w:val="20"/>
          <w:color w:val="auto"/>
        </w:rPr>
      </w:pPr>
    </w:p>
    <w:p>
      <w:pPr>
        <w:ind w:left="5540" w:right="1960" w:hanging="5532"/>
        <w:spacing w:after="0" w:line="282" w:lineRule="auto"/>
        <w:tabs>
          <w:tab w:leader="none" w:pos="3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Opportunities III, L.P. beneficially owns more than five percent of our outstanding capital stock.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8" w:name="page39"/>
    <w:bookmarkEnd w:id="38"/>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OrbiMed Advisors LLC beneficially own more than five percent of our outstanding capital stock. Dr. Ashiya is a Partner at OrbiMed Advisors LLC and a member of our board of directors.</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and as partial consideration under the Roche Agreement with Roche executed in 2021, we issue to Roche 482,313 shares of our common stock equal to 2.85% of our issued and outstanding capitalization immediately following the closing of the merger and the pre-closing financing, no additional consideration concurrent with the completion of the merger. The issuance of such shares were not registered under the Securities Act.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partial consideration under the AbbVie Agreement with AbbVie executed in 2019, we issued 4,336,841 shares of our common stock to AbbVie for no additional consideration. Pursuant to this agreement, 2,295,174 shares vested immediately in September 2019, with the remaining 2,041,667 shares subject to a performance condition, which was met during 2020. At the closing of the merger, shares of our common stock held before the merger were exchanged for shares of common stock in the combined publicly-traded company based on an exchange ratio of 0.1096.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April 14, 2023 by:</w:t>
      </w:r>
    </w:p>
    <w:p>
      <w:pPr>
        <w:spacing w:after="0" w:line="198"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5% or more of the outstanding shares of our common stock;</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84"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and our other executive officers who served during the year ended December 31, 2022, named in the Summary Compensation table above, whom, collectively, we refer to as our named executive officers;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April 14, 2023.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4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19,793,870 shares of our common stock outstanding as of April 14, 2023. Except as otherwise indicated in the footnotes below, the address of the beneficial owner is c/o Disc Medicine, Inc., 321 Arsenal Street, Suite 101, Watertown, MA 02472.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1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18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6"/>
                <w:szCs w:val="16"/>
                <w:color w:val="auto"/>
              </w:rPr>
            </w:pPr>
          </w:p>
        </w:tc>
        <w:tc>
          <w:tcPr>
            <w:tcW w:w="1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5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68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Entities affiliated with Atlas Venture Fund</w:t>
            </w:r>
            <w:r>
              <w:rPr>
                <w:rFonts w:ascii="Times New Roman" w:cs="Times New Roman" w:eastAsia="Times New Roman" w:hAnsi="Times New Roman"/>
                <w:sz w:val="24"/>
                <w:szCs w:val="24"/>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3,461,784</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17.49 %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3,141,759</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15.87 %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Novo Holdings A/S</w:t>
            </w:r>
            <w:r>
              <w:rPr>
                <w:rFonts w:ascii="Times New Roman" w:cs="Times New Roman" w:eastAsia="Times New Roman" w:hAnsi="Times New Roman"/>
                <w:sz w:val="24"/>
                <w:szCs w:val="24"/>
                <w:color w:val="auto"/>
                <w:vertAlign w:val="superscript"/>
              </w:rPr>
              <w:t>(3)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2,340,772</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11.83 %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w:t>
            </w:r>
            <w:r>
              <w:rPr>
                <w:rFonts w:ascii="Times New Roman" w:cs="Times New Roman" w:eastAsia="Times New Roman" w:hAnsi="Times New Roman"/>
                <w:sz w:val="24"/>
                <w:szCs w:val="24"/>
                <w:color w:val="auto"/>
                <w:vertAlign w:val="superscript"/>
              </w:rPr>
              <w:t>(4)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2,269,637</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11.47 %</w:t>
            </w:r>
          </w:p>
        </w:tc>
        <w:tc>
          <w:tcPr>
            <w:tcW w:w="0" w:type="dxa"/>
            <w:vAlign w:val="bottom"/>
          </w:tcPr>
          <w:p>
            <w:pPr>
              <w:spacing w:after="0"/>
              <w:rPr>
                <w:sz w:val="1"/>
                <w:szCs w:val="1"/>
                <w:color w:val="auto"/>
              </w:rPr>
            </w:pPr>
          </w:p>
        </w:tc>
      </w:tr>
      <w:tr>
        <w:trPr>
          <w:trHeight w:val="268"/>
        </w:trPr>
        <w:tc>
          <w:tcPr>
            <w:tcW w:w="768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1,977,370</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John Quisel, J.D., Ph.D.</w:t>
            </w:r>
            <w:r>
              <w:rPr>
                <w:rFonts w:ascii="Times New Roman" w:cs="Times New Roman" w:eastAsia="Times New Roman" w:hAnsi="Times New Roman"/>
                <w:sz w:val="24"/>
                <w:szCs w:val="24"/>
                <w:color w:val="auto"/>
                <w:vertAlign w:val="superscript"/>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326,708</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William Savage, MD, Ph.D.</w:t>
            </w:r>
            <w:r>
              <w:rPr>
                <w:rFonts w:ascii="Times New Roman" w:cs="Times New Roman" w:eastAsia="Times New Roman" w:hAnsi="Times New Roman"/>
                <w:sz w:val="24"/>
                <w:szCs w:val="24"/>
                <w:color w:val="auto"/>
                <w:vertAlign w:val="superscript"/>
              </w:rPr>
              <w:t>(7)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64,519</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Jonathan Yu</w:t>
            </w:r>
            <w:r>
              <w:rPr>
                <w:rFonts w:ascii="Times New Roman" w:cs="Times New Roman" w:eastAsia="Times New Roman" w:hAnsi="Times New Roman"/>
                <w:sz w:val="24"/>
                <w:szCs w:val="24"/>
                <w:color w:val="auto"/>
                <w:vertAlign w:val="superscript"/>
              </w:rPr>
              <w:t>(9)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64,962</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Mona Ashiya, Ph.D.</w:t>
            </w:r>
            <w:r>
              <w:rPr>
                <w:rFonts w:ascii="Times New Roman" w:cs="Times New Roman" w:eastAsia="Times New Roman" w:hAnsi="Times New Roman"/>
                <w:sz w:val="24"/>
                <w:szCs w:val="24"/>
                <w:color w:val="auto"/>
                <w:vertAlign w:val="superscript"/>
              </w:rPr>
              <w:t>(10)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Jay Backstrom, MD, M.P.H.</w:t>
            </w:r>
            <w:r>
              <w:rPr>
                <w:rFonts w:ascii="Times New Roman" w:cs="Times New Roman" w:eastAsia="Times New Roman" w:hAnsi="Times New Roman"/>
                <w:sz w:val="24"/>
                <w:szCs w:val="24"/>
                <w:color w:val="auto"/>
                <w:vertAlign w:val="superscript"/>
              </w:rPr>
              <w:t>(11)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Kevin Bitterman, Ph.D.</w:t>
            </w:r>
            <w:r>
              <w:rPr>
                <w:rFonts w:ascii="Times New Roman" w:cs="Times New Roman" w:eastAsia="Times New Roman" w:hAnsi="Times New Roman"/>
                <w:sz w:val="24"/>
                <w:szCs w:val="24"/>
                <w:color w:val="auto"/>
                <w:vertAlign w:val="superscript"/>
              </w:rPr>
              <w:t>(12)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Mark Chin, MS, MBA</w:t>
            </w:r>
            <w:r>
              <w:rPr>
                <w:rFonts w:ascii="Times New Roman" w:cs="Times New Roman" w:eastAsia="Times New Roman" w:hAnsi="Times New Roman"/>
                <w:sz w:val="24"/>
                <w:szCs w:val="24"/>
                <w:color w:val="auto"/>
                <w:vertAlign w:val="superscript"/>
              </w:rPr>
              <w:t>(13)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Georges Gemayel</w:t>
            </w:r>
            <w:r>
              <w:rPr>
                <w:rFonts w:ascii="Times New Roman" w:cs="Times New Roman" w:eastAsia="Times New Roman" w:hAnsi="Times New Roman"/>
                <w:sz w:val="24"/>
                <w:szCs w:val="24"/>
                <w:color w:val="auto"/>
                <w:vertAlign w:val="superscript"/>
              </w:rPr>
              <w:t>(14)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Donald Nicholson, Ph.D.</w:t>
            </w:r>
            <w:r>
              <w:rPr>
                <w:rFonts w:ascii="Times New Roman" w:cs="Times New Roman" w:eastAsia="Times New Roman" w:hAnsi="Times New Roman"/>
                <w:sz w:val="24"/>
                <w:szCs w:val="24"/>
                <w:color w:val="auto"/>
                <w:vertAlign w:val="superscript"/>
              </w:rPr>
              <w:t>(15)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118,734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Liam Ratcliffe, MD, Ph.D.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William White, MPP, J.D.</w:t>
            </w:r>
            <w:r>
              <w:rPr>
                <w:rFonts w:ascii="Times New Roman" w:cs="Times New Roman" w:eastAsia="Times New Roman" w:hAnsi="Times New Roman"/>
                <w:sz w:val="24"/>
                <w:szCs w:val="24"/>
                <w:color w:val="auto"/>
                <w:vertAlign w:val="superscript"/>
              </w:rPr>
              <w:t>(16)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(14 persons)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931,458</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-2773680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-2465070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6" w:lineRule="exact"/>
        <w:rPr>
          <w:sz w:val="20"/>
          <w:szCs w:val="20"/>
          <w:color w:val="auto"/>
        </w:rPr>
      </w:pPr>
    </w:p>
    <w:p>
      <w:pPr>
        <w:ind w:left="5540" w:right="5160" w:hanging="5531"/>
        <w:spacing w:after="0" w:line="276" w:lineRule="auto"/>
        <w:tabs>
          <w:tab w:leader="none" w:pos="1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 of our outstanding common stock.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9030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0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40" w:name="page41"/>
    <w:bookmarkEnd w:id="40"/>
    <w:p>
      <w:pPr>
        <w:jc w:val="both"/>
        <w:ind w:left="380" w:hanging="372"/>
        <w:spacing w:after="0" w:line="267" w:lineRule="auto"/>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2,237,303 shares held by Atlas Venture Fund X, L.P., or Atlas Fund X, 955,155 shares held by Atlas Venture Opportunity Fund I, L.P., or AVOF I, 218,326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240" w:lineRule="exact"/>
        <w:rPr>
          <w:rFonts w:ascii="Times New Roman" w:cs="Times New Roman" w:eastAsia="Times New Roman" w:hAnsi="Times New Roman"/>
          <w:sz w:val="17"/>
          <w:szCs w:val="17"/>
          <w:color w:val="auto"/>
        </w:rPr>
      </w:pPr>
    </w:p>
    <w:p>
      <w:pPr>
        <w:jc w:val="both"/>
        <w:ind w:left="380" w:hanging="372"/>
        <w:spacing w:after="0" w:line="25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by AI DMI LLC may be deemed to be beneficially owned by Access Industries Holdings LLC, or AIH, Access Industries Management, LLC, or AIM, and Len Blavatnik because (i) AIH indirectly controls all of the outstanding voting interests in AI ETI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w:t>
      </w:r>
    </w:p>
    <w:p>
      <w:pPr>
        <w:spacing w:after="0" w:line="1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OrbiMed Advisors LLC exercises voting and investment power through a management committee comprised of Carl L. Gordon, Sven H. Borho, and W. Carter Neild. The business address is 601 Lexington Avenue, 54th Floor, New York, NY 10022.</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w:t>
      </w:r>
    </w:p>
    <w:p>
      <w:pPr>
        <w:spacing w:after="0" w:line="3"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18"/>
          <w:szCs w:val="18"/>
          <w:color w:val="auto"/>
        </w:rPr>
        <w:t>Entities, which is the general partner of BCLSI. As a result, BCLSI may be deemed to share voting and dispositive power with respect to the securities held by BCLSI. As of February 24, 2022, BCLS III Opportunities GP holds 944,687 shares of Common Stock and pre-funded warrants to purchase 1,229,224 shares of Common Stock. As a result of a beneficial ownership blocker, beneficial ownership of Bain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Capital Life Sciences Opportunities III, LP is capped at 9.99% of the outstanding shares of Common Stock, representing 1,977,370 shares of Common Stock calculated as described herein as of April 14, 2023. The business address of these entities is 200 Clarendon Street, Boston, Massachusetts 02116.</w:t>
      </w:r>
    </w:p>
    <w:p>
      <w:pPr>
        <w:spacing w:after="0" w:line="14"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326,708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20,325 shares of common stock and options to purchase 44,194 shares of our common stock that are exercisable within 60 days of April 14, 2023.</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3,452 shares of common stock and options to purchase 57,830 shares of our common stock that are exercisable within 60 days of April 14, 2023.</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64,962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7,000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16,650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7,000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7,000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94,946 shares of our common stock that are exercisable within 60 days of April 14, 2023.</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15,332 shares of common stock and options to purchase 103,402 shares of our common stock that are exercisable within 60 days of April 14, 2023.</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28,791 shares of our common stock that are exercisable within 60 days of April 14,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Disc Medicine’s financial statements and financial reporting process and systems of internal controls regarding finance, accounting, and compliance with legal and regulatory requirements, (3) the qualifications, independence, and performance of Disc Medicine’s independent registered public accounting firm, (3) the performance of Disc Medicine’s internal audit function, if any, and (4) other matters as set forth in the charter of the audit committee approved by the board of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Disc Medicine’s financial statements and the financial reporting process, including its system of internal control over financial reporting and its disclosure controls and procedures. The independent registered public accounting firm is responsible for performing an audit of Disc Medicine’s financial statements in accordance with the standards of the Public Company Accounting Oversight Board, or PCAOB, and issuing a report thereon. The audit committee’s responsibility is to monitor and oversee these processes.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Disc Medicine, Inc. for the fiscal year ended December 31, 2022.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has received the written disclosures and the letter from the independent accountant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requirements of the PCAOB regarding the independent accountant’s communications with the audit committee concerning independence and has discussed with the independent accountant the independent accountant’s independence.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Disc Medicine be included in Disc Medicine’s 2022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DIRECTORS OF DISC MEDICINE,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White, Chairperson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Ratcliffe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Chin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Disc Medicine, Inc., 321 Arsenal Street, Suite 101, Watertown, Massachusetts 02472, Attention: Corporate Secretary, telephone: (617) 674-9274.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2024 proxy statement must submit the proposal in accordance with the procedures outlined in Rule 14a-8 of the Exchange Act so that it is received by us no later than December 26, 2023. However, if the date of the 2024 Annual Meeting of Stockholders is changed by more than 30 days from the date of the previous year’s meeting, then the deadline is a reasonable time before we begin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to print and send our proxy statement for the 2024 Annual Meeting of Stockholders. SEC rules set standards for eligibility and specify the types of stockholder proposals that may be excluded from a proxy statement. Stockholder proposals should be addressed to Disc Medicine, Inc., 321 Arsenal Street, Suite 101, Watertown, Massachusetts 02472, Attention: Corporate Secretary. We also encourage you to submit any such proposals via email to ir@discmedicine.com.</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10, 2024 and no later than March 11, 2024. In addition, to comply with the universal proxy rules, stockholders who intend to solicit proxies in support of director nominees other than our nominees must provide notice by the same deadline noted herein to submit a notice of nomination for consideration at the 2024 Annual Meeting of Stockholders. Such notice must comply with the additional requirements of Rule 14a-19(b). Stockholder proposals and the required notice should be addressed to Disc Medicine, Inc., 321 Arsenal Street, Suite 101, Watertown, Massachusetts 02472, Attention: Corporate Secretary.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is not aware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363220</wp:posOffset>
            </wp:positionV>
            <wp:extent cx="5349240" cy="6917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226060</wp:posOffset>
            </wp:positionV>
            <wp:extent cx="5349240" cy="6917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Roman"/>
      <w:start w:val="4"/>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2023-04-20T06:14:08Z</dcterms:created>
  <dcterms:modified xsi:type="dcterms:W3CDTF">2023-04-20T06:14:08Z</dcterms:modified>
</cp:coreProperties>
</file>