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Disc Medicine,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254604101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9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7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254604101</w:t>
      </w:r>
    </w:p>
    <w:p>
      <w:pPr>
        <w:spacing w:after="0" w:line="225" w:lineRule="exact"/>
        <w:rPr>
          <w:sz w:val="20"/>
          <w:szCs w:val="20"/>
          <w:color w:val="auto"/>
        </w:rPr>
      </w:pPr>
    </w:p>
    <w:p>
      <w:pPr>
        <w:ind w:left="340" w:right="7339" w:hanging="332"/>
        <w:spacing w:after="0" w:line="530" w:lineRule="auto"/>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Paradigm BioCapital Advisors LP</w:t>
      </w: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340" w:right="7179" w:hanging="332"/>
        <w:spacing w:after="0" w:line="50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2,385,857</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vMerge w:val="continue"/>
          </w:tcPr>
          <w:p>
            <w:pPr>
              <w:spacing w:after="0"/>
              <w:rPr>
                <w:sz w:val="13"/>
                <w:szCs w:val="13"/>
                <w:color w:val="auto"/>
              </w:rPr>
            </w:pPr>
          </w:p>
        </w:tc>
        <w:tc>
          <w:tcPr>
            <w:tcW w:w="392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2,385,857</w:t>
            </w:r>
          </w:p>
        </w:tc>
        <w:tc>
          <w:tcPr>
            <w:tcW w:w="0" w:type="dxa"/>
            <w:vAlign w:val="bottom"/>
          </w:tcPr>
          <w:p>
            <w:pPr>
              <w:spacing w:after="0"/>
              <w:rPr>
                <w:sz w:val="1"/>
                <w:szCs w:val="1"/>
                <w:color w:val="auto"/>
              </w:rPr>
            </w:pP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vMerge w:val="continue"/>
          </w:tcPr>
          <w:p>
            <w:pPr>
              <w:spacing w:after="0"/>
              <w:rPr>
                <w:sz w:val="20"/>
                <w:szCs w:val="20"/>
                <w:color w:val="auto"/>
              </w:rPr>
            </w:pPr>
          </w:p>
        </w:tc>
        <w:tc>
          <w:tcPr>
            <w:tcW w:w="3920" w:type="dxa"/>
            <w:vAlign w:val="bottom"/>
            <w:vMerge w:val="continue"/>
          </w:tcPr>
          <w:p>
            <w:pPr>
              <w:spacing w:after="0"/>
              <w:rPr>
                <w:sz w:val="20"/>
                <w:szCs w:val="20"/>
                <w:color w:val="auto"/>
              </w:rPr>
            </w:pP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right="4999" w:hanging="332"/>
        <w:spacing w:after="0" w:line="477"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2,385,857</w:t>
      </w:r>
    </w:p>
    <w:p>
      <w:pPr>
        <w:ind w:left="340" w:hanging="332"/>
        <w:spacing w:after="0" w:line="207" w:lineRule="exact"/>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340" w:right="6019" w:hanging="332"/>
        <w:spacing w:after="0" w:line="50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254604101</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Paradigm BioCapital Advisors GP LLC</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2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2,385,857</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vMerge w:val="continue"/>
          </w:tcPr>
          <w:p>
            <w:pPr>
              <w:spacing w:after="0"/>
              <w:rPr>
                <w:sz w:val="13"/>
                <w:szCs w:val="13"/>
                <w:color w:val="auto"/>
              </w:rPr>
            </w:pPr>
          </w:p>
        </w:tc>
        <w:tc>
          <w:tcPr>
            <w:tcW w:w="392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2,385,857</w:t>
            </w:r>
          </w:p>
        </w:tc>
        <w:tc>
          <w:tcPr>
            <w:tcW w:w="0" w:type="dxa"/>
            <w:vAlign w:val="bottom"/>
          </w:tcPr>
          <w:p>
            <w:pPr>
              <w:spacing w:after="0"/>
              <w:rPr>
                <w:sz w:val="1"/>
                <w:szCs w:val="1"/>
                <w:color w:val="auto"/>
              </w:rPr>
            </w:pP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vMerge w:val="continue"/>
          </w:tcPr>
          <w:p>
            <w:pPr>
              <w:spacing w:after="0"/>
              <w:rPr>
                <w:sz w:val="20"/>
                <w:szCs w:val="20"/>
                <w:color w:val="auto"/>
              </w:rPr>
            </w:pPr>
          </w:p>
        </w:tc>
        <w:tc>
          <w:tcPr>
            <w:tcW w:w="3920" w:type="dxa"/>
            <w:vAlign w:val="bottom"/>
            <w:vMerge w:val="continue"/>
          </w:tcPr>
          <w:p>
            <w:pPr>
              <w:spacing w:after="0"/>
              <w:rPr>
                <w:sz w:val="20"/>
                <w:szCs w:val="20"/>
                <w:color w:val="auto"/>
              </w:rPr>
            </w:pP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right="4999" w:hanging="332"/>
        <w:spacing w:after="0" w:line="47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2,385,857</w:t>
      </w:r>
    </w:p>
    <w:p>
      <w:pPr>
        <w:ind w:left="340" w:hanging="332"/>
        <w:spacing w:after="0" w:line="207" w:lineRule="exact"/>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340" w:right="6019" w:hanging="332"/>
        <w:spacing w:after="0" w:line="50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3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254604101</w:t>
      </w:r>
    </w:p>
    <w:p>
      <w:pPr>
        <w:spacing w:after="0" w:line="225" w:lineRule="exact"/>
        <w:rPr>
          <w:sz w:val="20"/>
          <w:szCs w:val="20"/>
          <w:color w:val="auto"/>
        </w:rPr>
      </w:pPr>
    </w:p>
    <w:p>
      <w:pPr>
        <w:ind w:left="340" w:right="7739" w:hanging="332"/>
        <w:spacing w:after="0" w:line="530" w:lineRule="auto"/>
        <w:tabs>
          <w:tab w:leader="none" w:pos="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Senai Asefaw, M.D.</w:t>
      </w: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340" w:right="7179" w:hanging="332"/>
        <w:spacing w:after="0" w:line="530" w:lineRule="auto"/>
        <w:tabs>
          <w:tab w:leader="none" w:pos="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2,385,857</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vMerge w:val="continue"/>
          </w:tcPr>
          <w:p>
            <w:pPr>
              <w:spacing w:after="0"/>
              <w:rPr>
                <w:sz w:val="13"/>
                <w:szCs w:val="13"/>
                <w:color w:val="auto"/>
              </w:rPr>
            </w:pPr>
          </w:p>
        </w:tc>
        <w:tc>
          <w:tcPr>
            <w:tcW w:w="392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2,385,857</w:t>
            </w:r>
          </w:p>
        </w:tc>
        <w:tc>
          <w:tcPr>
            <w:tcW w:w="0" w:type="dxa"/>
            <w:vAlign w:val="bottom"/>
          </w:tcPr>
          <w:p>
            <w:pPr>
              <w:spacing w:after="0"/>
              <w:rPr>
                <w:sz w:val="1"/>
                <w:szCs w:val="1"/>
                <w:color w:val="auto"/>
              </w:rPr>
            </w:pP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vMerge w:val="continue"/>
          </w:tcPr>
          <w:p>
            <w:pPr>
              <w:spacing w:after="0"/>
              <w:rPr>
                <w:sz w:val="20"/>
                <w:szCs w:val="20"/>
                <w:color w:val="auto"/>
              </w:rPr>
            </w:pPr>
          </w:p>
        </w:tc>
        <w:tc>
          <w:tcPr>
            <w:tcW w:w="3920" w:type="dxa"/>
            <w:vAlign w:val="bottom"/>
            <w:vMerge w:val="continue"/>
          </w:tcPr>
          <w:p>
            <w:pPr>
              <w:spacing w:after="0"/>
              <w:rPr>
                <w:sz w:val="20"/>
                <w:szCs w:val="20"/>
                <w:color w:val="auto"/>
              </w:rPr>
            </w:pP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right="4999" w:hanging="332"/>
        <w:spacing w:after="0" w:line="477"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2,385,857</w:t>
      </w:r>
    </w:p>
    <w:p>
      <w:pPr>
        <w:ind w:left="340" w:hanging="332"/>
        <w:spacing w:after="0" w:line="207" w:lineRule="exact"/>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340" w:right="6019" w:hanging="332"/>
        <w:spacing w:after="0" w:line="50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4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254604101</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Paradigm BioCapital International Fund Ltd.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340" w:right="7179" w:hanging="332"/>
        <w:spacing w:after="0" w:line="50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2,032,166</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vMerge w:val="continue"/>
          </w:tcPr>
          <w:p>
            <w:pPr>
              <w:spacing w:after="0"/>
              <w:rPr>
                <w:sz w:val="13"/>
                <w:szCs w:val="13"/>
                <w:color w:val="auto"/>
              </w:rPr>
            </w:pPr>
          </w:p>
        </w:tc>
        <w:tc>
          <w:tcPr>
            <w:tcW w:w="392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2,032,166</w:t>
            </w:r>
          </w:p>
        </w:tc>
        <w:tc>
          <w:tcPr>
            <w:tcW w:w="0" w:type="dxa"/>
            <w:vAlign w:val="bottom"/>
          </w:tcPr>
          <w:p>
            <w:pPr>
              <w:spacing w:after="0"/>
              <w:rPr>
                <w:sz w:val="1"/>
                <w:szCs w:val="1"/>
                <w:color w:val="auto"/>
              </w:rPr>
            </w:pP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vMerge w:val="continue"/>
          </w:tcPr>
          <w:p>
            <w:pPr>
              <w:spacing w:after="0"/>
              <w:rPr>
                <w:sz w:val="20"/>
                <w:szCs w:val="20"/>
                <w:color w:val="auto"/>
              </w:rPr>
            </w:pPr>
          </w:p>
        </w:tc>
        <w:tc>
          <w:tcPr>
            <w:tcW w:w="3920" w:type="dxa"/>
            <w:vAlign w:val="bottom"/>
            <w:vMerge w:val="continue"/>
          </w:tcPr>
          <w:p>
            <w:pPr>
              <w:spacing w:after="0"/>
              <w:rPr>
                <w:sz w:val="20"/>
                <w:szCs w:val="20"/>
                <w:color w:val="auto"/>
              </w:rPr>
            </w:pP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right="4999" w:hanging="332"/>
        <w:spacing w:after="0" w:line="477"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2,032,166</w:t>
      </w: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340" w:right="6019" w:hanging="332"/>
        <w:spacing w:after="0" w:line="50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8.4%</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issuer is Disc Medicine, Inc.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executive offices of the Issuer are located at 321 Arsenal Street, Suite 101, Watertown, MA 02472.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7" w:lineRule="exact"/>
        <w:rPr>
          <w:sz w:val="20"/>
          <w:szCs w:val="20"/>
          <w:color w:val="auto"/>
        </w:rPr>
      </w:pPr>
    </w:p>
    <w:p>
      <w:pPr>
        <w:jc w:val="both"/>
        <w:ind w:left="660" w:hanging="652"/>
        <w:spacing w:after="0" w:line="25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the following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(1) Paradigm BioCapital Advisors LP (the “</w:t>
      </w:r>
      <w:r>
        <w:rPr>
          <w:rFonts w:ascii="Times New Roman" w:cs="Times New Roman" w:eastAsia="Times New Roman" w:hAnsi="Times New Roman"/>
          <w:sz w:val="18"/>
          <w:szCs w:val="18"/>
          <w:i w:val="1"/>
          <w:iCs w:val="1"/>
          <w:color w:val="auto"/>
        </w:rPr>
        <w:t>Adviser</w:t>
      </w:r>
      <w:r>
        <w:rPr>
          <w:rFonts w:ascii="Times New Roman" w:cs="Times New Roman" w:eastAsia="Times New Roman" w:hAnsi="Times New Roman"/>
          <w:sz w:val="18"/>
          <w:szCs w:val="18"/>
          <w:color w:val="auto"/>
        </w:rPr>
        <w:t>”); (2) Paradigm BioCapital Advisors GP LLC (the “</w:t>
      </w:r>
      <w:r>
        <w:rPr>
          <w:rFonts w:ascii="Times New Roman" w:cs="Times New Roman" w:eastAsia="Times New Roman" w:hAnsi="Times New Roman"/>
          <w:sz w:val="18"/>
          <w:szCs w:val="18"/>
          <w:i w:val="1"/>
          <w:iCs w:val="1"/>
          <w:color w:val="auto"/>
        </w:rPr>
        <w:t>Adviser GP</w:t>
      </w:r>
      <w:r>
        <w:rPr>
          <w:rFonts w:ascii="Times New Roman" w:cs="Times New Roman" w:eastAsia="Times New Roman" w:hAnsi="Times New Roman"/>
          <w:sz w:val="18"/>
          <w:szCs w:val="18"/>
          <w:color w:val="auto"/>
        </w:rPr>
        <w:t>”); (3) Senai Asefaw, M.D. (“</w:t>
      </w:r>
      <w:r>
        <w:rPr>
          <w:rFonts w:ascii="Times New Roman" w:cs="Times New Roman" w:eastAsia="Times New Roman" w:hAnsi="Times New Roman"/>
          <w:sz w:val="18"/>
          <w:szCs w:val="18"/>
          <w:i w:val="1"/>
          <w:iCs w:val="1"/>
          <w:color w:val="auto"/>
        </w:rPr>
        <w:t>Senai Asefaw</w:t>
      </w:r>
      <w:r>
        <w:rPr>
          <w:rFonts w:ascii="Times New Roman" w:cs="Times New Roman" w:eastAsia="Times New Roman" w:hAnsi="Times New Roman"/>
          <w:sz w:val="18"/>
          <w:szCs w:val="18"/>
          <w:color w:val="auto"/>
        </w:rPr>
        <w:t>”); and (4) Paradigm BioCapital International Fund Ltd. (the “</w:t>
      </w:r>
      <w:r>
        <w:rPr>
          <w:rFonts w:ascii="Times New Roman" w:cs="Times New Roman" w:eastAsia="Times New Roman" w:hAnsi="Times New Roman"/>
          <w:sz w:val="18"/>
          <w:szCs w:val="18"/>
          <w:i w:val="1"/>
          <w:iCs w:val="1"/>
          <w:color w:val="auto"/>
        </w:rPr>
        <w:t>Fund</w:t>
      </w:r>
      <w:r>
        <w:rPr>
          <w:rFonts w:ascii="Times New Roman" w:cs="Times New Roman" w:eastAsia="Times New Roman" w:hAnsi="Times New Roman"/>
          <w:sz w:val="18"/>
          <w:szCs w:val="18"/>
          <w:color w:val="auto"/>
        </w:rPr>
        <w:t>”). The Fund is a private investment vehicle. The Fund and one or more separately managed accounts managed by the Adviser (the “</w:t>
      </w:r>
      <w:r>
        <w:rPr>
          <w:rFonts w:ascii="Times New Roman" w:cs="Times New Roman" w:eastAsia="Times New Roman" w:hAnsi="Times New Roman"/>
          <w:sz w:val="18"/>
          <w:szCs w:val="18"/>
          <w:i w:val="1"/>
          <w:iCs w:val="1"/>
          <w:color w:val="auto"/>
        </w:rPr>
        <w:t>Account</w:t>
      </w:r>
      <w:r>
        <w:rPr>
          <w:rFonts w:ascii="Times New Roman" w:cs="Times New Roman" w:eastAsia="Times New Roman" w:hAnsi="Times New Roman"/>
          <w:sz w:val="18"/>
          <w:szCs w:val="18"/>
          <w:color w:val="auto"/>
        </w:rPr>
        <w:t>”) directly beneficially own the Common Stock (as defined below)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Common Stock directly beneficially owned by the Fund and the Account. Each Reporting Person disclaims beneficial ownership with respect to any Common Stock other than the Common Stock directly beneficially owned by such Reporting Person.</w:t>
      </w:r>
    </w:p>
    <w:p>
      <w:pPr>
        <w:spacing w:after="0" w:line="17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principal business office of the Reporting Persons is 767 Third Avenue,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10017.</w:t>
      </w:r>
    </w:p>
    <w:p>
      <w:pPr>
        <w:spacing w:after="0" w:line="77" w:lineRule="exact"/>
        <w:rPr>
          <w:rFonts w:ascii="Times New Roman" w:cs="Times New Roman" w:eastAsia="Times New Roman" w:hAnsi="Times New Roman"/>
          <w:sz w:val="36"/>
          <w:szCs w:val="36"/>
          <w:color w:val="auto"/>
          <w:vertAlign w:val="superscript"/>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citizenship information see Item 4 of the cover page of each Reporting Person.</w:t>
      </w:r>
    </w:p>
    <w:p>
      <w:pPr>
        <w:spacing w:after="0" w:line="22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relates to the Common Stock, $0.0001 par value per share, of the Issuer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of the Common Stock is 254604101.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188" w:lineRule="exact"/>
        <w:rPr>
          <w:sz w:val="20"/>
          <w:szCs w:val="20"/>
          <w:color w:val="auto"/>
        </w:rPr>
      </w:pPr>
    </w:p>
    <w:p>
      <w:pPr>
        <w:ind w:left="340" w:hanging="332"/>
        <w:spacing w:after="0" w:line="207" w:lineRule="exact"/>
        <w:tabs>
          <w:tab w:leader="none" w:pos="34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6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340" w:hanging="332"/>
        <w:spacing w:after="0" w:line="207" w:lineRule="exact"/>
        <w:tabs>
          <w:tab w:leader="none" w:pos="34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6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660" w:right="160" w:hanging="652"/>
        <w:spacing w:after="0" w:line="215" w:lineRule="exact"/>
        <w:tabs>
          <w:tab w:leader="none" w:pos="336"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ind w:left="340" w:hanging="332"/>
        <w:spacing w:after="0" w:line="207" w:lineRule="exact"/>
        <w:tabs>
          <w:tab w:leader="none" w:pos="34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0"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 __________________________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Items 5-9 and 11 on the cover page for each Reporting Person, and Item 2, which information is given as of the Event Date of this Schedule 13G/A1.</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percentages of beneficial ownership contained herein are based on 24,140,428 shares of Common Stock outstanding as of November 7, 2023, as reported by the Issuer in its Form 10-Q filed with the SEC on November 9,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8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Advisors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Advisors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International Fund Ltd.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K. Kim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Senai Asefaw,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Senai Asefaw, M.D.</w:t>
      </w: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9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lvl w:ilvl="1">
      <w:lvlJc w:val="left"/>
      <w:lvlText w:val="(%2)"/>
      <w:numFmt w:val="lowerLetter"/>
      <w:start w:val="1"/>
    </w:lvl>
  </w:abstractNum>
  <w:abstractNum w:abstractNumId="5">
    <w:nsid w:val="1190CDE7"/>
    <w:multiLevelType w:val="hybridMultilevel"/>
    <w:lvl w:ilvl="0">
      <w:lvlJc w:val="left"/>
      <w:lvlText w:val="%1."/>
      <w:numFmt w:val="decimal"/>
      <w:start w:val="9"/>
    </w:lvl>
  </w:abstractNum>
  <w:abstractNum w:abstractNumId="6">
    <w:nsid w:val="66EF438D"/>
    <w:multiLevelType w:val="hybridMultilevel"/>
    <w:lvl w:ilvl="0">
      <w:lvlJc w:val="left"/>
      <w:lvlText w:val="%1."/>
      <w:numFmt w:val="decimal"/>
      <w:start w:val="1"/>
    </w:lvl>
    <w:lvl w:ilvl="1">
      <w:lvlJc w:val="left"/>
      <w:lvlText w:val="(%2)"/>
      <w:numFmt w:val="lowerLetter"/>
      <w:start w:val="1"/>
    </w:lvl>
  </w:abstractNum>
  <w:abstractNum w:abstractNumId="7">
    <w:nsid w:val="140E0F76"/>
    <w:multiLevelType w:val="hybridMultilevel"/>
    <w:lvl w:ilvl="0">
      <w:lvlJc w:val="left"/>
      <w:lvlText w:val="%1."/>
      <w:numFmt w:val="decimal"/>
      <w:start w:val="9"/>
    </w:lvl>
  </w:abstractNum>
  <w:abstractNum w:abstractNumId="8">
    <w:nsid w:val="3352255A"/>
    <w:multiLevelType w:val="hybridMultilevel"/>
    <w:lvl w:ilvl="0">
      <w:lvlJc w:val="left"/>
      <w:lvlText w:val="%1."/>
      <w:numFmt w:val="decimal"/>
      <w:start w:val="1"/>
    </w:lvl>
    <w:lvl w:ilvl="1">
      <w:lvlJc w:val="left"/>
      <w:lvlText w:val="(%2)"/>
      <w:numFmt w:val="lowerLetter"/>
      <w:start w:val="1"/>
    </w:lvl>
  </w:abstractNum>
  <w:abstractNum w:abstractNumId="9">
    <w:nsid w:val="109CF92E"/>
    <w:multiLevelType w:val="hybridMultilevel"/>
    <w:lvl w:ilvl="0">
      <w:lvlJc w:val="left"/>
      <w:lvlText w:val="%1."/>
      <w:numFmt w:val="decimal"/>
      <w:start w:val="9"/>
    </w:lvl>
  </w:abstractNum>
  <w:abstractNum w:abstractNumId="10">
    <w:nsid w:val="DED7263"/>
    <w:multiLevelType w:val="hybridMultilevel"/>
    <w:lvl w:ilvl="0">
      <w:lvlJc w:val="left"/>
      <w:lvlText w:val="%1."/>
      <w:numFmt w:val="decimal"/>
      <w:start w:val="1"/>
    </w:lvl>
    <w:lvl w:ilvl="1">
      <w:lvlJc w:val="left"/>
      <w:lvlText w:val="(%2)"/>
      <w:numFmt w:val="lowerLetter"/>
      <w:start w:val="1"/>
    </w:lvl>
  </w:abstractNum>
  <w:abstractNum w:abstractNumId="11">
    <w:nsid w:val="7FDCC233"/>
    <w:multiLevelType w:val="hybridMultilevel"/>
    <w:lvl w:ilvl="0">
      <w:lvlJc w:val="left"/>
      <w:lvlText w:val="%1."/>
      <w:numFmt w:val="decimal"/>
      <w:start w:val="9"/>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7"/>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2024-02-14T15:45:40Z</dcterms:created>
  <dcterms:modified xsi:type="dcterms:W3CDTF">2024-02-14T15:45:40Z</dcterms:modified>
</cp:coreProperties>
</file>