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2206475_sc13da.htm"/>
      <w:bookmarkStart w:id="1" w:name="ksss2206475_sc13da"/>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ind w:left="187" w:right="187"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SCHEDULE 13D</w:t>
      </w:r>
    </w:p>
    <w:p>
      <w:pPr>
        <w:pStyle w:val="TextBody"/>
        <w:bidi w:val="0"/>
        <w:jc w:val="left"/>
        <w:rPr>
          <w:caps w:val="false"/>
          <w:smallCaps w:val="false"/>
        </w:rPr>
      </w:pPr>
      <w:r>
        <w:rPr>
          <w:caps w:val="false"/>
          <w:smallCaps w:val="false"/>
        </w:rPr>
        <w:t> </w:t>
      </w:r>
    </w:p>
    <w:p>
      <w:pPr>
        <w:pStyle w:val="TextBody"/>
        <w:bidi w:val="0"/>
        <w:ind w:left="187" w:right="1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ind w:left="187" w:right="1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Disc Medicine, Inc.</w:t>
            </w:r>
          </w:p>
        </w:tc>
      </w:tr>
      <w:tr>
        <w:trPr/>
        <w:tc>
          <w:tcPr>
            <w:tcW w:w="5225" w:type="dxa"/>
            <w:tcBorders>
              <w:top w:val="single" w:sz="12" w:space="0" w:color="000000"/>
            </w:tcBorders>
            <w:tcMar>
              <w:top w:w="45"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ableContents"/>
              <w:bidi w:val="0"/>
              <w:spacing w:before="0" w:after="283"/>
              <w:ind w:left="0" w:right="0" w:firstLine="144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ableContents"/>
              <w:bidi w:val="0"/>
              <w:spacing w:before="0" w:after="283"/>
              <w:ind w:left="0" w:right="0" w:firstLine="108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254604 101</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283"/>
              <w:ind w:left="0" w:right="0" w:firstLine="1440"/>
              <w:jc w:val="left"/>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Advisors LLC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Capital GP VI LLC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Capital GP VIII LLC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Genesis GP LLC</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Lexington Avenue, 54th Floor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739-6400</w:t>
            </w:r>
          </w:p>
          <w:p>
            <w:pPr>
              <w:pStyle w:val="TableContents"/>
              <w:bidi w:val="0"/>
              <w:spacing w:before="0" w:after="283"/>
              <w:ind w:left="0" w:right="0" w:firstLine="1440"/>
              <w:jc w:val="left"/>
              <w:rPr>
                <w:caps w:val="false"/>
                <w:smallCaps w:val="false"/>
              </w:rPr>
            </w:pPr>
            <w:r>
              <w:rPr>
                <w:caps w:val="false"/>
                <w:smallCaps w:val="false"/>
              </w:rPr>
              <w:t>                       </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w:t>
              <w:br/>
              <w:t>Receive Notices and Communications)</w:t>
            </w:r>
          </w:p>
          <w:p>
            <w:pPr>
              <w:pStyle w:val="TableContents"/>
              <w:bidi w:val="0"/>
              <w:spacing w:before="0" w:after="283"/>
              <w:ind w:left="0" w:right="0" w:firstLine="144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16, 2023</w:t>
            </w:r>
          </w:p>
        </w:tc>
      </w:tr>
      <w:tr>
        <w:trPr/>
        <w:tc>
          <w:tcPr>
            <w:tcW w:w="5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§240.13d-7(b) for other parties to whom copies are to be sent.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150" w:type="dxa"/>
        <w:jc w:val="left"/>
        <w:tblInd w:w="-15" w:type="dxa"/>
        <w:tblLayout w:type="fixed"/>
        <w:tblCellMar>
          <w:top w:w="120" w:type="dxa"/>
          <w:left w:w="120" w:type="dxa"/>
          <w:bottom w:w="120" w:type="dxa"/>
          <w:right w:w="120" w:type="dxa"/>
        </w:tblCellMar>
      </w:tblPr>
      <w:tblGrid>
        <w:gridCol w:w="2015"/>
        <w:gridCol w:w="60"/>
        <w:gridCol w:w="75"/>
      </w:tblGrid>
      <w:tr>
        <w:trPr/>
        <w:tc>
          <w:tcPr>
            <w:tcW w:w="20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254604 101</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452" w:type="dxa"/>
        <w:jc w:val="left"/>
        <w:tblInd w:w="-15" w:type="dxa"/>
        <w:tblLayout w:type="fixed"/>
        <w:tblCellMar>
          <w:top w:w="45" w:type="dxa"/>
          <w:left w:w="45" w:type="dxa"/>
          <w:bottom w:w="45" w:type="dxa"/>
          <w:right w:w="45" w:type="dxa"/>
        </w:tblCellMar>
      </w:tblPr>
      <w:tblGrid>
        <w:gridCol w:w="594"/>
        <w:gridCol w:w="914"/>
        <w:gridCol w:w="4895"/>
        <w:gridCol w:w="1611"/>
        <w:gridCol w:w="1438"/>
      </w:tblGrid>
      <w:tr>
        <w:trPr/>
        <w:tc>
          <w:tcPr>
            <w:tcW w:w="59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8858" w:type="dxa"/>
            <w:gridSpan w:val="4"/>
            <w:tcBorders>
              <w:top w:val="single" w:sz="12"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420"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42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508"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08"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2,269,637</w:t>
            </w:r>
          </w:p>
        </w:tc>
      </w:tr>
      <w:tr>
        <w:trPr/>
        <w:tc>
          <w:tcPr>
            <w:tcW w:w="1508"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08"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2,269,637</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2,269,637</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42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percentage is calculated based upon 22,171,161 shares of common stock outstanding of Disc Medicine, Inc. (the “Issuer”), as set forth in the Issuer’s Rule 424(b)(5) Prospectus filed with the Securities and Exchange Commission on June 16, 2023.</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105" w:type="dxa"/>
        <w:jc w:val="left"/>
        <w:tblInd w:w="-15" w:type="dxa"/>
        <w:tblLayout w:type="fixed"/>
        <w:tblCellMar>
          <w:top w:w="120" w:type="dxa"/>
          <w:left w:w="120" w:type="dxa"/>
          <w:bottom w:w="120" w:type="dxa"/>
          <w:right w:w="120" w:type="dxa"/>
        </w:tblCellMar>
      </w:tblPr>
      <w:tblGrid>
        <w:gridCol w:w="1970"/>
        <w:gridCol w:w="6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254604 101</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392" w:type="dxa"/>
        <w:jc w:val="left"/>
        <w:tblInd w:w="-15" w:type="dxa"/>
        <w:tblLayout w:type="fixed"/>
        <w:tblCellMar>
          <w:top w:w="45" w:type="dxa"/>
          <w:left w:w="45" w:type="dxa"/>
          <w:bottom w:w="45" w:type="dxa"/>
          <w:right w:w="45" w:type="dxa"/>
        </w:tblCellMar>
      </w:tblPr>
      <w:tblGrid>
        <w:gridCol w:w="358"/>
        <w:gridCol w:w="1057"/>
        <w:gridCol w:w="5288"/>
        <w:gridCol w:w="1453"/>
        <w:gridCol w:w="1236"/>
      </w:tblGrid>
      <w:tr>
        <w:trPr/>
        <w:tc>
          <w:tcPr>
            <w:tcW w:w="35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9034" w:type="dxa"/>
            <w:gridSpan w:val="4"/>
            <w:tcBorders>
              <w:top w:val="single" w:sz="12"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Capital GP VI LLC</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798"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15"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773,607</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773,607</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773,607</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3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5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percentage is calculated based upon 22,171,161 shares of common stock outstanding of Disc Medicine, Inc. (the “Issuer”), as set forth in the Issuer’s Rule 424(b)(5) Prospectus filed with the Securities and Exchange Commission on June 16, 2023.</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2105" w:type="dxa"/>
        <w:jc w:val="left"/>
        <w:tblInd w:w="-15" w:type="dxa"/>
        <w:tblLayout w:type="fixed"/>
        <w:tblCellMar>
          <w:top w:w="120" w:type="dxa"/>
          <w:left w:w="120" w:type="dxa"/>
          <w:bottom w:w="120" w:type="dxa"/>
          <w:right w:w="120" w:type="dxa"/>
        </w:tblCellMar>
      </w:tblPr>
      <w:tblGrid>
        <w:gridCol w:w="1970"/>
        <w:gridCol w:w="6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254604 101</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392" w:type="dxa"/>
        <w:jc w:val="left"/>
        <w:tblInd w:w="-15" w:type="dxa"/>
        <w:tblLayout w:type="fixed"/>
        <w:tblCellMar>
          <w:top w:w="45" w:type="dxa"/>
          <w:left w:w="45" w:type="dxa"/>
          <w:bottom w:w="45" w:type="dxa"/>
          <w:right w:w="45" w:type="dxa"/>
        </w:tblCellMar>
      </w:tblPr>
      <w:tblGrid>
        <w:gridCol w:w="358"/>
        <w:gridCol w:w="1057"/>
        <w:gridCol w:w="5288"/>
        <w:gridCol w:w="1453"/>
        <w:gridCol w:w="1236"/>
      </w:tblGrid>
      <w:tr>
        <w:trPr/>
        <w:tc>
          <w:tcPr>
            <w:tcW w:w="35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9034" w:type="dxa"/>
            <w:gridSpan w:val="4"/>
            <w:tcBorders>
              <w:top w:val="single" w:sz="12"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Capital GP VIII LLC</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798"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15"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1,196,825</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1,196,825</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1,196,825</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3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5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percentage is calculated based upon 22,171,161 shares of common stock outstanding of Disc Medicine, Inc. (the “Issuer”), as set forth in the Issuer’s Rule 424(b)(5) Prospectus filed with the Securities and Exchange Commission on June 16, 2023.</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2105" w:type="dxa"/>
        <w:jc w:val="left"/>
        <w:tblInd w:w="-15" w:type="dxa"/>
        <w:tblLayout w:type="fixed"/>
        <w:tblCellMar>
          <w:top w:w="120" w:type="dxa"/>
          <w:left w:w="120" w:type="dxa"/>
          <w:bottom w:w="120" w:type="dxa"/>
          <w:right w:w="120" w:type="dxa"/>
        </w:tblCellMar>
      </w:tblPr>
      <w:tblGrid>
        <w:gridCol w:w="1970"/>
        <w:gridCol w:w="6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254604 101</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392" w:type="dxa"/>
        <w:jc w:val="left"/>
        <w:tblInd w:w="-15" w:type="dxa"/>
        <w:tblLayout w:type="fixed"/>
        <w:tblCellMar>
          <w:top w:w="45" w:type="dxa"/>
          <w:left w:w="45" w:type="dxa"/>
          <w:bottom w:w="45" w:type="dxa"/>
          <w:right w:w="45" w:type="dxa"/>
        </w:tblCellMar>
      </w:tblPr>
      <w:tblGrid>
        <w:gridCol w:w="358"/>
        <w:gridCol w:w="1057"/>
        <w:gridCol w:w="5288"/>
        <w:gridCol w:w="1453"/>
        <w:gridCol w:w="1236"/>
      </w:tblGrid>
      <w:tr>
        <w:trPr/>
        <w:tc>
          <w:tcPr>
            <w:tcW w:w="35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9034" w:type="dxa"/>
            <w:gridSpan w:val="4"/>
            <w:tcBorders>
              <w:top w:val="single" w:sz="12"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GP LLC</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798"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15"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299,205</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299,205</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299,205</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3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5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percentage is calculated based upon 22,171,161 shares of common stock outstanding of Disc Medicine, Inc. (the “Issuer”), as set forth in the Issuer’s Rule 424(b)(5) Prospectus filed with the Securities and Exchange Commission on June 16, 2023.</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Security and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Schedule 13D supplements and amends the Statement on Schedule 13D of OrbiMed Advisors LLC and OrbiMed Capital GP VI LLC (the “</w:t>
      </w:r>
      <w:r>
        <w:rPr>
          <w:rFonts w:ascii="Times New Roman;Times;Serif" w:hAnsi="Times New Roman;Times;Serif"/>
          <w:b w:val="false"/>
          <w:i w:val="false"/>
          <w:caps w:val="false"/>
          <w:smallCaps w:val="false"/>
          <w:sz w:val="20"/>
          <w:u w:val="single"/>
        </w:rPr>
        <w:t>Statement</w:t>
      </w:r>
      <w:r>
        <w:rPr>
          <w:rFonts w:ascii="Times New Roman;Times;Serif" w:hAnsi="Times New Roman;Times;Serif"/>
          <w:b w:val="false"/>
          <w:i w:val="false"/>
          <w:caps w:val="false"/>
          <w:smallCaps w:val="false"/>
          <w:sz w:val="20"/>
        </w:rPr>
        <w:t>”) originally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xml:space="preserve">”) on February 22, 2022, as amended by Amendment No. 1 filed with the SEC on January 3, 2023. This Statement relates to the common stock, par </w:t>
      </w:r>
      <w:r>
        <w:rPr>
          <w:rFonts w:ascii="Times New Roman;Times;Serif" w:hAnsi="Times New Roman;Times;Serif"/>
          <w:b w:val="false"/>
          <w:i w:val="false"/>
          <w:caps w:val="false"/>
          <w:smallCaps w:val="false"/>
          <w:sz w:val="20"/>
          <w:shd w:fill="FFFFFF" w:val="clear"/>
        </w:rPr>
        <w:t>value $0.0001 per share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of Disc Medicine, Inc., </w:t>
      </w:r>
      <w:r>
        <w:rPr>
          <w:rFonts w:ascii="Times New Roman;Times;Serif" w:hAnsi="Times New Roman;Times;Serif"/>
          <w:b w:val="false"/>
          <w:i w:val="false"/>
          <w:caps w:val="false"/>
          <w:smallCaps w:val="false"/>
          <w:sz w:val="20"/>
          <w:shd w:fill="FFFFFF" w:val="clear"/>
        </w:rPr>
        <w:t>a corporation organized under the laws of Delaware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with its principal executive offices located at 321 Arsenal Street, Suite 101, Watertown, Massachusetts 02472. The Shares are listed on the NASDAQ Global Market under the ticker symbol “IRON”. Information given in response to each item shall be deemed incorporated by reference in all other items,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Issuer completed an underwritten public offering of 2,595,919 Shares at a price to the public of $49.00 per Share and pre-funded warrants to purchase an aggregate of 204,081 Shares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at a price to the public of $48.9999 per Pre-Funded Warrant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In addition, the Issuer granted the underwriters of the Offering an option exercisable for 30 days to purchase, at the public offering price less any underwriting discounts and commissions, up to an additional 420,000 Shares. As a result of the Offering, the Issuer’s total number of outstanding Shares increased, and the percentage of outstanding Shares that the Reporting Persons may be deemed to beneficially own was reduced by more than 1% since the last filing.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Schedule 13D is being filed by OrbiMed Advisors LLC (“</w:t>
      </w:r>
      <w:r>
        <w:rPr>
          <w:rFonts w:ascii="Times New Roman;Times;Serif" w:hAnsi="Times New Roman;Times;Serif"/>
          <w:b w:val="false"/>
          <w:i w:val="false"/>
          <w:caps w:val="false"/>
          <w:smallCaps w:val="false"/>
          <w:sz w:val="20"/>
          <w:u w:val="single"/>
        </w:rPr>
        <w:t>OrbiMed Advisors</w:t>
      </w:r>
      <w:r>
        <w:rPr>
          <w:rFonts w:ascii="Times New Roman;Times;Serif" w:hAnsi="Times New Roman;Times;Serif"/>
          <w:b w:val="false"/>
          <w:i w:val="false"/>
          <w:caps w:val="false"/>
          <w:smallCaps w:val="false"/>
          <w:sz w:val="20"/>
        </w:rPr>
        <w:t>”), OrbiMed Capital GP VI LLC (“</w:t>
      </w:r>
      <w:r>
        <w:rPr>
          <w:rFonts w:ascii="Times New Roman;Times;Serif" w:hAnsi="Times New Roman;Times;Serif"/>
          <w:b w:val="false"/>
          <w:i w:val="false"/>
          <w:caps w:val="false"/>
          <w:smallCaps w:val="false"/>
          <w:sz w:val="20"/>
          <w:u w:val="single"/>
        </w:rPr>
        <w:t>GP VI</w:t>
      </w:r>
      <w:r>
        <w:rPr>
          <w:rFonts w:ascii="Times New Roman;Times;Serif" w:hAnsi="Times New Roman;Times;Serif"/>
          <w:b w:val="false"/>
          <w:i w:val="false"/>
          <w:caps w:val="false"/>
          <w:smallCaps w:val="false"/>
          <w:sz w:val="20"/>
        </w:rPr>
        <w:t>”), OrbiMed Capital GP VIII LLC (“</w:t>
      </w:r>
      <w:r>
        <w:rPr>
          <w:rFonts w:ascii="Times New Roman;Times;Serif" w:hAnsi="Times New Roman;Times;Serif"/>
          <w:b w:val="false"/>
          <w:i w:val="false"/>
          <w:caps w:val="false"/>
          <w:smallCaps w:val="false"/>
          <w:sz w:val="20"/>
          <w:u w:val="single"/>
        </w:rPr>
        <w:t>GP VIII</w:t>
      </w:r>
      <w:r>
        <w:rPr>
          <w:rFonts w:ascii="Times New Roman;Times;Serif" w:hAnsi="Times New Roman;Times;Serif"/>
          <w:b w:val="false"/>
          <w:i w:val="false"/>
          <w:caps w:val="false"/>
          <w:smallCaps w:val="false"/>
          <w:sz w:val="20"/>
        </w:rPr>
        <w:t>”), and OrbiMed Genesis GP LLC (“</w:t>
      </w:r>
      <w:r>
        <w:rPr>
          <w:rFonts w:ascii="Times New Roman;Times;Serif" w:hAnsi="Times New Roman;Times;Serif"/>
          <w:b w:val="false"/>
          <w:i w:val="false"/>
          <w:caps w:val="false"/>
          <w:smallCaps w:val="false"/>
          <w:sz w:val="20"/>
          <w:u w:val="single"/>
        </w:rPr>
        <w:t>OrbiMed Genesis</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Reporting Persons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 VIII, a limited liability company organized under the laws of Delaware, is the general partner of a limited partnership as more particularly described in Item 6 below. GP VIII has its principal offices at 601 Lexington Avenue, 54th Floor, New York, New York 10022.</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executive officers of OrbiMed Advisors, GP VI, GP VIII, and OrbiMed Genesis are set forth on Schedules I, II, III, and IV, respectively, attached hereto. Schedules I through IV set forth the following information with respect to each such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business address;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present principal occupation of employment and the name, principal business and address of any corporation or other organization in which such employment is conducted;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citizenship.</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 of Funds or Other Consideration</w:t>
      </w:r>
    </w:p>
    <w:p>
      <w:pPr>
        <w:pStyle w:val="TextBody"/>
        <w:shd w:fill="FFFFFF" w:val="clear"/>
        <w:bidi w:val="0"/>
        <w:ind w:left="0" w:right="0" w:firstLine="40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The following disclosure is based upon 22,171,161 Shares outstanding of the Issuer, as set forth in the Issuer’s Rule 424(b)(5) Prospectus, filed with the SEC on June 16, 2023.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OrbiMed Private Investments VI, LP (“</w:t>
      </w:r>
      <w:r>
        <w:rPr>
          <w:rFonts w:ascii="Times New Roman;Times;Serif" w:hAnsi="Times New Roman;Times;Serif"/>
          <w:b w:val="false"/>
          <w:i w:val="false"/>
          <w:caps w:val="false"/>
          <w:smallCaps w:val="false"/>
          <w:sz w:val="20"/>
          <w:u w:val="single"/>
        </w:rPr>
        <w:t>OPI VI</w:t>
      </w:r>
      <w:r>
        <w:rPr>
          <w:rFonts w:ascii="Times New Roman;Times;Serif" w:hAnsi="Times New Roman;Times;Serif"/>
          <w:b w:val="false"/>
          <w:i w:val="false"/>
          <w:caps w:val="false"/>
          <w:smallCaps w:val="false"/>
          <w:sz w:val="20"/>
        </w:rPr>
        <w:t>”), a limited partnership organized under the laws of Delaware, holds 773,607 Shares, constituting approximately 3.5%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W. Carter Neild, each of whom disclaims beneficial ownership of the Shares held by OPI VI.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OrbiMed Advisors and GP VI, pursuant to their authority under the limited partnership agreement of OPI VI, caused OPI VI to enter into the agreements referred to in Item 6 below.</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OrbiMed Private Investments VIII, LP (“</w:t>
      </w:r>
      <w:r>
        <w:rPr>
          <w:rFonts w:ascii="Times New Roman;Times;Serif" w:hAnsi="Times New Roman;Times;Serif"/>
          <w:b w:val="false"/>
          <w:i w:val="false"/>
          <w:caps w:val="false"/>
          <w:smallCaps w:val="false"/>
          <w:sz w:val="20"/>
          <w:u w:val="single"/>
        </w:rPr>
        <w:t>OPI VIII</w:t>
      </w:r>
      <w:r>
        <w:rPr>
          <w:rFonts w:ascii="Times New Roman;Times;Serif" w:hAnsi="Times New Roman;Times;Serif"/>
          <w:b w:val="false"/>
          <w:i w:val="false"/>
          <w:caps w:val="false"/>
          <w:smallCaps w:val="false"/>
          <w:sz w:val="20"/>
        </w:rPr>
        <w:t>”), a limited partnership organized under the laws of Delaware, holds 1,196,825 Shares, constituting approximately 5.4% of the issued and outstanding Shares. GP VIII is the general partner of OPI VIII, pursuant to the terms of the limited partnership agreement of OPI VIII, and OrbiMed Advisors is the managing member of GP VIII, pursuant to the terms of the limited liability company agreement of GP VIII. As a result, OrbiMed Advisors and GP VIII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Sven H. Borho, and W. Carter Neild, each of whom disclaims beneficial ownership of the Shares held by OPI VIII.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OrbiMed Advisors and GP VIII, pursuant to their authority under the limited partnership agreement of OPI VIII, caused OPI VIII to enter into the agreements referred to in Item 6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OrbiMed Genesis Master Fund, L.P. (“</w:t>
      </w:r>
      <w:r>
        <w:rPr>
          <w:rFonts w:ascii="Times New Roman;Times;Serif" w:hAnsi="Times New Roman;Times;Serif"/>
          <w:b w:val="false"/>
          <w:i w:val="false"/>
          <w:caps w:val="false"/>
          <w:smallCaps w:val="false"/>
          <w:sz w:val="20"/>
          <w:u w:val="single"/>
        </w:rPr>
        <w:t>Genesis</w:t>
      </w:r>
      <w:r>
        <w:rPr>
          <w:rFonts w:ascii="Times New Roman;Times;Serif" w:hAnsi="Times New Roman;Times;Serif"/>
          <w:b w:val="false"/>
          <w:i w:val="false"/>
          <w:caps w:val="false"/>
          <w:smallCaps w:val="false"/>
          <w:sz w:val="20"/>
        </w:rPr>
        <w:t>”), a limited partnership organized under the laws of the Cayman Islands, holds 299,205 Shares, constituting approximately 1.4%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OrbiMed Advisors and OrbiMed Genesis, pursuant to their authority under the limited partnership agreement of Genesis, caused Genesis to enter into the agreements referred to in Item 6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Shares of the Issuer attributable to OPI VI is 773,607 Shares. GP VI, pursuant to its authority under the limited partnership agreement of OPI VI, may be considered to hold indirectly 773,607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relationships between the Reporting Persons described in Items 2 and 5 above, GP VIII is the general partner of OPI VIII, pursuant to the terms of the limited partnership agreement of OPI VIII. Pursuant to this agreement and relationship, GP VIII has discretionary investment management authority with respect to the assets of OPI VIII. Such authority includes the power to vote and otherwise dispose of securities held by OPI VIII. The number of outstanding Shares of the Issuer attributable to OPI VIII is 1,196,825 Shares. GP VIII, pursuant to its authority under the limited partnership agreement of OPI VIII, may be considered to hold indirectly 1,196,825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299,205 Shares. OrbiMed Genesis, pursuant to its authority under the limited partnership agreement of Genesis, may be considered to hold indirectly 299,205 Shares.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is the managing member of GP VI, GP VIII, and OrbiMed Genesis, pursuant to the terms of the limited liability company agreements of GP VI, GP VIII, and OrbiMed Genesis. Pursuant to these agreements and relationships, OrbiMed Advisors and GP VI have discretionary investment management authority with respect to the assets of OPI VI, OrbiMed Advisors and GP VIII have discretionary investment management authority with respect to the assets of OPI VIII, and OrbiMed Advisors and OrbiMed Genesis have discretionary investment management authority with respect to the assets of Genesis. Such authority includes the power of GP VI to vote and otherwise dispose of securities held by OPI VI, GP VIII to vote and otherwise dispose of the securities held by OPI VIII, and OrbiMed Genesis to vote and otherwise dispose of the securities held by Genesis. The number of outstanding Shares attributable to OPI VI is 773,607 Shares, the number of outstanding Shares attributable to OPI VIII is 1,196,825 Shares, and the number of outstanding Shares attributable to Genesis is 299,205 Shares. OrbiMed Advisors, pursuant to its authority under the terms of the limited liability company agreements of GP VI, GP VIII, and OrbiMed Genesis may also be considered to hold indirectly 2,269,637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Mona Ashiya (“</w:t>
      </w:r>
      <w:r>
        <w:rPr>
          <w:rFonts w:ascii="Times New Roman;Times;Serif" w:hAnsi="Times New Roman;Times;Serif"/>
          <w:b w:val="false"/>
          <w:i w:val="false"/>
          <w:caps w:val="false"/>
          <w:smallCaps w:val="false"/>
          <w:sz w:val="20"/>
          <w:u w:val="single"/>
        </w:rPr>
        <w:t>Ashiya</w:t>
      </w:r>
      <w:r>
        <w:rPr>
          <w:rFonts w:ascii="Times New Roman;Times;Serif" w:hAnsi="Times New Roman;Times;Serif"/>
          <w:b w:val="false"/>
          <w:i w:val="false"/>
          <w:caps w:val="false"/>
          <w:smallCaps w:val="false"/>
          <w:sz w:val="20"/>
        </w:rPr>
        <w:t>”), an employee of OrbiMed Advisors, is a member of the Board of Directors of the Issuer and, accordingly, OrbiMed Advisors, GP VI, and GP VIII may have the ability to affect and influence control of the Issuer. From time to time, Ashiya may receive stock options or other awards of equity-based compensation pursuant to the Issuer’s compensation arrangements for non-employee directors. Pursuant to an agreement with OrbiMed Advisors, GP VI, and GP VIII, Ashiya is obligated to transfer any securities issued under any such stock options or other awards, or the economic benefit thereof, to OrbiMed Advisors, GP VI and GP VIII, which will in turn ensure that such securities or economic benefits are provided to OPI VI and OPI VIII.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w:t>
      </w:r>
    </w:p>
    <w:p>
      <w:pPr>
        <w:pStyle w:val="TextBody"/>
        <w:shd w:fill="FFFFFF" w:val="clear"/>
        <w:bidi w:val="0"/>
        <w:spacing w:before="120" w:after="120"/>
        <w:ind w:left="12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lock-up agreement entered into in connection with the Offering (the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OPI VI, OPI VIII, Genesis, and Ashiya each agreed that she or it will not, during the period commencing on June 12, 2023 and ending 90 days thereafter, (1) offer, pledge, sell, contract to sell, sell any option or contract to purchase, purchase any option or contract to sell, grant any option, right or warrant to purchase, lend, or otherwise transfer or dispose of 190,985 Shares in the case of OPI VI, 1,196,825 Shares in the case of OPI VIII, 299,205 Shares in the case of Genesis, or 1,687,015 Shares in the case of Ashiya, and any other securities convertible into or exercisable or exchangeable for Shares beneficially owned by OPI VI, OPI VIII, Genesis or Ashiya, as applicable, or (2) enter into any swap or other agreement that transfers, in whole or in part, the economic consequences of ownership of any such Shares.</w:t>
      </w:r>
    </w:p>
    <w:p>
      <w:pPr>
        <w:pStyle w:val="TextBody"/>
        <w:shd w:fill="FFFFFF" w:val="clear"/>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Lock-Up Agreement does not purport to be complete and is qualified in its entirety by reference to the full text of the Lock-Up Agreement, which is filed as Exhibit 2 and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p>
      <w:pPr>
        <w:pStyle w:val="TextBody"/>
        <w:bidi w:val="0"/>
        <w:jc w:val="left"/>
        <w:rPr>
          <w:caps w:val="false"/>
          <w:smallCaps w:val="false"/>
        </w:rPr>
      </w:pPr>
      <w:r>
        <w:rPr>
          <w:caps w:val="false"/>
          <w:smallCaps w:val="false"/>
        </w:rPr>
        <w:t> </w:t>
      </w:r>
    </w:p>
    <w:tbl>
      <w:tblPr>
        <w:tblW w:w="10205" w:type="dxa"/>
        <w:jc w:val="left"/>
        <w:tblInd w:w="-15" w:type="dxa"/>
        <w:tblLayout w:type="fixed"/>
        <w:tblCellMar>
          <w:top w:w="90" w:type="dxa"/>
          <w:left w:w="90" w:type="dxa"/>
          <w:bottom w:w="90" w:type="dxa"/>
          <w:right w:w="0" w:type="dxa"/>
        </w:tblCellMar>
      </w:tblPr>
      <w:tblGrid>
        <w:gridCol w:w="665"/>
        <w:gridCol w:w="9540"/>
      </w:tblGrid>
      <w:tr>
        <w:trPr/>
        <w:tc>
          <w:tcPr>
            <w:tcW w:w="66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9540" w:type="dxa"/>
            <w:tcBorders>
              <w:top w:val="single" w:sz="12" w:space="0" w:color="000000"/>
              <w:left w:val="single" w:sz="12" w:space="0" w:color="000000"/>
              <w:bottom w:val="single" w:sz="12" w:space="0" w:color="000000"/>
              <w:right w:val="single" w:sz="12" w:space="0" w:color="000000"/>
            </w:tcBorders>
            <w:tcMar>
              <w:right w:w="9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 among OrbiMed Advisors LLC, OrbiMed Capital GP VI LLC, OrbiMed Capital GP VIII LLC, and OrbiMed Genesis GP LLC.</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 (incorporated by reference to Exhibit A to the Underwriting Agreement, dated as of June 13, 2023, filed as Exhibit 1.1 to the Issuer’s Current Report on Form 8-K filed with the Securities and Exchange Commission on June 16, 2023).</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tbl>
      <w:tblPr>
        <w:tblW w:w="6254" w:type="dxa"/>
        <w:jc w:val="left"/>
        <w:tblInd w:w="0" w:type="dxa"/>
        <w:tblLayout w:type="fixed"/>
        <w:tblCellMar>
          <w:top w:w="0" w:type="dxa"/>
          <w:left w:w="0" w:type="dxa"/>
          <w:bottom w:w="0" w:type="dxa"/>
          <w:right w:w="0" w:type="dxa"/>
        </w:tblCellMar>
      </w:tblPr>
      <w:tblGrid>
        <w:gridCol w:w="1760"/>
        <w:gridCol w:w="320"/>
        <w:gridCol w:w="4083"/>
        <w:gridCol w:w="91"/>
      </w:tblGrid>
      <w:tr>
        <w:trPr/>
        <w:tc>
          <w:tcPr>
            <w:tcW w:w="1760" w:type="dxa"/>
            <w:tcBorders/>
            <w:vAlign w:val="center"/>
          </w:tcPr>
          <w:p>
            <w:pPr>
              <w:pStyle w:val="TableContents"/>
              <w:bidi w:val="0"/>
              <w:spacing w:before="0" w:after="283"/>
              <w:jc w:val="left"/>
              <w:rPr>
                <w:sz w:val="20"/>
              </w:rPr>
            </w:pPr>
            <w:r>
              <w:rPr>
                <w:sz w:val="20"/>
              </w:rPr>
              <w:t>Dated: June 21, 2023</w:t>
            </w:r>
          </w:p>
        </w:tc>
        <w:tc>
          <w:tcPr>
            <w:tcW w:w="4403" w:type="dxa"/>
            <w:gridSpan w:val="2"/>
            <w:tcBorders/>
            <w:vAlign w:val="center"/>
          </w:tcPr>
          <w:p>
            <w:pPr>
              <w:pStyle w:val="TableContents"/>
              <w:bidi w:val="0"/>
              <w:spacing w:before="0" w:after="283"/>
              <w:jc w:val="left"/>
              <w:rPr>
                <w:sz w:val="20"/>
              </w:rPr>
            </w:pPr>
            <w:r>
              <w:rPr>
                <w:sz w:val="20"/>
              </w:rPr>
              <w:t>ORBIMED ADVISORS LLC</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 xml:space="preserve">Title: Member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CAPITAL GP VI LLC</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CAPITAL GP VIII LLC</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GENESIS GP LLC</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Times;Serif" w:hAnsi="Times New Roman;Times;Serif"/>
          <w:b w:val="false"/>
          <w:i w:val="false"/>
          <w:caps w:val="false"/>
          <w:smallCaps w:val="false"/>
          <w:sz w:val="16"/>
        </w:rPr>
        <w:t>th</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Floor, New York, NY 10022.</w:t>
      </w:r>
    </w:p>
    <w:p>
      <w:pPr>
        <w:pStyle w:val="TextBody"/>
        <w:bidi w:val="0"/>
        <w:ind w:left="72" w:right="360" w:firstLine="648"/>
        <w:jc w:val="both"/>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2735"/>
        <w:gridCol w:w="2555"/>
        <w:gridCol w:w="2315"/>
      </w:tblGrid>
      <w:tr>
        <w:trPr/>
        <w:tc>
          <w:tcPr>
            <w:tcW w:w="2735" w:type="dxa"/>
            <w:tcBorders/>
            <w:vAlign w:val="center"/>
          </w:tcPr>
          <w:p>
            <w:pPr>
              <w:pStyle w:val="TableContents"/>
              <w:bidi w:val="0"/>
              <w:spacing w:before="0" w:after="283"/>
              <w:jc w:val="left"/>
              <w:rPr>
                <w:sz w:val="20"/>
                <w:u w:val="single"/>
              </w:rPr>
            </w:pPr>
            <w:r>
              <w:rPr>
                <w:sz w:val="20"/>
                <w:u w:val="single"/>
              </w:rPr>
              <w:t>Name</w:t>
            </w:r>
          </w:p>
        </w:tc>
        <w:tc>
          <w:tcPr>
            <w:tcW w:w="2555" w:type="dxa"/>
            <w:tcBorders/>
            <w:vAlign w:val="center"/>
          </w:tcPr>
          <w:p>
            <w:pPr>
              <w:pStyle w:val="TableContents"/>
              <w:bidi w:val="0"/>
              <w:spacing w:before="0" w:after="283"/>
              <w:jc w:val="left"/>
              <w:rPr>
                <w:sz w:val="20"/>
                <w:u w:val="single"/>
              </w:rPr>
            </w:pPr>
            <w:r>
              <w:rPr>
                <w:sz w:val="20"/>
                <w:u w:val="single"/>
              </w:rPr>
              <w:t>Position with Reporting Person</w:t>
            </w:r>
          </w:p>
        </w:tc>
        <w:tc>
          <w:tcPr>
            <w:tcW w:w="2315" w:type="dxa"/>
            <w:tcBorders/>
            <w:vAlign w:val="center"/>
          </w:tcPr>
          <w:p>
            <w:pPr>
              <w:pStyle w:val="TableContents"/>
              <w:bidi w:val="0"/>
              <w:spacing w:before="0" w:after="283"/>
              <w:jc w:val="left"/>
              <w:rPr>
                <w:sz w:val="20"/>
                <w:u w:val="single"/>
              </w:rPr>
            </w:pPr>
            <w:r>
              <w:rPr>
                <w:sz w:val="20"/>
                <w:u w:val="single"/>
              </w:rPr>
              <w:t>Principal Occupation</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Carl L. Gordon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Sven H. Borho</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 and Swedish Citizen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W. Carter Neild</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Geoffrey C. Hsu</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C. Scotland Stevens</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David P. Bonita</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Peter A. Thompson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Matthew S. Rizzo</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Trey Block</w:t>
            </w:r>
          </w:p>
        </w:tc>
        <w:tc>
          <w:tcPr>
            <w:tcW w:w="255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caps w:val="false"/>
                <w:smallCaps w:val="false"/>
              </w:rPr>
            </w:pPr>
            <w:r>
              <w:rPr>
                <w:caps w:val="false"/>
                <w:smallCaps w:val="false"/>
              </w:rPr>
              <w:t> </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operations of OrbiMed Capital GP VI LLC are managed by the executive officers and directors of its managing member, OrbiMed Advisors LLC, set forth in Schedule I attached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SCHEDULE III</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operations of OrbiMed Capital GP VIII LLC are managed by the executive officers and directors of its managing member, OrbiMed Advisors LLC, set forth in Schedule I attached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operations of OrbiMed Genesis GP LLC are managed by the executive officers and directors of its managing member, OrbiMed Advisors LLC, set forth in Schedule I attached hereto.</w:t>
      </w:r>
    </w:p>
    <w:p>
      <w:pPr>
        <w:pStyle w:val="TextBody"/>
        <w:bidi w:val="0"/>
        <w:spacing w:before="200" w:after="200"/>
        <w:ind w:left="200" w:right="200" w:hanging="0"/>
        <w:jc w:val="left"/>
        <w:rPr>
          <w:caps w:val="false"/>
          <w:smallCaps w:val="false"/>
        </w:rPr>
      </w:pPr>
      <w:r>
        <w:rPr>
          <w:caps w:val="false"/>
          <w:smallCaps w:val="false"/>
        </w:rPr>
        <w:t> </w:t>
      </w:r>
    </w:p>
    <w:p>
      <w:pPr>
        <w:pStyle w:val="TextBody"/>
        <w:bidi w:val="0"/>
        <w:spacing w:before="200" w:after="200"/>
        <w:ind w:left="200" w:right="200" w:hanging="0"/>
        <w:jc w:val="left"/>
        <w:rPr>
          <w:caps w:val="false"/>
          <w:smallCaps w:val="false"/>
        </w:rPr>
      </w:pPr>
      <w:r>
        <w:rPr>
          <w:caps w:val="false"/>
          <w:smallCaps w:val="false"/>
        </w:rPr>
        <w:t> </w:t>
      </w:r>
    </w:p>
    <w:p>
      <w:pPr>
        <w:pStyle w:val="TextBody"/>
        <w:bidi w:val="0"/>
        <w:spacing w:before="200" w:after="200"/>
        <w:ind w:left="200" w:right="200" w:hanging="0"/>
        <w:jc w:val="left"/>
        <w:rPr>
          <w:caps w:val="false"/>
          <w:smallCaps w:val="false"/>
        </w:rPr>
      </w:pPr>
      <w:r>
        <w:rPr>
          <w:caps w:val="false"/>
          <w:smallCaps w:val="false"/>
        </w:rPr>
        <w:t> </w:t>
      </w:r>
    </w:p>
    <w:p>
      <w:pPr>
        <w:pStyle w:val="TextBody"/>
        <w:bidi w:val="0"/>
        <w:spacing w:before="200" w:after="200"/>
        <w:ind w:left="200" w:right="200" w:hanging="0"/>
        <w:jc w:val="left"/>
        <w:rPr>
          <w:caps w:val="false"/>
          <w:smallCaps w:val="false"/>
        </w:rPr>
      </w:pPr>
      <w:r>
        <w:rPr>
          <w:caps w:val="false"/>
          <w:smallCaps w:val="false"/>
        </w:rPr>
        <w:t> </w:t>
      </w:r>
    </w:p>
    <w:p>
      <w:pPr>
        <w:pStyle w:val="TextBody"/>
        <w:bidi w:val="0"/>
        <w:spacing w:before="200" w:after="200"/>
        <w:ind w:left="200" w:right="20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10205" w:type="dxa"/>
        <w:jc w:val="left"/>
        <w:tblInd w:w="-15" w:type="dxa"/>
        <w:tblLayout w:type="fixed"/>
        <w:tblCellMar>
          <w:top w:w="90" w:type="dxa"/>
          <w:left w:w="90" w:type="dxa"/>
          <w:bottom w:w="90" w:type="dxa"/>
          <w:right w:w="0" w:type="dxa"/>
        </w:tblCellMar>
      </w:tblPr>
      <w:tblGrid>
        <w:gridCol w:w="665"/>
        <w:gridCol w:w="9540"/>
      </w:tblGrid>
      <w:tr>
        <w:trPr/>
        <w:tc>
          <w:tcPr>
            <w:tcW w:w="66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b/>
                <w:sz w:val="20"/>
              </w:rPr>
            </w:pPr>
            <w:r>
              <w:rPr>
                <w:b/>
                <w:sz w:val="20"/>
              </w:rPr>
              <w:t>Exhibit</w:t>
            </w:r>
          </w:p>
        </w:tc>
        <w:tc>
          <w:tcPr>
            <w:tcW w:w="9540" w:type="dxa"/>
            <w:tcBorders>
              <w:top w:val="single" w:sz="12" w:space="0" w:color="000000"/>
              <w:left w:val="single" w:sz="12" w:space="0" w:color="000000"/>
              <w:bottom w:val="single" w:sz="12" w:space="0" w:color="000000"/>
              <w:right w:val="single" w:sz="12" w:space="0" w:color="000000"/>
            </w:tcBorders>
            <w:tcMar>
              <w:right w:w="90" w:type="dxa"/>
            </w:tcMar>
            <w:vAlign w:val="center"/>
          </w:tcPr>
          <w:p>
            <w:pPr>
              <w:pStyle w:val="TableContents"/>
              <w:bidi w:val="0"/>
              <w:spacing w:before="0" w:after="283"/>
              <w:jc w:val="left"/>
              <w:rPr>
                <w:b/>
                <w:sz w:val="20"/>
              </w:rPr>
            </w:pPr>
            <w:r>
              <w:rPr>
                <w:b/>
                <w:sz w:val="20"/>
              </w:rPr>
              <w:t>Description</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sz w:val="20"/>
              </w:rPr>
            </w:pPr>
            <w:r>
              <w:rPr>
                <w:sz w:val="20"/>
              </w:rPr>
              <w:t>1.</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both"/>
              <w:rPr>
                <w:sz w:val="20"/>
              </w:rPr>
            </w:pPr>
            <w:r>
              <w:rPr>
                <w:sz w:val="20"/>
              </w:rPr>
              <w:t>Joint Filing Agreement among OrbiMed Advisors LLC, OrbiMed Capital GP VI LLC, OrbiMed Capital GP VIII LLC, and OrbiMed Genesis GP LLC.</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sz w:val="20"/>
              </w:rPr>
            </w:pPr>
            <w:r>
              <w:rPr>
                <w:sz w:val="20"/>
              </w:rPr>
              <w:t>2.</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both"/>
              <w:rPr>
                <w:sz w:val="20"/>
              </w:rPr>
            </w:pPr>
            <w:r>
              <w:rPr>
                <w:sz w:val="20"/>
              </w:rPr>
              <w:t>Form of Lock-Up Agreement (incorporated by reference to Exhibit A to the Underwriting Agreement, dated as of June 13, 2023, filed as Exhibit 1.1 to the Issuer’s Current Report on Form 8-K filed with the Securities and Exchange Commission on June 16, 2023).</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bookmarkStart w:id="2" w:name="ss2206475_ex9901.htm"/>
      <w:bookmarkStart w:id="3" w:name="ksss2206475_ex990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that the Statement on Schedule 13D, dated June 16, 2023, with respect to the common stock of Disc Medicine,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June 2023.</w:t>
      </w:r>
    </w:p>
    <w:p>
      <w:pPr>
        <w:pStyle w:val="TextBody"/>
        <w:bidi w:val="0"/>
        <w:jc w:val="left"/>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75"/>
        <w:gridCol w:w="320"/>
        <w:gridCol w:w="4083"/>
        <w:gridCol w:w="91"/>
      </w:tblGrid>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 xml:space="preserve">Title: Member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CAPITAL GP VI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CAPITAL GP VIII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GENESIS GP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4310</Words>
  <Characters>22057</Characters>
  <CharactersWithSpaces>27428</CharactersWithSpaces>
  <Paragraphs>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