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Disc Medicine,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254604101</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254604101</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BioCapital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1,210,971.00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1,210,971.00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1,210,971.00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254604101</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BioCapital Advisors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1,210,971.00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1,210,971.00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1,210,971.00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254604101</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Senai Asefaw, M.D.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1,210,971.00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1,210,971.00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1,210,971.00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254604101</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BioCapital International Fund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1,069,143.00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1,069,143.00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1,069,143.00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Disc Medicine, Inc.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321 Arsenal Street Suite 101 Watertown, MA, 02472</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filed by the following (the "Reporting Persons"): (1) Paradigm BioCapital Advisors LP (the "Adviser"); (2) Paradigm BioCapital Advisors GP LLC (the "Adviser GP"); (3) Senai Asefaw, M.D. ("Senai Asefaw"); and (4) Paradigm BioCapital International Fund Ltd. (the "Fund"). The Fund is a private investment vehicle. The Fund and one or more separately managed accounts managed by the Adviser (the "Account") directly beneficially own the Common Stock reported in this statement. The Adviser is the investment manager of the Fund and the Account. The Adviser GP is the general partner of the Adviser. Senai Asefaw is the managing member of the Adviser GP. The Adviser, the Adviser GP and Senai Asefaw may be deemed to beneficially own the Common Stock directly beneficially owned by the Fund and the Account. Each Reporting Person disclaims beneficial ownership with respect to any Common Stock other than the Common Stock directly beneficially owned by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of the Fund is c/o Walkers, 190 Elgin Avenue, George Town, Grand Cayman KY1-9001, Cayman Islands. The principal business office of the Adviser, the Adviser GP and Senai Asefaw is 767 Third Avenue, 17th Floor,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For citizenship or place of organization see Item 4 of the cover page of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jc w:val="left"/>
              <w:rPr/>
            </w:pPr>
            <w:r>
              <w:rPr/>
              <w:t xml:space="preserve">CUSIP No.: </w:t>
            </w:r>
          </w:p>
          <w:p>
            <w:pPr>
              <w:pStyle w:val="TableContents"/>
              <w:bidi w:val="0"/>
              <w:spacing w:before="0" w:after="0"/>
              <w:jc w:val="left"/>
              <w:rPr/>
            </w:pPr>
            <w:r>
              <w:rPr/>
              <w:t>254604101</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on the cover page for each Reporting Person, and Item 2, which information is given as of the close of business on March 31, 2025, the Date of Event which requires the filing of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on the cover page for each Reporting Person. The percentages of beneficial ownership contained herein are based on 34,569,042 shares of Common Stock outstanding as of February 21, 2025 as reported by the Issuer in its Form 10-K filed with the SEC on February 27, 2025.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Paradigm BioCapital Advisors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K. Kim</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K. Kim /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242" w:type="dxa"/>
            <w:tcBorders/>
            <w:vAlign w:val="center"/>
          </w:tcPr>
          <w:p>
            <w:pPr>
              <w:pStyle w:val="TableContents"/>
              <w:bidi w:val="0"/>
              <w:spacing w:before="0" w:after="283"/>
              <w:jc w:val="left"/>
              <w:rPr>
                <w:sz w:val="4"/>
                <w:szCs w:val="4"/>
              </w:rPr>
            </w:pPr>
            <w:r>
              <w:rPr>
                <w:sz w:val="4"/>
                <w:szCs w:val="4"/>
              </w:rPr>
            </w:r>
          </w:p>
        </w:tc>
      </w:tr>
    </w:tbl>
    <w:tbl>
      <w:tblPr>
        <w:tblW w:w="8266" w:type="dxa"/>
        <w:jc w:val="left"/>
        <w:tblInd w:w="0" w:type="dxa"/>
        <w:tblLayout w:type="fixed"/>
        <w:tblCellMar>
          <w:top w:w="28" w:type="dxa"/>
          <w:left w:w="28" w:type="dxa"/>
          <w:bottom w:w="28" w:type="dxa"/>
          <w:right w:w="28" w:type="dxa"/>
        </w:tblCellMar>
      </w:tblPr>
      <w:tblGrid>
        <w:gridCol w:w="4133"/>
        <w:gridCol w:w="4133"/>
      </w:tblGrid>
      <w:tr>
        <w:trPr/>
        <w:tc>
          <w:tcPr>
            <w:tcW w:w="4133" w:type="dxa"/>
            <w:tcBorders/>
            <w:vAlign w:val="center"/>
          </w:tcPr>
          <w:p>
            <w:pPr>
              <w:pStyle w:val="TableContents"/>
              <w:bidi w:val="0"/>
              <w:spacing w:before="0" w:after="0"/>
              <w:jc w:val="left"/>
              <w:rPr/>
            </w:pPr>
            <w:r>
              <w:rPr/>
              <w:t> </w:t>
            </w:r>
          </w:p>
          <w:tbl>
            <w:tblPr>
              <w:tblW w:w="3961" w:type="dxa"/>
              <w:jc w:val="left"/>
              <w:tblInd w:w="0" w:type="dxa"/>
              <w:tblLayout w:type="fixed"/>
              <w:tblCellMar>
                <w:top w:w="28" w:type="dxa"/>
                <w:left w:w="28" w:type="dxa"/>
                <w:bottom w:w="28" w:type="dxa"/>
                <w:right w:w="28" w:type="dxa"/>
              </w:tblCellMar>
            </w:tblPr>
            <w:tblGrid>
              <w:gridCol w:w="3961"/>
            </w:tblGrid>
            <w:tr>
              <w:trPr/>
              <w:tc>
                <w:tcPr>
                  <w:tcW w:w="3961" w:type="dxa"/>
                  <w:tcBorders/>
                  <w:vAlign w:val="center"/>
                </w:tcPr>
                <w:p>
                  <w:pPr>
                    <w:pStyle w:val="TableContents"/>
                    <w:bidi w:val="0"/>
                    <w:spacing w:before="0" w:after="0"/>
                    <w:jc w:val="left"/>
                    <w:rPr/>
                  </w:pPr>
                  <w:r>
                    <w:rPr/>
                    <w:t>Paradigm BioCapital Advisors GP LLC</w:t>
                  </w:r>
                </w:p>
              </w:tc>
            </w:tr>
          </w:tbl>
          <w:p>
            <w:pPr>
              <w:pStyle w:val="TableContents"/>
              <w:bidi w:val="0"/>
              <w:spacing w:before="0" w:after="283"/>
              <w:jc w:val="left"/>
              <w:rPr/>
            </w:pPr>
            <w:r>
              <w:rPr/>
            </w:r>
          </w:p>
        </w:tc>
        <w:tc>
          <w:tcPr>
            <w:tcW w:w="4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K. Kim</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K. Kim /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242"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Senai Asefaw, M.D.</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Senai Asefaw, M.D.</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N/A</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9118" w:type="dxa"/>
        <w:jc w:val="left"/>
        <w:tblInd w:w="0" w:type="dxa"/>
        <w:tblLayout w:type="fixed"/>
        <w:tblCellMar>
          <w:top w:w="28" w:type="dxa"/>
          <w:left w:w="28" w:type="dxa"/>
          <w:bottom w:w="28" w:type="dxa"/>
          <w:right w:w="28" w:type="dxa"/>
        </w:tblCellMar>
      </w:tblPr>
      <w:tblGrid>
        <w:gridCol w:w="4559"/>
        <w:gridCol w:w="4559"/>
      </w:tblGrid>
      <w:tr>
        <w:trPr/>
        <w:tc>
          <w:tcPr>
            <w:tcW w:w="4559" w:type="dxa"/>
            <w:tcBorders/>
            <w:vAlign w:val="center"/>
          </w:tcPr>
          <w:p>
            <w:pPr>
              <w:pStyle w:val="TableContents"/>
              <w:bidi w:val="0"/>
              <w:spacing w:before="0" w:after="0"/>
              <w:jc w:val="left"/>
              <w:rPr/>
            </w:pPr>
            <w:r>
              <w:rPr/>
              <w:t> </w:t>
            </w:r>
          </w:p>
          <w:tbl>
            <w:tblPr>
              <w:tblW w:w="4396" w:type="dxa"/>
              <w:jc w:val="left"/>
              <w:tblInd w:w="0" w:type="dxa"/>
              <w:tblLayout w:type="fixed"/>
              <w:tblCellMar>
                <w:top w:w="28" w:type="dxa"/>
                <w:left w:w="28" w:type="dxa"/>
                <w:bottom w:w="28" w:type="dxa"/>
                <w:right w:w="28" w:type="dxa"/>
              </w:tblCellMar>
            </w:tblPr>
            <w:tblGrid>
              <w:gridCol w:w="4396"/>
            </w:tblGrid>
            <w:tr>
              <w:trPr/>
              <w:tc>
                <w:tcPr>
                  <w:tcW w:w="4396" w:type="dxa"/>
                  <w:tcBorders/>
                  <w:vAlign w:val="center"/>
                </w:tcPr>
                <w:p>
                  <w:pPr>
                    <w:pStyle w:val="TableContents"/>
                    <w:bidi w:val="0"/>
                    <w:spacing w:before="0" w:after="0"/>
                    <w:jc w:val="left"/>
                    <w:rPr/>
                  </w:pPr>
                  <w:r>
                    <w:rPr/>
                    <w:t>Paradigm BioCapital International Fund Ltd.</w:t>
                  </w:r>
                </w:p>
              </w:tc>
            </w:tr>
          </w:tbl>
          <w:p>
            <w:pPr>
              <w:pStyle w:val="TableContents"/>
              <w:bidi w:val="0"/>
              <w:spacing w:before="0" w:after="283"/>
              <w:jc w:val="left"/>
              <w:rPr/>
            </w:pPr>
            <w:r>
              <w:rPr/>
            </w:r>
          </w:p>
        </w:tc>
        <w:tc>
          <w:tcPr>
            <w:tcW w:w="45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K. Kim</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K. Kim /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24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1472</Words>
  <Characters>7536</Characters>
  <CharactersWithSpaces>8937</CharactersWithSpaces>
  <Paragraphs>306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