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GEMINI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31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380" w:type="dxa"/>
            <w:vAlign w:val="bottom"/>
            <w:gridSpan w:val="3"/>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001-39438</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85-1612845</w:t>
            </w:r>
          </w:p>
        </w:tc>
      </w:tr>
      <w:tr>
        <w:trPr>
          <w:trHeight w:val="194"/>
        </w:trPr>
        <w:tc>
          <w:tcPr>
            <w:tcW w:w="3160" w:type="dxa"/>
            <w:vAlign w:val="bottom"/>
            <w:tcBorders>
              <w:top w:val="single" w:sz="8" w:color="auto"/>
            </w:tcBorders>
          </w:tcPr>
          <w:p>
            <w:pPr>
              <w:jc w:val="center"/>
              <w:ind w:left="57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6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(Commission File Number)</w:t>
            </w:r>
          </w:p>
        </w:tc>
        <w:tc>
          <w:tcPr>
            <w:tcW w:w="1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940" w:type="dxa"/>
            <w:vAlign w:val="bottom"/>
            <w:tcBorders>
              <w:top w:val="single" w:sz="8" w:color="auto"/>
            </w:tcBorders>
          </w:tcPr>
          <w:p>
            <w:pPr>
              <w:jc w:val="center"/>
              <w:ind w:right="5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50"/>
        </w:trPr>
        <w:tc>
          <w:tcPr>
            <w:tcW w:w="3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7"/>
              </w:rPr>
              <w:t>300 One Kendall Square, 3</w:t>
            </w:r>
            <w:r>
              <w:rPr>
                <w:rFonts w:ascii="Times New Roman" w:cs="Times New Roman" w:eastAsia="Times New Roman" w:hAnsi="Times New Roman"/>
                <w:sz w:val="29"/>
                <w:szCs w:val="29"/>
                <w:b w:val="1"/>
                <w:bCs w:val="1"/>
                <w:color w:val="auto"/>
                <w:w w:val="97"/>
                <w:vertAlign w:val="superscript"/>
              </w:rPr>
              <w:t>rd</w:t>
            </w:r>
            <w:r>
              <w:rPr>
                <w:rFonts w:ascii="Times New Roman" w:cs="Times New Roman" w:eastAsia="Times New Roman" w:hAnsi="Times New Roman"/>
                <w:sz w:val="18"/>
                <w:szCs w:val="18"/>
                <w:b w:val="1"/>
                <w:bCs w:val="1"/>
                <w:color w:val="auto"/>
                <w:w w:val="97"/>
              </w:rPr>
              <w:t xml:space="preserve"> floor</w:t>
            </w:r>
          </w:p>
        </w:tc>
        <w:tc>
          <w:tcPr>
            <w:tcW w:w="2940" w:type="dxa"/>
            <w:vAlign w:val="bottom"/>
          </w:tcPr>
          <w:p>
            <w:pPr>
              <w:spacing w:after="0"/>
              <w:rPr>
                <w:sz w:val="24"/>
                <w:szCs w:val="24"/>
                <w:color w:val="auto"/>
              </w:rPr>
            </w:pPr>
          </w:p>
        </w:tc>
      </w:tr>
      <w:tr>
        <w:trPr>
          <w:trHeight w:val="216"/>
        </w:trPr>
        <w:tc>
          <w:tcPr>
            <w:tcW w:w="3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Cambridge, MA 02139</w:t>
            </w:r>
          </w:p>
        </w:tc>
        <w:tc>
          <w:tcPr>
            <w:tcW w:w="2940" w:type="dxa"/>
            <w:vAlign w:val="bottom"/>
          </w:tcPr>
          <w:p>
            <w:pPr>
              <w:spacing w:after="0"/>
              <w:rPr>
                <w:sz w:val="18"/>
                <w:szCs w:val="18"/>
                <w:color w:val="auto"/>
              </w:rPr>
            </w:pPr>
          </w:p>
        </w:tc>
      </w:tr>
      <w:tr>
        <w:trPr>
          <w:trHeight w:val="238"/>
        </w:trPr>
        <w:tc>
          <w:tcPr>
            <w:tcW w:w="3160" w:type="dxa"/>
            <w:vAlign w:val="bottom"/>
          </w:tcPr>
          <w:p>
            <w:pPr>
              <w:spacing w:after="0"/>
              <w:rPr>
                <w:sz w:val="20"/>
                <w:szCs w:val="20"/>
                <w:color w:val="auto"/>
              </w:rPr>
            </w:pPr>
          </w:p>
        </w:tc>
        <w:tc>
          <w:tcPr>
            <w:tcW w:w="51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29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401-4400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Foresite Capital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600 Montgomery Street, Suite 4500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 94111</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506"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GMTX</w:t>
            </w:r>
          </w:p>
        </w:tc>
        <w:tc>
          <w:tcPr>
            <w:tcW w:w="10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5, 2021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FS Development Corporation, a Delaware corporation (“</w:t>
      </w:r>
      <w:r>
        <w:rPr>
          <w:rFonts w:ascii="Times New Roman" w:cs="Times New Roman" w:eastAsia="Times New Roman" w:hAnsi="Times New Roman"/>
          <w:sz w:val="18"/>
          <w:szCs w:val="18"/>
          <w:u w:val="single" w:color="auto"/>
          <w:color w:val="auto"/>
        </w:rPr>
        <w:t>FSDC</w:t>
      </w:r>
      <w:r>
        <w:rPr>
          <w:rFonts w:ascii="Times New Roman" w:cs="Times New Roman" w:eastAsia="Times New Roman" w:hAnsi="Times New Roman"/>
          <w:sz w:val="18"/>
          <w:szCs w:val="18"/>
          <w:color w:val="auto"/>
        </w:rPr>
        <w:t>”), consummated the previously announced business combination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pursuant to the terms of the Agreement and Plan of Merger, dated as of October 15, 2020 (as may be further amended, supplemented or otherwise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Gemini Therapeutics, Inc., a Delaware corporation (“</w:t>
      </w:r>
      <w:r>
        <w:rPr>
          <w:rFonts w:ascii="Times New Roman" w:cs="Times New Roman" w:eastAsia="Times New Roman" w:hAnsi="Times New Roman"/>
          <w:sz w:val="18"/>
          <w:szCs w:val="18"/>
          <w:u w:val="single" w:color="auto"/>
          <w:color w:val="auto"/>
        </w:rPr>
        <w:t>Old Gemini</w:t>
      </w:r>
      <w:r>
        <w:rPr>
          <w:rFonts w:ascii="Times New Roman" w:cs="Times New Roman" w:eastAsia="Times New Roman" w:hAnsi="Times New Roman"/>
          <w:sz w:val="18"/>
          <w:szCs w:val="18"/>
          <w:color w:val="auto"/>
        </w:rPr>
        <w:t>”), Shareholder Representative Services LLC, a Colorado limited liability company solely in its capacity as the representative, agent and attorney-in-fact of the Company Securityholders (the “</w:t>
      </w:r>
      <w:r>
        <w:rPr>
          <w:rFonts w:ascii="Times New Roman" w:cs="Times New Roman" w:eastAsia="Times New Roman" w:hAnsi="Times New Roman"/>
          <w:sz w:val="18"/>
          <w:szCs w:val="18"/>
          <w:u w:val="single" w:color="auto"/>
          <w:color w:val="auto"/>
        </w:rPr>
        <w:t>Stockholders’ Representative</w:t>
      </w:r>
      <w:r>
        <w:rPr>
          <w:rFonts w:ascii="Times New Roman" w:cs="Times New Roman" w:eastAsia="Times New Roman" w:hAnsi="Times New Roman"/>
          <w:sz w:val="18"/>
          <w:szCs w:val="18"/>
          <w:color w:val="auto"/>
        </w:rPr>
        <w:t>”), FSDC, a Delaware corporation and FSG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day prior to the Closing Date, Old Gemini changed its name to “Gemini Therapeutics Sub, Inc.” Pursuant to the Merger Agreement, on the Closing Date, (i) FSDC changed its name to “Gemini Therapeutics, Inc.” (together with its consolidated subsidiaries, “</w:t>
      </w:r>
      <w:r>
        <w:rPr>
          <w:rFonts w:ascii="Times New Roman" w:cs="Times New Roman" w:eastAsia="Times New Roman" w:hAnsi="Times New Roman"/>
          <w:sz w:val="18"/>
          <w:szCs w:val="18"/>
          <w:u w:val="single" w:color="auto"/>
          <w:color w:val="auto"/>
        </w:rPr>
        <w:t>New Gemini</w:t>
      </w:r>
      <w:r>
        <w:rPr>
          <w:rFonts w:ascii="Times New Roman" w:cs="Times New Roman" w:eastAsia="Times New Roman" w:hAnsi="Times New Roman"/>
          <w:sz w:val="18"/>
          <w:szCs w:val="18"/>
          <w:color w:val="auto"/>
        </w:rPr>
        <w:t>”), and (ii) Old Gemini merged with and into Merger Sub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Old Gemini as the surviving company in the Merger and, after giving effect to such Merger, Old Gemini becoming a wholly-owned subsidiary of New Gemini.</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the terms and subject to the conditions of the Merger Agreement, at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(i) all shares of Old Gemini’s Series B Preferred Stock (including shares of Series B Preferred Stock issued upon conversion of outstanding convertible promissory notes), Series A Preferred Stock and Common Stock (collectively, “</w:t>
      </w:r>
      <w:r>
        <w:rPr>
          <w:rFonts w:ascii="Times New Roman" w:cs="Times New Roman" w:eastAsia="Times New Roman" w:hAnsi="Times New Roman"/>
          <w:sz w:val="18"/>
          <w:szCs w:val="18"/>
          <w:u w:val="single" w:color="auto"/>
          <w:color w:val="auto"/>
        </w:rPr>
        <w:t>Old Gemini Stock</w:t>
      </w:r>
      <w:r>
        <w:rPr>
          <w:rFonts w:ascii="Times New Roman" w:cs="Times New Roman" w:eastAsia="Times New Roman" w:hAnsi="Times New Roman"/>
          <w:sz w:val="18"/>
          <w:szCs w:val="18"/>
          <w:color w:val="auto"/>
        </w:rPr>
        <w:t>”) issued and outstanding immediately prior to the Effective Time, whether vested or unvested, was converted into the right to receive their pro rata portion of the 17,942,274 shares of FSDC Class A Common Stock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issued as Merger consideration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provided that 2,150,000 shares of Common Stock are being held in escrow for a period of 12 months to satisfy any indemnification obligations of Old Gemini under the Merger Agreement; (ii) each option exercisable for Old Gemini Stock that was outstanding immediately prior to the Effective Time was assumed and continues in full force and effect on the same terms and conditions as were previously applicable to such options, subject to adjustments to exercise price and number of shares Common Stock issuable upon exercise based on the final conversion ratio calculated in accordance with the Merger Agreement, and (iii) 4,264,341 shares of Common Stock were reserved for issuance under the newly adopted 2021 Stock Option and Incentive Plan (the “</w:t>
      </w:r>
      <w:r>
        <w:rPr>
          <w:rFonts w:ascii="Times New Roman" w:cs="Times New Roman" w:eastAsia="Times New Roman" w:hAnsi="Times New Roman"/>
          <w:sz w:val="18"/>
          <w:szCs w:val="18"/>
          <w:u w:val="single" w:color="auto"/>
          <w:color w:val="auto"/>
        </w:rPr>
        <w:t>2021 Plan</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the context otherwise requires, “we,” “us,” “our,” and the “Company” refer to New Gemini and its consolidated subsidiaries. All references herein to the “Board” refer to the board of directors of New Gemini. All references herein to the “Closing” refer to the closing of the transactions contemplated by the Merger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including the Merger and the transactions contemplated by the subscription agreements entered into by FSDC and certain investors (the “</w:t>
      </w:r>
      <w:r>
        <w:rPr>
          <w:rFonts w:ascii="Times New Roman" w:cs="Times New Roman" w:eastAsia="Times New Roman" w:hAnsi="Times New Roman"/>
          <w:sz w:val="18"/>
          <w:szCs w:val="18"/>
          <w:u w:val="single" w:color="auto"/>
          <w:color w:val="auto"/>
        </w:rPr>
        <w:t>PIPE Investors</w:t>
      </w:r>
      <w:r>
        <w:rPr>
          <w:rFonts w:ascii="Times New Roman" w:cs="Times New Roman" w:eastAsia="Times New Roman" w:hAnsi="Times New Roman"/>
          <w:sz w:val="18"/>
          <w:szCs w:val="18"/>
          <w:color w:val="auto"/>
        </w:rPr>
        <w:t>”) pursuant to which the PIPE Investors collectively committed to subscribe for, and did subscribe for, an aggregate of 9,506,000 shares of Common Stock for an aggregate purchase price of $95,060,000 (the “</w:t>
      </w:r>
      <w:r>
        <w:rPr>
          <w:rFonts w:ascii="Times New Roman" w:cs="Times New Roman" w:eastAsia="Times New Roman" w:hAnsi="Times New Roman"/>
          <w:sz w:val="18"/>
          <w:szCs w:val="18"/>
          <w:u w:val="single" w:color="auto"/>
          <w:color w:val="auto"/>
        </w:rPr>
        <w:t>PIPE Investment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the Closing Date, New Gemini, Old Gemini, the FSDC Investors (as defined below) and the Major Gemini Investors (as defined below) entered into a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pursuant to which, among other things, the FSDC Investors and the Major Gemini Investors (collectively,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are granted certain registration rights with respect to registrable securities (as defined in the Registration Rights Agreement) held by them. The FSDC Investors include FS Development Holdings, LLC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Robert Carey, Daniel Dubin and Deepka Pakianathan. The Major Gemini Investors include Atlas Venture Fund X, L.P., Atlas Venture Opportunity Fund I, L.P., Lightstone Singapore L.P., Lightstone Ventures (A), L.P., Lightstone Ventures, L.P., OrbiMed Private Investments VI, LP and Wu Capital Investment LLC.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particular, the Registration Rights Agreement provides for the following registration rights:</w:t>
      </w:r>
    </w:p>
    <w:p>
      <w:pPr>
        <w:spacing w:after="0" w:line="223" w:lineRule="exact"/>
        <w:rPr>
          <w:sz w:val="20"/>
          <w:szCs w:val="20"/>
          <w:color w:val="auto"/>
        </w:rPr>
      </w:pPr>
    </w:p>
    <w:p>
      <w:pPr>
        <w:jc w:val="both"/>
        <w:ind w:left="980" w:hanging="324"/>
        <w:spacing w:after="0" w:line="257"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Demand registration rights</w:t>
      </w:r>
      <w:r>
        <w:rPr>
          <w:rFonts w:ascii="Times New Roman" w:cs="Times New Roman" w:eastAsia="Times New Roman" w:hAnsi="Times New Roman"/>
          <w:sz w:val="18"/>
          <w:szCs w:val="18"/>
          <w:color w:val="auto"/>
        </w:rPr>
        <w:t>. At any time after the Closing Date, and following the expiration of any lock-up to which an Investor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New Gemini will be required, upon the written request of either (i) FSDC Investors holding a majority of the Registrable Securities held by all FSDC Investors or (ii) Major Gemini Investors holding a majority of the Registrable Securities held by all Major Gemini Investors, to file a registration statement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on Form S-1 or any similar long-form registration statement or, if then available, on Form S-3, and use reasonable best efforts to effect the registration of all or part of their registrable securities requested to be included in such registration by the Investors.</w:t>
      </w:r>
    </w:p>
    <w:p>
      <w:pPr>
        <w:spacing w:after="0" w:line="182"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Shelf registration rights</w:t>
      </w:r>
      <w:r>
        <w:rPr>
          <w:rFonts w:ascii="Times New Roman" w:cs="Times New Roman" w:eastAsia="Times New Roman" w:hAnsi="Times New Roman"/>
          <w:sz w:val="18"/>
          <w:szCs w:val="18"/>
          <w:color w:val="auto"/>
        </w:rPr>
        <w:t>. New Gemini will be required, to file a shelf registration statement pursuant to Rule 415 of Securities Act as soon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practicable after the Closing Date and use reasonable best efforts to effect the registration of all of the registrable securities then held by Investors that are not covered by an effective registration statement as of the date that is 30 days after the Closing Date. At any time New Gemini has an effective shelf registration statement, if the Company shall receive a request from Investors holding registrable securities with an estimated market value of at least $5,000,000, to effect an underwritten shelf takedown, New Gemini shall use its reasonable best efforts to as expeditiously as possible to effect the underwritten shelf takedown.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left="980" w:hanging="324"/>
        <w:spacing w:after="0" w:line="257"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Limits on demand registration rights and shelf registration rights. </w:t>
      </w:r>
      <w:r>
        <w:rPr>
          <w:rFonts w:ascii="Times New Roman" w:cs="Times New Roman" w:eastAsia="Times New Roman" w:hAnsi="Times New Roman"/>
          <w:sz w:val="18"/>
          <w:szCs w:val="18"/>
          <w:color w:val="auto"/>
        </w:rPr>
        <w:t>New Gemini shall not be obligated to effect: (a) more than one (1) demand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or underwritten shelf takedown during any six-month period; (b) any demand registration at any time there is an effective resale shelf registration statement on file with the SEC; (c) more than two underwritten demand registrations in respect of all registrable securities held by the FSDC Investors, including those made under a shelf registration statement, or (d) more than two underwritten demand registrations in respect of all registrable securities held by the Major Gemini Investors, including those made under a shelf registration statement.</w:t>
      </w:r>
    </w:p>
    <w:p>
      <w:pPr>
        <w:spacing w:after="0" w:line="182"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Piggyback registration rights</w:t>
      </w:r>
      <w:r>
        <w:rPr>
          <w:rFonts w:ascii="Times New Roman" w:cs="Times New Roman" w:eastAsia="Times New Roman" w:hAnsi="Times New Roman"/>
          <w:sz w:val="18"/>
          <w:szCs w:val="18"/>
          <w:color w:val="auto"/>
        </w:rPr>
        <w:t>. At any time after the first anniversary of the Closing Date, if New Gemini proposes to file a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to register any of its equity securities under the Securities Act or to conduct a public offering, either for its own account or for the account of any other person, subject to certain exceptions, the Investors are entitled to include their registrable securities in such registration statement, subject to customary cut-back rights.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 and indemnification</w:t>
      </w:r>
      <w:r>
        <w:rPr>
          <w:rFonts w:ascii="Times New Roman" w:cs="Times New Roman" w:eastAsia="Times New Roman" w:hAnsi="Times New Roman"/>
          <w:sz w:val="18"/>
          <w:szCs w:val="18"/>
          <w:color w:val="auto"/>
        </w:rPr>
        <w:t>. All fees, costs and expenses of underwritten registrations will be borne by New Gemini and underwriting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discounts and selling commissions will be borne by the holders of the shares being registered. The Registration Rights Agreement contains customary cross-indemnification provisions, under which New Gemini is obligated to indemnify holders of registrable securities in the event of material misstatements or omissions in the registration statement attributable to New Gemini, and holders of registrable securities are obligated to indemnify New Gemini for material misstatements or omissions attributable to them.</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Registrable securities</w:t>
      </w:r>
      <w:r>
        <w:rPr>
          <w:rFonts w:ascii="Times New Roman" w:cs="Times New Roman" w:eastAsia="Times New Roman" w:hAnsi="Times New Roman"/>
          <w:sz w:val="18"/>
          <w:szCs w:val="18"/>
          <w:color w:val="auto"/>
        </w:rPr>
        <w:t>. Securities of New Gemini shall cease to be registrable securities upon the earlier of (i) tenth anniversary of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and (ii) the date as of which (1) a registration statement with respect to the sale of such securities shall have become effective under the Securities Act and such securities shall have been disposed of in accordance with such registration statement, or (2) such securities shall have been transferred pursuant to Rule 144 of the Securities Act, or with respect to any Investor, securities of such Investor shall cease to be registrable securities, on the earlier of (x) the date such Investor ceases to hold at least 1% of the registrable securities or (y) if such Investor is an individual and such Investor is a director or an executive officer of Old Gemini or FSDC as of immediately prior to the consummation of the Merger, the date when such Investor is permitted to sell the Registrable Securities under Rule 144 (or any similar provision) under the Securities Act without limitation on the amount of securities sold or the manner of sale.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does not purport to be complete and is qualified in its entirety by the full text of the Registration Rights Agreement, a copy of which is attached hereto as Exhibit 10.1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Closing Date, New Gemini, the Sponsor and the Major Gemini Investors (collectively, the “</w:t>
      </w:r>
      <w:r>
        <w:rPr>
          <w:rFonts w:ascii="Times New Roman" w:cs="Times New Roman" w:eastAsia="Times New Roman" w:hAnsi="Times New Roman"/>
          <w:sz w:val="18"/>
          <w:szCs w:val="18"/>
          <w:u w:val="single" w:color="auto"/>
          <w:color w:val="auto"/>
        </w:rPr>
        <w:t>Voting Parties</w:t>
      </w:r>
      <w:r>
        <w:rPr>
          <w:rFonts w:ascii="Times New Roman" w:cs="Times New Roman" w:eastAsia="Times New Roman" w:hAnsi="Times New Roman"/>
          <w:sz w:val="18"/>
          <w:szCs w:val="18"/>
          <w:color w:val="auto"/>
        </w:rPr>
        <w:t>”) entered into a Voting Agreement, pursuant to which each Voting Party agrees to vote all voting securities of New Gemini that it owns from time to time and that it may vote in an election of the Company’s directors (collectively, “</w:t>
      </w:r>
      <w:r>
        <w:rPr>
          <w:rFonts w:ascii="Times New Roman" w:cs="Times New Roman" w:eastAsia="Times New Roman" w:hAnsi="Times New Roman"/>
          <w:sz w:val="18"/>
          <w:szCs w:val="18"/>
          <w:u w:val="single" w:color="auto"/>
          <w:color w:val="auto"/>
        </w:rPr>
        <w:t>Voting Shares</w:t>
      </w:r>
      <w:r>
        <w:rPr>
          <w:rFonts w:ascii="Times New Roman" w:cs="Times New Roman" w:eastAsia="Times New Roman" w:hAnsi="Times New Roman"/>
          <w:sz w:val="18"/>
          <w:szCs w:val="18"/>
          <w:color w:val="auto"/>
        </w:rPr>
        <w:t>”) in accordance with the provisions of the Voting Agreement, whether at a regular or special meeting of stockholders.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Voting Agreement, the post-Closing Board shall be comprised of seven directors, which must include Jason Meyenburg, Dr. Jim Tananbaum and Dr. Carl Gordon, divided into three classes, designated Class I, II and III, with Class I consisting of two directors, Class II consisting of three directors and Class III consisting of two Directors. Jean George and Dr. Carl Gordon shall constitute the initial members of Class I and shall be nominated in Class I, the members of which shall have an initial term that expires at the annual meeting of stockholders of New Gemini held in 2021; David Lubner, Dr. Tuyen Ong and Jason Rhodes shall constitute the initial members of Class II and shall be nominated in Class II, the members of which shall have an initial term that expires at the annual meeting of stockholders of New Gemini held in 2022; and Jason Meyenburg and Dr. Jim Tananbaum shall constitute the initial members of Class III and shall be nominated in Class III, the members of which shall have an initial term that expires at the annual meeting of stockholders of New Gemini held in 2023.</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Voting Agreement, until the earlier of (i) fifth anniversary of the Closing Date or (ii) the date on which Sponsor owns less than 1,217,563 shares of Common Stock, at each annual or special meeting of stockholders of New Gemini, Sponsor shall have the right to designate for election as a member of the Board, and the Board (including any committee thereof) shall nominate (and recommend for election and include such recommendation in a timely manner in any proxy statement or other applicable announcement to New Gemini’s stockholders), one individual to serve as a Class III Director. If Sponsor ceases to be entitled to nominate any directors, then such directors shall be nominated by the Board and approved by the holders of the outstanding shares of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Voting Agreement, Old Gemini shall have the authority to appoint four directors to the Board, with such procedures as are determined by Old Gemini’s Board.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directors elected pursuant to the terms of the Voting Agreement shall be removed from the Board only upon the vote or written consent of the Voting Party that is entitled to nominate, appoint or elect such director. Upon any decrease in the rights of any such Voting Party to nominate, appoint or elect any director, the applicable Voting Party shall promptly cause the removal or resignation of an applicable directors if requested by the Board. Upon any individual elected to serve as a director pursuant to the Voting Agreement ceasing to be a member of the Board, whether by death, resignation or removal or otherwise, only the Voting Party that was entitled to nominate, appoint or elect such individual shall have the right to fill any resulting vacancy in the Board; provided that such Voting Party still has the right to nominate, appoint or elect the applicable director.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Voting Agreement does not purport to be complete and is qualified in its entirety by the full text of the Voting Agreement, a copy of which is attached hereto as Exhibit 10.2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the Closing Date, New Gemini and certain of its stockholders and optionholders (the “</w:t>
      </w:r>
      <w:r>
        <w:rPr>
          <w:rFonts w:ascii="Times New Roman" w:cs="Times New Roman" w:eastAsia="Times New Roman" w:hAnsi="Times New Roman"/>
          <w:sz w:val="18"/>
          <w:szCs w:val="18"/>
          <w:u w:val="single" w:color="auto"/>
          <w:color w:val="auto"/>
        </w:rPr>
        <w:t>Stockholders Parties</w:t>
      </w:r>
      <w:r>
        <w:rPr>
          <w:rFonts w:ascii="Times New Roman" w:cs="Times New Roman" w:eastAsia="Times New Roman" w:hAnsi="Times New Roman"/>
          <w:sz w:val="18"/>
          <w:szCs w:val="18"/>
          <w:color w:val="auto"/>
        </w:rPr>
        <w:t>”) entered into a Lockup Agreement pursuant to which such Stockholder Parties agreed not to transfer any shares of Common Stock or options to purchase Common Stock received as Merger consideration (the “</w:t>
      </w:r>
      <w:r>
        <w:rPr>
          <w:rFonts w:ascii="Times New Roman" w:cs="Times New Roman" w:eastAsia="Times New Roman" w:hAnsi="Times New Roman"/>
          <w:sz w:val="18"/>
          <w:szCs w:val="18"/>
          <w:u w:val="single" w:color="auto"/>
          <w:color w:val="auto"/>
        </w:rPr>
        <w:t>Covered Equity Interest</w:t>
      </w:r>
      <w:r>
        <w:rPr>
          <w:rFonts w:ascii="Times New Roman" w:cs="Times New Roman" w:eastAsia="Times New Roman" w:hAnsi="Times New Roman"/>
          <w:sz w:val="18"/>
          <w:szCs w:val="18"/>
          <w:color w:val="auto"/>
        </w:rPr>
        <w:t>”) for a period of 180 days following the Closing Date. Notwithstanding the foregoing, any Stockholder Party that is an executive officer or director shall be allowed to establish a 10b5-1 trading plan during the lockup period, provided that no trades are made under the plan during the 180 day lock-up period.</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Lockup Agreement does not purport to be complete and is qualified in its entirety by the full text of the Lockup Agreement, a copy of which is attached hereto as Exhibit 10.3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3, 2021, FSDC held a special meeting of stockholders (the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at which the FSDC stockholders considered and adopted, among other matters, the Merger Agreement. On February 5, 2021, the parties to the Merger Agreement consummated the Transactions.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Special Meeting, one holder exercised its right to redeem 100 shares of FSDC’s Class A common stock, at a per share price of $10.73 for aggregate consideration of $1,073.00. At the Closing, (i) an aggregate of 17,942,274 shares of Common Stock were issued in exchange for the Old Gemini Stock outstanding as of immediately prior to the Effective Time and (ii) an aggregate of 9,506,000 shares of Common Stock were issued to the PIPE Investors in the PIPE Financing. Moreover, at the Closing, each equity award of Old Gemini outstanding as of immediately prior to the Effective Time were exchanged for comparable equity awards of New Gemini under the 2021 Plan.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Immediately after giving effect to the Transactions, there were 45,301,990 shares of Common Stock outstanding, and 4,264,341 shares of Common Stock subject to outstanding equity awards or reserved for future issuance under the 2021 Plan.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material terms and conditions of the Merger Agreement are described in the definitive proxy statement/prospectus (the “Proxy Statement/Prospectus”) included in FSDC’s Registration Statement on Form S-4 (File No. 333-249785),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January 15, 2021, in the section titled “</w:t>
      </w:r>
      <w:r>
        <w:rPr>
          <w:rFonts w:ascii="Times New Roman" w:cs="Times New Roman" w:eastAsia="Times New Roman" w:hAnsi="Times New Roman"/>
          <w:sz w:val="18"/>
          <w:szCs w:val="18"/>
          <w:i w:val="1"/>
          <w:iCs w:val="1"/>
          <w:color w:val="auto"/>
        </w:rPr>
        <w:t>Business Combination Proposal—The Merger Agreement,</w:t>
      </w:r>
      <w:r>
        <w:rPr>
          <w:rFonts w:ascii="Times New Roman" w:cs="Times New Roman" w:eastAsia="Times New Roman" w:hAnsi="Times New Roman"/>
          <w:sz w:val="18"/>
          <w:szCs w:val="18"/>
          <w:color w:val="auto"/>
        </w:rPr>
        <w:t>” which is incorporated herein by reference.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statements in this Current Report on Form 8-K and the information incorporated herein by reference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Transactions and their expected benefits, New Gemini’s performance following the Transactions, the success, cost and timing of New Gemini’s product development activities and clinical trials, the potential attributes and benefits of New Gemini’s product candidates, New Gemini’s ability to obtain and maintain regulatory approval for its product candidates and New Gemini’s ability to obtain funding for its operations. Forward-looking statements include statements relating to our management team’s expectations, hopes, beliefs, intentions or strategies regarding the future, including those relating to the Transactions.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the Proxy Statement/Prospectus.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COVID-19 pandemic and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clinical-stage precision medicine company developing novel therapeutic compounds to treat genetically defined, age-related macular degeneration (AMD). Our lead product candidate, GEM103, is a recombinant form of the human complement factor H protein (CFH) and is designed to address complement hyperactivity and restore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GEM103 is capable of down-regulating hyperactive complement activity while maintaining a healthy environment for the cellular architecture supporting retinal function in patients with AMD. We believe that this differentiated approach to controlling complement dysregulation will allow us to more broadly address AMD pathology and potentially treat AMD. In September 2020, we commenced a Phase 2a clinical trial of GEM103 in patients with dry AMD carrying mutations in the CFH gene. Topline data including safety, tolerability and relevant biomarkers of complement activation from this Phase 2a clinical trial are expected in the first half of 2021. GEM103 has been granted Fast Track designation by the United States Food and Drug Administration (FDA).</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Augmenting CFH activity represents a unique approach to address imbalances in the immune system in a broad array of complement-mediated inflammatory diseases. We aspire to lead the next generation of complement therapeutics by focusing on restoring native regulation of complement activation, as opposed to broadly inhibiting complement using engineered molecules. Restoration of terminal complement pathway regulation avoids the unintended consequences of broad complement inhibition, which can result in safety issues and a reduced therapeutic index. Integration of genetic, biological, and clinical information has identified high-risk, genetically defined subpopulations present within the current broadly defined AMD cohort. In particular, loss of function variants in the gene that encodes CFH can reduce complement regulation and/or adversely affect retinal homeostasis, both of which strongly correlate with an increased risk for developing AMD. We can identify, functionally evaluate and characterize the proteins generated by these genetic variants and define their roles in disease pathogenesis using custom genetic assays and functional assays, novel biomarkers, and our CLARITY natural history clinical trials. In the CLARITY natural history studies, we are evaluating clinical stage and extent of retinal disease as measured by precise imaging methods and have incorporated novel biomarker assessments when possible to evaluate the impact of the specific CFH variants in disease pathogenesis and progression.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spacing w:after="0" w:line="254" w:lineRule="auto"/>
        <w:rPr>
          <w:sz w:val="20"/>
          <w:szCs w:val="20"/>
          <w:color w:val="auto"/>
        </w:rPr>
      </w:pPr>
      <w:r>
        <w:rPr>
          <w:rFonts w:ascii="Times New Roman" w:cs="Times New Roman" w:eastAsia="Times New Roman" w:hAnsi="Times New Roman"/>
          <w:sz w:val="18"/>
          <w:szCs w:val="18"/>
          <w:color w:val="auto"/>
        </w:rPr>
        <w:t>AMD is a disease primarily affecting the macula, the central portion of the retina responsible for high acuity vision and is the number one cause of irreversible blindness in the United States and Europe. AMD has generally been characterized as either “wet” or “dry,” definitions driven by clinical presentation rather than underlying biology. In dry AMD, the center of the retina slowly degenerates leading to loss of photoreceptors over time. In wet AMD, choroidal vessels grow aberrantly and invade the retina (referred to as choroidal neovascularization, or CNV) rapidly degrading central vision. There are approximately 16 million AMD patients in the United States, of whom approximately 90%, or approximately 15 million, have dry AMD. Of these, approximately six million carry a variant in the CFH gene which leads to loss of function in the CFH protein. In these patients, CFH protein is generally expressed at normal levels but the genetic mutations result in functional insufficiency in the CFH expressed. For wet AMD, drugs targeting one of the central proteins in CNV pathogenesis, vascular endothelial growth factor (VEGF), have proven effective in its management. No treatment is currently available for the approximately 15 million patients with early, intermediate, or advanced dry AMD.</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GEM103 has been evaluated in a Phase 1 clinical trial of CFH-variant related dry AMD patients. Single rising doses of GEM103, administered intravitreally, maintained supraphysiologic CFH levels for more than 28 days, with no adverse drug reactions and no ocular inflammation. In several subjects, dosing also resulted in reductions in a biomarker of complement activity, consistent with the GEM103 mechanism of action. GEM103 is now being evaluated in a multiple ascending dose Phase 2a clinical trial in similar genetically defined patients to further evaluate safety, tolerability, and effects on relevant complement activation biomarkers.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led by experts with decades of collective experience in drug research, development, manufacturing, commercialization and collaborative alliances. Our board of directors, including Dr. Stephen Squinto and Mr. David Lubner, are leaders in research and development in the complement system. We have assembled a management team, led by our Chief Executive Officer, Mr. Jason Meyenburg, whose members have extensive experience in successfully developing, manufacturing and commercializing transformative therapies at companies including Alexion Pharmaceuticals, Inc., Orchard Therapeutics plc, Merrimack Pharmaceuticals, Inc., Intellia Therapeutics, Inc., Merck &amp; Co., Inc., ViroPharma Incorporated (acquired by Shire plc.), Achillion Pharmaceuticals, Inc. (acquired by Alexion Pharmaceuticals, Inc.) and CSL Behring. Our management team’s wide-ranging expertise in rare diseases, complement therapeutics, immunology, genetics/gene therapy and protein biochemistry provide a singular vision for redefining AMD and linked disorders through precision medicine to address serious unmet medical needs.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summary of our product candidate pipeline as of January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154305</wp:posOffset>
            </wp:positionV>
            <wp:extent cx="5143500" cy="1405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table above, IND enabled means we have completed the necessary nonclinical studies, including without limitation ADME and toxicology, as well as formulation and manufacturing development necessary to seek the permission of regulatory authorities to begin human clinical testing.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GEM103</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developing GEM103 initially for the treatment of dry AMD in patients with loss of function mutations in CFH. As a complement pathway regulatory protein, GEM103 is expected to restore appropriate complement function by ameliorating the detrimental effects of excessive complement activation, including inappropriate cell lysis and exaggerated immune responses, while simultaneously preserving the beneficial roles of CFH, including clearance of extracellular debris and repair of oxidative damage.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mechanism of action of GEM103 stands in contrast to that of broad complement pathway inhibitors developed to date which indiscriminately block both the detrimental and beneficial effects of complement activation. To our knowledge, GEM103 is the first recombinant, native complement modulator being evaluated in human clinical trials.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plan to advance GEM103 through studies in a selected population of patients suffering from wet AMD who have been treated with an anti-VEGF therapy approved by the FDA, to evaluate the impact on VEGF-inhibition-related macular atrophy. On February 1, 2021, we announced that we had commenced a Phase 2a clinical trial in this population 0 and expect to have topline safety and tolerability data from this trial in the second half of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aspire to develop the next generation of complement therapeutics by precisely focusing on genetically defined patient populations through restoration of their physiologic CFH function which cannot be addressed by indiscriminate complement inhibitors.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our strategy include:</w:t>
      </w:r>
    </w:p>
    <w:p>
      <w:pPr>
        <w:spacing w:after="0" w:line="221" w:lineRule="exact"/>
        <w:rPr>
          <w:sz w:val="20"/>
          <w:szCs w:val="20"/>
          <w:color w:val="auto"/>
        </w:rPr>
      </w:pPr>
    </w:p>
    <w:p>
      <w:pPr>
        <w:jc w:val="both"/>
        <w:ind w:left="660" w:hanging="328"/>
        <w:spacing w:after="0" w:line="25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Replace current complement inhibition orthodoxy with an approach that leverages knowledge of patient underlying genetic predispositions and normalizes complement hyperactivity while retaining functions that are essential for maintaining retinal tissue homeostasis. </w:t>
      </w:r>
      <w:r>
        <w:rPr>
          <w:rFonts w:ascii="Times New Roman" w:cs="Times New Roman" w:eastAsia="Times New Roman" w:hAnsi="Times New Roman"/>
          <w:sz w:val="18"/>
          <w:szCs w:val="18"/>
          <w:color w:val="auto"/>
        </w:rPr>
        <w:t>We believe our differentiated approach focused on complement regulation through the administration of GEM103 will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therapeutics that not only address complement dysfunction in AMD but will also address other critical pathological mechanisms like chronic inflammation underlying AMD progression. We believe complement regulation has the potential to yield significant benefits over current development-stage therapies that are focused solely on what is effectively complete inhibition of the different pathways of the complement system.</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Redefine AMD as a disease of genetic subtypes that can be addressed by specific therapeutic strategies tailored to the genetic defect.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philosophy is that the best way to identify drug targets is to understand the genetic variants that lead to increased risk of disease. In AMD, we believe that genetic analyses implicate an important role for variants in the gene that encodes for CFH in a large subset of patients. AMD represents a large market opportunity consisting of patients with differentiated genetic subtypes. We are initially focused on treating the approximately six million patients with CFH loss of function mutations.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our lead program, GEM103, through clinical development and if approved, into commercialization to address significant unmet need in dry AMD. </w:t>
      </w:r>
      <w:r>
        <w:rPr>
          <w:rFonts w:ascii="Times New Roman" w:cs="Times New Roman" w:eastAsia="Times New Roman" w:hAnsi="Times New Roman"/>
          <w:sz w:val="18"/>
          <w:szCs w:val="18"/>
          <w:color w:val="auto"/>
        </w:rPr>
        <w:t>Dry AMD, which often ultimately leads to blindness and for which there are no currently approved treatment options, affects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16 million patients in the United States, of which approximately six million have associated loss of function variants of CFH. GEM103, recombinant CFH, is the first complement pathway modulator under development to potentially regulate complement in patients with dry AMD. GEM103 is now being evaluated in a multiple ascending dose Phase 2a clinical trial in a genetically defined population suffering from dry AMD and carrying mutations in the gene for CFH. We expect top line data on safety, tolerability and effect on complement related biomarkers from this trial in the first half of 2021. The data from this trial will inform dose selection and potential clinical endpoints for an end of Phase 2 meeting with regulatory authorities at which we plan to seek alignment on a pivotal development pathway.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p>
      <w:pPr>
        <w:jc w:val="both"/>
        <w:ind w:left="660" w:hanging="328"/>
        <w:spacing w:after="0" w:line="25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Evaluate strategic business development opportunities to maximize the value of our discovery and development assets. </w:t>
      </w:r>
      <w:r>
        <w:rPr>
          <w:rFonts w:ascii="Times New Roman" w:cs="Times New Roman" w:eastAsia="Times New Roman" w:hAnsi="Times New Roman"/>
          <w:sz w:val="18"/>
          <w:szCs w:val="18"/>
          <w:color w:val="auto"/>
        </w:rPr>
        <w:t>We believe that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differentiated approach holds the potential to target a number of well-characterized genetic mutations across multiple disease areas. We are therefore exploring opportunities to follow complement biology dysregulation and address other unmet disease needs outside the eye. We may seek to selectively enter into strategic business development transactions to leverage complementary capabilities and maximize the long-term value of our research and development portfolio.</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Our business is further described in the Proxy Statement/Prospectus in the section titled “</w:t>
      </w:r>
      <w:r>
        <w:rPr>
          <w:rFonts w:ascii="Times New Roman" w:cs="Times New Roman" w:eastAsia="Times New Roman" w:hAnsi="Times New Roman"/>
          <w:sz w:val="18"/>
          <w:szCs w:val="18"/>
          <w:i w:val="1"/>
          <w:iCs w:val="1"/>
          <w:color w:val="auto"/>
        </w:rPr>
        <w:t>Information about Gemini</w:t>
      </w:r>
      <w:r>
        <w:rPr>
          <w:rFonts w:ascii="Times New Roman" w:cs="Times New Roman" w:eastAsia="Times New Roman" w:hAnsi="Times New Roman"/>
          <w:sz w:val="18"/>
          <w:szCs w:val="18"/>
          <w:color w:val="auto"/>
        </w:rPr>
        <w:t>” and that information is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The risk factors related to our business and operations and the Transactions are set forth in the Proxy Statement/Prospectus in the section 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and that information is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financial information related to our business and operations and the Transactions are set forth in the Proxy Statement/Prospectus in the section titled </w:t>
      </w:r>
      <w:r>
        <w:rPr>
          <w:rFonts w:ascii="Times New Roman" w:cs="Times New Roman" w:eastAsia="Times New Roman" w:hAnsi="Times New Roman"/>
          <w:sz w:val="18"/>
          <w:szCs w:val="18"/>
          <w:i w:val="1"/>
          <w:iCs w:val="1"/>
          <w:color w:val="auto"/>
        </w:rPr>
        <w:t>“Summary Financial and Other Data of Gemini,” “Summary Financial and Other Data of FS Development,” “Summary Unaudited Pro Forma Condensed Combined Financial Information,” “Comparative Share Information,” “Selected Financial and other Data of FS Development,” “Selected Consolidated Financial and Other Data of Gemini,” “Unaudited Pro Forma Combined Financial Information”</w:t>
      </w:r>
      <w:r>
        <w:rPr>
          <w:rFonts w:ascii="Times New Roman" w:cs="Times New Roman" w:eastAsia="Times New Roman" w:hAnsi="Times New Roman"/>
          <w:sz w:val="18"/>
          <w:szCs w:val="18"/>
          <w:color w:val="auto"/>
        </w:rPr>
        <w:t>, and that information is incorporated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herein by reference.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Reference is made to the disclosure contained in the Proxy Statement/Prospectus in the sections titled “</w:t>
      </w:r>
      <w:r>
        <w:rPr>
          <w:rFonts w:ascii="Times New Roman" w:cs="Times New Roman" w:eastAsia="Times New Roman" w:hAnsi="Times New Roman"/>
          <w:sz w:val="18"/>
          <w:szCs w:val="18"/>
          <w:i w:val="1"/>
          <w:iCs w:val="1"/>
          <w:color w:val="auto"/>
        </w:rPr>
        <w:t>Management’s Discussion and Analysis of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Condition and Results of Operations of FS Development” </w:t>
      </w: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i w:val="1"/>
          <w:iCs w:val="1"/>
          <w:color w:val="auto"/>
        </w:rPr>
        <w:t>Management’s Discussion and Analysis of Financial Condition and Results of Operations of Gemini</w:t>
      </w:r>
      <w:r>
        <w:rPr>
          <w:rFonts w:ascii="Times New Roman" w:cs="Times New Roman" w:eastAsia="Times New Roman" w:hAnsi="Times New Roman"/>
          <w:sz w:val="18"/>
          <w:szCs w:val="18"/>
          <w:color w:val="auto"/>
        </w:rPr>
        <w:t>”, which are incorporated herein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Reference is made to the disclosure contained in the Proxy Statement/Prospectus in the section titled “</w:t>
      </w:r>
      <w:r>
        <w:rPr>
          <w:rFonts w:ascii="Times New Roman" w:cs="Times New Roman" w:eastAsia="Times New Roman" w:hAnsi="Times New Roman"/>
          <w:sz w:val="18"/>
          <w:szCs w:val="18"/>
          <w:i w:val="1"/>
          <w:iCs w:val="1"/>
          <w:color w:val="auto"/>
        </w:rPr>
        <w:t>Management’s Discussion and Analysis of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Condition and Results of Operations of FS Development- Quantitative and Qualitative Disclosures about Market Risk” </w:t>
      </w:r>
      <w:r>
        <w:rPr>
          <w:rFonts w:ascii="Times New Roman" w:cs="Times New Roman" w:eastAsia="Times New Roman" w:hAnsi="Times New Roman"/>
          <w:sz w:val="18"/>
          <w:szCs w:val="18"/>
          <w:color w:val="auto"/>
        </w:rPr>
        <w:t>which is incorporated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herein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facilities consist of office space of approximately 11,894 square feet in Cambridge, Massachusetts under a lease that expires in May 2023, subject to the right to extend the term for one additional three (3) year term. We believe that our current facilities are sufficient for our current needs.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the Common Stock immediately following the consummation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w:t>
      </w:r>
    </w:p>
    <w:p>
      <w:pPr>
        <w:spacing w:after="0" w:line="207"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to be the beneficial owner of more than 5% of New Gemini’s outstanding Common Stock immediately following the consummation of the Transactions;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New Gemini’s current executive officers and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of New Gemini as a group following the consummation of the Transaction.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Unless otherwise indicated, New Gemini believes that all persons named in the table have sole voting and investment power with respect to all Common Stock beneficially owned by them. Unless otherwise noted, the business address of each of the executive officers and directors of New Gemini</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is 300 One Kendall Square,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Cambridge, MA 02139. The percentage of shares beneficially owned is based on 45,301,990 shares of Common Stock outstanding after giving effect to the Transactions, as of February 5, 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Officers:</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Jason Meyenburg</w:t>
            </w:r>
            <w:r>
              <w:rPr>
                <w:rFonts w:ascii="Times New Roman" w:cs="Times New Roman" w:eastAsia="Times New Roman" w:hAnsi="Times New Roman"/>
                <w:sz w:val="29"/>
                <w:szCs w:val="29"/>
                <w:color w:val="auto"/>
                <w:vertAlign w:val="superscript"/>
              </w:rPr>
              <w:t>(1)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252,346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Gregg Beloff</w:t>
            </w:r>
            <w:r>
              <w:rPr>
                <w:rFonts w:ascii="Times New Roman" w:cs="Times New Roman" w:eastAsia="Times New Roman" w:hAnsi="Times New Roman"/>
                <w:sz w:val="29"/>
                <w:szCs w:val="29"/>
                <w:color w:val="auto"/>
                <w:vertAlign w:val="superscript"/>
              </w:rPr>
              <w:t>(2)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30,343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Scott Lauder</w:t>
            </w:r>
            <w:r>
              <w:rPr>
                <w:rFonts w:ascii="Times New Roman" w:cs="Times New Roman" w:eastAsia="Times New Roman" w:hAnsi="Times New Roman"/>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164,256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Marc Uknis</w:t>
            </w:r>
            <w:r>
              <w:rPr>
                <w:rFonts w:ascii="Times New Roman" w:cs="Times New Roman" w:eastAsia="Times New Roman" w:hAnsi="Times New Roman"/>
                <w:sz w:val="29"/>
                <w:szCs w:val="29"/>
                <w:color w:val="auto"/>
                <w:vertAlign w:val="superscript"/>
              </w:rPr>
              <w:t>(4)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59,611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Jean George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 Gordon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Lubner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Tuyen Ong</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Rhodes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Jim Tananbaum</w:t>
            </w:r>
            <w:r>
              <w:rPr>
                <w:rFonts w:ascii="Times New Roman" w:cs="Times New Roman" w:eastAsia="Times New Roman" w:hAnsi="Times New Roman"/>
                <w:sz w:val="29"/>
                <w:szCs w:val="29"/>
                <w:color w:val="auto"/>
                <w:vertAlign w:val="superscript"/>
              </w:rPr>
              <w:t>(5)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4,870,250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(10 individuals)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5,376,806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FS Development Holdings, LLC</w:t>
            </w:r>
            <w:r>
              <w:rPr>
                <w:rFonts w:ascii="Times New Roman" w:cs="Times New Roman" w:eastAsia="Times New Roman" w:hAnsi="Times New Roman"/>
                <w:sz w:val="29"/>
                <w:szCs w:val="29"/>
                <w:color w:val="auto"/>
                <w:vertAlign w:val="superscript"/>
              </w:rPr>
              <w:t>(5)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4,870,250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r>
      <w:tr>
        <w:trPr>
          <w:trHeight w:val="257"/>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Orbimed Private Investments VI, LP</w:t>
            </w:r>
            <w:r>
              <w:rPr>
                <w:rFonts w:ascii="Times New Roman" w:cs="Times New Roman" w:eastAsia="Times New Roman" w:hAnsi="Times New Roman"/>
                <w:sz w:val="29"/>
                <w:szCs w:val="29"/>
                <w:color w:val="auto"/>
                <w:vertAlign w:val="superscript"/>
              </w:rPr>
              <w:t>(6)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5,826,224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r>
      <w:tr>
        <w:trPr>
          <w:trHeight w:val="256"/>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Entities affiliated with Atlas Ventures</w:t>
            </w:r>
            <w:r>
              <w:rPr>
                <w:rFonts w:ascii="Times New Roman" w:cs="Times New Roman" w:eastAsia="Times New Roman" w:hAnsi="Times New Roman"/>
                <w:sz w:val="29"/>
                <w:szCs w:val="29"/>
                <w:color w:val="auto"/>
                <w:vertAlign w:val="superscript"/>
              </w:rPr>
              <w:t>(7)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5,254,365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56"/>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Entities affiliated with Lightstone Ventures</w:t>
            </w:r>
            <w:r>
              <w:rPr>
                <w:rFonts w:ascii="Times New Roman" w:cs="Times New Roman" w:eastAsia="Times New Roman" w:hAnsi="Times New Roman"/>
                <w:sz w:val="29"/>
                <w:szCs w:val="29"/>
                <w:color w:val="auto"/>
                <w:vertAlign w:val="superscript"/>
              </w:rPr>
              <w:t>(8)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4,836,106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r>
      <w:tr>
        <w:trPr>
          <w:trHeight w:val="257"/>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Entities affiliated with Fidelity</w:t>
            </w:r>
            <w:r>
              <w:rPr>
                <w:rFonts w:ascii="Times New Roman" w:cs="Times New Roman" w:eastAsia="Times New Roman" w:hAnsi="Times New Roman"/>
                <w:sz w:val="29"/>
                <w:szCs w:val="29"/>
                <w:color w:val="auto"/>
                <w:vertAlign w:val="superscript"/>
              </w:rPr>
              <w:t>(9)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one percent.</w:t>
      </w:r>
    </w:p>
    <w:p>
      <w:pPr>
        <w:spacing w:after="0" w:line="252"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that are exercisable as of February 5, 2021 or will become exercisable within 60 days of such date.</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issuable that are exercisable as of February 5, 2021 or will become exercisable within 60 days of such date.</w:t>
      </w:r>
    </w:p>
    <w:p>
      <w:pPr>
        <w:spacing w:after="0" w:line="25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issued as Merger consideration and shares of Common Stock that are exercisable as of February 5, 2021 or will become exercisable within 60 days of such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that are exercisable as of February 5, 2021 or will become exercisable within 60 days of such date.</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Holdings, LLC is the record holder of 4,870,250 shares reported herein, including 1,500,000 shares issued in the PIPE Investment. Foresite Capital Management V, LLC (“FCM V”), is the general partner of Foresite Capital Fund V LP (“FCM V LP”) and Foresite Capital Opportunity Management V, LLC (“FCOM V”) is the general partner of Foresite Capital Opportunity Fund V, L.P. (“FCOM LP”), with FCM LP and FCOM LP being the sole members of FS Development Holdings, LLC. FCM V and FCOM V, as general managers of the sole members, have voting and investment discretion with respect to the common stock held of record by FS Development Holdings, LLC. Dr. Tananbaum, in his capacity as managing member of FCM V and FCOM V, may be deemed to have sole voting and investment discretion over these shares. Each of FCM V, FCOM V, each of their respective members and Dr. Tananbaum disclaim beneficial ownership of these shares except to the extent of any pecuniary interest therein.</w:t>
      </w:r>
    </w:p>
    <w:p>
      <w:pPr>
        <w:spacing w:after="0" w:line="191"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5,316,224 shares issued as Merger Consideration to OrbiMed Private Investments VI, LP pursuant to the Agreement and Plan of Merger, dated as of October 15, 2020, by and among Gemini Therapeutics, Inc., FS Development Corp., FSG Merger Sub Inc. and Shareholder Representative Services LLC. Also represents 510,000 shares issued in the private placement of public securities (“PIPE”) investment. OrbiMed Capital GP VI LLC, or GP VI, is the general partner of OrbiMed Private Investments VI, LP, or OPI VI. OrbiMed Advisors LLC, or OrbiMed Advisors, is the managing member of GP VI. By virtue of such relationships, OrbiMed Advisors and GP VI may be deemed to have voting and investment power with respect to the shares held by OPI VI and as a result may be deemed to have beneficial ownership of these shares. OrbiMed Advisors exercises investment and voting power through a management committee comprised of Carl Gordon, Sven H. Borho, and Jonathan T. Silverstein, each of whom disclaims beneficial ownership of the shares held by OPI VI.</w:t>
      </w:r>
    </w:p>
    <w:p>
      <w:pPr>
        <w:spacing w:after="0" w:line="191"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4,744,365 shares issued as Merger consideration (4,015,045 shares to Atlas Venture Fund X, L.P. (“Atlas Fund X”) and 729,320 shares to Atlas Venture Opportunity Fund I, L.P. (“Atlas Fund I”)) pursuant to the Agreement and Plan of Merger, dated as of October 15, 2020, by and among Gemini Therapeutics, Inc., FS Development Corp., FSG Merger Sub Inc. and Shareholder Representative Services LLC. Atlas Venture Associates X, L.P. is the general partner of Atlas Fund X, and Atlas Venture Associates X, LLC is the general partner of Atlas Venture Associates X, L.P. Each of Atlas Fund X, Atlas Venture Associates X, L.P., and Atlas Venture Associates X, LLC may be deemed to beneficially own the shares held by Atlas Fund X. Each of Atlas Venture Associates X, L.P. and Atlas Venture Associates X, LLC disclaim Section 16 beneficial ownership of the securities owned by Atlas Fund X, except to the extent of its pecuniary interest therein, if any. Atlas Venture Associates Opportunity I, L.P. is the general partner of Atlas Fund I, and Atlas Venture Associates Opportunity I, LLC, or AVAO, LLC, is the general partner of Atlas Venture Associates Opportunity I, L.P. Each of Atlas Fund I, Atlas Venture Associates Opportunity I, L.P. and AVAO, LLC may be deemed to beneficially own the shares held by Atlas Fund I. Each of Atlas Venture Associates Opportunity I, L.P. and AVAO LLC disclaim Section 16 beneficial ownership of the securities owned by Atlas Fund I, except to the extent of its pecuniary interest therein, if any. Also represents 510,000 shares issued in the private placement of public securities (“PIPE”) on February 5, 2021 to Atlas Venture Fund XII, L.P. (“Atlas Fund XII”). The general partner of Atlas Fund XII is Atlas Venture Associates XII, L.P. ("AVA XII LP"). Atlas Venture Associates XII, LLC ("AVA XII LLC") is the general partner of AVA XII LP. Each of Atlas Fund XII, AVA XII LP, and AVA XII LLC may be deemed to beneficially own the shares held by Atlas Fund XII. Each of AVA XII LP and AVA XII LLC disclaim Section 16 beneficial ownership of the securities owned by Atlas Fund XII, except to the extent of its pecuniary interest therein, if any.</w:t>
      </w:r>
    </w:p>
    <w:p>
      <w:pPr>
        <w:spacing w:after="0" w:line="181" w:lineRule="exact"/>
        <w:rPr>
          <w:rFonts w:ascii="Times New Roman" w:cs="Times New Roman" w:eastAsia="Times New Roman" w:hAnsi="Times New Roman"/>
          <w:sz w:val="17"/>
          <w:szCs w:val="17"/>
          <w:color w:val="auto"/>
        </w:rPr>
      </w:pPr>
    </w:p>
    <w:p>
      <w:pPr>
        <w:jc w:val="both"/>
        <w:ind w:left="340" w:hanging="332"/>
        <w:spacing w:after="0" w:line="254"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4,436,106 shares issued as Merger Consideration (1,308,198 shares to Lightstone Singapore, L.P. (“LV Singapore”), 375,040 shares to Lightstone Ventures (A), L.P. (“LV(A) LP”) and 2,752,868 shares to Lightstone Ventures, L.P. (“LV LP”)) pursuant to the Agreement and Plan of Merger, dated as of October 15, 2020, by and among Gemini Therapeutics, Inc., FS Development Corp., FSG Merger Sub Inc. and Shareholder Representative Services LLC. LSV Associates, LLC (LSV Associates) is the General Partner of LV Singapore, LV LP and LV(A) LP. As the individual general partners of LSV Associates, Michael A. Carusi, Jean M. George and Henry A. Plain Jr. share voting and dispositive power with respect to the shares held of record by LV Singapore, LV LP and LV(A) LP. Also represents 400,000 shares issued in the private placement of public securities (“PIPE”) on February 5, 2021. LSV Associates is the General Partner of LV Singapore, LV LP and LV(A) LP. As the individual general partners of LSV Associates, Michael A. Carusi, Jean M. George and Henry A. Plain Jr. share voting and dispositive power with respect to the shares held of record by LV Singapore, LV LP and LV(A) LP.</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p>
      <w:pPr>
        <w:jc w:val="both"/>
        <w:ind w:left="340" w:hanging="332"/>
        <w:spacing w:after="0" w:line="269" w:lineRule="auto"/>
        <w:tabs>
          <w:tab w:leader="none" w:pos="3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shares issued in the PIPE Investment. Fidelity Management &amp; Research Company, or Fidelity, 82 Devonshire Street, Boston, Massachusetts 02109, a wholly owned subsidiary of FMR LLC and an investment adviser registered under Section 203 of the Investment Advisers Act of 1940, is the beneficial owner of such shares of common stock as a result of acting as investment adviser to various investment companies registered under Section 8 of the Investment Company Act of 1940.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which power resides with the Fidelity Funds’ Boards of Trustees. Fidelity carries out the voting of the shares under written guidelines established by the Fidelity Funds’ Boards of Trustees.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directors and executive officers after the consummation of the Transactions are described in the Proxy Statement/Prospectus in the section titled “</w:t>
      </w:r>
      <w:r>
        <w:rPr>
          <w:rFonts w:ascii="Times New Roman" w:cs="Times New Roman" w:eastAsia="Times New Roman" w:hAnsi="Times New Roman"/>
          <w:sz w:val="18"/>
          <w:szCs w:val="18"/>
          <w:i w:val="1"/>
          <w:iCs w:val="1"/>
          <w:color w:val="auto"/>
        </w:rPr>
        <w:t>Management after the Business Combination</w:t>
      </w:r>
      <w:r>
        <w:rPr>
          <w:rFonts w:ascii="Times New Roman" w:cs="Times New Roman" w:eastAsia="Times New Roman" w:hAnsi="Times New Roman"/>
          <w:sz w:val="18"/>
          <w:szCs w:val="18"/>
          <w:color w:val="auto"/>
        </w:rPr>
        <w:t>” and that information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with respect to the composition of the committees of the Board immediately after the consummation of the Transactions is set forth in the Proxy Statement/Prospectus in the section titled “</w:t>
      </w:r>
      <w:r>
        <w:rPr>
          <w:rFonts w:ascii="Times New Roman" w:cs="Times New Roman" w:eastAsia="Times New Roman" w:hAnsi="Times New Roman"/>
          <w:sz w:val="18"/>
          <w:szCs w:val="18"/>
          <w:i w:val="1"/>
          <w:iCs w:val="1"/>
          <w:color w:val="auto"/>
        </w:rPr>
        <w:t>Management after the Business Combination—Committees of the Board of Directors</w:t>
      </w:r>
      <w:r>
        <w:rPr>
          <w:rFonts w:ascii="Times New Roman" w:cs="Times New Roman" w:eastAsia="Times New Roman" w:hAnsi="Times New Roman"/>
          <w:sz w:val="18"/>
          <w:szCs w:val="18"/>
          <w:color w:val="auto"/>
        </w:rPr>
        <w:t>” and that information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description of the compensation of the named executive officers of New Gemini is set forth in the Proxy Statement/Prospectus in the section titled “</w:t>
      </w:r>
      <w:r>
        <w:rPr>
          <w:rFonts w:ascii="Times New Roman" w:cs="Times New Roman" w:eastAsia="Times New Roman" w:hAnsi="Times New Roman"/>
          <w:sz w:val="18"/>
          <w:szCs w:val="18"/>
          <w:i w:val="1"/>
          <w:iCs w:val="1"/>
          <w:color w:val="auto"/>
        </w:rPr>
        <w:t>Executive Compensation of Gemini</w:t>
      </w:r>
      <w:r>
        <w:rPr>
          <w:rFonts w:ascii="Times New Roman" w:cs="Times New Roman" w:eastAsia="Times New Roman" w:hAnsi="Times New Roman"/>
          <w:sz w:val="18"/>
          <w:szCs w:val="18"/>
          <w:color w:val="auto"/>
        </w:rPr>
        <w:t>” and that information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Special Meeting, the 2021 Plan was approved by our stockholders. The summary of the 2021 Plan set forth in the Proxy Statement/Prospectus in the section titled “</w:t>
      </w:r>
      <w:r>
        <w:rPr>
          <w:rFonts w:ascii="Times New Roman" w:cs="Times New Roman" w:eastAsia="Times New Roman" w:hAnsi="Times New Roman"/>
          <w:sz w:val="18"/>
          <w:szCs w:val="18"/>
          <w:i w:val="1"/>
          <w:iCs w:val="1"/>
          <w:color w:val="auto"/>
        </w:rPr>
        <w:t>Incentive Award Plan Proposal</w:t>
      </w:r>
      <w:r>
        <w:rPr>
          <w:rFonts w:ascii="Times New Roman" w:cs="Times New Roman" w:eastAsia="Times New Roman" w:hAnsi="Times New Roman"/>
          <w:sz w:val="18"/>
          <w:szCs w:val="18"/>
          <w:color w:val="auto"/>
        </w:rPr>
        <w:t>” is incorporated herein by reference. A copy of the full text of the 2021 Plan is attached hereto as Exhibit 10.4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description of the compensation of the directors of Old Gemini before the consummation of the Transactions is set forth in the Proxy Statement/Prospectus in the section titled “</w:t>
      </w:r>
      <w:r>
        <w:rPr>
          <w:rFonts w:ascii="Times New Roman" w:cs="Times New Roman" w:eastAsia="Times New Roman" w:hAnsi="Times New Roman"/>
          <w:sz w:val="18"/>
          <w:szCs w:val="18"/>
          <w:i w:val="1"/>
          <w:iCs w:val="1"/>
          <w:color w:val="auto"/>
        </w:rPr>
        <w:t>Executive Compensation of Gemini - Director Compensation</w:t>
      </w:r>
      <w:r>
        <w:rPr>
          <w:rFonts w:ascii="Times New Roman" w:cs="Times New Roman" w:eastAsia="Times New Roman" w:hAnsi="Times New Roman"/>
          <w:sz w:val="18"/>
          <w:szCs w:val="18"/>
          <w:color w:val="auto"/>
        </w:rPr>
        <w:t>” and that information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Independence</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A description of the independence of our directors is set forth in the Proxy Statement/Prospectus in the section titled “</w:t>
      </w:r>
      <w:r>
        <w:rPr>
          <w:rFonts w:ascii="Times New Roman" w:cs="Times New Roman" w:eastAsia="Times New Roman" w:hAnsi="Times New Roman"/>
          <w:sz w:val="18"/>
          <w:szCs w:val="18"/>
          <w:i w:val="1"/>
          <w:iCs w:val="1"/>
          <w:color w:val="auto"/>
        </w:rPr>
        <w:t>Executive Compensation of Gemini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Independence</w:t>
      </w:r>
      <w:r>
        <w:rPr>
          <w:rFonts w:ascii="Times New Roman" w:cs="Times New Roman" w:eastAsia="Times New Roman" w:hAnsi="Times New Roman"/>
          <w:sz w:val="18"/>
          <w:szCs w:val="18"/>
          <w:color w:val="auto"/>
        </w:rPr>
        <w:t>” and that information is incorporated herein by reference.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Relationships and Related Person Transactions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Certain relationships and related person transactions are described in the Proxy Statement/Prospectus in the section titled “</w:t>
      </w:r>
      <w:r>
        <w:rPr>
          <w:rFonts w:ascii="Times New Roman" w:cs="Times New Roman" w:eastAsia="Times New Roman" w:hAnsi="Times New Roman"/>
          <w:sz w:val="18"/>
          <w:szCs w:val="18"/>
          <w:i w:val="1"/>
          <w:iCs w:val="1"/>
          <w:color w:val="auto"/>
        </w:rPr>
        <w:t>Certain Relationships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Person Transactions</w:t>
      </w:r>
      <w:r>
        <w:rPr>
          <w:rFonts w:ascii="Times New Roman" w:cs="Times New Roman" w:eastAsia="Times New Roman" w:hAnsi="Times New Roman"/>
          <w:sz w:val="18"/>
          <w:szCs w:val="18"/>
          <w:color w:val="auto"/>
        </w:rPr>
        <w:t>,” and that information is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Reference is made to the disclosure regarding legal proceedings in the section of the Proxy Statement/Prospectus titled “</w:t>
      </w:r>
      <w:r>
        <w:rPr>
          <w:rFonts w:ascii="Times New Roman" w:cs="Times New Roman" w:eastAsia="Times New Roman" w:hAnsi="Times New Roman"/>
          <w:sz w:val="18"/>
          <w:szCs w:val="18"/>
          <w:i w:val="1"/>
          <w:iCs w:val="1"/>
          <w:color w:val="auto"/>
        </w:rPr>
        <w:t>Information about FS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and that information is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Price of and Dividends on Common Equity and Related Stockholder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Common Stock began trading on February 8, 2021 under the symbol “GMTX.” As of immediately following the Closing Date there were approximately 89 registered holders of Common Stock.</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on shares Common Stock to date. The payment of cash dividends in the future will be dependent upon our revenues and earnings, if any, capital requirements and general financial condition. The payment of any dividends will be within the discretion of our Board. It is the present intention of the Board to retain all earnings, if any, for use in our business operations and, accordingly, our Board does not anticipate declaring any dividends in the foreseeable future. Further, if we incur any indebtedness, our ability to declare dividends may be limited by restrictive covenants we may agree to in connection therewith.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New Gemini’s Securities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The description of our securities is contained in the Proxy Statement/Prospectus in the section titled “</w:t>
      </w:r>
      <w:r>
        <w:rPr>
          <w:rFonts w:ascii="Times New Roman" w:cs="Times New Roman" w:eastAsia="Times New Roman" w:hAnsi="Times New Roman"/>
          <w:sz w:val="18"/>
          <w:szCs w:val="18"/>
          <w:i w:val="1"/>
          <w:iCs w:val="1"/>
          <w:color w:val="auto"/>
        </w:rPr>
        <w:t>Description of Securities After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w:t>
      </w:r>
      <w:r>
        <w:rPr>
          <w:rFonts w:ascii="Times New Roman" w:cs="Times New Roman" w:eastAsia="Times New Roman" w:hAnsi="Times New Roman"/>
          <w:sz w:val="18"/>
          <w:szCs w:val="18"/>
          <w:color w:val="auto"/>
        </w:rPr>
        <w:t>” and that information is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Officers and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New Gemini has entered into indemnification agreements with each of its directors and executive officers as of the Closing Date. Each indemnification agreement provides for indemnification and advancements by New Gemini of certain expenses and costs relating to claims, suits or proceedings arising from his or her service to New Gemini or, at our request, service to other entities, as officers or directors to the maximum extent permitted by applicable law.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indemnification agreements does not purport to be complete and is qualified in its entirety by the terms and conditions of the indemnification agreements, forms of which are filed as Exhibits 10.6 and 10.7 to this Current Report on Form 8-K and are each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9.01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Concurrently with the execution of Merger Agreement, FSDC entered into subscription agreements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with each of the PIPE Investors, pursuant to which, at the Closing, the PIPE Investors subscribed for and purchased an aggregate of 9,506,000 shares of Common Stock at a price of $10.00 per share for aggregate gross proceeds of $95,060,000.</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shares of Common Stock issued pursuant to the Subscription Agreements (the “</w:t>
      </w:r>
      <w:r>
        <w:rPr>
          <w:rFonts w:ascii="Times New Roman" w:cs="Times New Roman" w:eastAsia="Times New Roman" w:hAnsi="Times New Roman"/>
          <w:sz w:val="18"/>
          <w:szCs w:val="18"/>
          <w:u w:val="single" w:color="auto"/>
          <w:color w:val="auto"/>
        </w:rPr>
        <w:t>PIPE Financing Shares</w:t>
      </w:r>
      <w:r>
        <w:rPr>
          <w:rFonts w:ascii="Times New Roman" w:cs="Times New Roman" w:eastAsia="Times New Roman" w:hAnsi="Times New Roman"/>
          <w:sz w:val="18"/>
          <w:szCs w:val="18"/>
          <w:color w:val="auto"/>
        </w:rPr>
        <w:t>”) have not been registered under the Securities Act in reliance upon the exemption provided in Section 4(a)(2) of the Securities Act. Pursuant to the Subscription Agreements, we agreed that, within 30 calendar days after the Closing Date, we will file with the SEC (at our sole cost and expense) a registration statement (the “</w:t>
      </w:r>
      <w:r>
        <w:rPr>
          <w:rFonts w:ascii="Times New Roman" w:cs="Times New Roman" w:eastAsia="Times New Roman" w:hAnsi="Times New Roman"/>
          <w:sz w:val="18"/>
          <w:szCs w:val="18"/>
          <w:u w:val="single" w:color="auto"/>
          <w:color w:val="auto"/>
        </w:rPr>
        <w:t>Resale Registration Statement</w:t>
      </w:r>
      <w:r>
        <w:rPr>
          <w:rFonts w:ascii="Times New Roman" w:cs="Times New Roman" w:eastAsia="Times New Roman" w:hAnsi="Times New Roman"/>
          <w:sz w:val="18"/>
          <w:szCs w:val="18"/>
          <w:color w:val="auto"/>
        </w:rPr>
        <w:t>”) registering the resale of the PIPE Financing Shares. We will use our commercially reasonable efforts to have the Resale Registration Statement declared effective as soon as practicable after the filing thereof, but no later than the earlier of (i) 90 calendar days (or 120 calendar days if the SEC notifies us that it will review the Resale Registration Statement) following the filing thereof and (ii) five business days after we are notified by the SEC that the Resale Registration Statement will not be reviewed or will not be subject to further review.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spacing w:after="0" w:line="256" w:lineRule="auto"/>
        <w:rPr>
          <w:sz w:val="20"/>
          <w:szCs w:val="20"/>
          <w:color w:val="auto"/>
        </w:rPr>
      </w:pPr>
      <w:r>
        <w:rPr>
          <w:rFonts w:ascii="Times New Roman" w:cs="Times New Roman" w:eastAsia="Times New Roman" w:hAnsi="Times New Roman"/>
          <w:sz w:val="18"/>
          <w:szCs w:val="18"/>
          <w:color w:val="auto"/>
        </w:rPr>
        <w:t>We agreed to cause such Resale Registration Statement, or another shelf registration statement that includes the PIPE Financing Shares, to remain effective until the earliest of (x) the third anniversary of the Closing, (y) the date on which no PIPE Investor holds PIPE Financing Shares or (z) the first date on which each PIPE Investor is able to sell all of its PIPE Financing Shares under Rule 144 of the Securities Act within 90 days without limitation as to the amount of such securities that may be sold and without the requirement for us to be in compliance with the current public information required under Rule 144(c)(i) (or Rule 144(i)(2), if applicable). The foregoing description of the Subscription Agreements does not purport to be complete and is qualified in its entirety by the terms and conditions thereof, forms of which are attached hereto as Exhibit 10.8 and is incorporated herein by reference.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consummation of the Transactions, FSDC changed its name to “Gemini Therapeutics, Inc.” and adopted an amended and restated certificate of incorporation and amended and restated by-laws. Reference is made to the disclosure described in the Proxy Statement/Prospectus in the sections titled “</w:t>
      </w:r>
      <w:r>
        <w:rPr>
          <w:rFonts w:ascii="Times New Roman" w:cs="Times New Roman" w:eastAsia="Times New Roman" w:hAnsi="Times New Roman"/>
          <w:sz w:val="18"/>
          <w:szCs w:val="18"/>
          <w:i w:val="1"/>
          <w:iCs w:val="1"/>
          <w:color w:val="auto"/>
        </w:rPr>
        <w:t>The Charter Amendment Proposal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Comparison of Stockholder Rights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Description of Securities after the Business Combination</w:t>
      </w:r>
      <w:r>
        <w:rPr>
          <w:rFonts w:ascii="Times New Roman" w:cs="Times New Roman" w:eastAsia="Times New Roman" w:hAnsi="Times New Roman"/>
          <w:sz w:val="18"/>
          <w:szCs w:val="18"/>
          <w:color w:val="auto"/>
        </w:rPr>
        <w:t>,” which are incorporated herein by reference. This summary is qualified in its entirety by reference to the text of New Gemini’s amended and restated certificate of incorporation and amended and restated by-laws, which are attached as Exhibits 3.1 and 3.2 hereto, respectively, and are incorporated herein by reference.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Rule 12g-3(a) under the Securities Exchange Act of 1934, as amended (the “</w:t>
      </w:r>
      <w:r>
        <w:rPr>
          <w:rFonts w:ascii="Times New Roman" w:cs="Times New Roman" w:eastAsia="Times New Roman" w:hAnsi="Times New Roman"/>
          <w:sz w:val="18"/>
          <w:szCs w:val="18"/>
          <w:u w:val="single" w:color="auto"/>
          <w:color w:val="auto"/>
        </w:rPr>
        <w:t>Exchange Ac</w:t>
      </w:r>
      <w:r>
        <w:rPr>
          <w:rFonts w:ascii="Times New Roman" w:cs="Times New Roman" w:eastAsia="Times New Roman" w:hAnsi="Times New Roman"/>
          <w:sz w:val="18"/>
          <w:szCs w:val="18"/>
          <w:color w:val="auto"/>
        </w:rPr>
        <w:t>t”), New Gemini is the successor issuer to FSDC and has succeeded to the attributes of FSDC as the registrant. In addition, the shares of Common Stock of New Gemini, as the successor to FSDC, are deemed to be registered under Section 12(b) of the Exchange Act. Holders of uncertificated shares of FSDC’s Class A common stock prior to the Closing have continued as holders of shares of uncertificated shares of New Gemini’s Common Stock. After consummation of the Transactions, the Common Stock were listed on the Nasdaq under the “GMTX,” and the CUSIP number relating to the Common Stock is 36870G105. Holders of FSDC’s shares who have filed reports under the Exchange Act with respect to those shares should indicate in their next filing, or any amendment to a prior filing, filed on or after the Closing Date that New Gemini is the successor to FSDC.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4.01. Changes in Registrant’s Certifying Accountant.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WithumSmith+Brown, PC (“</w:t>
      </w:r>
      <w:r>
        <w:rPr>
          <w:rFonts w:ascii="Times New Roman" w:cs="Times New Roman" w:eastAsia="Times New Roman" w:hAnsi="Times New Roman"/>
          <w:sz w:val="18"/>
          <w:szCs w:val="18"/>
          <w:u w:val="single" w:color="auto"/>
          <w:color w:val="auto"/>
        </w:rPr>
        <w:t>Withum</w:t>
      </w:r>
      <w:r>
        <w:rPr>
          <w:rFonts w:ascii="Times New Roman" w:cs="Times New Roman" w:eastAsia="Times New Roman" w:hAnsi="Times New Roman"/>
          <w:sz w:val="18"/>
          <w:szCs w:val="18"/>
          <w:color w:val="auto"/>
        </w:rPr>
        <w:t>”) served as the independent registered accounting firm of FSDC prior to the completion of the Transactions. Accordingly, Withum was informed that the Board approved Withum’s dismissal as New Gemini’s independent registered public accounting firm once it completes the audit of FSDC for the fiscal year ended December 31, 2020 (the “</w:t>
      </w:r>
      <w:r>
        <w:rPr>
          <w:rFonts w:ascii="Times New Roman" w:cs="Times New Roman" w:eastAsia="Times New Roman" w:hAnsi="Times New Roman"/>
          <w:sz w:val="18"/>
          <w:szCs w:val="18"/>
          <w:u w:val="single" w:color="auto"/>
          <w:color w:val="auto"/>
        </w:rPr>
        <w:t>Effective Dismissal Time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5, 2021, the Board approved the engagement of Ernst &amp; Young LLP (“</w:t>
      </w:r>
      <w:r>
        <w:rPr>
          <w:rFonts w:ascii="Times New Roman" w:cs="Times New Roman" w:eastAsia="Times New Roman" w:hAnsi="Times New Roman"/>
          <w:sz w:val="18"/>
          <w:szCs w:val="18"/>
          <w:u w:val="single" w:color="auto"/>
          <w:color w:val="auto"/>
        </w:rPr>
        <w:t>E&amp;Y</w:t>
      </w:r>
      <w:r>
        <w:rPr>
          <w:rFonts w:ascii="Times New Roman" w:cs="Times New Roman" w:eastAsia="Times New Roman" w:hAnsi="Times New Roman"/>
          <w:sz w:val="18"/>
          <w:szCs w:val="18"/>
          <w:color w:val="auto"/>
        </w:rPr>
        <w:t>”) as New Gemini’s new independent registered public accounting firm effective as of the Effective Dismissal Time.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report of Withum on the audited financial statements of FSDC for the period from June 25, 2020 (inception) through June 30, 2020, contained no adverse opinion or disclaimer of opinion and were not qualified or modified as to uncertainty, audit scope or accounting principles.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Withum’s audit for the period from June 25, 2020 (inception) through June 30, 2020, and their reviews of FSDC’s financial statements, there were no disagreements with Withum on any matter of accounting principles or practices, financial statement disclosure, or auditing scope or procedure, which disagreements, if not resolved to the satisfaction of Withum, would have caused them to make reference thereto in their reports on the financial statements.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furnished to Withum the statements made in this Item 4.01. Attached as Exhibit 16.1 to this Form 8-K is Withum’s letter to the SEC, dated February 11, 2021, regarding these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During the two most recent fiscal years and through the Effective Date of this current report, the Company has not consulted with E&amp;Y on any matter that</w:t>
      </w:r>
    </w:p>
    <w:p>
      <w:pPr>
        <w:spacing w:after="0" w:line="27" w:lineRule="exact"/>
        <w:rPr>
          <w:sz w:val="20"/>
          <w:szCs w:val="20"/>
          <w:color w:val="auto"/>
        </w:rPr>
      </w:pPr>
    </w:p>
    <w:p>
      <w:pPr>
        <w:jc w:val="both"/>
        <w:ind w:firstLine="8"/>
        <w:spacing w:after="0" w:line="253" w:lineRule="auto"/>
        <w:tabs>
          <w:tab w:leader="none" w:pos="2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the application of accounting principles to a specified transaction, either completed or proposed, or the type of audit opinion that might be rendered on the Company’s financial statements, in each case where a written report was provided or oral advice was provided that E&amp;Y concluded was an important factor considered by the Company in reaching a decision as to the accounting, auditing or financial reporting issue; or (ii) was either the subject of a disagreement, as that term is defined in Item 304(a)(1)(iv) of Regulation S-K and the related instructions to Item 304 of Regulation S-K, or a reportable event, as that term is defined in Item 304(a)(1)(v) of Regulation 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5.01. Changes in Control of Registrant.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Reference is made to the disclosure in the Proxy Statement/Prospectus in the section titled “</w:t>
      </w:r>
      <w:r>
        <w:rPr>
          <w:rFonts w:ascii="Times New Roman" w:cs="Times New Roman" w:eastAsia="Times New Roman" w:hAnsi="Times New Roman"/>
          <w:sz w:val="18"/>
          <w:szCs w:val="18"/>
          <w:i w:val="1"/>
          <w:iCs w:val="1"/>
          <w:color w:val="auto"/>
        </w:rPr>
        <w:t>Business Combination Proposal—The Merger Agreement</w:t>
      </w:r>
      <w:r>
        <w:rPr>
          <w:rFonts w:ascii="Times New Roman" w:cs="Times New Roman" w:eastAsia="Times New Roman" w:hAnsi="Times New Roman"/>
          <w:sz w:val="18"/>
          <w:szCs w:val="18"/>
          <w:color w:val="auto"/>
        </w:rPr>
        <w:t>,” which is incorporated herein by reference. Further reference is made to the information contained in Item 2.01 to this Current Report on Form 8-K, which is incorporated herein by reference.</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the consummation of the Transactions, and in accordance with the terms of the Merger Agreement, each director, other than Dr. Tananbaum, and all executive officers of FSDC ceased serving in such capacities and six new directors were appointed to the Board. The Board was divided into three staggered classes of directors and each director was assigned to one of the three classes. At each annual meeting of the stockholders, a class of directors will be elected for a three-year term to succeed the directors of the same class whose terms are then expiring. The terms of the directors will expire upon the election and qualification of successor directors at the annual meeting of stockholders to be held during the year 2021 for Class I directors, 2022 for Class II directors and 2023 for Class III directors. The Class I directors elected are Jean George and Dr. Carl Gordon. The Class II directors elected are David Lubner, Dr. Tuyen Ong, and Jason Rhodes. The Class III directors elected are Jason Meyenburg and Dr. Jim Tananbaum.</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following the consummation of the transactions, the Board established three standing committees: an audit committee, a compensation committee and a nominating and corporate governance committee. The audit committee consists of Dr. Carl Gordon, David Lubner (serves as Chair) and Jason Rhodes. The compensation committee consists of Jean George, Dr. Tuyen Ong (serves as Chair), and Dr. Jim Tananbaum. The nominating and corporate governance committee consists of Jean George (serves as Chair), Jason Rhodes and Dr. Jim Tananbaum.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description of the compensation of the directors of FSDC and Old Gemini before the consummation of the Transactions is set forth in the Proxy Statement/Prospectus in the section titled “</w:t>
      </w:r>
      <w:r>
        <w:rPr>
          <w:rFonts w:ascii="Times New Roman" w:cs="Times New Roman" w:eastAsia="Times New Roman" w:hAnsi="Times New Roman"/>
          <w:sz w:val="18"/>
          <w:szCs w:val="18"/>
          <w:i w:val="1"/>
          <w:iCs w:val="1"/>
          <w:color w:val="auto"/>
        </w:rPr>
        <w:t>Executive Compensation of Gemini - Director Compensation</w:t>
      </w:r>
      <w:r>
        <w:rPr>
          <w:rFonts w:ascii="Times New Roman" w:cs="Times New Roman" w:eastAsia="Times New Roman" w:hAnsi="Times New Roman"/>
          <w:sz w:val="18"/>
          <w:szCs w:val="18"/>
          <w:color w:val="auto"/>
        </w:rPr>
        <w:t>” and that information is incorporated herein by reference.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Transactions, pursuant to our non-employee director compensation policy, which is designed to enable us to attract and retain, on a long-term basis, highly qualified non-employee directors, each director who is not an employee will be paid cash compensation for serving on the Board, with such compensation to be paid on a quarterly basis in arrears: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Annual</w:t>
            </w:r>
          </w:p>
        </w:tc>
      </w:tr>
      <w:tr>
        <w:trPr>
          <w:trHeight w:val="245"/>
        </w:trPr>
        <w:tc>
          <w:tcPr>
            <w:tcW w:w="494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Retainer</w:t>
            </w:r>
          </w:p>
        </w:tc>
      </w:tr>
      <w:tr>
        <w:trPr>
          <w:trHeight w:val="216"/>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5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 Chair</w:t>
            </w:r>
          </w:p>
        </w:tc>
        <w:tc>
          <w:tcPr>
            <w:tcW w:w="5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65,000</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 Chair</w:t>
            </w:r>
          </w:p>
        </w:tc>
        <w:tc>
          <w:tcPr>
            <w:tcW w:w="5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Member</w:t>
            </w:r>
          </w:p>
        </w:tc>
        <w:tc>
          <w:tcPr>
            <w:tcW w:w="5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5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Member</w:t>
            </w:r>
          </w:p>
        </w:tc>
        <w:tc>
          <w:tcPr>
            <w:tcW w:w="5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Chair</w:t>
            </w:r>
          </w:p>
        </w:tc>
        <w:tc>
          <w:tcPr>
            <w:tcW w:w="5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8,000</w:t>
            </w: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Member</w:t>
            </w:r>
          </w:p>
        </w:tc>
        <w:tc>
          <w:tcPr>
            <w:tcW w:w="5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r>
      <w:tr>
        <w:trPr>
          <w:trHeight w:val="637"/>
        </w:trPr>
        <w:tc>
          <w:tcPr>
            <w:tcW w:w="49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jc w:val="right"/>
              <w:ind w:right="421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4" w:name="page15"/>
    <w:bookmarkEnd w:id="14"/>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each non-employee elected or appointed to the Board following the Closing will be granted a one-time stock option award to purchase a number of shares of Common Stock equal to 0.08% of the total shares outstanding on the date of such director’s election or appointment to the Board, which will vest in equal monthly installments over three years, subject to continued service through such vesting dates (such grants will be made no earlier than following the effectiveness of the filing with the SEC of a registration statement on Form S-8 covering the Common Stock). On the date of each annual meeting of stockholders of our company, each non-employee director will be granted an annual stock option award to purchase a number of shares of Common Stock equal to 0.04% of the total shares outstanding, which will vest in full of the earlier to occur of the first anniversary of the date of grant or the next annual meeting, subject to continued service as a director through such vesting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consummation of the Transactions, the following individuals were appointed to serve as executive officers of New Gemini:</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8"/>
        </w:trPr>
        <w:tc>
          <w:tcPr>
            <w:tcW w:w="70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Jason Meyenburg</w:t>
            </w:r>
          </w:p>
        </w:tc>
        <w:tc>
          <w:tcPr>
            <w:tcW w:w="100" w:type="dxa"/>
            <w:vAlign w:val="bottom"/>
          </w:tcPr>
          <w:p>
            <w:pPr>
              <w:spacing w:after="0"/>
              <w:rPr>
                <w:sz w:val="17"/>
                <w:szCs w:val="17"/>
                <w:color w:val="auto"/>
              </w:rPr>
            </w:pPr>
          </w:p>
        </w:tc>
        <w:tc>
          <w:tcPr>
            <w:tcW w:w="4060" w:type="dxa"/>
            <w:vAlign w:val="bottom"/>
            <w:tcBorders>
              <w:top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Gregg Beloff</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Lauder, Ph.D.</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34"/>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Uknis, M.D.</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Medical Officer</w:t>
            </w:r>
          </w:p>
        </w:tc>
      </w:tr>
    </w:tbl>
    <w:p>
      <w:pPr>
        <w:spacing w:after="0" w:line="200" w:lineRule="exact"/>
        <w:rPr>
          <w:sz w:val="20"/>
          <w:szCs w:val="20"/>
          <w:color w:val="auto"/>
        </w:rPr>
      </w:pPr>
    </w:p>
    <w:p>
      <w:pPr>
        <w:spacing w:after="0" w:line="2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Reference is made to the disclosure described in the Proxy Statement/Prospectus in the section titled “</w:t>
      </w:r>
      <w:r>
        <w:rPr>
          <w:rFonts w:ascii="Times New Roman" w:cs="Times New Roman" w:eastAsia="Times New Roman" w:hAnsi="Times New Roman"/>
          <w:sz w:val="18"/>
          <w:szCs w:val="18"/>
          <w:i w:val="1"/>
          <w:iCs w:val="1"/>
          <w:color w:val="auto"/>
        </w:rPr>
        <w:t>Management After the Business Combination</w:t>
      </w:r>
      <w:r>
        <w:rPr>
          <w:rFonts w:ascii="Times New Roman" w:cs="Times New Roman" w:eastAsia="Times New Roman" w:hAnsi="Times New Roman"/>
          <w:sz w:val="18"/>
          <w:szCs w:val="18"/>
          <w:color w:val="auto"/>
        </w:rPr>
        <w:t>,” which is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Gemini Therapeutics Holdings, Inc. 2021 Equity Incentive Plan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Special Meeting, our stockholders considered and approved the 2021 Stock Option and Incentive Plan (the “</w:t>
      </w:r>
      <w:r>
        <w:rPr>
          <w:rFonts w:ascii="Times New Roman" w:cs="Times New Roman" w:eastAsia="Times New Roman" w:hAnsi="Times New Roman"/>
          <w:sz w:val="18"/>
          <w:szCs w:val="18"/>
          <w:u w:val="single" w:color="auto"/>
          <w:color w:val="auto"/>
        </w:rPr>
        <w:t>2021 Plan</w:t>
      </w:r>
      <w:r>
        <w:rPr>
          <w:rFonts w:ascii="Times New Roman" w:cs="Times New Roman" w:eastAsia="Times New Roman" w:hAnsi="Times New Roman"/>
          <w:sz w:val="18"/>
          <w:szCs w:val="18"/>
          <w:color w:val="auto"/>
        </w:rPr>
        <w:t>”). Following the Closing, the 2021 Plan assumed outstanding equity awards under the Old Gemini 2017 Stock Option and Grant Plan (the “</w:t>
      </w:r>
      <w:r>
        <w:rPr>
          <w:rFonts w:ascii="Times New Roman" w:cs="Times New Roman" w:eastAsia="Times New Roman" w:hAnsi="Times New Roman"/>
          <w:sz w:val="18"/>
          <w:szCs w:val="18"/>
          <w:u w:val="single" w:color="auto"/>
          <w:color w:val="auto"/>
        </w:rPr>
        <w:t>2017 Plan</w:t>
      </w:r>
      <w:r>
        <w:rPr>
          <w:rFonts w:ascii="Times New Roman" w:cs="Times New Roman" w:eastAsia="Times New Roman" w:hAnsi="Times New Roman"/>
          <w:sz w:val="18"/>
          <w:szCs w:val="18"/>
          <w:color w:val="auto"/>
        </w:rPr>
        <w:t>”) and the Old Gemini 2015 Employee, Director and Consultant Stock Option Plan ((the “</w:t>
      </w:r>
      <w:r>
        <w:rPr>
          <w:rFonts w:ascii="Times New Roman" w:cs="Times New Roman" w:eastAsia="Times New Roman" w:hAnsi="Times New Roman"/>
          <w:sz w:val="18"/>
          <w:szCs w:val="18"/>
          <w:u w:val="single" w:color="auto"/>
          <w:color w:val="auto"/>
        </w:rPr>
        <w:t>2015 Plan</w:t>
      </w:r>
      <w:r>
        <w:rPr>
          <w:rFonts w:ascii="Times New Roman" w:cs="Times New Roman" w:eastAsia="Times New Roman" w:hAnsi="Times New Roman"/>
          <w:sz w:val="18"/>
          <w:szCs w:val="18"/>
          <w:color w:val="auto"/>
        </w:rPr>
        <w:t xml:space="preserve">”) and, together with the 2017 Plan, the (“Old </w:t>
      </w:r>
      <w:r>
        <w:rPr>
          <w:rFonts w:ascii="Times New Roman" w:cs="Times New Roman" w:eastAsia="Times New Roman" w:hAnsi="Times New Roman"/>
          <w:sz w:val="18"/>
          <w:szCs w:val="18"/>
          <w:u w:val="single" w:color="auto"/>
          <w:color w:val="auto"/>
        </w:rPr>
        <w:t>Gemini Plans</w:t>
      </w:r>
      <w:r>
        <w:rPr>
          <w:rFonts w:ascii="Times New Roman" w:cs="Times New Roman" w:eastAsia="Times New Roman" w:hAnsi="Times New Roman"/>
          <w:sz w:val="18"/>
          <w:szCs w:val="18"/>
          <w:color w:val="auto"/>
        </w:rPr>
        <w:t>”)), (and such assumed awards will not count against the share reserve under the 2021 Plan), but no further grants will be made under the Old Gemini Plans. Furthermore, the 2021 Plan allows the Company to grant stock options, restricted stock unit awards and other awards at levels determined appropriate by its Board or compensation committee. The 2021 Plan will also allow the Company to utilize a broad array of equity incentives and performance-based cash incentives in order to secure and retain the services of its employees, directors and consultants, and to provide long-term incentives that align the interests of its employees, directors and consultants with the interests of its stockholders.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features of the 2021 Plan include:</w:t>
      </w:r>
    </w:p>
    <w:p>
      <w:pPr>
        <w:spacing w:after="0" w:line="225" w:lineRule="exact"/>
        <w:rPr>
          <w:sz w:val="20"/>
          <w:szCs w:val="20"/>
          <w:color w:val="auto"/>
        </w:rPr>
      </w:pPr>
    </w:p>
    <w:p>
      <w:pPr>
        <w:jc w:val="both"/>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Initially, the maximum number of shares of Common Stock that may be issued under the 2021 Plan is 4,264,341 shares. The number of shares of Common Stock reserved for issuance under the 2021 Plan will automatically increase on January 1 of each year, beginning on January 1, 2022 by 4% of the total number of shares of Common Stock outstanding on December 31 of the preceding calendar year, or a lesser number of shares determined by the administrator of the 2021 Plan;</w:t>
      </w:r>
    </w:p>
    <w:p>
      <w:pPr>
        <w:spacing w:after="0" w:line="1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of stock options (both incentive and non-qualified options), stock appreciation rights, restricted stock, restricted stock units, unrestricted stock, cash-based awards, and dividend equivalent rights is permitted;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and stock appreciation rights will not be repriced in any manner without stockholder approval;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all awards awarded under the 2021 Plan and all other cash compensation paid by us to any non-employee director in any calendar year may not exceed $750,000 or $1,000,000 for the year in which a non-employee director is first appointed or elected to the Company’s Board;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to the 2021 Plan are subject to approval by our stockholders;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2021 Plan will expire on the tenth anniversary of the effective date that the 2021 Plan was approved by the Board.</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A more complete summary of the terms of the 2021 Plan is set forth in the Proxy Statement/Prospectus in the section titled “</w:t>
      </w:r>
      <w:r>
        <w:rPr>
          <w:rFonts w:ascii="Times New Roman" w:cs="Times New Roman" w:eastAsia="Times New Roman" w:hAnsi="Times New Roman"/>
          <w:sz w:val="18"/>
          <w:szCs w:val="18"/>
          <w:i w:val="1"/>
          <w:iCs w:val="1"/>
          <w:color w:val="auto"/>
        </w:rPr>
        <w:t>Incentive Award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 That summary and the foregoing description of the 2021 Plan does not purport to be complete and is qualified in its entirety by reference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text of the 2021 Plan, which is attached as Exhibit 10.4 hereto and incorporated herein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Arrangements and Severance Agreements with Gemini’s Named Executive Officers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entered into a new employment agreement with Mr. Meyenburg on January 21, 2021, which became effective as of the Closing and replaces Mr. Meyenburg’s earlier employment agreement. Pursuant to this agreement we employ Mr. Meyenburg as our President and Chief Executive Officer. The employment agreement also provides for Mr. Meyenburg to serve as a member of our board of directors for as long as he is employed as our Chief Executive Officer. The employment of Mr. Meyenburg is “at will” and the agreement endures until terminated by either party.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Meyenburg’s current annual base salary is $515,000, which is subject to periodic review and adjustment. Pursuant to the employment agreement, Mr. Meyenburg is eligible to participate in an annual bonus program as may be established from time to time by our board of directors or compensation committee. Under such bonus programs, Mr. Meyenburg is eligible to receive an annual bonus targeted 50% of his annual base salary. The actual amount of the bonus is determined by the board of directors based on its assessment of the performance of Mr. Meyenburg and that of the Company against pre-established goals determined by our board of directors.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such time as requested by the compensation committee of the board or the board of directors, following the ending of the COVID-19 pandemic, Mr. Meyenburg must be present in the Company’s offices for three to four days per week. Mr. Meyenburg is entitled to a living expense allowance (as such term is defined in his employment agreement).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Mr. Meyenburg’s employment is terminated without cause or he resigns for good reason, in either event within the twelve month period immediate following a Change in Control (as such term is defined in his employment agreement), subject to his execution and non-revocation of a separation agreement, including a general release of claims in our favor, Mr. Meyenburg is entitled to (a) a lump sum in cash equal to the sum of one times the sum of one and half times (i) Mr. Meyenburg’s then current Base Salary plus (ii) Mr. Meyenburg’s Target Bonus for the then-current year; (b) any then outstanding time-based equity awards shall accelerate and become fully vested as of the later of (i) the date of termination or (ii) the effective date of the separation agreement and release; and (c) monthly COBRA premiums paid by us until the earlier of: (i) the eighteen (18) month anniversary of the date of termination; (ii) the date Mr. Meyenburg becomes eligible for health insurance through another employer, or (iii) the cessation of Mr. Meyenburg’s continuation rights under COBRA.</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in the event Mr. Meyenburg’s employment is terminated without cause or he resigns for good reason at any time, subject to his execution and non-revocation of a separation agreement, including a general release of claims in our favor (and, in New Gemini’s sole discretion, a one-year post-employment noncompetition agreement), Mr. Meyenburg is entitled to the following termination payments: (a) continuation of base salary for twelve months, which we refer to as the Salary Continuation Period (provided, that in the event that Mr. Meyenburg is entitled to any payments pursuant to his Employee Confidentiality, Assignment and Noncompetition Agreement with us, such base salary continuation payments in any calendar year will be reduced by the amount that Mr. Meyenburg is paid in the same calendar year pursuant to the restrictive covenant agreement); and (b) if Mr. Meyenburg elects to continue his health benefits through COBRA, continued group health benefits with the cost of monthly COBRA premiums shared in the same relative proportion as in effect on his termination date until the earlier of: until the earlier of: (i) the twelve (12) month anniversary of the date of termination; (ii) the date Mr. Meyenburg becomes eligible for health insurance through another employer, or (iii) the cessation of Mr. Meyenburg’s continuation rights under COBRA. Payment of the severance payments under the offer letter agreement shall cease in the event that Mr. Meyenburg breaches his obligations under the Employee Confidentiality, Assignment and Noncompetition Agreement entered into with us.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spacing w:after="0" w:line="282" w:lineRule="auto"/>
        <w:rPr>
          <w:sz w:val="20"/>
          <w:szCs w:val="20"/>
          <w:color w:val="auto"/>
        </w:rPr>
      </w:pPr>
      <w:r>
        <w:rPr>
          <w:rFonts w:ascii="Times New Roman" w:cs="Times New Roman" w:eastAsia="Times New Roman" w:hAnsi="Times New Roman"/>
          <w:sz w:val="18"/>
          <w:szCs w:val="18"/>
          <w:color w:val="auto"/>
        </w:rPr>
        <w:t>Mr. Meyenburg has also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Dr. Uknis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entered into an employment agreement with Dr. Uknis dated December 24, 2020, which became effective as of the Closing, and replaces Dr. Uknis’ earlier employment agreement. Pursuant to the employment agreement Dr. Uknis serves as our Chief Medical Officer. The employment of Dr. Uknis is “at will” and the agreement endures until terminated by either party.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 Uknis’s current annual base salary is $415,000, which is subject to periodic review and adjustment. Under the terms of the employment agreement, Dr. Uknis is eligible to participate in any annual bonus programs as may be established from time to time by our board of directors or compensation committee. Under such bonus programs, Dr. Uknis is eligible to receive an annual bonus targeted at 40% of his annual base salary. At such time as requested by the compensation committee of the board or the board of directors, following the ending of the COVID-19 pandemic, Dr. Uknis must be present in the Company’s offices for three to four days per week. Once Dr. Uknis is required to relocate to the Boston area, Dr. Uknis is entitled to a living expense allowance (as such term is defined in his employment agreement).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Dr. Uknis’s employment is terminated without “cause” (as such term is defined in his employment agreement) or he resigns for “good reason” (as such term is defined in his employment agreement), subject to his execution and non-revocation of a separation agreement and general release of claims in our favor, Dr. Uknis is entitled to the following: (a) continuation of base salary for nine months, which we refer to as the Salary Continuation Period, (b) a pro rata portion of the Target Bonus (as such term is defined in his employment agreement); and (c) monthly COBRA premiums paid by us until the earlier of: (i) the end of the Salary Continuation Period; (ii) the date Dr. Uknis becomes eligible for health insurance through another employer, or (iii) the cessation of Dr. Uknis’s continuation rights under COBRA.</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Dr. Uknis’s employment is terminated without cause or he resigns for good reason, in either event within the twelve month period immediate following a Change in Control (as such term is defined in his employment agreement), subject to his execution and non-revocation of a separation agreement, including a general release of claims in our favor, Dr. Uknis is entitled to (a) a lump sum in cash equal to the sum of one times the sum of (i) Dr. Uknis’s then current Base Salary plus (ii) Dr. Uknis’s Target Bonus for the then-current year; (b) any then outstanding time-based equity awards shall accelerate and become fully vested as of the later of (i) the date of termination or (ii) the effective date of the separation agreement and release; and (c) monthly COBRA premiums paid by us until the earlier of: (i) the twelve (12) month anniversary of the date of termination; (ii) the date Dr. Uknis becomes eligible for health insurance through another employer, or (iii) the cessation of Dr. Uknis’s continuation rights under COBRA.</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Dr. Uknis has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Dr. Lauder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entered into an employment agreement with Dr. Lauder dated January 11, 2021, which became effective as of the Closing, and replaces Dr. Lauder’s prior employment agreement. Pursuant to the agreement, Dr. Lauder serves as our Chief Technology Officer. The employment of Dr. Lauder is “at will” and the agreement endures until terminated by either party.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 Lauder’s current annual base salary is $411,650, which is subject to periodic review and adjustment. Under the terms of the employment agreement, Dr. Lauder is eligible to participate in any annual bonus programs as may be established from time to time by our board of directors or compensation committee. Under such bonus programs, Dr. Lauder is eligible to receive an annual bonus targeted at 40% of his annual base salary.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Dr. Lauder’s employment is terminated without “cause” (as such term is defined in his employment agreement) or he resigns for “good reason” (as such term is defined in his employment agreement), subject to his execution and non-revocation of a separation agreement and general release of claims in our favor, Dr. Lauder is entitled to the following: (a) continuation of base salary for nine months, which we refer to as the Salary Continuation Period, (b) a pro rata portion of the Target Bonus (as such term is defined in his employment agreement); and (c) monthly COBRA premiums paid by us until the earlier of: (i) the end of the twelve (12) month anniversary of the date of termination (as such term is defined in his employment agreement); (ii) the date Dr. Lauder becomes eligible for health insurance through another employer, or (iii) the cessation of Dr. Lauder’s continuation rights under COBRA.</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Dr. Lauder’s employment is terminated without cause or he resigns for good reason, in either event within the twelve month period immediate following a Change in Control (as such term is defined in his employment agreement), subject to his execution and non-revocation of a separation agreement, including a general release of claims in our favor, Dr. Lauder is entitled to (a) a lump sum in cash equal to the sum of one times the sum of (i) Dr. Lauder’s then current Base Salary plus (ii) Dr. Lauder’s Target Bonus for the then-current year; (b) any then outstanding time-based equity awards shall accelerate and become fully vested as of the later of (i) the date of termination or (ii) the effective date of the separation agreement and release; and (c) monthly COBRA premiums paid by us until the earlier of: (i) the twelve (12) month anniversary of the date of termination; (ii) the date Dr. Lauder becomes eligible for health insurance through another employer, or (iii) the cessation of Dr. Lauder’s continuation rights under COBRA.</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 Lauder has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employment agreements with each of Mr. Meyenburg, Dr. Uknis and Dr. Lauder does not purport to be complete and is qualified in its entirety by the terms and conditions of the employment agreements, which are filed herewith as Exhibits 10.9, 10.10 and 10.11, respectively, and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set forth in Item 3.03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5.06. Change in Shell Company Status.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Transactions, New Gemini ceased to be a shell company upon the Closing. The material terms of the Transactions are described in the section entitled “</w:t>
      </w:r>
      <w:r>
        <w:rPr>
          <w:rFonts w:ascii="Times New Roman" w:cs="Times New Roman" w:eastAsia="Times New Roman" w:hAnsi="Times New Roman"/>
          <w:sz w:val="18"/>
          <w:szCs w:val="18"/>
          <w:i w:val="1"/>
          <w:iCs w:val="1"/>
          <w:color w:val="auto"/>
        </w:rPr>
        <w:t>Business Combination Proposal</w:t>
      </w:r>
      <w:r>
        <w:rPr>
          <w:rFonts w:ascii="Times New Roman" w:cs="Times New Roman" w:eastAsia="Times New Roman" w:hAnsi="Times New Roman"/>
          <w:sz w:val="18"/>
          <w:szCs w:val="18"/>
          <w:color w:val="auto"/>
        </w:rPr>
        <w:t>” of the Proxy Statement/Prospectus and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Closing, (i) the issued and outstanding shares of FSDC Class A Common Stock were automatically converted, on a one-for-one basis, into shares of Common Stock of New Gemini and (ii) the issued and outstanding FSDC Class B Common Stock were automatically converted, on a one-for-one basis, into shares of Common Stock of New Gemini.</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Financial statements of businesses acquired.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of Old Gemini for the years ended December 31, 2018 and December 31, 2019, the related notes and report of independent registered public accounting firm, as well as the financial statements for the nine months ended September 30, 2019 and September 30, 2020, and the related notes are set forth in the Proxy Statement/Prospectus beginning on page F-36 and are incorporated herein by reference.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statements of FSDC for the period from June 25, 2020 (inception) through June 30, 2020 and the related notes and report of independent registered public accounting firm, are set forth in the Proxy Statement/Prospectus beginning on page F-19 and are incorporated herein by reference.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financial statements of FSDC for the three months ended September 30, 2020 and for the period from June 25, 2020 (inception) through September 30, 2020, and the related notes, are set forth in the Proxy Statement/Prospectus beginning on page F-2 and are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Pro forma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unaudited pro forma combined financial information is attached hereto as Exhibit 99.1 and is incorporated herein by reference.</w:t>
      </w:r>
    </w:p>
    <w:p>
      <w:pPr>
        <w:spacing w:after="0" w:line="221" w:lineRule="exact"/>
        <w:rPr>
          <w:sz w:val="20"/>
          <w:szCs w:val="20"/>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1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140" w:type="dxa"/>
            <w:vAlign w:val="bottom"/>
          </w:tcPr>
          <w:p>
            <w:pPr>
              <w:spacing w:after="0"/>
              <w:rPr>
                <w:sz w:val="21"/>
                <w:szCs w:val="21"/>
                <w:color w:val="auto"/>
              </w:rPr>
            </w:pPr>
          </w:p>
        </w:tc>
        <w:tc>
          <w:tcPr>
            <w:tcW w:w="7960" w:type="dxa"/>
            <w:vAlign w:val="bottom"/>
            <w:gridSpan w:val="2"/>
          </w:tcPr>
          <w:p>
            <w:pPr>
              <w:ind w:left="24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4340" w:type="dxa"/>
            <w:vAlign w:val="bottom"/>
            <w:tcBorders>
              <w:top w:val="single" w:sz="8" w:color="auto"/>
            </w:tcBorders>
          </w:tcPr>
          <w:p>
            <w:pPr>
              <w:spacing w:after="0"/>
              <w:rPr>
                <w:sz w:val="18"/>
                <w:szCs w:val="18"/>
                <w:color w:val="auto"/>
              </w:rPr>
            </w:pPr>
          </w:p>
        </w:tc>
        <w:tc>
          <w:tcPr>
            <w:tcW w:w="3620" w:type="dxa"/>
            <w:vAlign w:val="bottom"/>
            <w:tcBorders>
              <w:top w:val="single" w:sz="8" w:color="auto"/>
            </w:tcBorders>
          </w:tcPr>
          <w:p>
            <w:pPr>
              <w:spacing w:after="0"/>
              <w:rPr>
                <w:sz w:val="18"/>
                <w:szCs w:val="18"/>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010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Merger Agreement, dated as of October 15, 2020, by and among Gemini Therapeutics, Inc., Shareholder Representative Services LLC, FS</w:t>
              </w:r>
            </w:hyperlink>
          </w:p>
        </w:tc>
      </w:tr>
      <w:tr>
        <w:trPr>
          <w:trHeight w:val="237"/>
        </w:trPr>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100" w:type="dxa"/>
            <w:vAlign w:val="bottom"/>
            <w:gridSpan w:val="3"/>
            <w:shd w:val="clear" w:color="auto" w:fill="CCEEFF"/>
          </w:tcPr>
          <w:p>
            <w:pPr>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Development Corp., and FSG Merger Sub Inc. (incorporated by reference to Annex A to the Proxy Statement/Prospectus).</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Amended and Restated Articles of Certificate of Incorporation Gemini Therapeutics, Inc. (incorporated by reference to Annex B to the</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line="196" w:lineRule="exact"/>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Proxy Statement/Prospectus).</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4340" w:type="dxa"/>
            <w:vAlign w:val="bottom"/>
            <w:tcBorders>
              <w:top w:val="single" w:sz="8" w:color="CCEE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rFonts w:ascii="Times New Roman" w:cs="Times New Roman" w:eastAsia="Times New Roman" w:hAnsi="Times New Roman"/>
                <w:sz w:val="18"/>
                <w:szCs w:val="18"/>
                <w:u w:val="single" w:color="auto"/>
                <w:color w:val="0000EE"/>
              </w:rPr>
            </w:pPr>
            <w:hyperlink w:anchor="page89">
              <w:r>
                <w:rPr>
                  <w:rFonts w:ascii="Times New Roman" w:cs="Times New Roman" w:eastAsia="Times New Roman" w:hAnsi="Times New Roman"/>
                  <w:sz w:val="18"/>
                  <w:szCs w:val="18"/>
                  <w:u w:val="single" w:color="auto"/>
                  <w:color w:val="0000EE"/>
                </w:rPr>
                <w:t>Amended and Restated By-laws of Gemini Therapeutics, Inc. (incorporated by reference to Annex C to the Proxy Statement/Prospectus).</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rFonts w:ascii="Times New Roman" w:cs="Times New Roman" w:eastAsia="Times New Roman" w:hAnsi="Times New Roman"/>
                <w:sz w:val="18"/>
                <w:szCs w:val="18"/>
                <w:u w:val="single" w:color="auto"/>
                <w:color w:val="0000EE"/>
              </w:rPr>
            </w:pPr>
            <w:hyperlink w:anchor="page104">
              <w:r>
                <w:rPr>
                  <w:rFonts w:ascii="Times New Roman" w:cs="Times New Roman" w:eastAsia="Times New Roman" w:hAnsi="Times New Roman"/>
                  <w:sz w:val="18"/>
                  <w:szCs w:val="18"/>
                  <w:u w:val="single" w:color="auto"/>
                  <w:color w:val="0000EE"/>
                </w:rPr>
                <w:t>Form of Specimen Common Stock Certificate.</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Registration Rights Agreement, dated February 5, 2021, by and among Gemini Therapeutics, Inc. and the stockholders party thereto</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(incorporated by reference to Exhibit 10.1 on Form 8-A12B/A filed on February 5,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4340" w:type="dxa"/>
            <w:vAlign w:val="bottom"/>
            <w:tcBorders>
              <w:top w:val="single" w:sz="8" w:color="0000EE"/>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rFonts w:ascii="Times New Roman" w:cs="Times New Roman" w:eastAsia="Times New Roman" w:hAnsi="Times New Roman"/>
                <w:sz w:val="18"/>
                <w:szCs w:val="18"/>
                <w:u w:val="single" w:color="auto"/>
                <w:color w:val="0000EE"/>
              </w:rPr>
            </w:pPr>
            <w:hyperlink w:anchor="page106">
              <w:r>
                <w:rPr>
                  <w:rFonts w:ascii="Times New Roman" w:cs="Times New Roman" w:eastAsia="Times New Roman" w:hAnsi="Times New Roman"/>
                  <w:sz w:val="18"/>
                  <w:szCs w:val="18"/>
                  <w:u w:val="single" w:color="auto"/>
                  <w:color w:val="0000EE"/>
                </w:rPr>
                <w:t>Voting Agreement, dated February 5, 2021, by and among Gemini Therapeutics, Inc. and the other parties thereto.</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rFonts w:ascii="Times New Roman" w:cs="Times New Roman" w:eastAsia="Times New Roman" w:hAnsi="Times New Roman"/>
                <w:sz w:val="18"/>
                <w:szCs w:val="18"/>
                <w:u w:val="single" w:color="auto"/>
                <w:color w:val="0000EE"/>
              </w:rPr>
            </w:pPr>
            <w:hyperlink w:anchor="page113">
              <w:r>
                <w:rPr>
                  <w:rFonts w:ascii="Times New Roman" w:cs="Times New Roman" w:eastAsia="Times New Roman" w:hAnsi="Times New Roman"/>
                  <w:sz w:val="18"/>
                  <w:szCs w:val="18"/>
                  <w:u w:val="single" w:color="auto"/>
                  <w:color w:val="0000EE"/>
                </w:rPr>
                <w:t>Lockup Agreement, dated February 5, 2021, by and among Gemini Therapeutics, Inc. and the other parties thereto.</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rFonts w:ascii="Times New Roman" w:cs="Times New Roman" w:eastAsia="Times New Roman" w:hAnsi="Times New Roman"/>
                <w:sz w:val="18"/>
                <w:szCs w:val="18"/>
                <w:u w:val="single" w:color="auto"/>
                <w:color w:val="0000EE"/>
              </w:rPr>
            </w:pPr>
            <w:hyperlink w:anchor="page137">
              <w:r>
                <w:rPr>
                  <w:rFonts w:ascii="Times New Roman" w:cs="Times New Roman" w:eastAsia="Times New Roman" w:hAnsi="Times New Roman"/>
                  <w:sz w:val="18"/>
                  <w:szCs w:val="18"/>
                  <w:u w:val="single" w:color="auto"/>
                  <w:color w:val="0000EE"/>
                </w:rPr>
                <w:t>Gemini 2021 Stock Option and Incentive Plan (incorporated by reference to Annex D to the Proxy Statement/Prospectus).</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rFonts w:ascii="Times New Roman" w:cs="Times New Roman" w:eastAsia="Times New Roman" w:hAnsi="Times New Roman"/>
                <w:sz w:val="18"/>
                <w:szCs w:val="18"/>
                <w:u w:val="single" w:color="auto"/>
                <w:color w:val="0000EE"/>
              </w:rPr>
            </w:pPr>
            <w:hyperlink w:anchor="page149">
              <w:r>
                <w:rPr>
                  <w:rFonts w:ascii="Times New Roman" w:cs="Times New Roman" w:eastAsia="Times New Roman" w:hAnsi="Times New Roman"/>
                  <w:sz w:val="18"/>
                  <w:szCs w:val="18"/>
                  <w:u w:val="single" w:color="auto"/>
                  <w:color w:val="0000EE"/>
                </w:rPr>
                <w:t>Forms of Award Agreements under the Gemini 2021 Stock Option and Incentive Plan.</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rFonts w:ascii="Times New Roman" w:cs="Times New Roman" w:eastAsia="Times New Roman" w:hAnsi="Times New Roman"/>
                <w:sz w:val="18"/>
                <w:szCs w:val="18"/>
                <w:u w:val="single" w:color="auto"/>
                <w:color w:val="0000EE"/>
              </w:rPr>
            </w:pPr>
            <w:hyperlink w:anchor="page171">
              <w:r>
                <w:rPr>
                  <w:rFonts w:ascii="Times New Roman" w:cs="Times New Roman" w:eastAsia="Times New Roman" w:hAnsi="Times New Roman"/>
                  <w:sz w:val="18"/>
                  <w:szCs w:val="18"/>
                  <w:u w:val="single" w:color="auto"/>
                  <w:color w:val="0000EE"/>
                </w:rPr>
                <w:t>Form of Indemnification Agreement for Directors of Gemini Therapeutics, Inc.</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rFonts w:ascii="Times New Roman" w:cs="Times New Roman" w:eastAsia="Times New Roman" w:hAnsi="Times New Roman"/>
                <w:sz w:val="18"/>
                <w:szCs w:val="18"/>
                <w:color w:val="0000EE"/>
              </w:rPr>
            </w:pPr>
            <w:hyperlink w:anchor="page185">
              <w:r>
                <w:rPr>
                  <w:rFonts w:ascii="Times New Roman" w:cs="Times New Roman" w:eastAsia="Times New Roman" w:hAnsi="Times New Roman"/>
                  <w:sz w:val="18"/>
                  <w:szCs w:val="18"/>
                  <w:u w:val="single" w:color="auto"/>
                  <w:color w:val="0000EE"/>
                </w:rPr>
                <w:t>Form of Indemnification Agreement for Executive Officers of Gemini Therapeutics, Inc</w:t>
              </w:r>
              <w:r>
                <w:rPr>
                  <w:rFonts w:ascii="Times New Roman" w:cs="Times New Roman" w:eastAsia="Times New Roman" w:hAnsi="Times New Roman"/>
                  <w:sz w:val="18"/>
                  <w:szCs w:val="18"/>
                  <w:color w:val="0000EE"/>
                </w:rPr>
                <w:t>.</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rFonts w:ascii="Times New Roman" w:cs="Times New Roman" w:eastAsia="Times New Roman" w:hAnsi="Times New Roman"/>
                <w:sz w:val="18"/>
                <w:szCs w:val="18"/>
                <w:u w:val="single" w:color="auto"/>
                <w:color w:val="0000EE"/>
              </w:rPr>
            </w:pPr>
            <w:hyperlink w:anchor="page197">
              <w:r>
                <w:rPr>
                  <w:rFonts w:ascii="Times New Roman" w:cs="Times New Roman" w:eastAsia="Times New Roman" w:hAnsi="Times New Roman"/>
                  <w:sz w:val="18"/>
                  <w:szCs w:val="18"/>
                  <w:u w:val="single" w:color="auto"/>
                  <w:color w:val="0000EE"/>
                </w:rPr>
                <w:t>Form of Subscription Agreement (incorporated by reference to Annex E to the Proxy Statement/Prospectus).</w:t>
              </w:r>
            </w:hyperlink>
          </w:p>
        </w:tc>
      </w:tr>
      <w:tr>
        <w:trPr>
          <w:trHeight w:val="682"/>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gridSpan w:val="2"/>
          </w:tcPr>
          <w:p>
            <w:pPr>
              <w:ind w:left="4400"/>
              <w:spacing w:after="0"/>
              <w:rPr>
                <w:sz w:val="20"/>
                <w:szCs w:val="20"/>
                <w:color w:val="auto"/>
              </w:rPr>
            </w:pPr>
            <w:r>
              <w:rPr>
                <w:rFonts w:ascii="Times New Roman" w:cs="Times New Roman" w:eastAsia="Times New Roman" w:hAnsi="Times New Roman"/>
                <w:sz w:val="18"/>
                <w:szCs w:val="18"/>
                <w:color w:val="auto"/>
              </w:rPr>
              <w:t>18</w:t>
            </w:r>
          </w:p>
        </w:tc>
        <w:tc>
          <w:tcPr>
            <w:tcW w:w="3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00" w:type="dxa"/>
            <w:vAlign w:val="bottom"/>
          </w:tcPr>
          <w:p>
            <w:pPr>
              <w:spacing w:after="0"/>
              <w:rPr>
                <w:sz w:val="18"/>
                <w:szCs w:val="18"/>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Borders>
              <w:top w:val="single" w:sz="8" w:color="auto"/>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13">
              <w:r>
                <w:rPr>
                  <w:rFonts w:ascii="Times New Roman" w:cs="Times New Roman" w:eastAsia="Times New Roman" w:hAnsi="Times New Roman"/>
                  <w:sz w:val="18"/>
                  <w:szCs w:val="18"/>
                  <w:u w:val="single" w:color="auto"/>
                  <w:color w:val="0000EE"/>
                </w:rPr>
                <w:t>Employment Agreement, dated January 21, 2021, by and between Gemini Therapeutics, Inc. and Jason Meyenburg.</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32">
              <w:r>
                <w:rPr>
                  <w:rFonts w:ascii="Times New Roman" w:cs="Times New Roman" w:eastAsia="Times New Roman" w:hAnsi="Times New Roman"/>
                  <w:sz w:val="18"/>
                  <w:szCs w:val="18"/>
                  <w:u w:val="single" w:color="auto"/>
                  <w:color w:val="0000EE"/>
                </w:rPr>
                <w:t>Employment Agreement, dated December 24, 2020, by and between Gemini Therapeutics, Inc. and Dr. Marc Uknis.</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rFonts w:ascii="Times New Roman" w:cs="Times New Roman" w:eastAsia="Times New Roman" w:hAnsi="Times New Roman"/>
                <w:sz w:val="18"/>
                <w:szCs w:val="18"/>
                <w:color w:val="0000EE"/>
              </w:rPr>
            </w:pPr>
            <w:hyperlink w:anchor="page251">
              <w:r>
                <w:rPr>
                  <w:rFonts w:ascii="Times New Roman" w:cs="Times New Roman" w:eastAsia="Times New Roman" w:hAnsi="Times New Roman"/>
                  <w:sz w:val="18"/>
                  <w:szCs w:val="18"/>
                  <w:u w:val="single" w:color="auto"/>
                  <w:color w:val="0000EE"/>
                </w:rPr>
                <w:t>Employment Agreement, dated January 22, 2021, by and between Gemini Therapeutics, Inc. and Dr. Scott Lauder</w:t>
              </w:r>
              <w:r>
                <w:rPr>
                  <w:rFonts w:ascii="Times New Roman" w:cs="Times New Roman" w:eastAsia="Times New Roman" w:hAnsi="Times New Roman"/>
                  <w:sz w:val="18"/>
                  <w:szCs w:val="18"/>
                  <w:color w:val="0000EE"/>
                </w:rPr>
                <w:t>.</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rFonts w:ascii="Times New Roman" w:cs="Times New Roman" w:eastAsia="Times New Roman" w:hAnsi="Times New Roman"/>
                <w:sz w:val="18"/>
                <w:szCs w:val="18"/>
                <w:color w:val="0000EE"/>
              </w:rPr>
            </w:pPr>
            <w:hyperlink w:anchor="page270">
              <w:r>
                <w:rPr>
                  <w:rFonts w:ascii="Times New Roman" w:cs="Times New Roman" w:eastAsia="Times New Roman" w:hAnsi="Times New Roman"/>
                  <w:sz w:val="18"/>
                  <w:szCs w:val="18"/>
                  <w:u w:val="single" w:color="auto"/>
                  <w:color w:val="0000EE"/>
                </w:rPr>
                <w:t>Withum’s Letter to the Securities and Exchange Commission, dated February 11, 2021</w:t>
              </w:r>
              <w:r>
                <w:rPr>
                  <w:rFonts w:ascii="Times New Roman" w:cs="Times New Roman" w:eastAsia="Times New Roman" w:hAnsi="Times New Roman"/>
                  <w:sz w:val="18"/>
                  <w:szCs w:val="18"/>
                  <w:color w:val="0000EE"/>
                </w:rPr>
                <w:t>.</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71">
              <w:r>
                <w:rPr>
                  <w:rFonts w:ascii="Times New Roman" w:cs="Times New Roman" w:eastAsia="Times New Roman" w:hAnsi="Times New Roman"/>
                  <w:sz w:val="18"/>
                  <w:szCs w:val="18"/>
                  <w:u w:val="single" w:color="auto"/>
                  <w:color w:val="0000EE"/>
                </w:rPr>
                <w:t>List of Subsidiaries</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72">
              <w:r>
                <w:rPr>
                  <w:rFonts w:ascii="Times New Roman" w:cs="Times New Roman" w:eastAsia="Times New Roman" w:hAnsi="Times New Roman"/>
                  <w:sz w:val="18"/>
                  <w:szCs w:val="18"/>
                  <w:u w:val="single" w:color="auto"/>
                  <w:color w:val="0000EE"/>
                </w:rPr>
                <w:t>Unaudited Pro Forma Combined Financial Information.</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79">
              <w:r>
                <w:rPr>
                  <w:rFonts w:ascii="Times New Roman" w:cs="Times New Roman" w:eastAsia="Times New Roman" w:hAnsi="Times New Roman"/>
                  <w:sz w:val="18"/>
                  <w:szCs w:val="18"/>
                  <w:u w:val="single" w:color="auto"/>
                  <w:color w:val="0000EE"/>
                </w:rPr>
                <w:t>Press Release</w:t>
              </w:r>
            </w:hyperlink>
          </w:p>
        </w:tc>
      </w:tr>
    </w:tbl>
    <w:p>
      <w:pPr>
        <w:spacing w:after="0" w:line="198"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340" w:right="2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Exhibit omitted pursuant to Regulation S-K Item 601(b)(2). The Registrant agrees to furnish supplementally a copy of any omitted schedule or exhibit to the SEC upon request.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Jason Meyenburg</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11, 2021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AGREEMENT AND PLAN OF MERGER</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October 15, 2020</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Shareholder Representative Services LLC, as the Stockholders’ Representative,</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FSG Merger Sub,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11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Annex A</w:t>
            </w:r>
          </w:p>
        </w:tc>
      </w:tr>
      <w:tr>
        <w:trPr>
          <w:trHeight w:val="245"/>
        </w:trPr>
        <w:tc>
          <w:tcPr>
            <w:tcW w:w="1020" w:type="dxa"/>
            <w:vAlign w:val="bottom"/>
            <w:tcBorders>
              <w:bottom w:val="single" w:sz="8" w:color="CCEEFF"/>
            </w:tcBorders>
          </w:tcPr>
          <w:p>
            <w:pPr>
              <w:spacing w:after="0"/>
              <w:rPr>
                <w:sz w:val="21"/>
                <w:szCs w:val="21"/>
                <w:color w:val="auto"/>
              </w:rPr>
            </w:pPr>
          </w:p>
        </w:tc>
        <w:tc>
          <w:tcPr>
            <w:tcW w:w="9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102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1.1</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Definitions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1.2</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Construction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0120" w:type="dxa"/>
            <w:vAlign w:val="bottom"/>
            <w:gridSpan w:val="2"/>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MERGER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020" w:type="dxa"/>
            <w:vAlign w:val="bottom"/>
            <w:shd w:val="clear" w:color="auto" w:fill="CCEEFF"/>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2.1</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Merger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2.2</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Merger Effective Time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2.3</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 of the Merger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2.4</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Tax Treatment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2.5</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 of Incorporation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2.6</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Closing; Effective Time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2.7</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Board of Directors of Parent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2.8</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Taking of Necessary Action; Further Action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2.9</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Further Ownership Rights in Company 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2.10</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Appraisal Rights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 [INTENTIONALLY OMITTED]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 CONSIDERATION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02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4.1</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Conversion of Company Securities; Convertible Notes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4.2</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Fractional 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4.3</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Withholding</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REPRESENTATIONS AND WARRANTIES OF THE COMPANY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02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5.1</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Existence and Power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5.2</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Authorization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5.3</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5.4</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Non-Contravention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5.5</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5.6</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Records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5.7</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Subsidiaries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5.8</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Consents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5.9</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Financial Statements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5.10</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Books and Records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5.11</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Internal Accounting Controls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5.12</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5.13</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Properties; Title to the Company’s Assets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5.14</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Litigation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5.15</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Contracts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5.16</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Licenses and Permits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5.17</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Compliance with Laws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5.18</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Intellectual Property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5.19</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FDA</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5.20</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Affiliate Loans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5.21</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Employees; Employment Matters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5.22</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Withholding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5.23</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Employee Benefits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34"/>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5.24</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 Property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bl>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tc>
      </w:tr>
      <w:tr>
        <w:trPr>
          <w:trHeight w:val="245"/>
        </w:trPr>
        <w:tc>
          <w:tcPr>
            <w:tcW w:w="1020" w:type="dxa"/>
            <w:vAlign w:val="bottom"/>
            <w:tcBorders>
              <w:bottom w:val="single" w:sz="8" w:color="CCEEFF"/>
            </w:tcBorders>
          </w:tcPr>
          <w:p>
            <w:pPr>
              <w:spacing w:after="0"/>
              <w:rPr>
                <w:sz w:val="21"/>
                <w:szCs w:val="21"/>
                <w:color w:val="auto"/>
              </w:rPr>
            </w:pPr>
          </w:p>
        </w:tc>
        <w:tc>
          <w:tcPr>
            <w:tcW w:w="9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 No.</w:t>
            </w: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5.25</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Matters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5.26</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Environmental Laws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5.27</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Finders’ Fees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5.28</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Powers of Attorney and Suretyships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5.29</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Directors and Officers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5.30</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Anti-Money Laundering Laws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5.31</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Insurance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5.32</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0120" w:type="dxa"/>
            <w:vAlign w:val="bottom"/>
            <w:gridSpan w:val="2"/>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REPRESENTATIONS AND WARRANTIES OF PARENT AND MERGER SUB</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020" w:type="dxa"/>
            <w:vAlign w:val="bottom"/>
            <w:shd w:val="clear" w:color="auto" w:fill="CCEEFF"/>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6.1</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Existence and Power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6.2</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Authorization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6.3</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6.4</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Non-Contravention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6.5</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Finders’ Fees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6.6</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Issuance of Shares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6.7</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6.8</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Information Supplied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6.9</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Trust Fund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6.10</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Listing</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6.11</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Board Approval</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6.12</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Parent SEC Documents and Financial Statements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6.13</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Certain Business Practices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6.14</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Anti-Money Laundering Laws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6.15</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Affiliate Transactions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6.16</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Litigation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6.17</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Expenses, Indebtedness and Other Liabilities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6.18</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Matters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 COVENANTS OF THE PARTIES PENDING CLOSING</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102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7.1</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Conduct of the Business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7.2</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Exclusivity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7.3</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Access to Information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7.4</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Notices of Certain Events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7.5</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Cooperation with Form S-4/Proxy Statement; Other Filings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7.6</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Trust Account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7.7</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Obligations of Merger Sub</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7.8</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Private Placement, Parent Support Agreements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10120" w:type="dxa"/>
            <w:vAlign w:val="bottom"/>
            <w:gridSpan w:val="2"/>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COVENANTS OF THE COMPANY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1020" w:type="dxa"/>
            <w:vAlign w:val="bottom"/>
            <w:shd w:val="clear" w:color="auto" w:fill="CCEEFF"/>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8.1</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Reporting; Compliance with Laws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8.2</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Commercially Reasonable Efforts to Obtain Consents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8.3</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Company’s Stockholders Approval</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8.4</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280G</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IX COVENANTS OF ALL PARTIES HERETO</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216"/>
        </w:trPr>
        <w:tc>
          <w:tcPr>
            <w:tcW w:w="102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9.1</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Commercially Reasonable Efforts; Further Assurances; Governmental Consents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216"/>
        </w:trPr>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9.2</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Confidentiality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9.3</w:t>
            </w:r>
          </w:p>
        </w:tc>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Directors’ and Officers’ Indemnification and Liability Insurance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tc>
      </w:tr>
      <w:tr>
        <w:trPr>
          <w:trHeight w:val="245"/>
        </w:trPr>
        <w:tc>
          <w:tcPr>
            <w:tcW w:w="1060" w:type="dxa"/>
            <w:vAlign w:val="bottom"/>
            <w:tcBorders>
              <w:bottom w:val="single" w:sz="8" w:color="CCEEFF"/>
            </w:tcBorders>
          </w:tcPr>
          <w:p>
            <w:pPr>
              <w:spacing w:after="0"/>
              <w:rPr>
                <w:sz w:val="21"/>
                <w:szCs w:val="21"/>
                <w:color w:val="auto"/>
              </w:rPr>
            </w:pPr>
          </w:p>
        </w:tc>
        <w:tc>
          <w:tcPr>
            <w:tcW w:w="906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 No.</w:t>
            </w:r>
          </w:p>
        </w:tc>
      </w:tr>
      <w:tr>
        <w:trPr>
          <w:trHeight w:val="216"/>
        </w:trPr>
        <w:tc>
          <w:tcPr>
            <w:tcW w:w="1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9.4</w:t>
            </w:r>
          </w:p>
        </w:tc>
        <w:tc>
          <w:tcPr>
            <w:tcW w:w="9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Nasdaq Listing</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9.5</w:t>
            </w:r>
          </w:p>
        </w:tc>
        <w:tc>
          <w:tcPr>
            <w:tcW w:w="9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Tax Matters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1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9.6</w:t>
            </w:r>
          </w:p>
        </w:tc>
        <w:tc>
          <w:tcPr>
            <w:tcW w:w="9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Incentive Plan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 CONDITIONS TO CLOSING</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106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10.1</w:t>
            </w:r>
          </w:p>
        </w:tc>
        <w:tc>
          <w:tcPr>
            <w:tcW w:w="9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Condition to the Obligations of the Parties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10.2</w:t>
            </w:r>
          </w:p>
        </w:tc>
        <w:tc>
          <w:tcPr>
            <w:tcW w:w="9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Conditions to Obligations of Parent and Merger Sub</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1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10.3</w:t>
            </w:r>
          </w:p>
        </w:tc>
        <w:tc>
          <w:tcPr>
            <w:tcW w:w="9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Conditions to Obligations of the Company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 INDEMNIFICATION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106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11.1</w:t>
            </w:r>
          </w:p>
        </w:tc>
        <w:tc>
          <w:tcPr>
            <w:tcW w:w="9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Indemnification of Parent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11.2</w:t>
            </w:r>
          </w:p>
        </w:tc>
        <w:tc>
          <w:tcPr>
            <w:tcW w:w="9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Procedure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1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11.3</w:t>
            </w:r>
          </w:p>
        </w:tc>
        <w:tc>
          <w:tcPr>
            <w:tcW w:w="9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Escrow of Escrow Shares by Escrow Participants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r>
      <w:tr>
        <w:trPr>
          <w:trHeight w:val="216"/>
        </w:trPr>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11.4</w:t>
            </w:r>
          </w:p>
        </w:tc>
        <w:tc>
          <w:tcPr>
            <w:tcW w:w="9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Indemnification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r>
      <w:tr>
        <w:trPr>
          <w:trHeight w:val="216"/>
        </w:trPr>
        <w:tc>
          <w:tcPr>
            <w:tcW w:w="1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11.5</w:t>
            </w:r>
          </w:p>
        </w:tc>
        <w:tc>
          <w:tcPr>
            <w:tcW w:w="9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r>
      <w:tr>
        <w:trPr>
          <w:trHeight w:val="216"/>
        </w:trPr>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11.6</w:t>
            </w:r>
          </w:p>
        </w:tc>
        <w:tc>
          <w:tcPr>
            <w:tcW w:w="9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Survival of Indemnification Rights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r>
      <w:tr>
        <w:trPr>
          <w:trHeight w:val="216"/>
        </w:trPr>
        <w:tc>
          <w:tcPr>
            <w:tcW w:w="1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11.7</w:t>
            </w:r>
          </w:p>
        </w:tc>
        <w:tc>
          <w:tcPr>
            <w:tcW w:w="9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Sole and Exclusive Remedy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XII DISPUTE RESOLUTION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106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12.1</w:t>
            </w:r>
          </w:p>
        </w:tc>
        <w:tc>
          <w:tcPr>
            <w:tcW w:w="9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Arbitration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12.2</w:t>
            </w:r>
          </w:p>
        </w:tc>
        <w:tc>
          <w:tcPr>
            <w:tcW w:w="9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Waiver of Jury Trial; Exemplary Damages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10120" w:type="dxa"/>
            <w:vAlign w:val="bottom"/>
            <w:gridSpan w:val="2"/>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XIII TERMINATION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1060" w:type="dxa"/>
            <w:vAlign w:val="bottom"/>
            <w:shd w:val="clear" w:color="auto" w:fill="CCEEFF"/>
          </w:tcPr>
          <w:p>
            <w:pPr>
              <w:spacing w:after="0"/>
              <w:rPr>
                <w:sz w:val="18"/>
                <w:szCs w:val="18"/>
                <w:color w:val="auto"/>
              </w:rPr>
            </w:pPr>
          </w:p>
        </w:tc>
        <w:tc>
          <w:tcPr>
            <w:tcW w:w="9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13.1</w:t>
            </w:r>
          </w:p>
        </w:tc>
        <w:tc>
          <w:tcPr>
            <w:tcW w:w="9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 Without Default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1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13.2</w:t>
            </w:r>
          </w:p>
        </w:tc>
        <w:tc>
          <w:tcPr>
            <w:tcW w:w="9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Termination Upon Default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13.3</w:t>
            </w:r>
          </w:p>
        </w:tc>
        <w:tc>
          <w:tcPr>
            <w:tcW w:w="9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Termination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10120" w:type="dxa"/>
            <w:vAlign w:val="bottom"/>
            <w:gridSpan w:val="2"/>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XIV MISCELLANEOUS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1060" w:type="dxa"/>
            <w:vAlign w:val="bottom"/>
            <w:shd w:val="clear" w:color="auto" w:fill="CCEEFF"/>
          </w:tcPr>
          <w:p>
            <w:pPr>
              <w:spacing w:after="0"/>
              <w:rPr>
                <w:sz w:val="18"/>
                <w:szCs w:val="18"/>
                <w:color w:val="auto"/>
              </w:rPr>
            </w:pPr>
          </w:p>
        </w:tc>
        <w:tc>
          <w:tcPr>
            <w:tcW w:w="9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14.1</w:t>
            </w:r>
          </w:p>
        </w:tc>
        <w:tc>
          <w:tcPr>
            <w:tcW w:w="9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1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14.2</w:t>
            </w:r>
          </w:p>
        </w:tc>
        <w:tc>
          <w:tcPr>
            <w:tcW w:w="9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Amendments; No Waivers; Remedies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14.3</w:t>
            </w:r>
          </w:p>
        </w:tc>
        <w:tc>
          <w:tcPr>
            <w:tcW w:w="9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Arm’s Length Bargaining; No Presumption Against Drafter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1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14.4</w:t>
            </w:r>
          </w:p>
        </w:tc>
        <w:tc>
          <w:tcPr>
            <w:tcW w:w="9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Publicity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14.5</w:t>
            </w:r>
          </w:p>
        </w:tc>
        <w:tc>
          <w:tcPr>
            <w:tcW w:w="9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Expenses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1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14.6</w:t>
            </w:r>
          </w:p>
        </w:tc>
        <w:tc>
          <w:tcPr>
            <w:tcW w:w="9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Assignment or Delegation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14.7</w:t>
            </w:r>
          </w:p>
        </w:tc>
        <w:tc>
          <w:tcPr>
            <w:tcW w:w="9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Governing Law</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1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14.8</w:t>
            </w:r>
          </w:p>
        </w:tc>
        <w:tc>
          <w:tcPr>
            <w:tcW w:w="9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Counterparts; Facsimile Signatures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14.9</w:t>
            </w:r>
          </w:p>
        </w:tc>
        <w:tc>
          <w:tcPr>
            <w:tcW w:w="9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Entire Agreement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1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14.10</w:t>
            </w:r>
          </w:p>
        </w:tc>
        <w:tc>
          <w:tcPr>
            <w:tcW w:w="9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Severability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14.11</w:t>
            </w:r>
          </w:p>
        </w:tc>
        <w:tc>
          <w:tcPr>
            <w:tcW w:w="9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Further Assurances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1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14.12</w:t>
            </w:r>
          </w:p>
        </w:tc>
        <w:tc>
          <w:tcPr>
            <w:tcW w:w="9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Third Party Beneficiaries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14.13</w:t>
            </w:r>
          </w:p>
        </w:tc>
        <w:tc>
          <w:tcPr>
            <w:tcW w:w="9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Waiver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1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14.14</w:t>
            </w:r>
          </w:p>
        </w:tc>
        <w:tc>
          <w:tcPr>
            <w:tcW w:w="9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Stockholders’ Representative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216"/>
        </w:trPr>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14.15</w:t>
            </w:r>
          </w:p>
        </w:tc>
        <w:tc>
          <w:tcPr>
            <w:tcW w:w="9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Non-Recourse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216"/>
        </w:trPr>
        <w:tc>
          <w:tcPr>
            <w:tcW w:w="1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14.16</w:t>
            </w:r>
          </w:p>
        </w:tc>
        <w:tc>
          <w:tcPr>
            <w:tcW w:w="9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Other Representations; No Reliance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Exhibit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J</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Company Support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Support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Escrow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Rights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Amended and Restated Certificate of Incorporation of Parent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 Restated Bylaws of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Equity Incentive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FIRPTA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Lockup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representation Letters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representation Letters</w:t>
      </w:r>
    </w:p>
    <w:p>
      <w:pPr>
        <w:spacing w:after="0" w:line="200" w:lineRule="exact"/>
        <w:rPr>
          <w:sz w:val="20"/>
          <w:szCs w:val="20"/>
          <w:color w:val="auto"/>
        </w:rPr>
      </w:pPr>
    </w:p>
    <w:p>
      <w:pPr>
        <w:sectPr>
          <w:pgSz w:w="11900" w:h="16838" w:orient="portrait"/>
          <w:cols w:equalWidth="0" w:num="2">
            <w:col w:w="980" w:space="720"/>
            <w:col w:w="8439"/>
          </w:cols>
          <w:pgMar w:left="320" w:top="904" w:right="1440" w:bottom="1440" w:gutter="0" w:footer="0" w:header="0"/>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Disclosure Schedules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Disclosure Schedules</w:t>
      </w:r>
    </w:p>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9"/>
          <w:szCs w:val="19"/>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AGREEMENT AND PLAN OF MERGER, dated as of October 15, 2020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among Gemini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Shareholder Representative Services LLC, a Colorado limited liability company solely in its capacity as the representative, agent and attorney-in-fact of the Company Securityholders (the “</w:t>
      </w:r>
      <w:r>
        <w:rPr>
          <w:rFonts w:ascii="Times New Roman" w:cs="Times New Roman" w:eastAsia="Times New Roman" w:hAnsi="Times New Roman"/>
          <w:sz w:val="18"/>
          <w:szCs w:val="18"/>
          <w:u w:val="single" w:color="auto"/>
          <w:color w:val="auto"/>
        </w:rPr>
        <w:t>Stockholders’ Representative</w:t>
      </w:r>
      <w:r>
        <w:rPr>
          <w:rFonts w:ascii="Times New Roman" w:cs="Times New Roman" w:eastAsia="Times New Roman" w:hAnsi="Times New Roman"/>
          <w:sz w:val="18"/>
          <w:szCs w:val="18"/>
          <w:color w:val="auto"/>
        </w:rPr>
        <w:t>”), FS Development Corp.,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FSG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WITNESETH:</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The Company is in the business of therapeutic drug development and commercialization and related activities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B. Parent is a blank check company formed for the sole purpose of entering into a share exchange, asset acquisition, share purchase, recapitalization, reorganization or other similar business combination with one or more businesses or entities, and Merger Sub is a wholly-owned subsidiary of Parent;</w:t>
      </w:r>
    </w:p>
    <w:p>
      <w:pPr>
        <w:spacing w:after="0" w:line="162"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 xml:space="preserve">C. The Company Securityholders are listed on </w:t>
      </w:r>
      <w:r>
        <w:rPr>
          <w:rFonts w:ascii="Times New Roman" w:cs="Times New Roman" w:eastAsia="Times New Roman" w:hAnsi="Times New Roman"/>
          <w:sz w:val="18"/>
          <w:szCs w:val="18"/>
          <w:u w:val="single" w:color="auto"/>
          <w:color w:val="auto"/>
        </w:rPr>
        <w:t>the Capitalization Schedule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5.5(a)</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Schedule 5.5</w:t>
      </w:r>
      <w:r>
        <w:rPr>
          <w:rFonts w:ascii="Times New Roman" w:cs="Times New Roman" w:eastAsia="Times New Roman" w:hAnsi="Times New Roman"/>
          <w:sz w:val="18"/>
          <w:szCs w:val="18"/>
          <w:color w:val="auto"/>
        </w:rPr>
        <w:t xml:space="preserve"> and own 100% of the issued and outstanding Company Securities;</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D. Merger Sub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after which the Company will be the surviving company (the “</w:t>
      </w:r>
      <w:r>
        <w:rPr>
          <w:rFonts w:ascii="Times New Roman" w:cs="Times New Roman" w:eastAsia="Times New Roman" w:hAnsi="Times New Roman"/>
          <w:sz w:val="18"/>
          <w:szCs w:val="18"/>
          <w:u w:val="single" w:color="auto"/>
          <w:color w:val="auto"/>
        </w:rPr>
        <w:t>Surviving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and a wholly-owned subsidiary of Parent and Parent shall change its name to “Gemini Therapeutics, Inc.”;</w:t>
      </w:r>
    </w:p>
    <w:p>
      <w:pPr>
        <w:spacing w:after="0" w:line="16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E. Contemporaneously with the execution of, and as a condition and an inducement to Parent and the Company entering into this Agreement, Company Securityholders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Specified Company Securityholders</w:t>
      </w:r>
      <w:r>
        <w:rPr>
          <w:rFonts w:ascii="Times New Roman" w:cs="Times New Roman" w:eastAsia="Times New Roman" w:hAnsi="Times New Roman"/>
          <w:sz w:val="18"/>
          <w:szCs w:val="18"/>
          <w:color w:val="auto"/>
        </w:rPr>
        <w:t xml:space="preserve">”) are entering into and delivering Support Agreements,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Company Support Agreement</w:t>
      </w:r>
      <w:r>
        <w:rPr>
          <w:rFonts w:ascii="Times New Roman" w:cs="Times New Roman" w:eastAsia="Times New Roman" w:hAnsi="Times New Roman"/>
          <w:sz w:val="18"/>
          <w:szCs w:val="18"/>
          <w:color w:val="auto"/>
        </w:rPr>
        <w:t>”), pursuant to which each of the Specified Company Securityholders has agreed to vote in favor of this Agreement and the Merger;</w:t>
      </w:r>
    </w:p>
    <w:p>
      <w:pPr>
        <w:spacing w:after="0" w:line="18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 xml:space="preserve">F. Contemporaneously with the execution of, and as a condition and an inducement to Parent and the Company entering into this Agreement, the Specified Company Securityholders and certain other Company Securityholders and third parties have entered into subscription agreements in substantially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pursuant to which, at the Closing, such Persons have agreed, subject to the terms and conditions set forth therein, to subscribe for and purchase shares of Parent Class A Common Stock at a purchase price of $10.00 per share, for an aggregate cash amount of $95,000,000 (the “</w:t>
      </w: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G. The Subscription Agreements entered into by the Specified Company Securityholders represent an aggregate portion of the Private Placement equal to $15,600,000;</w:t>
      </w:r>
    </w:p>
    <w:p>
      <w:pPr>
        <w:spacing w:after="0" w:line="16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H. Contemporaneously with the execution of, and as a condition and an inducement to Parent and the Company entering into this Agreement, specified stockholders of Parent are entering into and delivering Support Agreements, substantially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Parent Support Agreement</w:t>
      </w:r>
      <w:r>
        <w:rPr>
          <w:rFonts w:ascii="Times New Roman" w:cs="Times New Roman" w:eastAsia="Times New Roman" w:hAnsi="Times New Roman"/>
          <w:sz w:val="18"/>
          <w:szCs w:val="18"/>
          <w:color w:val="auto"/>
        </w:rPr>
        <w:t>”), pursuant to which each such Parent stockholder has agreed (x) not to transfer or redeem any shares of Parent Common Stock held by such Parent stockholder and (y) to vote in favor of this Agreement and the Merger at the Parent Stockholder Meeting; and</w:t>
      </w:r>
    </w:p>
    <w:p>
      <w:pPr>
        <w:spacing w:after="0" w:line="18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 The Company’s Board of Directors has unanimously (i) approved and declared advisable this Agreement and the transactions contemplated by this Agreement and the Additional Agreements to which the Company is or will be party, including the Merger, on the terms and subject to the conditions set forth herein, (ii) determined that this Agreement and such transactions are fair to, and in the best interests of, the Company and the Company Stockholders and (iii) resolved to recommend that the Company Stockholders approve the Merger and such other transactions and adopt this Agreement and the Additional Agreements to which the Company is or will be a party (the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consideration of the mutual covenants and promises set forth in this Agreement, and other good and valuable consideration, the receipt and sufficiency of which are hereby acknowledged, the parties hereby agree as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legal action, litigation, suit, claim, hearing or proceeding, including any audit, claim or assessment for Taxes or otherwise, by or before any Authority.</w:t>
      </w:r>
    </w:p>
    <w:p>
      <w:pPr>
        <w:spacing w:after="0" w:line="162" w:lineRule="exact"/>
        <w:rPr>
          <w:sz w:val="20"/>
          <w:szCs w:val="20"/>
          <w:color w:val="auto"/>
        </w:rPr>
      </w:pPr>
    </w:p>
    <w:p>
      <w:pPr>
        <w:jc w:val="both"/>
        <w:ind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Agreements</w:t>
      </w:r>
      <w:r>
        <w:rPr>
          <w:rFonts w:ascii="Times New Roman" w:cs="Times New Roman" w:eastAsia="Times New Roman" w:hAnsi="Times New Roman"/>
          <w:sz w:val="18"/>
          <w:szCs w:val="18"/>
          <w:color w:val="auto"/>
        </w:rPr>
        <w:t xml:space="preserve">” means the Voting Agreement, substantially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the Registration Rights Agreement, the Escrow Agreement, the Company Support Agreements, the Subscription Agreements, the Parent Support Agreements, and the Lockup Agreement.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Parent SEC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 Person. “Affiliate” shall also include, with respect to any individual natural Person, (a) such Peron’s a spouse, Parent, lineal descendant, sibling, aunt, uncle, niece, nephew, mother-in-law, father-in-law, sister-in-law, or brother-in-law or (b) a trust for the benefit of such Person and/or the individuals described in the foregoing clause (a) or of which such Person is a trustee.</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Transaction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5.32</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8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Transaction Proceeds</w:t>
      </w:r>
      <w:r>
        <w:rPr>
          <w:rFonts w:ascii="Times New Roman" w:cs="Times New Roman" w:eastAsia="Times New Roman" w:hAnsi="Times New Roman"/>
          <w:sz w:val="18"/>
          <w:szCs w:val="18"/>
          <w:color w:val="auto"/>
        </w:rPr>
        <w:t xml:space="preserve">” means an amount equal to (a) the </w:t>
      </w:r>
      <w:r>
        <w:rPr>
          <w:rFonts w:ascii="Times New Roman" w:cs="Times New Roman" w:eastAsia="Times New Roman" w:hAnsi="Times New Roman"/>
          <w:sz w:val="18"/>
          <w:szCs w:val="18"/>
          <w:i w:val="1"/>
          <w:iCs w:val="1"/>
          <w:u w:val="single" w:color="auto"/>
          <w:color w:val="auto"/>
        </w:rPr>
        <w:t>sum</w:t>
      </w:r>
      <w:r>
        <w:rPr>
          <w:rFonts w:ascii="Times New Roman" w:cs="Times New Roman" w:eastAsia="Times New Roman" w:hAnsi="Times New Roman"/>
          <w:sz w:val="18"/>
          <w:szCs w:val="18"/>
          <w:color w:val="auto"/>
        </w:rPr>
        <w:t xml:space="preserve"> of (i) the aggregate cash proceeds available for release to Parent from the Trust Fund in connection with the transactions contemplated hereby (net of the Parent Redemption Amount);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(ii) the aggregate cash proceeds actually received by Parent on the Closing Date in respect of the Private Placement,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(b) the Unpaid Parent Liabilities.</w:t>
      </w:r>
    </w:p>
    <w:p>
      <w:pPr>
        <w:spacing w:after="0" w:line="17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Transaction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means any governmental, regulatory or administrative body, agency or authority, any court or judicial authority, any arbitrator, or any public, private or industry regulatory authority, whether international, national, foreign, Federal, state, or local.</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Basket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means all books and records, ledgers, employee records, customer lists, files, correspondence, and other records of every kind (whether written, electronic, or otherwise embodied) owned or controlled by a Person in which a Person’s assets, the business or its transactions are otherwise reflected, other than stock books and minute books.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 legal holiday on which commercial banking institutions in New York, New York are authorized to close for business.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Capitalization Schedule</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Schedule 4.1(j)</w:t>
      </w:r>
      <w:r>
        <w:rPr>
          <w:rFonts w:ascii="Times New Roman" w:cs="Times New Roman" w:eastAsia="Times New Roman" w:hAnsi="Times New Roman"/>
          <w:sz w:val="18"/>
          <w:szCs w:val="18"/>
          <w:color w:val="auto"/>
        </w:rPr>
        <w:t>, as updated as contemplated herein.</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Consideration Conversion Ratio</w:t>
      </w:r>
      <w:r>
        <w:rPr>
          <w:rFonts w:ascii="Times New Roman" w:cs="Times New Roman" w:eastAsia="Times New Roman" w:hAnsi="Times New Roman"/>
          <w:sz w:val="18"/>
          <w:szCs w:val="18"/>
          <w:color w:val="auto"/>
        </w:rPr>
        <w:t>” shall mean a number of Parent Class A Shares equal to the quotient obtained by dividing (a) the Closing Payment Shares; by (b) the Fully Diluted Company Shares, in each case, as listed on the Capitalization Schedule delivered prior to Closing.</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Payment Shares</w:t>
      </w:r>
      <w:r>
        <w:rPr>
          <w:rFonts w:ascii="Times New Roman" w:cs="Times New Roman" w:eastAsia="Times New Roman" w:hAnsi="Times New Roman"/>
          <w:sz w:val="18"/>
          <w:szCs w:val="18"/>
          <w:color w:val="auto"/>
        </w:rPr>
        <w:t>” means an aggregate number of Parent Class A Shares, which for the avoidance of doubt is inclusive of the Escrow Shares, equal to the difference between (a) 21,500,000 Parent Class A Shares; minus (b) a number of Parent Class A Shares equal to one half (1/2) of the initial unallocated shares of Parent Class A Stock reserved for issuance under the Parent Equity Incentive Plan (which shall not exceed two and one-half percent (2.5%) of the issued and outstanding Parent Class A Shares as of immediately following the Effective Time as set forth in the Capitalization Schedule delivered prior to Closing (and approved by Parent, such approval not to be unreasonably withheld, conditioned or delayed)).</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means collectively, the requirements of Sections 601 through 606 of ERISA and Section 4980B of the Code.</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Capital Stock</w:t>
      </w:r>
      <w:r>
        <w:rPr>
          <w:rFonts w:ascii="Times New Roman" w:cs="Times New Roman" w:eastAsia="Times New Roman" w:hAnsi="Times New Roman"/>
          <w:sz w:val="18"/>
          <w:szCs w:val="18"/>
          <w:color w:val="auto"/>
        </w:rPr>
        <w:t>” means Company Common Stock, Company Series A Preferred Stock and Company Series B Preferred Stock.</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Certificate of Incorporation</w:t>
      </w:r>
      <w:r>
        <w:rPr>
          <w:rFonts w:ascii="Times New Roman" w:cs="Times New Roman" w:eastAsia="Times New Roman" w:hAnsi="Times New Roman"/>
          <w:sz w:val="18"/>
          <w:szCs w:val="18"/>
          <w:color w:val="auto"/>
        </w:rPr>
        <w:t>” means the Third Amended and Restated Certificate of Incorporation of the Company, as filed on or about September 26, 2019 with the Secretary of State of the State of Delaware pursuant to the DGCL.</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means common stock of the Company, par value $0.001 per share.</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Consent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86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Fundamental Representations</w:t>
      </w:r>
      <w:r>
        <w:rPr>
          <w:rFonts w:ascii="Times New Roman" w:cs="Times New Roman" w:eastAsia="Times New Roman" w:hAnsi="Times New Roman"/>
          <w:sz w:val="18"/>
          <w:szCs w:val="18"/>
          <w:color w:val="auto"/>
        </w:rPr>
        <w:t xml:space="preserve">” means the representations and warranties of the Company set forth in </w:t>
      </w:r>
      <w:r>
        <w:rPr>
          <w:rFonts w:ascii="Times New Roman" w:cs="Times New Roman" w:eastAsia="Times New Roman" w:hAnsi="Times New Roman"/>
          <w:sz w:val="18"/>
          <w:szCs w:val="18"/>
          <w:u w:val="single" w:color="auto"/>
          <w:color w:val="auto"/>
        </w:rPr>
        <w:t>Sections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Existence and Power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5.2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Authorization</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5.27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Finders’ Fees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each option to purchase Company Common Stock granted, and that remains outstanding, under the Equity Incentive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Plans.</w:t>
      </w:r>
    </w:p>
    <w:p>
      <w:pPr>
        <w:spacing w:after="0" w:line="2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Restricted Stock</w:t>
      </w:r>
      <w:r>
        <w:rPr>
          <w:rFonts w:ascii="Times New Roman" w:cs="Times New Roman" w:eastAsia="Times New Roman" w:hAnsi="Times New Roman"/>
          <w:sz w:val="18"/>
          <w:szCs w:val="18"/>
          <w:color w:val="auto"/>
        </w:rPr>
        <w:t>” means any outstanding shares of Company Capital Stock that are unvested or subject to a risk of forfeiture or repurchase option in favor of the Company.</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means the Company Common Stock, the Company Preferred Stock, the Company Options and the Company Warrant.</w:t>
      </w:r>
    </w:p>
    <w:p>
      <w:pPr>
        <w:spacing w:after="0" w:line="225" w:lineRule="exact"/>
        <w:rPr>
          <w:sz w:val="20"/>
          <w:szCs w:val="20"/>
          <w:color w:val="auto"/>
        </w:rPr>
      </w:pPr>
    </w:p>
    <w:p>
      <w:pPr>
        <w:jc w:val="both"/>
        <w:ind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Securityholder</w:t>
      </w:r>
      <w:r>
        <w:rPr>
          <w:rFonts w:ascii="Times New Roman" w:cs="Times New Roman" w:eastAsia="Times New Roman" w:hAnsi="Times New Roman"/>
          <w:sz w:val="18"/>
          <w:szCs w:val="18"/>
          <w:color w:val="auto"/>
        </w:rPr>
        <w:t>” means each Person who holds Company Securities immediately prior to the Effective Time, each of which is listed on the Capitalization Schedule delivered prior to Closing.</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A Preferred Stock</w:t>
      </w:r>
      <w:r>
        <w:rPr>
          <w:rFonts w:ascii="Times New Roman" w:cs="Times New Roman" w:eastAsia="Times New Roman" w:hAnsi="Times New Roman"/>
          <w:sz w:val="18"/>
          <w:szCs w:val="18"/>
          <w:color w:val="auto"/>
        </w:rPr>
        <w:t>” means the series A preferred stock of the Company, par value $0.0001 per share.</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B Preferred Stock</w:t>
      </w:r>
      <w:r>
        <w:rPr>
          <w:rFonts w:ascii="Times New Roman" w:cs="Times New Roman" w:eastAsia="Times New Roman" w:hAnsi="Times New Roman"/>
          <w:sz w:val="18"/>
          <w:szCs w:val="18"/>
          <w:color w:val="auto"/>
        </w:rPr>
        <w:t>” means the series B preferred stock of the Company, par value $0.0001 per share.</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Stockholders</w:t>
      </w:r>
      <w:r>
        <w:rPr>
          <w:rFonts w:ascii="Times New Roman" w:cs="Times New Roman" w:eastAsia="Times New Roman" w:hAnsi="Times New Roman"/>
          <w:sz w:val="18"/>
          <w:szCs w:val="18"/>
          <w:color w:val="auto"/>
        </w:rPr>
        <w:t>” means, at any given time, the holders of Company Common Stock.</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Written Consent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Written Consent Deadline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Support Agreement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w:t>
      </w:r>
      <w:r>
        <w:rPr>
          <w:rFonts w:ascii="Times New Roman" w:cs="Times New Roman" w:eastAsia="Times New Roman" w:hAnsi="Times New Roman"/>
          <w:sz w:val="18"/>
          <w:szCs w:val="18"/>
          <w:color w:val="auto"/>
        </w:rPr>
        <w:t>” means the Warrant to Purchase Stock dated February 8, 2019, issued to Silicon Valley Bank, pursuant to which Silicon Valley Bank is entitled to purchase shares of Company Series A Preferred Stock.</w:t>
      </w:r>
    </w:p>
    <w:p>
      <w:pPr>
        <w:spacing w:after="0" w:line="162" w:lineRule="exact"/>
        <w:rPr>
          <w:sz w:val="20"/>
          <w:szCs w:val="20"/>
          <w:color w:val="auto"/>
        </w:rPr>
      </w:pPr>
    </w:p>
    <w:p>
      <w:pPr>
        <w:jc w:val="both"/>
        <w:ind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the Lease and all other contracts, agreements, leases (including equipment leases, car leases and capital leases), licenses, Permits, commitments, client contracts, statements of work (SOWs), sales and purchase orders and similar instruments, oral or written, to which the Company is a party or by which any of its respective assets is bound.</w:t>
      </w:r>
    </w:p>
    <w:p>
      <w:pPr>
        <w:spacing w:after="0" w:line="17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of a Person means the possession, directly or indirectly, of the power to direct or cause the direction of the management and policies of such Person, whether through the ownership of voting securities, by contract, or otherwise. “Controlled”, “Controlling” and “under common Control with” have correlative meanings. Without limiting the foregoing, a Person (the “</w:t>
      </w:r>
      <w:r>
        <w:rPr>
          <w:rFonts w:ascii="Times New Roman" w:cs="Times New Roman" w:eastAsia="Times New Roman" w:hAnsi="Times New Roman"/>
          <w:sz w:val="18"/>
          <w:szCs w:val="18"/>
          <w:u w:val="single" w:color="auto"/>
          <w:color w:val="auto"/>
        </w:rPr>
        <w:t>Controlled Person</w:t>
      </w:r>
      <w:r>
        <w:rPr>
          <w:rFonts w:ascii="Times New Roman" w:cs="Times New Roman" w:eastAsia="Times New Roman" w:hAnsi="Times New Roman"/>
          <w:sz w:val="18"/>
          <w:szCs w:val="18"/>
          <w:color w:val="auto"/>
        </w:rPr>
        <w:t>”) shall be deemed Controlled by any other Person (the “</w:t>
      </w:r>
      <w:r>
        <w:rPr>
          <w:rFonts w:ascii="Times New Roman" w:cs="Times New Roman" w:eastAsia="Times New Roman" w:hAnsi="Times New Roman"/>
          <w:sz w:val="18"/>
          <w:szCs w:val="18"/>
          <w:u w:val="single" w:color="auto"/>
          <w:color w:val="auto"/>
        </w:rPr>
        <w:t>50% Owner</w:t>
      </w:r>
      <w:r>
        <w:rPr>
          <w:rFonts w:ascii="Times New Roman" w:cs="Times New Roman" w:eastAsia="Times New Roman" w:hAnsi="Times New Roman"/>
          <w:sz w:val="18"/>
          <w:szCs w:val="18"/>
          <w:color w:val="auto"/>
        </w:rPr>
        <w:t>”) (i) owning beneficially, as meant in Rule 13d-3 under the Exchange Act, securities entitling such Person to cast 50% or more of the votes for election of directors or equivalent governing authority of the Controlled Person or (ii) entitled to be allocated or receive 50% or more of the profits, losses, or distributions of the Controlled Person.</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Company Option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Convertible Notes</w:t>
      </w:r>
      <w:r>
        <w:rPr>
          <w:rFonts w:ascii="Times New Roman" w:cs="Times New Roman" w:eastAsia="Times New Roman" w:hAnsi="Times New Roman"/>
          <w:sz w:val="18"/>
          <w:szCs w:val="18"/>
          <w:color w:val="auto"/>
        </w:rPr>
        <w:t>” means those certain Convertible Promissory Notes of the Company in the aggregate principal amount of $14,000,000, issued on August 21, 2020 to certain Company Securityholders pursuant to the Convertible Promissory Note Purchase Agreement dated August 21, 2020 among the Company and such Company Securityholders.</w:t>
      </w:r>
    </w:p>
    <w:p>
      <w:pPr>
        <w:spacing w:after="0" w:line="176"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Protection Laws</w:t>
      </w:r>
      <w:r>
        <w:rPr>
          <w:rFonts w:ascii="Times New Roman" w:cs="Times New Roman" w:eastAsia="Times New Roman" w:hAnsi="Times New Roman"/>
          <w:sz w:val="18"/>
          <w:szCs w:val="18"/>
          <w:color w:val="auto"/>
        </w:rPr>
        <w:t>” means all Laws worldwide relating to the processing, privacy or security of Personal Information and all regulations or guidance issued thereunder, including the EU General Data Protection Regulation (EU) 2016/679 and all laws implementing it, HIPAA, the regulations set forth in 42 C.F.R. Part 495 and 45 C.F.R. Parts 160, 164 and 170, the HITECH Act, Section 5 of the Federal Trade Commission Act, the FTC Red Flag Rules, the CAN SPAM Act and associated regulations set forth in 16 C.F.R. Part 316, the Children’s Online Privacy Protection Act, state social security number protection laws, state data breach notification laws, state data privacy laws including the California Consumer Privacy Act, as amended, state data security laws, state consumer protection Laws, PCI-DSS regulatory standards and any law concerning requirements for website and mobile application privacy policies and practices, or any outbound commercial communications (including e-mail marketing, telemarketing and text messaging), tracking and marketing.</w:t>
      </w:r>
    </w:p>
    <w:p>
      <w:pPr>
        <w:spacing w:after="0" w:line="1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shall mean all Laws that prohibit, regulate or control any Hazardous Material or any Hazardous Material Activity, including the Comprehensive Environmental Response, Compensation, and Liability Act of 1980, the Resource Recovery and Conservation Act of 1976, the Federal Water Pollution Control Act, the Clean Air Act, the Hazardous Materials Transportation Act and the Clean Water Act.</w:t>
      </w:r>
    </w:p>
    <w:p>
      <w:pPr>
        <w:spacing w:after="0" w:line="176" w:lineRule="exact"/>
        <w:rPr>
          <w:sz w:val="20"/>
          <w:szCs w:val="20"/>
          <w:color w:val="auto"/>
        </w:rPr>
      </w:pPr>
    </w:p>
    <w:p>
      <w:pPr>
        <w:jc w:val="both"/>
        <w:ind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Incentive Plans</w:t>
      </w:r>
      <w:r>
        <w:rPr>
          <w:rFonts w:ascii="Times New Roman" w:cs="Times New Roman" w:eastAsia="Times New Roman" w:hAnsi="Times New Roman"/>
          <w:sz w:val="18"/>
          <w:szCs w:val="18"/>
          <w:color w:val="auto"/>
        </w:rPr>
        <w:t>” means the Company’s 2015 Employee, Director and Consultant Stock Option Plan and the Company’s 2017 Stock Option and Grant Plan.</w:t>
      </w:r>
    </w:p>
    <w:p>
      <w:pPr>
        <w:spacing w:after="0" w:line="162"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w:t>
      </w:r>
      <w:r>
        <w:rPr>
          <w:rFonts w:ascii="Times New Roman" w:cs="Times New Roman" w:eastAsia="Times New Roman" w:hAnsi="Times New Roman"/>
          <w:sz w:val="18"/>
          <w:szCs w:val="18"/>
          <w:color w:val="auto"/>
        </w:rPr>
        <w:t>” means, with respect to any Person, any capital stock of, or other ownership, membership, partnership, voting, joint venture, equity interest, preemptive right, stock appreciation, phantom stock, profit participation or similar rights in, such Person or any indebtedness, securities, options, warrants, call, subscription or other rights or entitlements of, or granted by, such Person that are convertible into, or are exercisable or exchangeable for, or give any person any right or entitlement to acquire any such capital stock or other ownership, partnership, voting, joint venture, equity interest, preemptive right, stock appreciation, phantom stock, profit participation or similar rights, in all cases, whether vested or unvested, of such Person or any similar security or right that is derivative or provides any economic benefit based, directly or indirectly, on the value or price of any such capital stock or other ownership, partnership, voting, joint venture, equity interest, preemptive right, stock appreciation, phantom stock, profit participation or similar rights, in all cases, whether vested or unvested.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ERISA Affiliate</w:t>
      </w:r>
      <w:r>
        <w:rPr>
          <w:rFonts w:ascii="Times New Roman" w:cs="Times New Roman" w:eastAsia="Times New Roman" w:hAnsi="Times New Roman"/>
          <w:sz w:val="17"/>
          <w:szCs w:val="17"/>
          <w:color w:val="auto"/>
        </w:rPr>
        <w:t>” means each entity, trade or business that is, or was at the relevant time, a member of a group described in Section 414(b), (c),</w:t>
      </w:r>
    </w:p>
    <w:p>
      <w:pPr>
        <w:spacing w:after="0" w:line="39" w:lineRule="exact"/>
        <w:rPr>
          <w:sz w:val="20"/>
          <w:szCs w:val="20"/>
          <w:color w:val="auto"/>
        </w:rPr>
      </w:pPr>
    </w:p>
    <w:p>
      <w:pPr>
        <w:ind w:right="20" w:firstLine="8"/>
        <w:spacing w:after="0" w:line="260" w:lineRule="auto"/>
        <w:tabs>
          <w:tab w:leader="none" w:pos="30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(o) of the Code or Section 4001(b)(1) of ERISA that includes or included the Company, or that is, or was at the relevant time, a member of the same “controlled group” as the Company pursuant to Section 4001(a)(14) of ERISA.</w:t>
      </w:r>
    </w:p>
    <w:p>
      <w:pPr>
        <w:spacing w:after="0" w:line="1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means Continental Stock Transfer &amp; Trust Company.</w:t>
      </w:r>
    </w:p>
    <w:p>
      <w:pPr>
        <w:spacing w:after="0" w:line="225" w:lineRule="exact"/>
        <w:rPr>
          <w:sz w:val="20"/>
          <w:szCs w:val="20"/>
          <w:color w:val="auto"/>
        </w:rPr>
      </w:pPr>
    </w:p>
    <w:p>
      <w:pPr>
        <w:jc w:val="both"/>
        <w:ind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Agreement</w:t>
      </w:r>
      <w:r>
        <w:rPr>
          <w:rFonts w:ascii="Times New Roman" w:cs="Times New Roman" w:eastAsia="Times New Roman" w:hAnsi="Times New Roman"/>
          <w:sz w:val="18"/>
          <w:szCs w:val="18"/>
          <w:color w:val="auto"/>
        </w:rPr>
        <w:t xml:space="preserve">” means an agreement in substantially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between the Stockholders’ Representative, the Escrow Agent and Parent with respect to the Escrow Shares to reflect the terms set forth in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Participant</w:t>
      </w:r>
      <w:r>
        <w:rPr>
          <w:rFonts w:ascii="Times New Roman" w:cs="Times New Roman" w:eastAsia="Times New Roman" w:hAnsi="Times New Roman"/>
          <w:sz w:val="18"/>
          <w:szCs w:val="18"/>
          <w:color w:val="auto"/>
        </w:rPr>
        <w:t>” means each Person who holds Company Common Stock or Company Preferred Stock, in each case, as of immediately prior to the Effective Time.</w:t>
      </w:r>
    </w:p>
    <w:p>
      <w:pPr>
        <w:spacing w:after="0" w:line="160" w:lineRule="exact"/>
        <w:rPr>
          <w:sz w:val="20"/>
          <w:szCs w:val="20"/>
          <w:color w:val="auto"/>
        </w:rPr>
      </w:pPr>
    </w:p>
    <w:p>
      <w:pPr>
        <w:jc w:val="both"/>
        <w:ind w:firstLine="8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Participant Company Securities</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u w:val="single" w:color="auto"/>
          <w:color w:val="auto"/>
        </w:rPr>
        <w:t>sum</w:t>
      </w:r>
      <w:r>
        <w:rPr>
          <w:rFonts w:ascii="Times New Roman" w:cs="Times New Roman" w:eastAsia="Times New Roman" w:hAnsi="Times New Roman"/>
          <w:sz w:val="18"/>
          <w:szCs w:val="18"/>
          <w:color w:val="auto"/>
        </w:rPr>
        <w:t xml:space="preserve">, without duplication, of (a) shares of Company Common Stock that are issued and outstanding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shares of Company Preferred Stock (on an as converted to Company Common Stock basis) that are issued and outstanding immediately prior to the Effective Time.</w:t>
      </w:r>
    </w:p>
    <w:p>
      <w:pPr>
        <w:spacing w:after="0" w:line="17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Share Value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Shares</w:t>
      </w:r>
      <w:r>
        <w:rPr>
          <w:rFonts w:ascii="Times New Roman" w:cs="Times New Roman" w:eastAsia="Times New Roman" w:hAnsi="Times New Roman"/>
          <w:sz w:val="18"/>
          <w:szCs w:val="18"/>
          <w:color w:val="auto"/>
        </w:rPr>
        <w:t>” means 2,150,000 Parent Class A Shares to be held in escrow for indemnification purposes.</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U.S. Food and Drug Administration, or any successor agency thereto.</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5.17(a)</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Fully Diluted Company Shares</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u w:val="single" w:color="auto"/>
          <w:color w:val="auto"/>
        </w:rPr>
        <w:t>sum</w:t>
      </w:r>
      <w:r>
        <w:rPr>
          <w:rFonts w:ascii="Times New Roman" w:cs="Times New Roman" w:eastAsia="Times New Roman" w:hAnsi="Times New Roman"/>
          <w:sz w:val="18"/>
          <w:szCs w:val="18"/>
          <w:color w:val="auto"/>
        </w:rPr>
        <w:t xml:space="preserve">, without duplication, of (a) shares of Company Common Stock (including Company Restricted Stock) that are issued and outstanding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shares of Company Preferred Stock (on an as converted to Company Common Stock basis) that are issued and outstanding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(c) the aggregate number of shares of Company Common Stock issuable upon exercise of the Company Warrant as of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(d) the aggregate number of shares of Company Common Stock issuable upon exercise of Vested Company Options as of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(e) the aggregate number of shares of Company Common Stock issuable upon exercise of Unvested Company Options as of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(f) the aggregate number of shares of Company Series B Preferred Stock (on an as converted to Company Common Stock basis) issuable upon the conversion of the Convertible Notes as of immediately prior to the Effective Time.</w:t>
      </w:r>
    </w:p>
    <w:p>
      <w:pPr>
        <w:spacing w:after="0" w:line="187" w:lineRule="exact"/>
        <w:rPr>
          <w:sz w:val="20"/>
          <w:szCs w:val="20"/>
          <w:color w:val="auto"/>
        </w:rPr>
      </w:pPr>
    </w:p>
    <w:p>
      <w:pPr>
        <w:jc w:val="both"/>
        <w:ind w:right="20"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shall mean any material, emission, chemical, substance or waste that has been designated by any Authority to be radioactive, toxic, hazardous, a pollutant or a contaminant.</w:t>
      </w:r>
    </w:p>
    <w:p>
      <w:pPr>
        <w:spacing w:after="0" w:line="162" w:lineRule="exact"/>
        <w:rPr>
          <w:sz w:val="20"/>
          <w:szCs w:val="20"/>
          <w:color w:val="auto"/>
        </w:rPr>
      </w:pPr>
    </w:p>
    <w:p>
      <w:pPr>
        <w:jc w:val="both"/>
        <w:ind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 Activity</w:t>
      </w:r>
      <w:r>
        <w:rPr>
          <w:rFonts w:ascii="Times New Roman" w:cs="Times New Roman" w:eastAsia="Times New Roman" w:hAnsi="Times New Roman"/>
          <w:sz w:val="18"/>
          <w:szCs w:val="18"/>
          <w:color w:val="auto"/>
        </w:rPr>
        <w:t>” shall mean the transportation, transfer, recycling, storage, use, treatment, manufacture, removal, remediation, release, exposure of others to, sale, labeling, or distribution of any Hazardous Material or any product or waste containing a Hazardous Material, or product manufactured with ozone depleting substances, including any required labeling, payment of waste fees or charges (including so-called e-waste fees) and compliance with any recycling, product take-back or product content requirements.</w:t>
      </w:r>
    </w:p>
    <w:p>
      <w:pPr>
        <w:spacing w:after="0" w:line="180" w:lineRule="exact"/>
        <w:rPr>
          <w:sz w:val="20"/>
          <w:szCs w:val="20"/>
          <w:color w:val="auto"/>
        </w:rPr>
      </w:pPr>
    </w:p>
    <w:p>
      <w:pPr>
        <w:jc w:val="both"/>
        <w:ind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means the Health Insurance Portability and Accountability Act of 1996, as amended by the Health Information Technology for Economic and Clinical Health Act.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Healthcare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means the initial public offering of Parent pursuant to a prospectus dated August 13, 2020.</w:t>
      </w:r>
    </w:p>
    <w:p>
      <w:pPr>
        <w:spacing w:after="0" w:line="225"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 (a) all obligations of such Person for borrowed money, or with respect to deposits or advances of any kind (including amounts by reason of overdrafts and amounts owed by reason of letter of credit reimbursement agreements), including with respect thereto, all interests, fees and costs, (b) all obligations of such Person evidenced by bonds, debentures, notes or similar instruments, (c) all obligations of such Person under conditional sale or other title retention agreements relating to property purchased by such Person, (d) all obligations of such Person issued or assumed as the deferred purchase price of property or services (other than accounts payable to creditors for goods and services incurred in the ordinary course of business), (e) all Indebtedness of others secured by (or for which the holder of such Indebtedness has an existing right, contingent or otherwise, to be secured by) any lien or security interest on property owned or acquired by such Person, whether or not the obligations secured thereby have been assumed, (f) all obligations of such Person under leases required to be accounted for as capital leases under U.S. GAAP, (g) all guarantees by such Person, (h) all liability of such Person with respect to any hedging obligations, including interest rate or currency exchange swaps, collars, caps or similar hedging obligations, (i) any unfunded or underfunded liabilities pursuant to any pension or nonqualified deferred compensation plan or arrangement and (j) any agreement to incur any of the same. For informational purposes, Indebtedness shall include any grants or loans that are not carried as tangible liabilities on the Financial Statements on a stand-alone basis (whether or not such liabilities are included in the footnotes to the Financial Statements).</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Indemnifiable Loss Limit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Indemnification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all technology (including patented, patentable and unpatented inventions and unpatentable proprietary or confidential information, systems or procedures), designs, processes, trademarks, service marks, registrations thereof or applications for registration therefor, trade names, licenses, inventions, patents, patent applications, trade secrets, trade dress, know-how, copyrights, copyrightable materials, copyright registrations, applications for copyright registration, software programs, data bases, u.r.l.s., and any other works of authorship, computer programs, technical data and information and other intellectual property, and all embodiments and fixations thereof and related documentation and registrations and all additions, improvements and accessions thereto, and with respect to each of the forgoing items in this definition, which is owned or licensed or filed by the Company, or used or held for use in the Business, whether registered or unregistered or domestic or foreign.</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Balance 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the 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to the Company’s Knowledge</w:t>
      </w:r>
      <w:r>
        <w:rPr>
          <w:rFonts w:ascii="Times New Roman" w:cs="Times New Roman" w:eastAsia="Times New Roman" w:hAnsi="Times New Roman"/>
          <w:sz w:val="18"/>
          <w:szCs w:val="18"/>
          <w:color w:val="auto"/>
        </w:rPr>
        <w:t>” or similar terms (whether or not capitalized) means the actual knowledge of Jason Meyenburg and Gregg Beloff.</w:t>
      </w:r>
    </w:p>
    <w:p>
      <w:pPr>
        <w:spacing w:after="0" w:line="162" w:lineRule="exact"/>
        <w:rPr>
          <w:sz w:val="20"/>
          <w:szCs w:val="20"/>
          <w:color w:val="auto"/>
        </w:rPr>
      </w:pPr>
    </w:p>
    <w:p>
      <w:pPr>
        <w:jc w:val="both"/>
        <w:ind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Parent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to Parent’s Knowledge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Known by Parent</w:t>
      </w:r>
      <w:r>
        <w:rPr>
          <w:rFonts w:ascii="Times New Roman" w:cs="Times New Roman" w:eastAsia="Times New Roman" w:hAnsi="Times New Roman"/>
          <w:sz w:val="18"/>
          <w:szCs w:val="18"/>
          <w:color w:val="auto"/>
        </w:rPr>
        <w:t>” or similar terms (whether or not capitalized) means the actual knowledge of Jim Tananbaum and Dennis Ryan.</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domestic or foreign, federal, state, municipality or local law, statute, ordinance, code, rule, or regulation.</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xml:space="preserve">” means the lease described on </w:t>
      </w:r>
      <w:r>
        <w:rPr>
          <w:rFonts w:ascii="Times New Roman" w:cs="Times New Roman" w:eastAsia="Times New Roman" w:hAnsi="Times New Roman"/>
          <w:sz w:val="18"/>
          <w:szCs w:val="18"/>
          <w:u w:val="single" w:color="auto"/>
          <w:color w:val="auto"/>
        </w:rPr>
        <w:t>Schedule 1.1(c)</w:t>
      </w:r>
      <w:r>
        <w:rPr>
          <w:rFonts w:ascii="Times New Roman" w:cs="Times New Roman" w:eastAsia="Times New Roman" w:hAnsi="Times New Roman"/>
          <w:sz w:val="18"/>
          <w:szCs w:val="18"/>
          <w:color w:val="auto"/>
        </w:rPr>
        <w:t>, together with all fixtures and improvements erected on the premises leased thereby.</w:t>
      </w:r>
    </w:p>
    <w:p>
      <w:pPr>
        <w:spacing w:after="0" w:line="225" w:lineRule="exact"/>
        <w:rPr>
          <w:sz w:val="20"/>
          <w:szCs w:val="20"/>
          <w:color w:val="auto"/>
        </w:rPr>
      </w:pPr>
    </w:p>
    <w:p>
      <w:pPr>
        <w:jc w:val="both"/>
        <w:ind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property or asset, any mortgage, lien, pledge, charge, security interest or encumbrance of any kind in respect of such property or asset, and any conditional sale or voting agreement or proxy, including any agreement to give any of the foregoing.</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xml:space="preserve">” means the lockup agreements, in each case substantially in the form attached hereto as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864"/>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Material Adverse Change</w:t>
      </w:r>
      <w:r>
        <w:rPr>
          <w:rFonts w:ascii="Times New Roman" w:cs="Times New Roman" w:eastAsia="Times New Roman" w:hAnsi="Times New Roman"/>
          <w:sz w:val="18"/>
          <w:szCs w:val="18"/>
          <w:color w:val="auto"/>
        </w:rPr>
        <w:t xml:space="preserve">” means a material adverse change or a material adverse effect upon the assets, liabilities, financial condition, net worth, management, earnings, cash flows, business, operations or properties of the Company and the Business,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“Material Adverse Effect” or “Material Adverse Change” shall not include any event, occurrence, fact, condition or change, directly or indirectly, arising out of or attributable to: (a) general economic or political conditions; (b) conditions generally affecting the industries in which the Company operates; (c) any changes in financial, banking or securities markets in general, including any disruption thereof and any decline in the price of any security or any market index or any change in prevailing interest rates; (d) acts of war (whether or not declared), armed hostilities or terrorism, or the escalation or worsening thereof; (e) any action required or permitted by this Agreement or any action taken (or omitted to be taken) with the written consent of or at the written request of Parent; (f) any changes in applicable Laws or accounting rules (including U.S. GAAP) or the enforcement, implementation or interpretation thereof; (g) the announcement, pendency or completion of the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 in this subclause (g) shall not apply to any representation or warranty contained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5.8</w:t>
      </w:r>
      <w:r>
        <w:rPr>
          <w:rFonts w:ascii="Times New Roman" w:cs="Times New Roman" w:eastAsia="Times New Roman" w:hAnsi="Times New Roman"/>
          <w:sz w:val="18"/>
          <w:szCs w:val="18"/>
          <w:color w:val="auto"/>
        </w:rPr>
        <w:t xml:space="preserve"> or to the determination of whether any inaccuracy in such representations or warranties would reasonably be expected to have a Material Adverse Effect for purposes of </w:t>
      </w:r>
      <w:r>
        <w:rPr>
          <w:rFonts w:ascii="Times New Roman" w:cs="Times New Roman" w:eastAsia="Times New Roman" w:hAnsi="Times New Roman"/>
          <w:sz w:val="18"/>
          <w:szCs w:val="18"/>
          <w:u w:val="single" w:color="auto"/>
          <w:color w:val="auto"/>
        </w:rPr>
        <w:t>Sections 10.2(b)</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jc w:val="both"/>
        <w:ind w:firstLine="8"/>
        <w:spacing w:after="0" w:line="253" w:lineRule="auto"/>
        <w:tabs>
          <w:tab w:leader="none" w:pos="2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natural or man-made disaster or acts of God or the COVID-19 pandemic; or (i) any failure by the Company to meet any internal or published projections, forecasts or revenue or earnings predictions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underlying causes of such failures (subject to the other provisions of this definition) shall not be excluded); except, in the case of subclauses (a), (b), (d), (f) and (h), to the extent such change, event, circumstance or effect has a disproportionate adverse effect on such entity as compared to other Persons engaged in the same industry.</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 Common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Capital Market.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decree, order, judgment, writ, award, injunction, rule or consent of or by an Authority.</w:t>
      </w:r>
    </w:p>
    <w:p>
      <w:pPr>
        <w:spacing w:after="0" w:line="225" w:lineRule="exact"/>
        <w:rPr>
          <w:sz w:val="20"/>
          <w:szCs w:val="20"/>
          <w:color w:val="auto"/>
        </w:rPr>
      </w:pPr>
    </w:p>
    <w:p>
      <w:pPr>
        <w:ind w:right="20"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Filings</w:t>
      </w:r>
      <w:r>
        <w:rPr>
          <w:rFonts w:ascii="Times New Roman" w:cs="Times New Roman" w:eastAsia="Times New Roman" w:hAnsi="Times New Roman"/>
          <w:sz w:val="18"/>
          <w:szCs w:val="18"/>
          <w:color w:val="auto"/>
        </w:rPr>
        <w:t>” means any filings to be made by Parent required under the Exchange Act, Securities Act or any other United States federal, foreign or blue sky laws, other than the SEC Statement and the other Offer Documents.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Parachute Payment Waiver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Board Recommendation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Certificate of Incorporation</w:t>
      </w:r>
      <w:r>
        <w:rPr>
          <w:rFonts w:ascii="Times New Roman" w:cs="Times New Roman" w:eastAsia="Times New Roman" w:hAnsi="Times New Roman"/>
          <w:sz w:val="18"/>
          <w:szCs w:val="18"/>
          <w:color w:val="auto"/>
        </w:rPr>
        <w:t>” means the Amended and Restated Certificate of Incorporation of the Company, as filed on August 11, 2020 with the Secretary of State of the State of Delaware pursuant to the DGCL.</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Class A Shares</w:t>
      </w:r>
      <w:r>
        <w:rPr>
          <w:rFonts w:ascii="Times New Roman" w:cs="Times New Roman" w:eastAsia="Times New Roman" w:hAnsi="Times New Roman"/>
          <w:sz w:val="18"/>
          <w:szCs w:val="18"/>
          <w:color w:val="auto"/>
        </w:rPr>
        <w:t>” means the Class A common stock, $0.0001 par value, of Parent.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Class B Shares</w:t>
      </w:r>
      <w:r>
        <w:rPr>
          <w:rFonts w:ascii="Times New Roman" w:cs="Times New Roman" w:eastAsia="Times New Roman" w:hAnsi="Times New Roman"/>
          <w:sz w:val="18"/>
          <w:szCs w:val="18"/>
          <w:color w:val="auto"/>
        </w:rPr>
        <w:t>” means the Class B common stock, $0.0001 par value, of Parent.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Common Stock</w:t>
      </w:r>
      <w:r>
        <w:rPr>
          <w:rFonts w:ascii="Times New Roman" w:cs="Times New Roman" w:eastAsia="Times New Roman" w:hAnsi="Times New Roman"/>
          <w:sz w:val="18"/>
          <w:szCs w:val="18"/>
          <w:color w:val="auto"/>
        </w:rPr>
        <w:t>” means Parent Class A Shares and Parent Class B Shares.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right="20" w:firstLine="86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Fundamental Representations</w:t>
      </w:r>
      <w:r>
        <w:rPr>
          <w:rFonts w:ascii="Times New Roman" w:cs="Times New Roman" w:eastAsia="Times New Roman" w:hAnsi="Times New Roman"/>
          <w:sz w:val="18"/>
          <w:szCs w:val="18"/>
          <w:color w:val="auto"/>
        </w:rPr>
        <w:t xml:space="preserve">” means the representations and warranties of Parent set forth in </w:t>
      </w:r>
      <w:r>
        <w:rPr>
          <w:rFonts w:ascii="Times New Roman" w:cs="Times New Roman" w:eastAsia="Times New Roman" w:hAnsi="Times New Roman"/>
          <w:sz w:val="18"/>
          <w:szCs w:val="18"/>
          <w:u w:val="single" w:color="auto"/>
          <w:color w:val="auto"/>
        </w:rPr>
        <w:t>Sections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Existence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Power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Corporate Authorization</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6.5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Finders’ Fees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Equity Incentive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Liabilities</w:t>
      </w:r>
      <w:r>
        <w:rPr>
          <w:rFonts w:ascii="Times New Roman" w:cs="Times New Roman" w:eastAsia="Times New Roman" w:hAnsi="Times New Roman"/>
          <w:sz w:val="18"/>
          <w:szCs w:val="18"/>
          <w:color w:val="auto"/>
        </w:rPr>
        <w:t>” means, as of any determination time, the aggregate of all debts, liabilities and obligations, whether accrued or fixed, absolute or contingent, known or unknown, matured or unmatured or determined or determinable, including those arising under any Law, Action or Order and those arising under any Contract, of Parent or Merger Sub, whether or not such liabilities are due and payable as of such time, including all fees, expense, commissions or other amounts incurred by or on behalf of, or otherwise payable by, whether or not due, Parent or Merger Sub in connection with the negotiation, preparation or execution of this Agreement or any Additional Agreements, the performance of any covenants or agreements in this Agreement or any Additional Agreement or the consummation of the transactions contemplated hereby or thereby.</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Preferred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Proposals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Redemption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SEC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Stockholder Approval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Stockholder Meeting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Support Agreement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means each license, franchise, permit, order, approval, consent or other similar authorization required to be obtained and maintained by the Company under applicable Law to carry out or otherwise affecting, or relating in any way to, the Business.</w:t>
      </w:r>
    </w:p>
    <w:p>
      <w:pPr>
        <w:spacing w:after="0" w:line="162"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means (a) all defects, exceptions, restrictions, easements, rights of way and encumbrances disclosed in policies of title insurance which have been made available to Parent; (b) mechanics’, carriers’, workers’, repairers’ and similar statutory Liens arising or incurred in the ordinary course of business for amounts (i) that are not delinquent, (ii) that are not material to the business, operations and financial condition of the Company so encumbered, either individually or in the aggregate, and (iii) not resulting from a breach, default or violation by the Company of any Contract or Law; (c) liens for Taxes not yet due and payable or which are being contested in good faith by appropriate proceedings (and for which adequate accruals or reserves have been established on the Company Financial Statements in accordance with U.S. GAAP); and (d) the Liens set forth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(including a general partnership, limited partnership or limited liability partnership), limited liability company, association, trust or other entity or organization, including a government, domestic or foreign, or political subdivision thereof, or an agency or instrumentality thereof.</w:t>
      </w:r>
    </w:p>
    <w:p>
      <w:pPr>
        <w:spacing w:after="0" w:line="176"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any data or information, on any media that, alone or in combination with other data or information, can, directly or indirectly, be associated with or be reasonably used to identify an individual natural Person (including any part of such Person’s name, physical address, telephone number, email address, financial account number or credit card number, government issued identifier (including social security number and driver’s license number), user identification number and password, billing and transactional information, medical, health or insurance information, date of birth, educational or employment information, vehicle identification number, IP address, cookie identifier, or any other number or identifier that identifies an individual natural Person, or such Person’s vehicle, browser or device), or any other data or information that constitutes personal data, protected health information, personally identifiable information, personal information or similar defined term under any Privacy Law or Healthcare Laws (including protected health information, as defined in 45 C.F.R. §160.103 and personal data, as defined in the EU General Data Protection Regulation).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4" w:name="page35"/>
    <w:bookmarkEnd w:id="34"/>
    <w:p>
      <w:pPr>
        <w:jc w:val="both"/>
        <w:ind w:firstLine="86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each “employee benefit plan” within the meaning of Section 3(3) of ERISA and all other compensation and benefits plans, policies, programs, or arrangements, including multiemployer plans within the meaning of Section 3(37) of ERISA, and each other stock purchase, stock option, restricted stock, severance, retention, employment (other than any employment offer letter in such form as previously provided to Parent that is terminable “at will” without any contractual obligation on the part of the Company to make any severance, termination, change of control, or similar payment), consulting, change-of-control, collective bargaining, bonus, incentive, deferred compensation, employee loan, fringe benefit and other benefit plan, agreement, program, policy, commitment or other arrangement, whether or not subject to ERISA (including any related funding mechanism now in effect or required in the future), whether formal or informal, oral or written, in each case, that is sponsored, maintained, contributed or required to be contributed to by the Company, or under which the Company has any current or potential liability.</w:t>
      </w:r>
    </w:p>
    <w:p>
      <w:pPr>
        <w:spacing w:after="0" w:line="1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Portion</w:t>
      </w:r>
      <w:r>
        <w:rPr>
          <w:rFonts w:ascii="Times New Roman" w:cs="Times New Roman" w:eastAsia="Times New Roman" w:hAnsi="Times New Roman"/>
          <w:sz w:val="18"/>
          <w:szCs w:val="18"/>
          <w:color w:val="auto"/>
        </w:rPr>
        <w:t xml:space="preserve">” shall mean, with respect to each Escrow Participant, an amount equal to the quotient (expressed as a percentage) obtained by </w:t>
      </w:r>
      <w:r>
        <w:rPr>
          <w:rFonts w:ascii="Times New Roman" w:cs="Times New Roman" w:eastAsia="Times New Roman" w:hAnsi="Times New Roman"/>
          <w:sz w:val="18"/>
          <w:szCs w:val="18"/>
          <w:i w:val="1"/>
          <w:iCs w:val="1"/>
          <w:u w:val="single" w:color="auto"/>
          <w:color w:val="auto"/>
        </w:rPr>
        <w:t>dividing</w:t>
      </w:r>
      <w:r>
        <w:rPr>
          <w:rFonts w:ascii="Times New Roman" w:cs="Times New Roman" w:eastAsia="Times New Roman" w:hAnsi="Times New Roman"/>
          <w:sz w:val="18"/>
          <w:szCs w:val="18"/>
          <w:color w:val="auto"/>
        </w:rPr>
        <w:t xml:space="preserve"> (a) the number of Escrow Participant Company Securities held by such Escrow Participant as of immediately prior to the Effective Time (on an as converted to common stock basis) by (b) the total number of shares of Escrow Participant Company Securities as of immediately prior to the Effective Time.</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means, collectively, all real properties and interests therein (including the right to use), together with all buildings, fixtures, trade fixtures, plant and other improvements located thereon or attached thereto; all rights arising out of use thereof (including air, water, oil and mineral rights); and all subleases, franchises, licenses, permits, easements and rights-of-way which are appurtenant thereto.</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means the registration rights agreement, in substantially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 Losses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means the Sarbanes-Oxley Act of 2002.</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jc w:val="both"/>
        <w:ind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Statement</w:t>
      </w:r>
      <w:r>
        <w:rPr>
          <w:rFonts w:ascii="Times New Roman" w:cs="Times New Roman" w:eastAsia="Times New Roman" w:hAnsi="Times New Roman"/>
          <w:sz w:val="18"/>
          <w:szCs w:val="18"/>
          <w:color w:val="auto"/>
        </w:rPr>
        <w:t>” means the Form S-4, including the Proxy Statement, whether in preliminary or definitive form, and any amendments or supplements thereto.</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Company Securityholder</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means FS Development Holdings, LLC, a Delaware limited liability company.</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5.15(a)(vi)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Stockholders’ Representative</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right="20"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each entity of which at least fifty percent (50%) of the capital stock or other equity or voting securities are Controlled or owned, directly or indirectly, by the Company.</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Survival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SVB</w:t>
      </w:r>
      <w:r>
        <w:rPr>
          <w:rFonts w:ascii="Times New Roman" w:cs="Times New Roman" w:eastAsia="Times New Roman" w:hAnsi="Times New Roman"/>
          <w:sz w:val="18"/>
          <w:szCs w:val="18"/>
          <w:color w:val="auto"/>
        </w:rPr>
        <w:t>” means Silicon Valley Bank.</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SVB Loan</w:t>
      </w:r>
      <w:r>
        <w:rPr>
          <w:rFonts w:ascii="Times New Roman" w:cs="Times New Roman" w:eastAsia="Times New Roman" w:hAnsi="Times New Roman"/>
          <w:sz w:val="18"/>
          <w:szCs w:val="18"/>
          <w:color w:val="auto"/>
        </w:rPr>
        <w:t>” means the Loan and Security Agreement, dated as of February 8, 2019, by and between SVB and the Company, pursuant to which SVB made available to the Company term loan advances in an original principal amount of up to Ten Million Dollars ($10,000,000.00).</w:t>
      </w:r>
    </w:p>
    <w:p>
      <w:pPr>
        <w:spacing w:after="0" w:line="162" w:lineRule="exact"/>
        <w:rPr>
          <w:sz w:val="20"/>
          <w:szCs w:val="20"/>
          <w:color w:val="auto"/>
        </w:rPr>
      </w:pPr>
    </w:p>
    <w:p>
      <w:pPr>
        <w:jc w:val="both"/>
        <w:ind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Tangible Personal Property</w:t>
      </w:r>
      <w:r>
        <w:rPr>
          <w:rFonts w:ascii="Times New Roman" w:cs="Times New Roman" w:eastAsia="Times New Roman" w:hAnsi="Times New Roman"/>
          <w:sz w:val="18"/>
          <w:szCs w:val="18"/>
          <w:color w:val="auto"/>
        </w:rPr>
        <w:t xml:space="preserve">” means all tangible personal property and interests therein, including machinery, computers and accessories, furniture, office equipment, communications equipment, automobiles, laboratory equipment and other equipment owned or leased by the Company and other tangible property, including the items listed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U.S. federal, state or local or non-U.S. tax, charge, fee, levy, custom, duty, deficiency, or other assessment of any kind or nature imposed by any Taxing Authority (including any income (net or gross), gross receipts, profits, windfall profit, sales, use, goods and services, ad valorem, franchise, license, withholding, employment, social security, workers compensation, unemployment compensation, employment, payroll, transfer, excise, import, real property, personal property, intangible property, occupancy, recording, minimum, alternative minimum, escheat and other Taxes), together with any interest, penalty, additions to tax or additional amount imposed with respect thereto and shall include any liability for such amounts as a result of (a) being a transferee or successor or member of a combined, consolidated, unitary or affiliated group, or (b) a contractual obligation to indemnify any Person (other than any commercial agreement the principal purpose of which is not Taxes).</w:t>
      </w:r>
    </w:p>
    <w:p>
      <w:pPr>
        <w:spacing w:after="0" w:line="189" w:lineRule="exact"/>
        <w:rPr>
          <w:sz w:val="20"/>
          <w:szCs w:val="20"/>
          <w:color w:val="auto"/>
        </w:rPr>
      </w:pPr>
    </w:p>
    <w:p>
      <w:pPr>
        <w:jc w:val="both"/>
        <w:ind w:right="20"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the Internal Revenue Service and any other Authority responsible for the collection, assessment or imposition of any Tax or the administration of any Law relating to any Tax.</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Opinion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information return, declaration, claim for refund or credit, report or any similar statement, and any amendment thereto, including any attached schedule and supporting information, whether on a separate, consolidated, combined, unitary or other basis, that is filed or required to be filed with any Taxing Authority in connection with the determination, assessment, collection or payment of a Tax or the administration of any Law relating to any Tax.</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Third-Party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for so long as the Parent Class A Shares are listed or admitted for trading on the NYSE American or any other national securities exchange, days on which such securities exchange is open for business; (b) when and if the Parent Class A Shares are quoted on the Nasdaq or any similar system of automated dissemination of quotations of securities prices, days on which trades may be made on such system; or (c) if the Parent Class A Shares are not listed or admitted to trading on any national securities exchange or quoted on the Nasdaq or similar system, days on which the Parent Class A Shares are traded regular way in the over-the- counter market and for which a closing bid and a closing asked price for the Parent Class A Shares are available</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transactions contemplated by this Agreement to occur at or immediately prior to the Closing, including the Merger.</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Unaudited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Unpaid Parent Liabilities</w:t>
      </w:r>
      <w:r>
        <w:rPr>
          <w:rFonts w:ascii="Times New Roman" w:cs="Times New Roman" w:eastAsia="Times New Roman" w:hAnsi="Times New Roman"/>
          <w:sz w:val="18"/>
          <w:szCs w:val="18"/>
          <w:color w:val="auto"/>
        </w:rPr>
        <w:t>” means the Parent Liabilities that remain unpaid as of immediately prior to the Closing.</w:t>
      </w:r>
    </w:p>
    <w:p>
      <w:pPr>
        <w:spacing w:after="0" w:line="225" w:lineRule="exact"/>
        <w:rPr>
          <w:sz w:val="20"/>
          <w:szCs w:val="20"/>
          <w:color w:val="auto"/>
        </w:rPr>
      </w:pPr>
    </w:p>
    <w:p>
      <w:pPr>
        <w:jc w:val="both"/>
        <w:ind w:right="20"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Unvested Company Option</w:t>
      </w:r>
      <w:r>
        <w:rPr>
          <w:rFonts w:ascii="Times New Roman" w:cs="Times New Roman" w:eastAsia="Times New Roman" w:hAnsi="Times New Roman"/>
          <w:sz w:val="18"/>
          <w:szCs w:val="18"/>
          <w:color w:val="auto"/>
        </w:rPr>
        <w:t>” means each Company Option outstanding as of immediately prior to the Effective Time that is not a Vested Company Option.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GAAP</w:t>
      </w:r>
      <w:r>
        <w:rPr>
          <w:rFonts w:ascii="Times New Roman" w:cs="Times New Roman" w:eastAsia="Times New Roman" w:hAnsi="Times New Roman"/>
          <w:sz w:val="18"/>
          <w:szCs w:val="18"/>
          <w:color w:val="auto"/>
        </w:rPr>
        <w:t>” means U.S. generally accepted accounting principles, consistently applied.</w:t>
      </w:r>
    </w:p>
    <w:p>
      <w:pPr>
        <w:spacing w:after="0" w:line="225" w:lineRule="exact"/>
        <w:rPr>
          <w:sz w:val="20"/>
          <w:szCs w:val="20"/>
          <w:color w:val="auto"/>
        </w:rPr>
      </w:pPr>
    </w:p>
    <w:p>
      <w:pPr>
        <w:ind w:right="20"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Vested Company Option</w:t>
      </w:r>
      <w:r>
        <w:rPr>
          <w:rFonts w:ascii="Times New Roman" w:cs="Times New Roman" w:eastAsia="Times New Roman" w:hAnsi="Times New Roman"/>
          <w:sz w:val="18"/>
          <w:szCs w:val="18"/>
          <w:color w:val="auto"/>
        </w:rPr>
        <w:t>” means each Company Option outstanding as of immediately prior to the Effective Time that is vested as of immediately prior to the Effective Time or will vest solely as a result of the consummation of the Merger.</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has the meaning set forth in the definition of Additional Agreements.</w:t>
      </w:r>
    </w:p>
    <w:p>
      <w:pPr>
        <w:spacing w:after="0" w:line="225" w:lineRule="exact"/>
        <w:rPr>
          <w:sz w:val="20"/>
          <w:szCs w:val="20"/>
          <w:color w:val="auto"/>
        </w:rPr>
      </w:pPr>
    </w:p>
    <w:p>
      <w:pPr>
        <w:ind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the volume weighted average price of the Parent Class A Shares for the ten (10) Trading Days ending on the Trading Day immediately preceding the Closing Date.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72"/>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particular sections and subsections, schedules, and exhibits not otherwise specified are cross-references to sections and subsections, schedules, and exhibits of this Agreement. Captions are not a part of this Agreement, but are included for convenience, only.</w:t>
      </w:r>
    </w:p>
    <w:p>
      <w:pPr>
        <w:spacing w:after="0" w:line="161" w:lineRule="exact"/>
        <w:rPr>
          <w:rFonts w:ascii="Times New Roman" w:cs="Times New Roman" w:eastAsia="Times New Roman" w:hAnsi="Times New Roman"/>
          <w:sz w:val="18"/>
          <w:szCs w:val="18"/>
          <w:color w:val="auto"/>
        </w:rPr>
      </w:pPr>
    </w:p>
    <w:p>
      <w:pPr>
        <w:ind w:firstLine="872"/>
        <w:spacing w:after="0" w:line="282" w:lineRule="auto"/>
        <w:tabs>
          <w:tab w:leader="none" w:pos="11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“hereunder,” and words of similar import refer to this Agreement as a whole and not to any particular provision of this Agreement; and, unless the context requires otherwise, “party” means a party signatory hereto.</w:t>
      </w:r>
    </w:p>
    <w:p>
      <w:pPr>
        <w:spacing w:after="0" w:line="161" w:lineRule="exact"/>
        <w:rPr>
          <w:rFonts w:ascii="Times New Roman" w:cs="Times New Roman" w:eastAsia="Times New Roman" w:hAnsi="Times New Roman"/>
          <w:sz w:val="18"/>
          <w:szCs w:val="18"/>
          <w:color w:val="auto"/>
        </w:rPr>
      </w:pPr>
    </w:p>
    <w:p>
      <w:pPr>
        <w:jc w:val="both"/>
        <w:ind w:firstLine="872"/>
        <w:spacing w:after="0" w:line="261" w:lineRule="auto"/>
        <w:tabs>
          <w:tab w:leader="none" w:pos="110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use of the singular or plural, or the masculine, feminine or neuter gender, includes the others, unless the context otherwise requires; the word “including” means “including without limitation”; the word “or” means “and/or”; the word “any” means “any one, more than one, or all”; and, unless otherwise specified, any financial or accounting term has the meaning of the term under United States generally accepted accounting principles as consistently applied heretofore by the Company.</w:t>
      </w:r>
    </w:p>
    <w:p>
      <w:pPr>
        <w:spacing w:after="0" w:line="179" w:lineRule="exact"/>
        <w:rPr>
          <w:rFonts w:ascii="Times New Roman" w:cs="Times New Roman" w:eastAsia="Times New Roman" w:hAnsi="Times New Roman"/>
          <w:sz w:val="18"/>
          <w:szCs w:val="18"/>
          <w:color w:val="auto"/>
        </w:rPr>
      </w:pPr>
    </w:p>
    <w:p>
      <w:pPr>
        <w:jc w:val="both"/>
        <w:ind w:firstLine="872"/>
        <w:spacing w:after="0" w:line="261" w:lineRule="auto"/>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any reference to any agreement (including this Agreement), instrument, or other document includes all schedules, exhibits, or other attachments referred to therein, and any reference to a statute or other law means such law as amended, restated, supplemented or otherwise modified from time to time and includes any rule, regulation, ordinance or the like promulgated thereunder, in each case, as amended, restated, supplemented or otherwise modified from time to time.</w:t>
      </w:r>
    </w:p>
    <w:p>
      <w:pPr>
        <w:spacing w:after="0" w:line="179" w:lineRule="exact"/>
        <w:rPr>
          <w:rFonts w:ascii="Times New Roman" w:cs="Times New Roman" w:eastAsia="Times New Roman" w:hAnsi="Times New Roman"/>
          <w:sz w:val="18"/>
          <w:szCs w:val="18"/>
          <w:color w:val="auto"/>
        </w:rPr>
      </w:pPr>
    </w:p>
    <w:p>
      <w:pPr>
        <w:jc w:val="both"/>
        <w:ind w:firstLine="872"/>
        <w:spacing w:after="0" w:line="254" w:lineRule="auto"/>
        <w:tabs>
          <w:tab w:leader="none" w:pos="11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 numbered schedule means the same-numbered section of the disclosure schedule. Any reference in a schedule contained in the disclosure schedules delivered by a party hereunder shall be deemed to be an exception to (or, as applicable, a disclosure for purposes of) the applicable representations and warranties (or applicable covenants) that are contained in the section or subsection of this Agreement that corresponds to such schedule and any other representations and warranties of such party that are contained in this Agreement to which the relevance of such item thereto is reasonably apparent on its face. The mere inclusion of an item in a schedule as an exception to (or, as applicable, a disclosure for purposes of) a representation or warranty shall not be deemed an admission that such item represents a material exception or material fact, event or circumstance or that such item would have a Material Adverse Effect or establish any standard of materiality to define further the meaning of such terms for purposes of this Agreement.</w:t>
      </w:r>
    </w:p>
    <w:p>
      <w:pPr>
        <w:spacing w:after="0" w:line="191" w:lineRule="exact"/>
        <w:rPr>
          <w:rFonts w:ascii="Times New Roman" w:cs="Times New Roman" w:eastAsia="Times New Roman" w:hAnsi="Times New Roman"/>
          <w:sz w:val="18"/>
          <w:szCs w:val="18"/>
          <w:color w:val="auto"/>
        </w:rPr>
      </w:pPr>
    </w:p>
    <w:p>
      <w:pPr>
        <w:jc w:val="both"/>
        <w:ind w:firstLine="872"/>
        <w:spacing w:after="0" w:line="261" w:lineRule="auto"/>
        <w:tabs>
          <w:tab w:leader="none" w:pos="108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action is required to be taken or notice is required to be given within a specified number of days following a specific date or event, the day of such date or event is not counted in determining the last day for such action or notice. If any action is required to be taken or notice is required to be given on or before a particular day which is not a Business Day, such action or notice shall be considered timely if it is taken or given on or before the next Business Day.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20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Upon the terms and subject to the conditions set forth in this Agreement, and in accordance with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xml:space="preserve">”), at the Effective Time, (a) Merger Sub shall be merged with and into the Company, (b) the separate corporate existence of Merger Sub shall thereupon cease, and the Company shall be the Surviving Corporation in the Merger, and (c) the Surviving Corporation shall become a wholly-owned Subsidiary of Parent. The Company Securityholders shall be entitled to the consideration described in, and in accordance with the provisions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Merger Effective Time</w:t>
      </w:r>
      <w:r>
        <w:rPr>
          <w:rFonts w:ascii="Times New Roman" w:cs="Times New Roman" w:eastAsia="Times New Roman" w:hAnsi="Times New Roman"/>
          <w:sz w:val="18"/>
          <w:szCs w:val="18"/>
          <w:color w:val="auto"/>
        </w:rPr>
        <w:t>. Subject to the provisions of this Agreement, at the Closing, the Company shall file a certificate of merger in the form attached hereto as Exhibit L with the Secretary of State of the State of Delaware, executed in accordance with the relevant provisions of the DGCL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The Merger shall become effective upon the filing of the Certificate of Merger or at such later time as is agreed to by the parties and specified in the Certificate of Merger (the time at which the Merger becomes effective is herein referred to as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Effect of the Merger</w:t>
      </w:r>
      <w:r>
        <w:rPr>
          <w:rFonts w:ascii="Times New Roman" w:cs="Times New Roman" w:eastAsia="Times New Roman" w:hAnsi="Times New Roman"/>
          <w:sz w:val="18"/>
          <w:szCs w:val="18"/>
          <w:color w:val="auto"/>
        </w:rPr>
        <w:t>. At the Effective Time, the effect of the Merger shall be as provided in this Agreement, the Certificate of Merger and the applicable provisions of the DGCL. Without limiting the generality of the foregoing, and subject thereto, at the Effective Time, all the property, rights, privileges, agreements, powers and franchises, debts, liabilities, duties and obligations of the Company and Merger Sub shall become the property, rights, privileges, agreements, powers and franchises, debts, liabilities, duties and obligations of the Surviving Corporation, which shall include the assumption by the Surviving Corporation of any and all agreements, covenants, duties and obligations of the Company and the Merger Sub set forth in this Agreement to be performed after the Closing. Merger Sub will be merged with and into the Company, and the separate corporate existence of Merger Sub will cease, and the Surviving Corporation will become wholly owned directly by Parent, all as provided under the DGCL and the provisions of this Agreement.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U.S. Tax Treatment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72"/>
        <w:spacing w:after="0" w:line="253" w:lineRule="auto"/>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U.S. federal income tax purposes, the Merger is intended to constitute a “reorganization” within the meaning of Section 368(a) of the Code. The parties to this Agreement hereby (i) adopt this Agreement insofar as it relates to the Merger as a “plan of reorganization” within the meaning of Section 1.368-2(g) of the United States Treasury regulations, (ii) agree to file and retain such information as shall be required under Section 1.368-3 of the United States Treasury regulations, and (iii) agree to file all Tax and other informational returns on a basis consistent with such characterization. Notwithstanding the foregoing or anything else to the contrary contained in this Agreement, the parties acknowledge and agree that, other than the representations set forth in </w:t>
      </w:r>
      <w:r>
        <w:rPr>
          <w:rFonts w:ascii="Times New Roman" w:cs="Times New Roman" w:eastAsia="Times New Roman" w:hAnsi="Times New Roman"/>
          <w:sz w:val="18"/>
          <w:szCs w:val="18"/>
          <w:u w:val="single" w:color="auto"/>
          <w:color w:val="auto"/>
        </w:rPr>
        <w:t>Sections 5.25(d)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6.18(e)</w:t>
      </w:r>
      <w:r>
        <w:rPr>
          <w:rFonts w:ascii="Times New Roman" w:cs="Times New Roman" w:eastAsia="Times New Roman" w:hAnsi="Times New Roman"/>
          <w:sz w:val="18"/>
          <w:szCs w:val="18"/>
          <w:color w:val="auto"/>
        </w:rPr>
        <w:t>, no party is making any representation or warranty as to the qualification of the Merger as a reorganization under Section 368(a) of the Code or as to the effect, if any, that any transaction consummated on, after or prior to the Effective Time has or may have on any such reorganization status. Each of the parties acknowledges and agrees that each such party (A) has had the opportunity to obtain independent legal and tax advice with respect to the transactions contemplated by this Agreement and (B) is responsible for paying its own Taxes, including any adverse Tax consequences that may result if the Merger is determined not to qualify as a reorganization under Section 368(a) of the Code.</w:t>
      </w:r>
    </w:p>
    <w:p>
      <w:pPr>
        <w:spacing w:after="0" w:line="194" w:lineRule="exact"/>
        <w:rPr>
          <w:rFonts w:ascii="Times New Roman" w:cs="Times New Roman" w:eastAsia="Times New Roman" w:hAnsi="Times New Roman"/>
          <w:sz w:val="18"/>
          <w:szCs w:val="18"/>
          <w:color w:val="auto"/>
        </w:rPr>
      </w:pPr>
    </w:p>
    <w:p>
      <w:pPr>
        <w:jc w:val="both"/>
        <w:ind w:firstLine="872"/>
        <w:spacing w:after="0" w:line="253" w:lineRule="auto"/>
        <w:tabs>
          <w:tab w:leader="none" w:pos="112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connection with the preparation and filing of the Parent SEC Documents, the Additional Parent SEC Documents, the SEC Statement or any Other Filing (each individually, a “</w:t>
      </w:r>
      <w:r>
        <w:rPr>
          <w:rFonts w:ascii="Times New Roman" w:cs="Times New Roman" w:eastAsia="Times New Roman" w:hAnsi="Times New Roman"/>
          <w:sz w:val="18"/>
          <w:szCs w:val="18"/>
          <w:u w:val="single" w:color="auto"/>
          <w:color w:val="auto"/>
        </w:rPr>
        <w:t>Securities Filing</w:t>
      </w:r>
      <w:r>
        <w:rPr>
          <w:rFonts w:ascii="Times New Roman" w:cs="Times New Roman" w:eastAsia="Times New Roman" w:hAnsi="Times New Roman"/>
          <w:sz w:val="18"/>
          <w:szCs w:val="18"/>
          <w:color w:val="auto"/>
        </w:rPr>
        <w:t>”) or the SEC’s review thereof, the SEC requests or requires that a tax opinion (or tax opinions) with respect to the U.S. federal income tax consequences of the Merger be prepared and submitted in such connection (each, a “</w:t>
      </w:r>
      <w:r>
        <w:rPr>
          <w:rFonts w:ascii="Times New Roman" w:cs="Times New Roman" w:eastAsia="Times New Roman" w:hAnsi="Times New Roman"/>
          <w:sz w:val="18"/>
          <w:szCs w:val="18"/>
          <w:u w:val="single" w:color="auto"/>
          <w:color w:val="auto"/>
        </w:rPr>
        <w:t>Tax Opinion</w:t>
      </w:r>
      <w:r>
        <w:rPr>
          <w:rFonts w:ascii="Times New Roman" w:cs="Times New Roman" w:eastAsia="Times New Roman" w:hAnsi="Times New Roman"/>
          <w:sz w:val="18"/>
          <w:szCs w:val="18"/>
          <w:color w:val="auto"/>
        </w:rPr>
        <w:t>”), (i) the Company shall use its reasonable best efforts to deliver to Goodwin Procter LLP (“</w:t>
      </w:r>
      <w:r>
        <w:rPr>
          <w:rFonts w:ascii="Times New Roman" w:cs="Times New Roman" w:eastAsia="Times New Roman" w:hAnsi="Times New Roman"/>
          <w:sz w:val="18"/>
          <w:szCs w:val="18"/>
          <w:u w:val="single" w:color="auto"/>
          <w:color w:val="auto"/>
        </w:rPr>
        <w:t>Goodwin</w:t>
      </w:r>
      <w:r>
        <w:rPr>
          <w:rFonts w:ascii="Times New Roman" w:cs="Times New Roman" w:eastAsia="Times New Roman" w:hAnsi="Times New Roman"/>
          <w:sz w:val="18"/>
          <w:szCs w:val="18"/>
          <w:color w:val="auto"/>
        </w:rPr>
        <w:t>”) (or another nationally recognized tax or accounting firm in the United States reasonably acceptable to the Parties), in connection with any Tax Opinion rendered by Goodwin (or such other nationally recognized tax or accounting firm), customary Tax representation letters substantially in the form attached hereto as Exhibits M and N, dated and executed as of the date such relevant filing shall have been declared effective by the SEC and such other date(s) as determined to be reasonably necessary by Goodwin (or such other nationally recognized tax or accounting firm) in connection with the preparation and filing of such Securities Filing, and (ii) the Company shall use its reasonable best efforts to cause Goodwin (or such other nationally recognized tax or accounting firm) to furnish the Tax Opinions, subject to customary assumptions and limitations.</w:t>
      </w:r>
    </w:p>
    <w:p>
      <w:pPr>
        <w:spacing w:after="0" w:line="1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At the Effective Time, the Company Certificate of Incorporation, as in effect immediately prior to the Effective Time, shall cease to have effect and the certificate of incorporation of Merger Sub, as in effect immediately prior to the Effective Time, shall be the certificate of incorporation of the Surviving Corporation, except that reference to the name of Merger Sub shall be replaced by reference to the name of “Gemini Therapeutics Sub, Inc.”.</w:t>
      </w:r>
    </w:p>
    <w:p>
      <w:pPr>
        <w:spacing w:after="0" w:line="180" w:lineRule="exact"/>
        <w:rPr>
          <w:sz w:val="20"/>
          <w:szCs w:val="20"/>
          <w:color w:val="auto"/>
        </w:rPr>
      </w:pPr>
    </w:p>
    <w:p>
      <w:pPr>
        <w:jc w:val="both"/>
        <w:ind w:firstLine="432"/>
        <w:spacing w:after="0" w:line="232"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Closing; Effective Time</w:t>
      </w:r>
      <w:r>
        <w:rPr>
          <w:rFonts w:ascii="Times New Roman" w:cs="Times New Roman" w:eastAsia="Times New Roman" w:hAnsi="Times New Roman"/>
          <w:sz w:val="18"/>
          <w:szCs w:val="18"/>
          <w:color w:val="auto"/>
        </w:rPr>
        <w:t xml:space="preserve">. Unless this Agreement is earlier terminated in accordance with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virtually at 10:00 a.m. local time, on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Business Day after the satisfaction or waiver (to the extent permitted by applicable law) of the conditions set forth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at such other time, date and location as Parent and Company agree in writing. The parties may participate in the Closing via electronic means. The date on which the Closing actually occurs is hereinafter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Board of Directors of Parent</w:t>
      </w:r>
      <w:r>
        <w:rPr>
          <w:rFonts w:ascii="Times New Roman" w:cs="Times New Roman" w:eastAsia="Times New Roman" w:hAnsi="Times New Roman"/>
          <w:sz w:val="18"/>
          <w:szCs w:val="18"/>
          <w:color w:val="auto"/>
        </w:rPr>
        <w:t>. Immediately after the Closing, Parent’s Board of Directors will consist of seven (7) directors. Sponsor shall have the right to designate one (1) director and the Company shall designate six (6) directors as set forth in the Voting Agreement. At least a majority of the Board of Directors shall qualify as independent directors under the Securities Act and the Nasdaq rules. The parties to this Agreement and the Specified Company Securityholders shall enter into the Voting Agreement with respect to the election of directors. The officers and directors of Parent after the Closing shall also serve as the officers and directors of the Surviving Corporation.</w:t>
      </w:r>
    </w:p>
    <w:p>
      <w:pPr>
        <w:spacing w:after="0" w:line="183"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Taking of Necessary Action; Further Action</w:t>
      </w:r>
      <w:r>
        <w:rPr>
          <w:rFonts w:ascii="Times New Roman" w:cs="Times New Roman" w:eastAsia="Times New Roman" w:hAnsi="Times New Roman"/>
          <w:sz w:val="18"/>
          <w:szCs w:val="18"/>
          <w:color w:val="auto"/>
        </w:rPr>
        <w:t>. If, at any time after the Closing, any further action is necessary or desirable to carry out the purposes of this Agreement and to vest the Surviving Corporation with full right, title and interest in, to and under, or possession of, all assets, property, rights, privileges, powers and franchises of the Company and the Merger Sub, the officers and directors of the Surviving Corporation are fully authorized in the name and on behalf of the Company and the Merger Sub, to take all lawful action necessary or desirable to accomplish such purpose or acts, so long as such action is not inconsistent with this Agreement.</w:t>
      </w:r>
    </w:p>
    <w:p>
      <w:pPr>
        <w:spacing w:after="0" w:line="183"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No Further Ownership Rights in Company Securities</w:t>
      </w:r>
      <w:r>
        <w:rPr>
          <w:rFonts w:ascii="Times New Roman" w:cs="Times New Roman" w:eastAsia="Times New Roman" w:hAnsi="Times New Roman"/>
          <w:sz w:val="18"/>
          <w:szCs w:val="18"/>
          <w:color w:val="auto"/>
        </w:rPr>
        <w:t>. At the Effective Time, the stock transfer books of the Company shall be closed and thereafter there shall be no further registration of transfers of shares of Company Capital Stock or other securities of the Company on the records of the Company. From and after the Effective Time, the holders of certificates evidencing ownership of shares of Company Capital Stock of the Company outstanding immediately prior to the Effective Time shall cease to have any rights with respect to such shares of Company Capital Stock, except as otherwise provided for herein or by Law.</w:t>
      </w:r>
    </w:p>
    <w:p>
      <w:pPr>
        <w:spacing w:after="0" w:line="183"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Appraisal Rights</w:t>
      </w:r>
      <w:r>
        <w:rPr>
          <w:rFonts w:ascii="Times New Roman" w:cs="Times New Roman" w:eastAsia="Times New Roman" w:hAnsi="Times New Roman"/>
          <w:sz w:val="18"/>
          <w:szCs w:val="18"/>
          <w:color w:val="auto"/>
        </w:rPr>
        <w:t>. Notwithstanding anything to the contrary contained herein, any shares of Company Capital Stock that are issued and outstanding immediately prior to the Effective Time and in respect of which appraisal rights shall have been perfected, and not waived, withdrawn or lost, in accordance with the DGCL in connection with the Merger and that are owned by a holder who complies in all respects with Section 262 of the DGCL (such shares,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shall not be converted into the right to receive the applicable portion of the Closing Payment Shares, but shall instead be converted into the right to receive such consideration as may be determined to be due with respect to any such Dissenting Shares pursuant to the DGCL. At the Effective Time, (a) all Dissenting Shares shall be cancelled, extinguished and cease to exist and (b) the holders of Dissenting Shares shall be entitled only to such rights as may be granted to them under the DGCL. Each holder of Dissenting Shares who, pursuant to the DGCL, becomes entitled to payment thereunder for such shares shall receive payment therefor in accordance with the DGCL (but only after the value therefor shall have been agreed upon or finally determined pursuant to such provisions). If, after the Effective Time, any Dissenting Shares shall lose their status as Dissenting Shares, then any such shares shall immediately be deemed to have converted at the Effective Time into the right to receive the applicable portion of the Closing Payment Shares (upon the terms and conditions of this Agreement) in respect of such shares as if such shares never had been Dissenting Shares, and Parent shall issue and deliver (or cause to be issued and delivered) to the holder thereof, following the satisfaction of the applicable conditions set forth in this Agreement, the applicable portion of the Closing Payment Shares as if such shares never had been Dissenting Shares. The Company shall give Parent prompt written notice (and in any event within two (2) Business Days) of any demands received by the Company for appraisal of shares of Company Common Stock, attempted withdrawals of such demands and any other instruments served pursuant to the DGCL and received by the Company relating to rights to be paid the fair value of Dissenting Shares, and Parent shall have the right to participate in and, following the Effective Time, direct all negotiations and proceedings with respect to such demands. Prior to the Effective Time, neither the Company nor Parent shall, except with the prior written consent of the other party (in its sole discretion), or as otherwise required under the DGCL, (i) make any payment or offer to make any payment with respect to, or settle or compromise or offer to settle or compromise, any claim or demand in respect of any Dissenting Shares., (ii) waive any failure to timely deliver a written demand for appraisal or otherwise comply with the provisions under Section 262 of the DGCL or (iii) agree or commit to do any of the foregoing.</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[INTENTIONALLY OMITTED]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CONSIDERATION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Conversion of Company Securities; Convertible Notes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872"/>
        <w:spacing w:after="0" w:line="255" w:lineRule="auto"/>
        <w:tabs>
          <w:tab w:leader="none" w:pos="110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of Company Capital Stock</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at the Effective Time, by virtue of the Merger and without any action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 of Parent, Merger Sub, the Company or the Company Securityholders, each share of Company Capital Stock issued and outstanding immediately prior to the Effective Time (other than the Dissenting Shares) shall be canceled and automatically converted into the right to receive a number of Parent Class A Shares equal to the Closing Consideration Conversion Ratio, in each case, as set forth on the Capitalization Schedule delivered prior to Closing, subject to </w:t>
      </w:r>
      <w:r>
        <w:rPr>
          <w:rFonts w:ascii="Times New Roman" w:cs="Times New Roman" w:eastAsia="Times New Roman" w:hAnsi="Times New Roman"/>
          <w:sz w:val="18"/>
          <w:szCs w:val="18"/>
          <w:u w:val="single" w:color="auto"/>
          <w:color w:val="auto"/>
        </w:rPr>
        <w:t>Section 4.1(i)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If any shares of Company Capital Stock issued and outstanding immediately prior to the Effective Time are shares of Company Restricted Stock, then the Parent Class A Shares issued in exchange for such Company Restricted Stock pursuant to the immediately preceding sentence shall to the same extent be unvested and subject to the same repurchase option or risk of forfeiture, and the certificates and/or book entries representing such Parent Class A Shares shall accordingly be marked with appropriate legends.</w:t>
      </w:r>
    </w:p>
    <w:p>
      <w:pPr>
        <w:spacing w:after="0" w:line="184" w:lineRule="exact"/>
        <w:rPr>
          <w:rFonts w:ascii="Times New Roman" w:cs="Times New Roman" w:eastAsia="Times New Roman" w:hAnsi="Times New Roman"/>
          <w:sz w:val="18"/>
          <w:szCs w:val="18"/>
          <w:color w:val="auto"/>
        </w:rPr>
      </w:pPr>
    </w:p>
    <w:p>
      <w:pPr>
        <w:jc w:val="both"/>
        <w:ind w:firstLine="872"/>
        <w:spacing w:after="0" w:line="252" w:lineRule="auto"/>
        <w:tabs>
          <w:tab w:leader="none" w:pos="111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Treatment of Company Options. </w:t>
      </w:r>
      <w:r>
        <w:rPr>
          <w:rFonts w:ascii="Times New Roman" w:cs="Times New Roman" w:eastAsia="Times New Roman" w:hAnsi="Times New Roman"/>
          <w:sz w:val="18"/>
          <w:szCs w:val="18"/>
          <w:color w:val="auto"/>
        </w:rPr>
        <w:t>The Company shall terminate the Equity Incentive Plans at or prior to the Effective Time, contingent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closing of the Merger. As of the Effective Time, all Company Options shall no longer be outstanding and each Person who previously held Company Options shall cease to have any rights with respect to such Company Options, except as set forth in this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Prior to the Effective Time, the Boards of Directors of the Company and Parent (or any duly authorized committee thereof) shall, as applicable, take all corporate actions necessary, including adopting appropriate resolutions and obtaining consents of the holders of the Company Options, if required, to provide that, as of the Effective Time, that each Company Option shall be assumed by Parent and shall continue in full force and effect, containing the same terms, conditions, vesting and other provisions as are currently applicable to such Company Options;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each such Company Option shall be exercisable for such number of Parent Class A Shares that equals the Closing Consideration Conversion Ratio multiplied by the number of shares of Company Common Stock subject to such Company Option as of immediately prior to the Effective Time, in each case, subject to </w:t>
      </w:r>
      <w:r>
        <w:rPr>
          <w:rFonts w:ascii="Times New Roman" w:cs="Times New Roman" w:eastAsia="Times New Roman" w:hAnsi="Times New Roman"/>
          <w:sz w:val="18"/>
          <w:szCs w:val="18"/>
          <w:u w:val="single" w:color="auto"/>
          <w:color w:val="auto"/>
        </w:rPr>
        <w:t>Section 4.1(i)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at such per share exercise price that shall equal the per share exercise price of such Company Option as of immediately prior to the Effective Time divided by the Closing Consideration Conversion Ratio (as so converted, a “</w:t>
      </w:r>
      <w:r>
        <w:rPr>
          <w:rFonts w:ascii="Times New Roman" w:cs="Times New Roman" w:eastAsia="Times New Roman" w:hAnsi="Times New Roman"/>
          <w:sz w:val="18"/>
          <w:szCs w:val="18"/>
          <w:u w:val="single" w:color="auto"/>
          <w:color w:val="auto"/>
        </w:rPr>
        <w:t>Converted Company 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 provided</w:t>
      </w:r>
      <w:r>
        <w:rPr>
          <w:rFonts w:ascii="Times New Roman" w:cs="Times New Roman" w:eastAsia="Times New Roman" w:hAnsi="Times New Roman"/>
          <w:sz w:val="18"/>
          <w:szCs w:val="18"/>
          <w:color w:val="auto"/>
        </w:rPr>
        <w:t xml:space="preserve"> that (B) with respect to each such Company Option, any fractional shares that would be issuable upon exercise thereof will be rounded down to the nearest whole number of Parent Class A Shares and the per share exercise price will be rounded up to the nearest whole cent. Parent shall adopt the Parent Equity Incentive Plan, which will cover the Company Options, pursuant to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per share exercise price and the number of Parent Class A Shares purchasable pursuant to each Converted Company Option shall be determined in a manner consistent with the requirements of Section 409A of the Code; </w:t>
      </w:r>
      <w:r>
        <w:rPr>
          <w:rFonts w:ascii="Times New Roman" w:cs="Times New Roman" w:eastAsia="Times New Roman" w:hAnsi="Times New Roman"/>
          <w:sz w:val="18"/>
          <w:szCs w:val="18"/>
          <w:u w:val="single" w:color="auto"/>
          <w:color w:val="auto"/>
        </w:rPr>
        <w:t>further provided</w:t>
      </w:r>
      <w:r>
        <w:rPr>
          <w:rFonts w:ascii="Times New Roman" w:cs="Times New Roman" w:eastAsia="Times New Roman" w:hAnsi="Times New Roman"/>
          <w:sz w:val="18"/>
          <w:szCs w:val="18"/>
          <w:color w:val="auto"/>
        </w:rPr>
        <w:t xml:space="preserve"> that in the case of any Unvested Company Options to which Section 422 of the Code applies, the exercise price and the number of Parent Class A Shares purchasable pursuant to the applicable Converted Company Option shall be determined in accordance with the foregoing, subject to such adjustments as are necessary in order to satisfy the requirements of Section 424(a) of the Code.</w:t>
      </w:r>
    </w:p>
    <w:p>
      <w:pPr>
        <w:spacing w:after="0" w:line="191" w:lineRule="exact"/>
        <w:rPr>
          <w:rFonts w:ascii="Times New Roman" w:cs="Times New Roman" w:eastAsia="Times New Roman" w:hAnsi="Times New Roman"/>
          <w:sz w:val="18"/>
          <w:szCs w:val="18"/>
          <w:color w:val="auto"/>
        </w:rPr>
      </w:pPr>
    </w:p>
    <w:p>
      <w:pPr>
        <w:ind w:left="1120" w:hanging="248"/>
        <w:spacing w:after="0"/>
        <w:tabs>
          <w:tab w:leader="none" w:pos="1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 of the Company Warrant</w:t>
      </w:r>
      <w:r>
        <w:rPr>
          <w:rFonts w:ascii="Times New Roman" w:cs="Times New Roman" w:eastAsia="Times New Roman" w:hAnsi="Times New Roman"/>
          <w:sz w:val="18"/>
          <w:szCs w:val="18"/>
          <w:color w:val="auto"/>
        </w:rPr>
        <w:t>. At the Effective Time, the Company Warrant will be treated in accordance with its terms.</w:t>
      </w:r>
    </w:p>
    <w:p>
      <w:pPr>
        <w:spacing w:after="0" w:line="225" w:lineRule="exact"/>
        <w:rPr>
          <w:rFonts w:ascii="Times New Roman" w:cs="Times New Roman" w:eastAsia="Times New Roman" w:hAnsi="Times New Roman"/>
          <w:sz w:val="18"/>
          <w:szCs w:val="18"/>
          <w:color w:val="auto"/>
        </w:rPr>
      </w:pPr>
    </w:p>
    <w:p>
      <w:pPr>
        <w:ind w:firstLine="872"/>
        <w:spacing w:after="0" w:line="284" w:lineRule="auto"/>
        <w:tabs>
          <w:tab w:leader="none" w:pos="111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Treatment of Convertible Notes. </w:t>
      </w:r>
      <w:r>
        <w:rPr>
          <w:rFonts w:ascii="Times New Roman" w:cs="Times New Roman" w:eastAsia="Times New Roman" w:hAnsi="Times New Roman"/>
          <w:sz w:val="18"/>
          <w:szCs w:val="18"/>
          <w:color w:val="auto"/>
        </w:rPr>
        <w:t>Prior to the Closing, each Convertible Note will be converted into Company Series B Preferred Stock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terms thereof, in each case, as set forth on Capitalization Schedule delivered prior to Closing.</w:t>
      </w:r>
    </w:p>
    <w:p>
      <w:pPr>
        <w:spacing w:after="0" w:line="158" w:lineRule="exact"/>
        <w:rPr>
          <w:rFonts w:ascii="Times New Roman" w:cs="Times New Roman" w:eastAsia="Times New Roman" w:hAnsi="Times New Roman"/>
          <w:sz w:val="18"/>
          <w:szCs w:val="18"/>
          <w:color w:val="auto"/>
        </w:rPr>
      </w:pPr>
    </w:p>
    <w:p>
      <w:pPr>
        <w:jc w:val="both"/>
        <w:ind w:firstLine="872"/>
        <w:spacing w:after="0" w:line="258" w:lineRule="auto"/>
        <w:tabs>
          <w:tab w:leader="none" w:pos="110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of Shares of Merger Sub</w:t>
      </w:r>
      <w:r>
        <w:rPr>
          <w:rFonts w:ascii="Times New Roman" w:cs="Times New Roman" w:eastAsia="Times New Roman" w:hAnsi="Times New Roman"/>
          <w:sz w:val="18"/>
          <w:szCs w:val="18"/>
          <w:color w:val="auto"/>
        </w:rPr>
        <w:t>. Each share of Merger Sub that is issued and outstanding immediately prior to the Effective Time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virtue of the Merger and without further action on the part of the sole shareholder of Merger Sub, be converted into and become one share of the Surviving Corporation (and the shares of Surviving Corporation into which the shares of Merger Sub are so converted shall be the only shares of the Surviving Corporation that are issued and outstanding immediately after the Effective Time). Each certificate evidencing ownership of shares of Merger Sub will, as of the Effective Time, be deemed to evidence ownership of such shares of the Surviving Corporation.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ind w:firstLine="872"/>
        <w:spacing w:after="0" w:line="284" w:lineRule="auto"/>
        <w:tabs>
          <w:tab w:leader="none" w:pos="108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 of Shares of Company Common Stock Owned by the Company</w:t>
      </w:r>
      <w:r>
        <w:rPr>
          <w:rFonts w:ascii="Times New Roman" w:cs="Times New Roman" w:eastAsia="Times New Roman" w:hAnsi="Times New Roman"/>
          <w:sz w:val="18"/>
          <w:szCs w:val="18"/>
          <w:color w:val="auto"/>
        </w:rPr>
        <w:t>. At the Effective Time, all shares of Company Common Stock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owned by the Company as treasury shares immediately prior to the Effective Time shall be canceled and extinguished without any conversion thereof.</w:t>
      </w:r>
    </w:p>
    <w:p>
      <w:pPr>
        <w:spacing w:after="0" w:line="158" w:lineRule="exact"/>
        <w:rPr>
          <w:rFonts w:ascii="Times New Roman" w:cs="Times New Roman" w:eastAsia="Times New Roman" w:hAnsi="Times New Roman"/>
          <w:sz w:val="18"/>
          <w:szCs w:val="18"/>
          <w:color w:val="auto"/>
        </w:rPr>
      </w:pPr>
    </w:p>
    <w:p>
      <w:pPr>
        <w:jc w:val="both"/>
        <w:ind w:right="20" w:firstLine="872"/>
        <w:spacing w:after="0" w:line="267" w:lineRule="auto"/>
        <w:tabs>
          <w:tab w:leader="none" w:pos="113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Surrender of Certificates</w:t>
      </w:r>
      <w:r>
        <w:rPr>
          <w:rFonts w:ascii="Times New Roman" w:cs="Times New Roman" w:eastAsia="Times New Roman" w:hAnsi="Times New Roman"/>
          <w:sz w:val="18"/>
          <w:szCs w:val="18"/>
          <w:color w:val="auto"/>
        </w:rPr>
        <w:t>. All Closing Payment Shares issued upon the surrender and cancellation of the Company Common Stock,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accordance with the terms hereof, shall be deemed to have been issued in full satisfaction of all rights pertaining to such securities, other than the additional obligations of Parent and the rights of the Stockholders pursuant to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jc w:val="both"/>
        <w:ind w:firstLine="872"/>
        <w:spacing w:after="0" w:line="267" w:lineRule="auto"/>
        <w:tabs>
          <w:tab w:leader="none" w:pos="111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Lost or Destroyed Certificates</w:t>
      </w:r>
      <w:r>
        <w:rPr>
          <w:rFonts w:ascii="Times New Roman" w:cs="Times New Roman" w:eastAsia="Times New Roman" w:hAnsi="Times New Roman"/>
          <w:sz w:val="18"/>
          <w:szCs w:val="18"/>
          <w:color w:val="auto"/>
        </w:rPr>
        <w:t>. In the event any certificates representing shares of Company Common Stock shall have been lost, stolen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destroyed, Parent shall issue in exchange for such lost, stolen or destroyed certificates or securities, as the case may be, upon the making of an affidavit of that fact by the holder thereof (without the requirement to post a bond), such securities, as may be required pursuant to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jc w:val="both"/>
        <w:ind w:firstLine="872"/>
        <w:spacing w:after="0" w:line="261" w:lineRule="auto"/>
        <w:tabs>
          <w:tab w:leader="none" w:pos="107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Escrow Shares</w:t>
      </w:r>
      <w:r>
        <w:rPr>
          <w:rFonts w:ascii="Times New Roman" w:cs="Times New Roman" w:eastAsia="Times New Roman" w:hAnsi="Times New Roman"/>
          <w:sz w:val="18"/>
          <w:szCs w:val="18"/>
          <w:color w:val="auto"/>
        </w:rPr>
        <w:t>. Notwithstanding anything to the contrary in the other provisions of this Agreement, Parent shall withhold from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Shares issued to each applicable holder of Company Capital Stock at Closing the portion of the Escrow Shares set forth next to such holder of Company Capital Stock’s name on the Capitalization Schedule, all of which shall, as reflected in the Capitalization Schedule, be withheld on a pro rata basis in proportion to each Escrow Participant’s Pro Rata Portion. The aggregate amount of such shares withheld shall equal Escrow Shares.</w:t>
      </w:r>
    </w:p>
    <w:p>
      <w:pPr>
        <w:spacing w:after="0" w:line="179" w:lineRule="exact"/>
        <w:rPr>
          <w:rFonts w:ascii="Times New Roman" w:cs="Times New Roman" w:eastAsia="Times New Roman" w:hAnsi="Times New Roman"/>
          <w:sz w:val="18"/>
          <w:szCs w:val="18"/>
          <w:color w:val="auto"/>
        </w:rPr>
      </w:pPr>
    </w:p>
    <w:p>
      <w:pPr>
        <w:jc w:val="both"/>
        <w:ind w:firstLine="872"/>
        <w:spacing w:after="0" w:line="252" w:lineRule="auto"/>
        <w:tabs>
          <w:tab w:leader="none" w:pos="109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Capitalization Schedule</w:t>
      </w:r>
      <w:r>
        <w:rPr>
          <w:rFonts w:ascii="Times New Roman" w:cs="Times New Roman" w:eastAsia="Times New Roman" w:hAnsi="Times New Roman"/>
          <w:sz w:val="18"/>
          <w:szCs w:val="18"/>
          <w:color w:val="auto"/>
        </w:rPr>
        <w:t>. No later than three (3) Business Days prior to the Closing Date, the Company shall deliver to Parent a final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updated Capitalization Schedule, which (A) updates the number of shares of Company Series B Preferred Stock that are issued upon conversion of the Convertible Notes, updates the number of shares of Company Common Stock outstanding to reflect the issuance of such Company Common Stock upon exercise of Company Options after the date hereof and updates the of Vested Company Options prior to the Closing Date and (B) sets forth the following information: (i) the name of each Company Securityholder; (ii) the number and type or class of each Company Security held by each Company Securityholder, including, if applicable to such Company Securityholder, the number of shares of Company Common Stock issuable upon conversion or exercise of such Company Security and the exercise price per share for such Company Security; (iii) the vesting arrangements with respect to each Company Security held by such Company Securityholder (including the vesting schedule, vesting commencement date, date fully vested and the extent to which such Company Security is or will be vested as of the Effective Time); (iv) the total number of Parent Class A Shares issuable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4.1(a)</w:t>
      </w:r>
      <w:r>
        <w:rPr>
          <w:rFonts w:ascii="Times New Roman" w:cs="Times New Roman" w:eastAsia="Times New Roman" w:hAnsi="Times New Roman"/>
          <w:sz w:val="18"/>
          <w:szCs w:val="18"/>
          <w:color w:val="auto"/>
        </w:rPr>
        <w:t xml:space="preserve"> in respect of each share of Company Capital Stock held by such Company Securityholder; (v) the total number of Parent Class A Shares issuable pursuant to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 xml:space="preserve"> upon conversion of each Company Option and the Company Warrant, respectively, held by such Company Securityholder, and the respective exercise price per share applicable to such Company Option and the Company Warrant following the Effective Time;</w:t>
      </w:r>
    </w:p>
    <w:p>
      <w:pPr>
        <w:spacing w:after="0" w:line="4" w:lineRule="exact"/>
        <w:rPr>
          <w:rFonts w:ascii="Times New Roman" w:cs="Times New Roman" w:eastAsia="Times New Roman" w:hAnsi="Times New Roman"/>
          <w:sz w:val="18"/>
          <w:szCs w:val="18"/>
          <w:color w:val="auto"/>
        </w:rPr>
      </w:pPr>
    </w:p>
    <w:p>
      <w:pPr>
        <w:jc w:val="both"/>
        <w:ind w:firstLine="8"/>
        <w:spacing w:after="0" w:line="253" w:lineRule="auto"/>
        <w:tabs>
          <w:tab w:leader="none" w:pos="32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Escrow Shares deposited into the Escrow Fund on behalf of such Company Securityholder pursuant to </w:t>
      </w:r>
      <w:r>
        <w:rPr>
          <w:rFonts w:ascii="Times New Roman" w:cs="Times New Roman" w:eastAsia="Times New Roman" w:hAnsi="Times New Roman"/>
          <w:sz w:val="18"/>
          <w:szCs w:val="18"/>
          <w:u w:val="single" w:color="auto"/>
          <w:color w:val="auto"/>
        </w:rPr>
        <w:t>Section 4.1(i)</w:t>
      </w:r>
      <w:r>
        <w:rPr>
          <w:rFonts w:ascii="Times New Roman" w:cs="Times New Roman" w:eastAsia="Times New Roman" w:hAnsi="Times New Roman"/>
          <w:sz w:val="18"/>
          <w:szCs w:val="18"/>
          <w:color w:val="auto"/>
        </w:rPr>
        <w:t xml:space="preserve">; and (vii) such Company Securityholder’s Pro Rata Portion, if any. Nothing contained in this </w:t>
      </w:r>
      <w:r>
        <w:rPr>
          <w:rFonts w:ascii="Times New Roman" w:cs="Times New Roman" w:eastAsia="Times New Roman" w:hAnsi="Times New Roman"/>
          <w:sz w:val="18"/>
          <w:szCs w:val="18"/>
          <w:u w:val="single" w:color="auto"/>
          <w:color w:val="auto"/>
        </w:rPr>
        <w:t>Section 4.1(j)</w:t>
      </w:r>
      <w:r>
        <w:rPr>
          <w:rFonts w:ascii="Times New Roman" w:cs="Times New Roman" w:eastAsia="Times New Roman" w:hAnsi="Times New Roman"/>
          <w:sz w:val="18"/>
          <w:szCs w:val="18"/>
          <w:color w:val="auto"/>
        </w:rPr>
        <w:t xml:space="preserve"> or in the updated Capitalization Schedule delivered pursuant hereto shall be construed or deemed to: (x) modify the Company’s obligations to obtain Parent’s prior consent to the issuance of any securities pursuant to </w:t>
      </w:r>
      <w:r>
        <w:rPr>
          <w:rFonts w:ascii="Times New Roman" w:cs="Times New Roman" w:eastAsia="Times New Roman" w:hAnsi="Times New Roman"/>
          <w:sz w:val="18"/>
          <w:szCs w:val="18"/>
          <w:u w:val="single" w:color="auto"/>
          <w:color w:val="auto"/>
        </w:rPr>
        <w:t>Section 7.1(a)(xvi)</w:t>
      </w:r>
      <w:r>
        <w:rPr>
          <w:rFonts w:ascii="Times New Roman" w:cs="Times New Roman" w:eastAsia="Times New Roman" w:hAnsi="Times New Roman"/>
          <w:sz w:val="18"/>
          <w:szCs w:val="18"/>
          <w:color w:val="auto"/>
        </w:rPr>
        <w:t>; or (y) alter or amend the total aggregate number of Closing Payment Shares issuable or reserved for issuance to the Company Securityholders; or (z) alter or amend the definition of Closing Consideration Conversion Ratio.</w:t>
      </w:r>
    </w:p>
    <w:p>
      <w:pPr>
        <w:spacing w:after="0" w:line="18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xml:space="preserve">. No fractional Parent Class A Shares, or certificates or scrip representing fractional Parent Class A Shares, will be issued upon the conversion of the Company Capital Stock pursuant to the Merger, including with respect to any release of the Escrow Shares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4.1(i)</w:t>
      </w:r>
      <w:r>
        <w:rPr>
          <w:rFonts w:ascii="Times New Roman" w:cs="Times New Roman" w:eastAsia="Times New Roman" w:hAnsi="Times New Roman"/>
          <w:sz w:val="18"/>
          <w:szCs w:val="18"/>
          <w:color w:val="auto"/>
        </w:rPr>
        <w:t xml:space="preserve"> and the Escrow Agreement, and such fractional share interests will not entitle the owner thereof to vote or to any rights of a stockholder of Parent. Any fractional Parent Class A Shares will be rounded down to the nearest whole number of Parent Class A Shares.</w:t>
      </w:r>
    </w:p>
    <w:p>
      <w:pPr>
        <w:spacing w:after="0" w:line="18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Parent and the Surviving Corporation shall be entitled to deduct and withhold from the consideration otherwise payable to any Person pursuant to this Agreement such amounts as may be required to be deducted or withheld with respect to the making of such payment under the Code, or under any provision of state, local or non-U.S. Tax Law. To the extent that amounts are so deducted and withheld and paid over to the appropriate Taxing Authorities, such amounts shall be treated for all purposes under this Agreement as having been paid to the Person in respect of which such deduction and withholding was made. Notwithstanding the foregoing, Parent, the Company and the Surviving Corporation shall provide recipients of consideration with a reasonable opportunity to provide documentation establishing exemptions from or reductions of such withholdings.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7"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Except as set forth in the disclosure schedules delivered by the Company to Parent prior to the execution of this Agreement, the Company hereby represents and warrants to Parent that each of the following representations and warranties are true, correct and complete as of the date of this Agreement and as of the Closing Date.</w:t>
      </w:r>
    </w:p>
    <w:p>
      <w:pPr>
        <w:spacing w:after="0" w:line="17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Corporate Existence and Power</w:t>
      </w:r>
      <w:r>
        <w:rPr>
          <w:rFonts w:ascii="Times New Roman" w:cs="Times New Roman" w:eastAsia="Times New Roman" w:hAnsi="Times New Roman"/>
          <w:sz w:val="18"/>
          <w:szCs w:val="18"/>
          <w:color w:val="auto"/>
        </w:rPr>
        <w:t xml:space="preserve">. The Company is a corporation duly organized and validly existing under the laws of the State of Delaware The Company has all power and authority, corporate and otherwise, required to own and operate its properties and assets and to carry on the Business as presently conducted and as proposed to be conducted. The Company has the corporate power and authority to own or lease all of its properties and assets and to carry on its Business as it is now being conducted. The Company is duly licensed or qualified to do business in each jurisdiction in which its properties are owned or leased by it or the operation of its Business as currently conducted makes such licensing or qualification necessary, except where the failure to be so licensed or qualified would not have a Material Adverse Effect. The Company has offices located only at the addresses set forth on </w:t>
      </w:r>
      <w:r>
        <w:rPr>
          <w:rFonts w:ascii="Times New Roman" w:cs="Times New Roman" w:eastAsia="Times New Roman" w:hAnsi="Times New Roman"/>
          <w:sz w:val="18"/>
          <w:szCs w:val="18"/>
          <w:u w:val="single" w:color="auto"/>
          <w:color w:val="auto"/>
        </w:rPr>
        <w:t>Schedule 5.1</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72"/>
        <w:spacing w:after="0" w:line="256" w:lineRule="auto"/>
        <w:tabs>
          <w:tab w:leader="none" w:pos="111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Company of this Agreement and the Additional Agreements to which the Company is or will be a party and the consummation by the Company of the transactions contemplated hereby and thereby are within the corporate powers of the Company and have been duly authorized by all necessary action on the part of the Company. This Agreement constitutes, and, upon the execution and delivery thereof, each Additional Agreement to which the Company is or will be a party will constitute, a valid and legally binding agreement of the Company, enforceable against the Company in accordance with its terms, except as may be limited by bankruptcy, insolvency, reorganization or other similar laws affecting the enforcement of creditors’ rights generally and by general principles of equity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872"/>
        <w:spacing w:after="0" w:line="253" w:lineRule="auto"/>
        <w:tabs>
          <w:tab w:leader="none" w:pos="112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resolutions duly adopted (and not thereafter modified or rescinded) by the requisite vote of the Board of Directors of the Company, the Board of Directors of the Company has (i) approved this Agreement, the Additional Agreements and the transactions contemplated hereby and thereby in accordance with the provisions of the DGCL and the Company Certificate of Incorporation; (ii) determined that this Agreement, the Additional Agreements and the transactions contemplated hereby and thereby, upon the terms and subject to the conditions set forth herein, are advisable and fair to and in the best interests of the Company and the Company Stockholders; (iii) directed that the adoption of this Agreement be submitted to the Company Stockholders for consideration and recommended that all of the Company Stockholders adopt this Agreement. The affirmative votes or written consents of</w:t>
      </w:r>
    </w:p>
    <w:p>
      <w:pPr>
        <w:spacing w:after="0" w:line="5" w:lineRule="exact"/>
        <w:rPr>
          <w:rFonts w:ascii="Times New Roman" w:cs="Times New Roman" w:eastAsia="Times New Roman" w:hAnsi="Times New Roman"/>
          <w:sz w:val="18"/>
          <w:szCs w:val="18"/>
          <w:color w:val="auto"/>
        </w:rPr>
      </w:pPr>
    </w:p>
    <w:p>
      <w:pPr>
        <w:jc w:val="both"/>
        <w:ind w:firstLine="8"/>
        <w:spacing w:after="0" w:line="252" w:lineRule="auto"/>
        <w:tabs>
          <w:tab w:leader="none" w:pos="25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more than fifty percent (50%) (on an as-converted basis) of the voting power of the Company Stockholders; (b) Persons holding more than fifty percent (50%) of outstanding shares of Company Preferred Stock, voting as a separate class; and (c) Persons holding more than fifty percent (50%) of outstanding shares of Company Series B Preferred Stock, voting as a separate class, in each case, who deliver written consents or are present in person or by proxy at such meeting and voting thereon are required to, and shall be sufficient to, approve this Agreement and the transactions contemplated hereby (the “</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The Company Stockholder Approval is the only vote or consent of any of the holders of any of the Company Capital Stock necessary to adopt this Agreement and approve the Merger and the consummation of the other transactions contemplated hereby.</w:t>
      </w:r>
    </w:p>
    <w:p>
      <w:pPr>
        <w:spacing w:after="0" w:line="19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None of the execution, delivery or performance by the Company of this Agreement or any Additional Agreement to which the Company is or will be a party, or the consummation of the transactions contemplated hereby or thereby, requires any consent, approval, license, order or other action by or in respect of, or registration, declaration or filing with, any Authority, except for the filing of the Certificate of Merger with the Secretary of State of the State of Delaware pursuant to the DGCL.</w:t>
      </w:r>
    </w:p>
    <w:p>
      <w:pPr>
        <w:spacing w:after="0" w:line="180"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xml:space="preserve">. None of the execution, delivery or performance by the Company of this Agreement or any Additional Agreement to which the Company is or will be a party does or will (a) contravene or conflict with the organizational documents of the Company, (b) contravene or conflict with or constitute a violation of any provision of any Law or Order binding upon or applicable to the Company or by which any of the Company’s assets is or may be bound, (c) except for the Contracts listed on </w:t>
      </w:r>
      <w:r>
        <w:rPr>
          <w:rFonts w:ascii="Times New Roman" w:cs="Times New Roman" w:eastAsia="Times New Roman" w:hAnsi="Times New Roman"/>
          <w:sz w:val="18"/>
          <w:szCs w:val="18"/>
          <w:u w:val="single" w:color="auto"/>
          <w:color w:val="auto"/>
        </w:rPr>
        <w:t>Schedule 5.8</w:t>
      </w:r>
      <w:r>
        <w:rPr>
          <w:rFonts w:ascii="Times New Roman" w:cs="Times New Roman" w:eastAsia="Times New Roman" w:hAnsi="Times New Roman"/>
          <w:sz w:val="18"/>
          <w:szCs w:val="18"/>
          <w:color w:val="auto"/>
        </w:rPr>
        <w:t xml:space="preserve"> requiring the Company (but only as to the need to obtain such Company Consents), constitute a default under or breach of (with or without the giving of notice or the passage of time or both) or violate or give rise to any right of termination, cancellation, amendment or acceleration of any right or obligation of the Company or require any payment or reimbursement or to a loss of any material benefit relating to the Business to which the Company is entitled under any provision of any Permit, Contract or other instrument or obligations binding upon the Company or by which any of the Company’s assets is or may be bound or any Permit, (d) cause a loss of any material benefit relating to the Business to which the Company is entitled under any provision of any Permit or Contract binding upon the Company or by which any of the Company’s assets is or may be bound, (e) result in the creation or imposition of any Lien (except for Permitted Liens) on any of the Company’s assets or any of the Company Securities, or (f) require any consent, approval or waiver from any Person pursuant to any provision of the Company Certificate of Incorporation or by-laws, except for such consent, approval or waiver which shall be obtained (and a copy provided to Parent) prior to the Closing.</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ind w:left="44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72"/>
        <w:spacing w:after="0" w:line="253" w:lineRule="auto"/>
        <w:tabs>
          <w:tab w:leader="none" w:pos="110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of 95,000,000 shares of the Company Common Stock, par value $0.001 per share, and 76,723,489 shares of preferred stock, par value $0.001 per share (the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xml:space="preserve">”), of which 5,858,662 shares of Company Common Stock, 39,722,088 shares of Company Series A Preferred Stock and 24,790,938 shares of Company Series B Preferred Stock are issued and outstanding as of the date of this Agreement. There are 8,129,358 shares of Company Common Stock reserved for issuance pursuant to outstanding unexercised Company Options. There are 2,342,148 shares of Company Common Stock reserved for issuance under the Equity Incentive Plans. In addition, the Company Warrant to purchase 70,000 shares of Company Series A Preferred Stock is issued and outstanding as of the date of this Agreement. No other shares of capital stock or other voting securities of the Company are issued, reserved for issuance or outstanding. All issued and outstanding shares of Company Common Stock and Company Preferred Stock are duly authorized, validly issued, fully paid and nonassessable. No shares of Company Common Stock or Company Preferred Stock were or are subject to, or were issued in violation of any purchase option, right of first refusal, preemptive right, subscription right or any similar right (including under any provision of the DGCL Corporation Law, the Company Certificate of Incorporation or any Contract to which the Company is a party or by which the Company is bound). </w:t>
      </w:r>
      <w:r>
        <w:rPr>
          <w:rFonts w:ascii="Times New Roman" w:cs="Times New Roman" w:eastAsia="Times New Roman" w:hAnsi="Times New Roman"/>
          <w:sz w:val="18"/>
          <w:szCs w:val="18"/>
          <w:u w:val="single" w:color="auto"/>
          <w:color w:val="auto"/>
        </w:rPr>
        <w:t>Schedule 5.5(a)</w:t>
      </w:r>
      <w:r>
        <w:rPr>
          <w:rFonts w:ascii="Times New Roman" w:cs="Times New Roman" w:eastAsia="Times New Roman" w:hAnsi="Times New Roman"/>
          <w:sz w:val="18"/>
          <w:szCs w:val="18"/>
          <w:color w:val="auto"/>
        </w:rPr>
        <w:t xml:space="preserve"> contains a true, correct and complete list of each Company Option outstanding as of the date of this Agreement, the holder thereof, the number of shares of Company Common Stock issuable thereunder or otherwise subject thereto, the grant date thereof and the exercise price and expiration date thereof.</w:t>
      </w:r>
    </w:p>
    <w:p>
      <w:pPr>
        <w:spacing w:after="0" w:line="187" w:lineRule="exact"/>
        <w:rPr>
          <w:rFonts w:ascii="Times New Roman" w:cs="Times New Roman" w:eastAsia="Times New Roman" w:hAnsi="Times New Roman"/>
          <w:sz w:val="18"/>
          <w:szCs w:val="18"/>
          <w:color w:val="auto"/>
        </w:rPr>
      </w:pPr>
    </w:p>
    <w:p>
      <w:pPr>
        <w:jc w:val="both"/>
        <w:ind w:firstLine="872"/>
        <w:spacing w:after="0" w:line="255" w:lineRule="auto"/>
        <w:tabs>
          <w:tab w:leader="none" w:pos="112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Company Restricted Stock, Company Options, the Company Warrant and the Convertible Notes, there are no (i) outstanding warrants, options, agreements, convertible securities, performance units or other commitments or instruments pursuant to which the Company is or may become obligated to issue or sell any of its shares or other securities, (ii) outstanding obligations of the Company to repurchase, redeem or otherwise acquire outstanding capital stock of the Company or any securities convertible into or exchangeable for any shares of capital stock of the Company,</w:t>
      </w:r>
    </w:p>
    <w:p>
      <w:pPr>
        <w:spacing w:after="0" w:line="2" w:lineRule="exact"/>
        <w:rPr>
          <w:rFonts w:ascii="Times New Roman" w:cs="Times New Roman" w:eastAsia="Times New Roman" w:hAnsi="Times New Roman"/>
          <w:sz w:val="18"/>
          <w:szCs w:val="18"/>
          <w:color w:val="auto"/>
        </w:rPr>
      </w:pPr>
    </w:p>
    <w:p>
      <w:pPr>
        <w:jc w:val="both"/>
        <w:ind w:firstLine="8"/>
        <w:spacing w:after="0" w:line="252" w:lineRule="auto"/>
        <w:tabs>
          <w:tab w:leader="none" w:pos="33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treasury shares of capital stock of the Company, (iv) bonds, debentures, notes or other Indebtedness of the Company having the right to vote (or convertible into, or exchangeable for, securities having the right to vote) on any matters on which stockholders of the Company may vote, are issued or outstanding, (v) preemptive or similar rights to purchase or otherwise acquire shares or other securities of the Company pursuant to any provision of Law, the Company Certificate of Incorporation or any Contract to which the Company is a party, or (vi) Liens (including any right of first refusal, right of first offer, proxy, voting trust, voting agreement or similar arrangement) with respect to the sale or voting of shares or securities of the Company (whether outstanding or issuable).</w:t>
      </w:r>
    </w:p>
    <w:p>
      <w:pPr>
        <w:spacing w:after="0" w:line="189" w:lineRule="exact"/>
        <w:rPr>
          <w:rFonts w:ascii="Times New Roman" w:cs="Times New Roman" w:eastAsia="Times New Roman" w:hAnsi="Times New Roman"/>
          <w:sz w:val="18"/>
          <w:szCs w:val="18"/>
          <w:color w:val="auto"/>
        </w:rPr>
      </w:pPr>
    </w:p>
    <w:p>
      <w:pPr>
        <w:jc w:val="both"/>
        <w:ind w:firstLine="872"/>
        <w:spacing w:after="0" w:line="261" w:lineRule="auto"/>
        <w:tabs>
          <w:tab w:leader="none" w:pos="112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Option (i) was granted in compliance in all material respects with (A) all applicable Laws and (B) all of the terms and conditions of the Equity Incentive Plans pursuant to which it was issued, (ii) has an exercise price per share of Company Common Stock equal to or greater than the fair market value of such share at the close of business on the date of such grant, and (iii) has a grant date identical to the date on which the Board of Directors of the Company or compensation committee actually awarded such Company Option.</w:t>
      </w:r>
    </w:p>
    <w:p>
      <w:pPr>
        <w:spacing w:after="0" w:line="179" w:lineRule="exact"/>
        <w:rPr>
          <w:rFonts w:ascii="Times New Roman" w:cs="Times New Roman" w:eastAsia="Times New Roman" w:hAnsi="Times New Roman"/>
          <w:sz w:val="18"/>
          <w:szCs w:val="18"/>
          <w:color w:val="auto"/>
        </w:rPr>
      </w:pPr>
    </w:p>
    <w:p>
      <w:pPr>
        <w:jc w:val="both"/>
        <w:ind w:firstLine="872"/>
        <w:spacing w:after="0" w:line="266" w:lineRule="auto"/>
        <w:tabs>
          <w:tab w:leader="none" w:pos="111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all outstanding shares of the Company Capital Stock are owned of record by the Persons set forth on the Capitalization Schedule in the amounts set forth opposite their respective names. All of the outstanding shares of Company Capital Stock are validly issued and outstanding, fully paid and nonassessable with no personal liability attaching to the ownership thereof.</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Corporate Records</w:t>
      </w:r>
      <w:r>
        <w:rPr>
          <w:rFonts w:ascii="Times New Roman" w:cs="Times New Roman" w:eastAsia="Times New Roman" w:hAnsi="Times New Roman"/>
          <w:sz w:val="18"/>
          <w:szCs w:val="18"/>
          <w:color w:val="auto"/>
        </w:rPr>
        <w:t>. All proceedings occurring since January 1, 2016 of the Board of Directors of the Company, including all committees thereof, and of the Company Stockholders, and all consents to actions taken thereby, are accurately reflected in the minutes and records contained in the corporate minute books of the Company and made available to Parent. The stockholder ledger of the Company is complete and accurate.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The Company does not directly or indirectly own, or hold any rights to acquire, any capital stock or any other securities or interests in any Person.</w:t>
      </w:r>
    </w:p>
    <w:p>
      <w:pPr>
        <w:spacing w:after="0" w:line="16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The Contracts listed on </w:t>
      </w:r>
      <w:r>
        <w:rPr>
          <w:rFonts w:ascii="Times New Roman" w:cs="Times New Roman" w:eastAsia="Times New Roman" w:hAnsi="Times New Roman"/>
          <w:sz w:val="18"/>
          <w:szCs w:val="18"/>
          <w:u w:val="single" w:color="auto"/>
          <w:color w:val="auto"/>
        </w:rPr>
        <w:t>Schedule 5.8</w:t>
      </w:r>
      <w:r>
        <w:rPr>
          <w:rFonts w:ascii="Times New Roman" w:cs="Times New Roman" w:eastAsia="Times New Roman" w:hAnsi="Times New Roman"/>
          <w:sz w:val="18"/>
          <w:szCs w:val="18"/>
          <w:color w:val="auto"/>
        </w:rPr>
        <w:t xml:space="preserve"> are the only Contracts binding upon the Company or by which any of the Company’s assets are bound, requiring a consent, approval, authorization, order or other action of or filing with any Person as a result of the execution, delivery and performance of this Agreement or any Additional Agreement to which the Company is or will be a party or the consummation of the transactions contemplated hereby or thereby (each of the foregoing, a “</w:t>
      </w:r>
      <w:r>
        <w:rPr>
          <w:rFonts w:ascii="Times New Roman" w:cs="Times New Roman" w:eastAsia="Times New Roman" w:hAnsi="Times New Roman"/>
          <w:sz w:val="18"/>
          <w:szCs w:val="18"/>
          <w:u w:val="single" w:color="auto"/>
          <w:color w:val="auto"/>
        </w:rPr>
        <w:t>Company Consent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72"/>
        <w:spacing w:after="0" w:line="253" w:lineRule="auto"/>
        <w:tabs>
          <w:tab w:leader="none" w:pos="11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Parent (a) the audited balance sheets of the Company, and the related statements of operations and comprehensive loss, convertible preferred stock and stockholders’ equity (deficit) and cash flows, for the years ended December 31, 2018 and December 31, 2019 including the notes thereto (collectively, the “</w:t>
      </w: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and (b) the unaudited balance sheet of the Company as of June 30, 2020 (the “</w:t>
      </w:r>
      <w:r>
        <w:rPr>
          <w:rFonts w:ascii="Times New Roman" w:cs="Times New Roman" w:eastAsia="Times New Roman" w:hAnsi="Times New Roman"/>
          <w:sz w:val="18"/>
          <w:szCs w:val="18"/>
          <w:u w:val="single" w:color="auto"/>
          <w:color w:val="auto"/>
        </w:rPr>
        <w:t>Interim Balance Sheet</w:t>
      </w:r>
      <w:r>
        <w:rPr>
          <w:rFonts w:ascii="Times New Roman" w:cs="Times New Roman" w:eastAsia="Times New Roman" w:hAnsi="Times New Roman"/>
          <w:sz w:val="18"/>
          <w:szCs w:val="18"/>
          <w:color w:val="auto"/>
        </w:rPr>
        <w:t>”) and the related statements of operations and comprehensive loss, convertible preferred stock and stockholders’ equity (deficit) and cash flows for the six (6) months ended June 30, 2019 and June 30, 2020 (collectively, the “</w:t>
      </w:r>
      <w:r>
        <w:rPr>
          <w:rFonts w:ascii="Times New Roman" w:cs="Times New Roman" w:eastAsia="Times New Roman" w:hAnsi="Times New Roman"/>
          <w:sz w:val="18"/>
          <w:szCs w:val="18"/>
          <w:u w:val="single" w:color="auto"/>
          <w:color w:val="auto"/>
        </w:rPr>
        <w:t>Unaudited Financial Statements</w:t>
      </w:r>
      <w:r>
        <w:rPr>
          <w:rFonts w:ascii="Times New Roman" w:cs="Times New Roman" w:eastAsia="Times New Roman" w:hAnsi="Times New Roman"/>
          <w:sz w:val="18"/>
          <w:szCs w:val="18"/>
          <w:color w:val="auto"/>
        </w:rPr>
        <w:t>” and, together with the Annual Financial Statements, the “</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The Company Financial Statements have been prepared in conformity with U.S. GAAP applied on a consistent basis and in accordance with the requirements of the Public Company Accounting Oversight Board for public companies. The Company Financial Statements fairly present, in all material respects, the financial position of the Company as of the dates thereof and the results of operations of the Company for the periods reflected therein. The Company Financial Statements were prepared from the Books and Records of the Company in all material respects. Since June 30, 2020 (the “</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except as required by applicable Law or U.S. GAAP, there has been no change in any accounting principle, procedure or practice followed by the Company or in the method of applying any such principle, procedure or practice.</w:t>
      </w:r>
    </w:p>
    <w:p>
      <w:pPr>
        <w:spacing w:after="0" w:line="189" w:lineRule="exact"/>
        <w:rPr>
          <w:rFonts w:ascii="Times New Roman" w:cs="Times New Roman" w:eastAsia="Times New Roman" w:hAnsi="Times New Roman"/>
          <w:sz w:val="18"/>
          <w:szCs w:val="18"/>
          <w:color w:val="auto"/>
        </w:rPr>
      </w:pPr>
    </w:p>
    <w:p>
      <w:pPr>
        <w:jc w:val="both"/>
        <w:ind w:firstLine="872"/>
        <w:spacing w:after="0" w:line="254" w:lineRule="auto"/>
        <w:tabs>
          <w:tab w:leader="none" w:pos="112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(i) specifically disclosed, reflected or fully reserved against on the Balance Sheet; (ii) liabilities and obligations incurred in the ordinary course of business since the date of the Balance Sheet; (iii) liabilities that are executory obligations arising under Contracts to which the Company is a party (none of which, with respect to the liabilities described in clause (ii) and this clause (iii), results from, arises out of, or relates to any breach or violation of, or default under, a Contract or applicable Law); (iv) expenses incurred in connection with the negotiation, execution and performance of this Agreement, any Additional Agreement or any of the transactions contemplated hereby or thereby; and (v) liabilities set forth on </w:t>
      </w:r>
      <w:r>
        <w:rPr>
          <w:rFonts w:ascii="Times New Roman" w:cs="Times New Roman" w:eastAsia="Times New Roman" w:hAnsi="Times New Roman"/>
          <w:sz w:val="18"/>
          <w:szCs w:val="18"/>
          <w:u w:val="single" w:color="auto"/>
          <w:color w:val="auto"/>
        </w:rPr>
        <w:t>Schedule 5.9(b)</w:t>
      </w:r>
      <w:r>
        <w:rPr>
          <w:rFonts w:ascii="Times New Roman" w:cs="Times New Roman" w:eastAsia="Times New Roman" w:hAnsi="Times New Roman"/>
          <w:sz w:val="18"/>
          <w:szCs w:val="18"/>
          <w:color w:val="auto"/>
        </w:rPr>
        <w:t>, the Company does not have any material liabilities, debts or obligations of any nature (whether accrued, fixed or contingent, liquidated or unliquidated, asserted or unasserted or otherwise) of the type required to be reflected on a balance sheet in accordance with U.S. GAAP. The Company represents that neither its annual sales nor its total assets exceed the current threshold of $18,800,000 under Section 18a(a)(2)(B)(ii) of the Hart-Scott-Rodino Antitrust Improvements Act of 1976.</w:t>
      </w:r>
    </w:p>
    <w:p>
      <w:pPr>
        <w:spacing w:after="0" w:line="18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The Books and Records accurately and fairly, in reasonable detail, reflect the transactions and dispositions of assets of and the providing of services by the Company. The Company maintains procedures of internal controls sufficient to provide reasonable assurance that:</w:t>
      </w:r>
    </w:p>
    <w:p>
      <w:pPr>
        <w:jc w:val="both"/>
        <w:ind w:firstLine="8"/>
        <w:spacing w:after="0" w:line="253" w:lineRule="auto"/>
        <w:tabs>
          <w:tab w:leader="none" w:pos="2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only in accordance with the respective management’s authorization; (ii) all income and expense items are promptly and properly recorded for the relevant periods in accordance with the revenue recognition and expense policies maintained by the Company, as permitted by U.S. GAAP; and (iii) access to assets is permitted only in accordance with the respective management’s authorization. The Books and Records of the Company have been maintained, in all material respects in accordance with reasonable business practices.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Internal Accounting Controls</w:t>
      </w:r>
      <w:r>
        <w:rPr>
          <w:rFonts w:ascii="Times New Roman" w:cs="Times New Roman" w:eastAsia="Times New Roman" w:hAnsi="Times New Roman"/>
          <w:sz w:val="18"/>
          <w:szCs w:val="18"/>
          <w:color w:val="auto"/>
        </w:rPr>
        <w:t>. The Company has established a system of internal accounting controls sufficient to provide reasonable assurance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(a) transactions are executed in accordance with management’s general or specific authorizations; (b) transactions are recorded as necessary to permit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preparation of financial statements in conformity with the Company historical practices and to maintain asset accountability; (c) access to assets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only in accordance with management’s general or specific authorization; and (d) the recorded accountability for assets is compared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assets at reasonable intervals and appropriate action is taken with respect to any differences.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xml:space="preserve">. From the Balance Sheet Date until the date of this Agreement, (a) the Company and the Company Subsidiaries have conducted in all material respects their respective businesses in the ordinary course and in a manner consistent with past practice; (b) there has not been any Material Adverse Effect; and (c) the Company has not taken any action that, if taken after the date of this Agreement and prior to the consummation of the Merger, would require the consent of Parent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Properties; Title to the Company’s Assets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72"/>
        <w:spacing w:after="0" w:line="266" w:lineRule="auto"/>
        <w:tabs>
          <w:tab w:leader="none" w:pos="111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items of Tangible Personal Property have no defects, are in good operating condition and repair and function in accordance with their intended uses (ordinary wear and tear excepted), have been properly maintained and are suitable for their present uses and meet all specifications and warranty requirements with respect thereto. All of the Tangible Personal Property is located at the office of the Company.</w:t>
      </w:r>
    </w:p>
    <w:p>
      <w:pPr>
        <w:spacing w:after="0" w:line="175" w:lineRule="exact"/>
        <w:rPr>
          <w:rFonts w:ascii="Times New Roman" w:cs="Times New Roman" w:eastAsia="Times New Roman" w:hAnsi="Times New Roman"/>
          <w:sz w:val="18"/>
          <w:szCs w:val="18"/>
          <w:color w:val="auto"/>
        </w:rPr>
      </w:pPr>
    </w:p>
    <w:p>
      <w:pPr>
        <w:jc w:val="both"/>
        <w:ind w:firstLine="872"/>
        <w:spacing w:after="0" w:line="258" w:lineRule="auto"/>
        <w:tabs>
          <w:tab w:leader="none" w:pos="11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good, valid and marketable title in and to, or in the case of the Lease and the assets which are leased or licensed pursuant to Contracts, a valid leasehold interest or license in or a right to use all of the tangible assets reflected on the Balance Sheet. Except as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5.13(b),</w:t>
      </w:r>
      <w:r>
        <w:rPr>
          <w:rFonts w:ascii="Times New Roman" w:cs="Times New Roman" w:eastAsia="Times New Roman" w:hAnsi="Times New Roman"/>
          <w:sz w:val="18"/>
          <w:szCs w:val="18"/>
          <w:color w:val="auto"/>
        </w:rPr>
        <w:t xml:space="preserve"> no such tangible asset is subject to any Lien other than Permitted Liens. The Company’s assets constitute all of the rights, property and other assets of any kind or description whatsoever, including goodwill, necessary for the Company to operate the Business immediately after the Closing, in all material respects, in the same manner as the Business is currently being conducted.</w:t>
      </w:r>
    </w:p>
    <w:p>
      <w:pPr>
        <w:spacing w:after="0" w:line="18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pending or, to the Knowledge of the Company, threatened in writing against or affecting the Company, any of the officers or directors of the Company (in their capacities as such), the Business, any of the Company’s assets or any Contract before any Authority that any manner challenges or seeks to prevent, enjoin, alter or delay the transactions contemplated by this Agreement or any Additional Agreement. There are no outstanding judgments against the Company. The Company is not, and has not been in the past five (5) years, subject to any Action by any Authority.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72"/>
        <w:spacing w:after="0" w:line="266" w:lineRule="auto"/>
        <w:tabs>
          <w:tab w:leader="none" w:pos="112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5.15(a)</w:t>
      </w:r>
      <w:r>
        <w:rPr>
          <w:rFonts w:ascii="Times New Roman" w:cs="Times New Roman" w:eastAsia="Times New Roman" w:hAnsi="Times New Roman"/>
          <w:sz w:val="18"/>
          <w:szCs w:val="18"/>
          <w:color w:val="auto"/>
        </w:rPr>
        <w:t xml:space="preserve"> lists all of the following Contracts (collectively, such Contracts that are listed or should be listed on </w:t>
      </w:r>
      <w:r>
        <w:rPr>
          <w:rFonts w:ascii="Times New Roman" w:cs="Times New Roman" w:eastAsia="Times New Roman" w:hAnsi="Times New Roman"/>
          <w:sz w:val="18"/>
          <w:szCs w:val="18"/>
          <w:u w:val="single" w:color="auto"/>
          <w:color w:val="auto"/>
        </w:rPr>
        <w:t>Schedule 5.15(a)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to which, as of the date of this Agreement, the Company is a party or by which any of its assets is bound and which are currently in effect:</w:t>
      </w:r>
    </w:p>
    <w:p>
      <w:pPr>
        <w:spacing w:after="0" w:line="175" w:lineRule="exact"/>
        <w:rPr>
          <w:rFonts w:ascii="Times New Roman" w:cs="Times New Roman" w:eastAsia="Times New Roman" w:hAnsi="Times New Roman"/>
          <w:sz w:val="18"/>
          <w:szCs w:val="18"/>
          <w:color w:val="auto"/>
        </w:rPr>
      </w:pPr>
    </w:p>
    <w:p>
      <w:pPr>
        <w:ind w:left="440" w:firstLine="1080"/>
        <w:spacing w:after="0" w:line="282" w:lineRule="auto"/>
        <w:tabs>
          <w:tab w:leader="none" w:pos="173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require annual payments or expenses incurred by, or annual payments or income to, the Company of $500,000 or more (other than standard purchase and sale orders entered into in the ordinary course of business consistent with past practice);</w:t>
      </w:r>
    </w:p>
    <w:p>
      <w:pPr>
        <w:spacing w:after="0" w:line="161" w:lineRule="exact"/>
        <w:rPr>
          <w:rFonts w:ascii="Times New Roman" w:cs="Times New Roman" w:eastAsia="Times New Roman" w:hAnsi="Times New Roman"/>
          <w:sz w:val="18"/>
          <w:szCs w:val="18"/>
          <w:color w:val="auto"/>
        </w:rPr>
      </w:pPr>
    </w:p>
    <w:p>
      <w:pPr>
        <w:ind w:left="440" w:firstLine="1080"/>
        <w:spacing w:after="0" w:line="282" w:lineRule="auto"/>
        <w:tabs>
          <w:tab w:leader="none" w:pos="178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sales, advertising, agency, lobbying, broker, sales promotion, market research, marketing or similar contracts and agreements, in each case requiring the payment of any commissions by the Company in excess of $500,000 annually;</w:t>
      </w:r>
    </w:p>
    <w:p>
      <w:pPr>
        <w:spacing w:after="0" w:line="161" w:lineRule="exact"/>
        <w:rPr>
          <w:rFonts w:ascii="Times New Roman" w:cs="Times New Roman" w:eastAsia="Times New Roman" w:hAnsi="Times New Roman"/>
          <w:sz w:val="18"/>
          <w:szCs w:val="18"/>
          <w:color w:val="auto"/>
        </w:rPr>
      </w:pPr>
    </w:p>
    <w:p>
      <w:pPr>
        <w:jc w:val="both"/>
        <w:ind w:left="440" w:firstLine="1080"/>
        <w:spacing w:after="0" w:line="258" w:lineRule="auto"/>
        <w:tabs>
          <w:tab w:leader="none" w:pos="184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employment Contract, employee leasing Contract and consultant and sales representatives Contract with any current officer, director, employee or consultant of the Company, under which the Company (A) has continuing obligations for payment of annual compensation of at least $250,000, and which is not terminable for any reason or no reason upon reasonable notice without payment of any penalty, severance or other obligation; (B) has severance or post-termination obligations to such Person (other than COBRA obligations); or (C) has an obligation to make a payment upon consummation of the transactions contemplated hereby or as a result of a change of control of the Company;</w:t>
      </w:r>
    </w:p>
    <w:p>
      <w:pPr>
        <w:spacing w:after="0" w:line="183" w:lineRule="exact"/>
        <w:rPr>
          <w:rFonts w:ascii="Times New Roman" w:cs="Times New Roman" w:eastAsia="Times New Roman" w:hAnsi="Times New Roman"/>
          <w:sz w:val="18"/>
          <w:szCs w:val="18"/>
          <w:color w:val="auto"/>
        </w:rPr>
      </w:pPr>
    </w:p>
    <w:p>
      <w:pPr>
        <w:ind w:left="440" w:firstLine="1080"/>
        <w:spacing w:after="0" w:line="282" w:lineRule="auto"/>
        <w:tabs>
          <w:tab w:leader="none" w:pos="186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creating a joint venture, strategic alliance, limited liability company or partnership arrangement to which the Company is a party;</w:t>
      </w:r>
    </w:p>
    <w:p>
      <w:pPr>
        <w:spacing w:after="0" w:line="161" w:lineRule="exact"/>
        <w:rPr>
          <w:rFonts w:ascii="Times New Roman" w:cs="Times New Roman" w:eastAsia="Times New Roman" w:hAnsi="Times New Roman"/>
          <w:sz w:val="18"/>
          <w:szCs w:val="18"/>
          <w:color w:val="auto"/>
        </w:rPr>
      </w:pPr>
    </w:p>
    <w:p>
      <w:pPr>
        <w:ind w:left="440" w:firstLine="1080"/>
        <w:spacing w:after="0" w:line="282" w:lineRule="auto"/>
        <w:tabs>
          <w:tab w:leader="none" w:pos="17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any acquisitions or dispositions of material assets by the Company (other than acquisitions or dispositions of inventory in the ordinary course of business consistent with past practice);</w:t>
      </w:r>
    </w:p>
    <w:p>
      <w:pPr>
        <w:spacing w:after="0" w:line="161" w:lineRule="exact"/>
        <w:rPr>
          <w:rFonts w:ascii="Times New Roman" w:cs="Times New Roman" w:eastAsia="Times New Roman" w:hAnsi="Times New Roman"/>
          <w:sz w:val="18"/>
          <w:szCs w:val="18"/>
          <w:color w:val="auto"/>
        </w:rPr>
      </w:pPr>
    </w:p>
    <w:p>
      <w:pPr>
        <w:jc w:val="both"/>
        <w:ind w:left="440" w:firstLine="1080"/>
        <w:spacing w:after="0" w:line="256" w:lineRule="auto"/>
        <w:tabs>
          <w:tab w:leader="none" w:pos="182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under which the Company is obligated to pay royalties under a license for the use of Intellectual Property Rights, and all other material licensing Contracts, including those pursuant to which any Intellectual Property Rights are licensed by or to the Company and including material transfer agreements, services agreements and scientific advisory board agreements, other than (A) “shrink wrap” or other licenses for generally commercially available software (including open source software) or hosted services, (B) customer or channel partner Contracts substantially on Company’s standard forms, (C) Contracts with the Company’s employees or contractors substantially on Company’s standard forms, and (D) non-disclosure agreements (the “</w:t>
      </w:r>
      <w:r>
        <w:rPr>
          <w:rFonts w:ascii="Times New Roman" w:cs="Times New Roman" w:eastAsia="Times New Roman" w:hAnsi="Times New Roman"/>
          <w:sz w:val="18"/>
          <w:szCs w:val="18"/>
          <w:u w:val="single" w:color="auto"/>
          <w:color w:val="auto"/>
        </w:rPr>
        <w:t>Standard Contracts</w:t>
      </w:r>
      <w:r>
        <w:rPr>
          <w:rFonts w:ascii="Times New Roman" w:cs="Times New Roman" w:eastAsia="Times New Roman" w:hAnsi="Times New Roman"/>
          <w:sz w:val="18"/>
          <w:szCs w:val="18"/>
          <w:color w:val="auto"/>
        </w:rPr>
        <w: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left="1900" w:hanging="380"/>
        <w:spacing w:after="0"/>
        <w:tabs>
          <w:tab w:leader="none" w:pos="19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limiting the freedom of the Company to compete in any line of business or industry, with any Person or in any</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area;</w:t>
      </w:r>
    </w:p>
    <w:p>
      <w:pPr>
        <w:spacing w:after="0" w:line="206" w:lineRule="exact"/>
        <w:rPr>
          <w:rFonts w:ascii="Times New Roman" w:cs="Times New Roman" w:eastAsia="Times New Roman" w:hAnsi="Times New Roman"/>
          <w:sz w:val="18"/>
          <w:szCs w:val="18"/>
          <w:color w:val="auto"/>
        </w:rPr>
      </w:pPr>
    </w:p>
    <w:p>
      <w:pPr>
        <w:jc w:val="both"/>
        <w:ind w:left="440" w:firstLine="1080"/>
        <w:spacing w:after="0" w:line="266" w:lineRule="auto"/>
        <w:tabs>
          <w:tab w:leader="none" w:pos="193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patents, trademarks, service marks, trade names, brands, copyrights, trade secrets and other Intellectual Property Rights of the Company, other than Standard Contracts, material transfer agreements, services agreements and scientific advisory board agreements;</w:t>
      </w:r>
    </w:p>
    <w:p>
      <w:pPr>
        <w:spacing w:after="0" w:line="175" w:lineRule="exact"/>
        <w:rPr>
          <w:rFonts w:ascii="Times New Roman" w:cs="Times New Roman" w:eastAsia="Times New Roman" w:hAnsi="Times New Roman"/>
          <w:sz w:val="18"/>
          <w:szCs w:val="18"/>
          <w:color w:val="auto"/>
        </w:rPr>
      </w:pPr>
    </w:p>
    <w:p>
      <w:pPr>
        <w:jc w:val="both"/>
        <w:ind w:left="440" w:firstLine="1080"/>
        <w:spacing w:after="0" w:line="266" w:lineRule="auto"/>
        <w:tabs>
          <w:tab w:leader="none" w:pos="183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providing for guarantees, indemnification arrangements and other hold harmless arrangements made or provided by the Company, including all ongoing agreements for repair, warranty, maintenance, service, indemnification or similar obligations, other than Standard Contracts;</w:t>
      </w:r>
    </w:p>
    <w:p>
      <w:pPr>
        <w:spacing w:after="0" w:line="175" w:lineRule="exact"/>
        <w:rPr>
          <w:rFonts w:ascii="Times New Roman" w:cs="Times New Roman" w:eastAsia="Times New Roman" w:hAnsi="Times New Roman"/>
          <w:sz w:val="18"/>
          <w:szCs w:val="18"/>
          <w:color w:val="auto"/>
        </w:rPr>
      </w:pPr>
    </w:p>
    <w:p>
      <w:pPr>
        <w:ind w:left="440" w:right="20" w:firstLine="1080"/>
        <w:spacing w:after="0" w:line="282" w:lineRule="auto"/>
        <w:tabs>
          <w:tab w:leader="none" w:pos="177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with or pertaining to the Company to which any Affiliate of the Company is a party, other than any Contracts relating to such Affiliate’s status as a Company Securityholder;</w:t>
      </w:r>
    </w:p>
    <w:p>
      <w:pPr>
        <w:spacing w:after="0" w:line="161" w:lineRule="exact"/>
        <w:rPr>
          <w:rFonts w:ascii="Times New Roman" w:cs="Times New Roman" w:eastAsia="Times New Roman" w:hAnsi="Times New Roman"/>
          <w:sz w:val="18"/>
          <w:szCs w:val="18"/>
          <w:color w:val="auto"/>
        </w:rPr>
      </w:pPr>
    </w:p>
    <w:p>
      <w:pPr>
        <w:ind w:left="440" w:firstLine="1080"/>
        <w:spacing w:after="0" w:line="282" w:lineRule="auto"/>
        <w:tabs>
          <w:tab w:leader="none" w:pos="185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property or assets (whether real or personal, tangible or intangible) in which the Company holds a leasehold interest (including the Lease) and which involve payments to the lessor thereunder in excess of $500,000 per year;</w:t>
      </w:r>
    </w:p>
    <w:p>
      <w:pPr>
        <w:spacing w:after="0" w:line="161" w:lineRule="exact"/>
        <w:rPr>
          <w:rFonts w:ascii="Times New Roman" w:cs="Times New Roman" w:eastAsia="Times New Roman" w:hAnsi="Times New Roman"/>
          <w:sz w:val="18"/>
          <w:szCs w:val="18"/>
          <w:color w:val="auto"/>
        </w:rPr>
      </w:pPr>
    </w:p>
    <w:p>
      <w:pPr>
        <w:ind w:left="1880" w:hanging="360"/>
        <w:spacing w:after="0"/>
        <w:tabs>
          <w:tab w:leader="none" w:pos="18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creating or otherwise relating to outstanding Indebtedness (other than intercompany Indebtedness);</w:t>
      </w:r>
    </w:p>
    <w:p>
      <w:pPr>
        <w:spacing w:after="0" w:line="225" w:lineRule="exact"/>
        <w:rPr>
          <w:rFonts w:ascii="Times New Roman" w:cs="Times New Roman" w:eastAsia="Times New Roman" w:hAnsi="Times New Roman"/>
          <w:sz w:val="18"/>
          <w:szCs w:val="18"/>
          <w:color w:val="auto"/>
        </w:rPr>
      </w:pPr>
    </w:p>
    <w:p>
      <w:pPr>
        <w:ind w:left="440" w:firstLine="1080"/>
        <w:spacing w:after="0" w:line="282" w:lineRule="auto"/>
        <w:tabs>
          <w:tab w:leader="none" w:pos="193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the voting or control of the equity interests of the Company or the election of directors of the Company (other than the organizational documents of the Company);</w:t>
      </w:r>
    </w:p>
    <w:p>
      <w:pPr>
        <w:spacing w:after="0" w:line="161" w:lineRule="exact"/>
        <w:rPr>
          <w:rFonts w:ascii="Times New Roman" w:cs="Times New Roman" w:eastAsia="Times New Roman" w:hAnsi="Times New Roman"/>
          <w:sz w:val="18"/>
          <w:szCs w:val="18"/>
          <w:color w:val="auto"/>
        </w:rPr>
      </w:pPr>
    </w:p>
    <w:p>
      <w:pPr>
        <w:ind w:left="440" w:firstLine="1080"/>
        <w:spacing w:after="0" w:line="282" w:lineRule="auto"/>
        <w:tabs>
          <w:tab w:leader="none" w:pos="192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not cancellable by the Company with no more than sixty (60) days’ notice if the effect of such cancellation would result in monetary penalty to the Company in excess of $500,000 per the terms of such contract;</w:t>
      </w:r>
    </w:p>
    <w:p>
      <w:pPr>
        <w:spacing w:after="0" w:line="161" w:lineRule="exact"/>
        <w:rPr>
          <w:rFonts w:ascii="Times New Roman" w:cs="Times New Roman" w:eastAsia="Times New Roman" w:hAnsi="Times New Roman"/>
          <w:sz w:val="18"/>
          <w:szCs w:val="18"/>
          <w:color w:val="auto"/>
        </w:rPr>
      </w:pPr>
    </w:p>
    <w:p>
      <w:pPr>
        <w:ind w:left="440" w:firstLine="1080"/>
        <w:spacing w:after="0" w:line="282" w:lineRule="auto"/>
        <w:tabs>
          <w:tab w:leader="none" w:pos="190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may be terminated, or the provisions of which may be altered, as a result of the consummation of the transactions contemplated by this Agreement or any Additional Agreement to which the Company is a party;</w:t>
      </w:r>
    </w:p>
    <w:p>
      <w:pPr>
        <w:spacing w:after="0" w:line="161" w:lineRule="exact"/>
        <w:rPr>
          <w:rFonts w:ascii="Times New Roman" w:cs="Times New Roman" w:eastAsia="Times New Roman" w:hAnsi="Times New Roman"/>
          <w:sz w:val="18"/>
          <w:szCs w:val="18"/>
          <w:color w:val="auto"/>
        </w:rPr>
      </w:pPr>
    </w:p>
    <w:p>
      <w:pPr>
        <w:jc w:val="both"/>
        <w:ind w:left="440" w:firstLine="1080"/>
        <w:spacing w:after="0" w:line="266" w:lineRule="auto"/>
        <w:tabs>
          <w:tab w:leader="none" w:pos="191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under which any of the benefits, compensation or payments (or the vesting thereof) will be increased or accelerated by the consummation of the transactions contemplated hereby, or the amount or value thereof will be calculated on the basis of, the transactions contemplated by this Agreement;</w:t>
      </w:r>
    </w:p>
    <w:p>
      <w:pPr>
        <w:spacing w:after="0" w:line="175" w:lineRule="exact"/>
        <w:rPr>
          <w:rFonts w:ascii="Times New Roman" w:cs="Times New Roman" w:eastAsia="Times New Roman" w:hAnsi="Times New Roman"/>
          <w:sz w:val="18"/>
          <w:szCs w:val="18"/>
          <w:color w:val="auto"/>
        </w:rPr>
      </w:pPr>
    </w:p>
    <w:p>
      <w:pPr>
        <w:ind w:left="1960" w:hanging="440"/>
        <w:spacing w:after="0"/>
        <w:tabs>
          <w:tab w:leader="none" w:pos="1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collective bargaining or other agreements with a labor union or labor organization; and</w:t>
      </w:r>
    </w:p>
    <w:p>
      <w:pPr>
        <w:spacing w:after="0" w:line="225" w:lineRule="exact"/>
        <w:rPr>
          <w:rFonts w:ascii="Times New Roman" w:cs="Times New Roman" w:eastAsia="Times New Roman" w:hAnsi="Times New Roman"/>
          <w:sz w:val="18"/>
          <w:szCs w:val="18"/>
          <w:color w:val="auto"/>
        </w:rPr>
      </w:pPr>
    </w:p>
    <w:p>
      <w:pPr>
        <w:ind w:left="2020" w:hanging="500"/>
        <w:spacing w:after="0"/>
        <w:tabs>
          <w:tab w:leader="none" w:pos="2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address the provisions for business associate contracts required by HIPAA.</w:t>
      </w:r>
    </w:p>
    <w:p>
      <w:pPr>
        <w:spacing w:after="0" w:line="225" w:lineRule="exact"/>
        <w:rPr>
          <w:rFonts w:ascii="Times New Roman" w:cs="Times New Roman" w:eastAsia="Times New Roman" w:hAnsi="Times New Roman"/>
          <w:sz w:val="18"/>
          <w:szCs w:val="18"/>
          <w:color w:val="auto"/>
        </w:rPr>
      </w:pPr>
    </w:p>
    <w:p>
      <w:pPr>
        <w:jc w:val="both"/>
        <w:ind w:firstLine="872"/>
        <w:spacing w:after="0" w:line="258" w:lineRule="auto"/>
        <w:tabs>
          <w:tab w:leader="none" w:pos="113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Material Contract is (i) a valid and binding agreement, (ii) in full force and effect and (iii) enforceable by and against the Company and each counterparty that is party thereto, subject, in the case of this clause (iii), to the Enforceability Exceptions. Neither the Company nor, to the Company’s Knowledge, any other party to a Material Contract is in material breach or default (whether with or without the passage of time or the giving of notice or both) under the terms of any such Material Contract. The Company has not assigned, delegated or otherwise transferred any of its rights or obligations under any Material Contract or granted any power of attorney with respect thereto.</w:t>
      </w:r>
    </w:p>
    <w:p>
      <w:pPr>
        <w:spacing w:after="0" w:line="183" w:lineRule="exact"/>
        <w:rPr>
          <w:rFonts w:ascii="Times New Roman" w:cs="Times New Roman" w:eastAsia="Times New Roman" w:hAnsi="Times New Roman"/>
          <w:sz w:val="18"/>
          <w:szCs w:val="18"/>
          <w:color w:val="auto"/>
        </w:rPr>
      </w:pPr>
    </w:p>
    <w:p>
      <w:pPr>
        <w:ind w:right="20" w:firstLine="872"/>
        <w:spacing w:after="0" w:line="282" w:lineRule="auto"/>
        <w:tabs>
          <w:tab w:leader="none" w:pos="110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with all covenants, including all financial covenants, in all notes, indentures, bonds and other instruments or Contracts establishing or evidencing any Indebtedness.</w:t>
      </w:r>
    </w:p>
    <w:p>
      <w:pPr>
        <w:spacing w:after="0" w:line="162"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Licenses and Permits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5.16</w:t>
      </w:r>
      <w:r>
        <w:rPr>
          <w:rFonts w:ascii="Times New Roman" w:cs="Times New Roman" w:eastAsia="Times New Roman" w:hAnsi="Times New Roman"/>
          <w:sz w:val="18"/>
          <w:szCs w:val="18"/>
          <w:color w:val="auto"/>
        </w:rPr>
        <w:t xml:space="preserve"> correctly lists each license, franchise, permit, order or approval or other similar authorization required under applicable law to carry out or otherwise affecting, or relating in any way to, the Business, together with the name of the Authority issuing the same (the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Such Permits are valid and in full force and effect, and none of the Permits will, assuming the related Company Consent has been obtained or waived prior to the Closing Date, be terminated or impaired or become terminable as a result of the transactions contemplated hereby. The Company has all material Permits necessary to operate the Business, including those administered by the FDA or by any foreign, federal, state or local governmental or regulatory authority performing functions similar to those performed by the FDA necessary to conduct the Business. The Company is not in material breach or violation of, or material default under, any such Permit, and, to the Company’s Knowledge, no basis exists which, with notice or lapse of time or both, would constitute any such breach, violation or default or give any Authority grounds to suspend, revoke or terminate any such Permit. The Company has not received any written (or, to the Company’s Knowledge, oral) notice from any Authority regarding any material violation of any Permit. There has not been and there is not any pending or, to the Company’s Knowledge, threatened action, investigation or disciplinary proceeding by or from any Authority against the Company involving any material Permit.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left="440"/>
        <w:spacing w:after="0"/>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72"/>
        <w:spacing w:after="0" w:line="253" w:lineRule="auto"/>
        <w:tabs>
          <w:tab w:leader="none" w:pos="111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in violation in any material respect of, and, since January 1, 2018, has been in compliance in all material respects with all applicable Laws. Since January 1, 2018, the Company has not been threatened in writing or given written notice of any violation of any Law or any judgment, order or decree entered by any Authority. Without limiting the generality of the foregoing, the Company is, and during the last three (3) years has been, in material compliance with: (i) every Law applicable to the Company due to the specific nature of the Business, including Data Protection Laws and Laws applicable to lending activities; (ii) the Foreign Corrupt Practices Act of 1977 (the “</w:t>
      </w: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and any comparable or similar Law of any jurisdiction applicable to the Company; and (iii) every Law regulating or covering conduct in the workplace, including regarding sexual harassment or, on any legally impermissible basis, a hostile work environment. During the last three (3) years, the Company has not been threatened or charged in writing (or to the Company’s Knowledge orally) with or given written (or to the Company’s Knowledge oral) notice of any violation of any Data Protection Law, the Foreign Corrupt Practices Act or any other Law referred to in or generally described in foregoing sentence and, to the Company’s Knowledge, the Company is not under any investigations with respect to any such Law.</w:t>
      </w:r>
    </w:p>
    <w:p>
      <w:pPr>
        <w:spacing w:after="0" w:line="194" w:lineRule="exact"/>
        <w:rPr>
          <w:rFonts w:ascii="Times New Roman" w:cs="Times New Roman" w:eastAsia="Times New Roman" w:hAnsi="Times New Roman"/>
          <w:sz w:val="18"/>
          <w:szCs w:val="18"/>
          <w:color w:val="auto"/>
        </w:rPr>
      </w:pPr>
    </w:p>
    <w:p>
      <w:pPr>
        <w:ind w:firstLine="872"/>
        <w:spacing w:after="0" w:line="282" w:lineRule="auto"/>
        <w:tabs>
          <w:tab w:leader="none" w:pos="11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to the Knowledge of the Company, any director, officer, agent, employee, Affiliate or Person acting on behalf of the Company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72"/>
        <w:spacing w:after="0" w:line="253" w:lineRule="auto"/>
        <w:tabs>
          <w:tab w:leader="none" w:pos="113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sets forth a true, correct and complete list of all unexpired or pending registered Intellectual Property Rights and applications for registration of Intellectual Property Rights owned (whether exclusively, jointly with another Person or otherwise) or filed by the Company or in which the Company has or purports to have an exclusive interest of any nature, specifying as to each, as applicable: (i) the nature of such Intellectual Property Right; (ii) the owner of such Intellectual Property Right and the nature of such ownership; (iii) the jurisdictions by or in which such Intellectual Property Right has been issued or registered or in which an application for such issuance or registration has been filed; and (iv) other than Standard Contracts, all licenses, sublicenses and other agreements pursuant to which any Person is authorized to use such Intellectual Property Right. In the past two</w:t>
      </w:r>
    </w:p>
    <w:p>
      <w:pPr>
        <w:spacing w:after="0" w:line="5" w:lineRule="exact"/>
        <w:rPr>
          <w:rFonts w:ascii="Times New Roman" w:cs="Times New Roman" w:eastAsia="Times New Roman" w:hAnsi="Times New Roman"/>
          <w:sz w:val="18"/>
          <w:szCs w:val="18"/>
          <w:color w:val="auto"/>
        </w:rPr>
      </w:pPr>
    </w:p>
    <w:p>
      <w:pPr>
        <w:jc w:val="both"/>
        <w:ind w:firstLine="8"/>
        <w:spacing w:after="0" w:line="251" w:lineRule="auto"/>
        <w:tabs>
          <w:tab w:leader="none" w:pos="26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years, the Company has not abandoned any patents or non-provisional patent applications. The Company owns, has valid and enforceable licenses for or otherwise has adequate rights to use Intellectual Property Rights as set forth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The Intellectual Property Rights of the Company have not been adjudged by a court of competent jurisdiction invalid or unenforceable in whole or in part. As of the date of this Agreement, no Intellectual Property Right that is listed or required to be listed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is challenged in any interference, opposition, reissue, reexamination, revocation or equivalent proceeding, and to the Knowledge of the Company, no such proceeding has been threatened in writing with respect to any such Intellectual Property Rights. As of the date hereof, all registration, maintenance and renewal fees currently due in connection with such registered Intellectual Property Rights have been paid and all documents, recordations and certificates in connection with such registered Intellectual Property Rights currently required to be filed have been filed with the relevant patent, copyright, trademark or other authorities in the United States or foreign jurisdictions, as the case may be, for the purposes of prosecuting, maintaining and perfecting such registered Intellectual Property Rights and recording the Company’s ownership interests therein.</w:t>
      </w:r>
    </w:p>
    <w:p>
      <w:pPr>
        <w:spacing w:after="0" w:line="192" w:lineRule="exact"/>
        <w:rPr>
          <w:rFonts w:ascii="Times New Roman" w:cs="Times New Roman" w:eastAsia="Times New Roman" w:hAnsi="Times New Roman"/>
          <w:sz w:val="18"/>
          <w:szCs w:val="18"/>
          <w:color w:val="auto"/>
        </w:rPr>
      </w:pPr>
    </w:p>
    <w:p>
      <w:pPr>
        <w:jc w:val="both"/>
        <w:ind w:firstLine="872"/>
        <w:spacing w:after="0" w:line="256" w:lineRule="auto"/>
        <w:tabs>
          <w:tab w:leader="none" w:pos="114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is the sole and exclusive owner of each item of Intellectual Property Rights owned or purported to be owned by the Company, including the items of Intellectual Property Rights identified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as being owned by the Company (other than any co-owners disclosed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The Company has a valid right to use the Intellectual Property Rights set forth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that are used (but not owned) by it in the operation of the Business as presently conducted. The product candidates under material development by the Company, the methods of manufacturing, and using the product candidates fall within the scope of the claims of one or more patent or pending patent applications owned by, or exclusively licensed to, the Company.</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872"/>
        <w:spacing w:after="0" w:line="254" w:lineRule="auto"/>
        <w:tabs>
          <w:tab w:leader="none" w:pos="111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the Company, all registered Intellectual Property Rights listed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are subsisting and all the granted patents are valid and enforceable. To the Knowledge of the Company, there is no granted patent owned by any third party containing a valid claim that (i) is required by the Company to conduct its material business as currently conducted and (ii) the Company is not currently authorized to use. To the Knowledge of the Company, the use of any Intellectual Property Rights in connection with the operation of the material business of the Company do not conflict with, infringe, misappropriate or otherwise violate the Intellectual Property Rights, including rights of privacy, publicity and endorsement, of any third party. The Company is not challenging the patentability of a third party patent. The Intellectual Property Rights set forth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include all of the material patent rights owned by or licensed to the Company used in the ordinary day-to-day conduct of the business of the Company. To the Knowledge of the Company, there is no prior art that may render any patent within the Intellectual Property Rights invalid. To the Knowledge of the Company, there are no material defects in any of the patents or patent applications within the Intellectual Property Rights.</w:t>
      </w:r>
    </w:p>
    <w:p>
      <w:pPr>
        <w:spacing w:after="0" w:line="188" w:lineRule="exact"/>
        <w:rPr>
          <w:rFonts w:ascii="Times New Roman" w:cs="Times New Roman" w:eastAsia="Times New Roman" w:hAnsi="Times New Roman"/>
          <w:sz w:val="18"/>
          <w:szCs w:val="18"/>
          <w:color w:val="auto"/>
        </w:rPr>
      </w:pPr>
    </w:p>
    <w:p>
      <w:pPr>
        <w:jc w:val="both"/>
        <w:ind w:firstLine="872"/>
        <w:spacing w:after="0" w:line="253" w:lineRule="auto"/>
        <w:tabs>
          <w:tab w:leader="none" w:pos="112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5.18(d)</w:t>
      </w:r>
      <w:r>
        <w:rPr>
          <w:rFonts w:ascii="Times New Roman" w:cs="Times New Roman" w:eastAsia="Times New Roman" w:hAnsi="Times New Roman"/>
          <w:sz w:val="18"/>
          <w:szCs w:val="18"/>
          <w:color w:val="auto"/>
        </w:rPr>
        <w:t xml:space="preserve">, to the Knowledge of the Company (i) there are no rights of third parties to any of the Intellectual Property Rights, including liens, security interests or other encumbrances; (ii) there is no infringement by third parties of any Intellectual Property Right owned by, or licensed to, the Company; (iii) as of the date of this Agreement, there is no pending or, to the Knowledge of the Company, threatened Action by any Person challenging the rights of the Company in or to any Intellectual Property Rights owned by, or licensed to, the Company; (iv) as of the date of this Agreement, there is no pending or, to the Knowledge of the Company, threatened Action by any Person challenging the validity, enforceability or scope of any Intellectual Property Rights owned by, or licensed to, the Company; (v) as of the date of this Agreement, there is no pending or, to the Knowledge of the Company, threatened Action by any Person (nor has the Company received any claim from a third party) alleging that the Company use of any Intellectual Property Right infringes or otherwise violates, or would, upon the commercialization of any product or service described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infringe or otherwise violate, any patent, trademark, tradename, service name, copyright, trade secret or other proprietary right of any other Person. Within the past five (5) years (or prior thereto if the same is still pending or subject to appeal or reinstatement), the Company has not been sued or charged in writing with or been a defendant in any Action that involves a claim of infringement or misappropriation of any Intellectual Property Rights.</w:t>
      </w:r>
    </w:p>
    <w:p>
      <w:pPr>
        <w:spacing w:after="0" w:line="191" w:lineRule="exact"/>
        <w:rPr>
          <w:rFonts w:ascii="Times New Roman" w:cs="Times New Roman" w:eastAsia="Times New Roman" w:hAnsi="Times New Roman"/>
          <w:sz w:val="18"/>
          <w:szCs w:val="18"/>
          <w:color w:val="auto"/>
        </w:rPr>
      </w:pPr>
    </w:p>
    <w:p>
      <w:pPr>
        <w:jc w:val="both"/>
        <w:ind w:firstLine="872"/>
        <w:spacing w:after="0" w:line="266" w:lineRule="auto"/>
        <w:tabs>
          <w:tab w:leader="none" w:pos="111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there is no unauthorized use, unauthorized disclosure, infringement or misappropriation of any Intellectual Property Right owned or exclusively in-licensed by the Company, by any third party. As of the date hereof, the Company has not instituted any Action for infringement or misappropriation of any Intellectual Property Right owned by or exclusively in-licensed to the Company.</w:t>
      </w:r>
    </w:p>
    <w:p>
      <w:pPr>
        <w:spacing w:after="0" w:line="175" w:lineRule="exact"/>
        <w:rPr>
          <w:rFonts w:ascii="Times New Roman" w:cs="Times New Roman" w:eastAsia="Times New Roman" w:hAnsi="Times New Roman"/>
          <w:sz w:val="18"/>
          <w:szCs w:val="18"/>
          <w:color w:val="auto"/>
        </w:rPr>
      </w:pPr>
    </w:p>
    <w:p>
      <w:pPr>
        <w:jc w:val="both"/>
        <w:ind w:firstLine="872"/>
        <w:spacing w:after="0" w:line="255" w:lineRule="auto"/>
        <w:tabs>
          <w:tab w:leader="none" w:pos="108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are no disputes or Actions with respect to any Intellectual Property Rights and the Company is not a party to any dispute or Action relating to any Intellectual Property Rights, including any disputes or Actions relating to the ownership, validity, registrability, enforceability, violation or use of any Intellectual Property Rights owned by or exclusively in-licensed to the Company. To the Knowledge of the Company, the Company has complied with the terms of each Contract pursuant to which Intellectual Property Rights have been licensed to the Company, and all such Contracts are in full force and effect. Each Intellectual Property Right used by the Company in the performance of any services under any Contract is, and upon the performance of such Contract remains, owned by or in-licensed to the Company, and no client, customer or other Person has any claim of ownership to the Intellectual Property Rights used by the Company in the performance of any such Contract.</w:t>
      </w:r>
    </w:p>
    <w:p>
      <w:pPr>
        <w:spacing w:after="0" w:line="188" w:lineRule="exact"/>
        <w:rPr>
          <w:rFonts w:ascii="Times New Roman" w:cs="Times New Roman" w:eastAsia="Times New Roman" w:hAnsi="Times New Roman"/>
          <w:sz w:val="18"/>
          <w:szCs w:val="18"/>
          <w:color w:val="auto"/>
        </w:rPr>
      </w:pPr>
    </w:p>
    <w:p>
      <w:pPr>
        <w:jc w:val="both"/>
        <w:ind w:firstLine="872"/>
        <w:spacing w:after="0" w:line="261" w:lineRule="auto"/>
        <w:tabs>
          <w:tab w:leader="none" w:pos="114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on </w:t>
      </w:r>
      <w:r>
        <w:rPr>
          <w:rFonts w:ascii="Times New Roman" w:cs="Times New Roman" w:eastAsia="Times New Roman" w:hAnsi="Times New Roman"/>
          <w:sz w:val="18"/>
          <w:szCs w:val="18"/>
          <w:u w:val="single" w:color="auto"/>
          <w:color w:val="auto"/>
        </w:rPr>
        <w:t>Schedule 5.18(g</w:t>
      </w:r>
      <w:r>
        <w:rPr>
          <w:rFonts w:ascii="Times New Roman" w:cs="Times New Roman" w:eastAsia="Times New Roman" w:hAnsi="Times New Roman"/>
          <w:sz w:val="18"/>
          <w:szCs w:val="18"/>
          <w:color w:val="auto"/>
        </w:rPr>
        <w:t>), each employee, agent, consultant and contractor who has made material contributions to the creation or development of any copyrightable, patentable or trade secret material on behalf of the Company or any predecessor in interest thereto either:</w:t>
      </w:r>
    </w:p>
    <w:p>
      <w:pPr>
        <w:jc w:val="both"/>
        <w:ind w:firstLine="8"/>
        <w:spacing w:after="0" w:line="253" w:lineRule="auto"/>
        <w:tabs>
          <w:tab w:leader="none" w:pos="23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a party to a “work-for-hire” agreement under which the Company is deemed to be the original owner/author of all property rights therein; (ii) has executed an assignment in favor of the Company (or such predecessor in interest, as applicable) all right, title and interest in such material; or (iii) only with respect to rights that cannot be assigned pursuant to an agreement described in clause (i) or (ii) of this </w:t>
      </w:r>
      <w:r>
        <w:rPr>
          <w:rFonts w:ascii="Times New Roman" w:cs="Times New Roman" w:eastAsia="Times New Roman" w:hAnsi="Times New Roman"/>
          <w:sz w:val="18"/>
          <w:szCs w:val="18"/>
          <w:u w:val="single" w:color="auto"/>
          <w:color w:val="auto"/>
        </w:rPr>
        <w:t>Section 5.18(g)</w:t>
      </w:r>
      <w:r>
        <w:rPr>
          <w:rFonts w:ascii="Times New Roman" w:cs="Times New Roman" w:eastAsia="Times New Roman" w:hAnsi="Times New Roman"/>
          <w:sz w:val="18"/>
          <w:szCs w:val="18"/>
          <w:color w:val="auto"/>
        </w:rPr>
        <w:t>, has licensed to the Company rights to use such Intellectual Property Rights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872"/>
        <w:spacing w:after="0" w:line="266" w:lineRule="auto"/>
        <w:tabs>
          <w:tab w:leader="none" w:pos="11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on Schedule 5.18(h), no (i) government funding or (ii) facility of a university, college, other educational institution or research center was used in the development of any item of Intellectual Property Right owned or purported to be owned by, or exclusively licensed to, the Company.</w:t>
      </w:r>
    </w:p>
    <w:p>
      <w:pPr>
        <w:spacing w:after="0" w:line="175" w:lineRule="exact"/>
        <w:rPr>
          <w:rFonts w:ascii="Times New Roman" w:cs="Times New Roman" w:eastAsia="Times New Roman" w:hAnsi="Times New Roman"/>
          <w:sz w:val="18"/>
          <w:szCs w:val="18"/>
          <w:color w:val="auto"/>
        </w:rPr>
      </w:pPr>
    </w:p>
    <w:p>
      <w:pPr>
        <w:ind w:firstLine="872"/>
        <w:spacing w:after="0" w:line="282" w:lineRule="auto"/>
        <w:tabs>
          <w:tab w:leader="none" w:pos="109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Intellectual Property Rights owned or used or held for use by the Company is subject to any pending or outstanding Order or other disposition of dispute that adversely restricts the use, transfer, registration or licensing of any such Intellectual Property Rights by the Company.</w:t>
      </w:r>
    </w:p>
    <w:p>
      <w:pPr>
        <w:spacing w:after="0" w:line="161" w:lineRule="exact"/>
        <w:rPr>
          <w:rFonts w:ascii="Times New Roman" w:cs="Times New Roman" w:eastAsia="Times New Roman" w:hAnsi="Times New Roman"/>
          <w:sz w:val="18"/>
          <w:szCs w:val="18"/>
          <w:color w:val="auto"/>
        </w:rPr>
      </w:pPr>
    </w:p>
    <w:p>
      <w:pPr>
        <w:jc w:val="both"/>
        <w:ind w:firstLine="872"/>
        <w:spacing w:after="0" w:line="256" w:lineRule="auto"/>
        <w:tabs>
          <w:tab w:leader="none" w:pos="110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delivery or performance by the Company of this Agreement or any of the Additional Agreements to which the Company is or will be a party or the consummation by the Company of the transactions contemplated hereby or thereby will (i) cause any item of Intellectual Property Rights owned or purported to be owned by, or any material item of Intellectual Property Rights licensed, used or held for use by the Company immediately prior to the Closing, to not be owned, licensed or available for use by the Company on substantially the same terms and conditions immediately following the Closing or (ii) require any additional payment obligations by the Company in order to use or exploit any other such Intellectual Property Rights to the same extent as the Company was permitted before the Closing.</w:t>
      </w:r>
    </w:p>
    <w:p>
      <w:pPr>
        <w:spacing w:after="0" w:line="187" w:lineRule="exact"/>
        <w:rPr>
          <w:rFonts w:ascii="Times New Roman" w:cs="Times New Roman" w:eastAsia="Times New Roman" w:hAnsi="Times New Roman"/>
          <w:sz w:val="18"/>
          <w:szCs w:val="18"/>
          <w:color w:val="auto"/>
        </w:rPr>
      </w:pPr>
    </w:p>
    <w:p>
      <w:pPr>
        <w:ind w:firstLine="872"/>
        <w:spacing w:after="0" w:line="282" w:lineRule="auto"/>
        <w:tabs>
          <w:tab w:leader="none" w:pos="114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the agreements listed on </w:t>
      </w:r>
      <w:r>
        <w:rPr>
          <w:rFonts w:ascii="Times New Roman" w:cs="Times New Roman" w:eastAsia="Times New Roman" w:hAnsi="Times New Roman"/>
          <w:sz w:val="18"/>
          <w:szCs w:val="18"/>
          <w:u w:val="single" w:color="auto"/>
          <w:color w:val="auto"/>
        </w:rPr>
        <w:t>Schedule 5.15(a)(vi)</w:t>
      </w:r>
      <w:r>
        <w:rPr>
          <w:rFonts w:ascii="Times New Roman" w:cs="Times New Roman" w:eastAsia="Times New Roman" w:hAnsi="Times New Roman"/>
          <w:sz w:val="18"/>
          <w:szCs w:val="18"/>
          <w:color w:val="auto"/>
        </w:rPr>
        <w:t>, the Company is not obligated under any Contract to make any payments by way of royalties, fees, or otherwise to any owner or licensor of, or other claimant to, any Intellectual Property Rights.</w:t>
      </w:r>
    </w:p>
    <w:p>
      <w:pPr>
        <w:spacing w:after="0" w:line="161" w:lineRule="exact"/>
        <w:rPr>
          <w:rFonts w:ascii="Times New Roman" w:cs="Times New Roman" w:eastAsia="Times New Roman" w:hAnsi="Times New Roman"/>
          <w:sz w:val="18"/>
          <w:szCs w:val="18"/>
          <w:color w:val="auto"/>
        </w:rPr>
      </w:pPr>
    </w:p>
    <w:p>
      <w:pPr>
        <w:jc w:val="both"/>
        <w:ind w:firstLine="872"/>
        <w:spacing w:after="0" w:line="253" w:lineRule="auto"/>
        <w:tabs>
          <w:tab w:leader="none" w:pos="108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Company’s information technology networks and software applications are free of all viruses, worms, Trojan horses and other material known contaminants and do not contain any bugs, errors, or problems of a material nature that would disrupt or have an adverse impact on the operation of the information technology networks and software applications. The Company has implemented adequate policies and commercially reasonable security (i) regarding the collection, use, disclosure, confidentiality, integrity, availability and value of Personal Information (including health information), and business proprietary or sensitive information (including all trade secrets, items of Intellectual Property Rights that are confidential, confidential information, data and materials licensed by the Company or otherwise used in the operation of the Business); and (ii) regarding the integrity and availability of the information technology networks and software applications the Company owns, operates, or outsources. The Company has not experienced any information security incident that has compromised the integrity or availability of the information technology networks and software applications the Company owns, operates, or outsources, and there has been no loss, damage, or unauthorized access, disclosure, use, or breach of security of any Company information in its possession, custody, or control, or otherwise held or processed on its behalf. The transactions contemplated by this Agreement will not result in the violation of any Data Protection Laws or the privacy policies of the Company.</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20" w:hanging="248"/>
        <w:spacing w:after="0"/>
        <w:tabs>
          <w:tab w:leader="none" w:pos="11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has been since January 1, 2018, in compliance in all material respects with all applicable healthcare Laws, including</w:t>
      </w:r>
    </w:p>
    <w:p>
      <w:pPr>
        <w:spacing w:after="0" w:line="27" w:lineRule="exact"/>
        <w:rPr>
          <w:rFonts w:ascii="Times New Roman" w:cs="Times New Roman" w:eastAsia="Times New Roman" w:hAnsi="Times New Roman"/>
          <w:sz w:val="18"/>
          <w:szCs w:val="18"/>
          <w:color w:val="auto"/>
        </w:rPr>
      </w:pPr>
    </w:p>
    <w:p>
      <w:pPr>
        <w:jc w:val="both"/>
        <w:ind w:firstLine="8"/>
        <w:spacing w:after="0" w:line="252" w:lineRule="auto"/>
        <w:tabs>
          <w:tab w:leader="none" w:pos="22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(ii) the Public Health Service Act (“</w:t>
      </w:r>
      <w:r>
        <w:rPr>
          <w:rFonts w:ascii="Times New Roman" w:cs="Times New Roman" w:eastAsia="Times New Roman" w:hAnsi="Times New Roman"/>
          <w:sz w:val="18"/>
          <w:szCs w:val="18"/>
          <w:u w:val="single" w:color="auto"/>
          <w:color w:val="auto"/>
        </w:rPr>
        <w:t>PHSA</w:t>
      </w:r>
      <w:r>
        <w:rPr>
          <w:rFonts w:ascii="Times New Roman" w:cs="Times New Roman" w:eastAsia="Times New Roman" w:hAnsi="Times New Roman"/>
          <w:sz w:val="18"/>
          <w:szCs w:val="18"/>
          <w:color w:val="auto"/>
        </w:rPr>
        <w:t>”); (iii) all federal or state criminal or civil fraud and abuse Laws (including the federal Anti-Kickback Statute (42 U.S.C. §1320a-7(b)), the Civil Monetary Penalties Law (42 U.S.C. §1320a-7(a)), the Sunshine Act (42 U.S.C. §1320a-7(h)), the Exclusion Law (42 U.S.C. §1320a-7), the Criminal False Statements Law (42 U.S.C. §1320a-7b(a), Stark Law (42 U.S.C. §1395nn), the False Claims Act (31 U.S.C. §§3729 et seq. 42 U.S.C. §1320a-7b(a)), HIPAA, (42 U.S.C. §§1320d et seq.), and any comparable state or local Laws) and; (iv) any applicable state licensing, disclosure and reporting requirements (all of the foregoing, collectively, “</w:t>
      </w:r>
      <w:r>
        <w:rPr>
          <w:rFonts w:ascii="Times New Roman" w:cs="Times New Roman" w:eastAsia="Times New Roman" w:hAnsi="Times New Roman"/>
          <w:sz w:val="18"/>
          <w:szCs w:val="18"/>
          <w:u w:val="single" w:color="auto"/>
          <w:color w:val="auto"/>
        </w:rPr>
        <w:t>Healthcare Laws</w:t>
      </w:r>
      <w:r>
        <w:rPr>
          <w:rFonts w:ascii="Times New Roman" w:cs="Times New Roman" w:eastAsia="Times New Roman" w:hAnsi="Times New Roman"/>
          <w:sz w:val="18"/>
          <w:szCs w:val="18"/>
          <w:color w:val="auto"/>
        </w:rPr>
        <w:t>”). The Company has not received written notification of any pending Action from the FDA or any other similar regulatory authority alleging that any operation or activity of the Company is in material violation of any applicable Healthcare Law.</w:t>
      </w:r>
    </w:p>
    <w:p>
      <w:pPr>
        <w:spacing w:after="0" w:line="188" w:lineRule="exact"/>
        <w:rPr>
          <w:rFonts w:ascii="Times New Roman" w:cs="Times New Roman" w:eastAsia="Times New Roman" w:hAnsi="Times New Roman"/>
          <w:sz w:val="18"/>
          <w:szCs w:val="18"/>
          <w:color w:val="auto"/>
        </w:rPr>
      </w:pPr>
    </w:p>
    <w:p>
      <w:pPr>
        <w:jc w:val="both"/>
        <w:ind w:firstLine="872"/>
        <w:spacing w:after="0" w:line="256" w:lineRule="auto"/>
        <w:tabs>
          <w:tab w:leader="none" w:pos="112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preclinical and clinical investigations conducted or sponsored by the Company and intended to be submitted to a regulatory authority to support a regulatory approval are being conducted in compliance in all material respects with all applicable Healthcare Laws administered or issued by the applicable Authority, including, as applicable, (i) the FDA regulations for conducting non-clinical laboratory studies contained in Title 21 part 58 of the Code of Federal Regulations, (ii) applicable FDA standards for the design, conduct, performance, monitoring, auditing, recording, analysis and reporting of clinical trials contained in Title 21 parts 50, 54, 56 and 312 of the Code of Federal Regulations and (iii) applicable federal, state and foreign Healthcare Laws restricting the use and disclosure of individually identifiable health information, including HIPAA.</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872"/>
        <w:spacing w:after="0" w:line="254" w:lineRule="auto"/>
        <w:tabs>
          <w:tab w:leader="none" w:pos="109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reports, documents, claims, permits and notices required to be filed, maintained or furnished to the FDA or any other regulatory authority by the Company have been so filed, maintained or furnished. To the Knowledge of the Company, all such reports, documents, claims, permits and notices were complete and accurate on the date filed (or were corrected in or supplemented by a subsequent filing). Neither the Company nor, to the Knowledge of the Company, any officer, employee or agent of the Company has (i) made an untrue statement of a material fact or any fraudulent statement to the FDA or any other regulatory authority, (ii) failed to disclose a material fact required to be disclosed to the FDA or any other regulatory authority or</w:t>
      </w:r>
    </w:p>
    <w:p>
      <w:pPr>
        <w:spacing w:after="0" w:line="3" w:lineRule="exact"/>
        <w:rPr>
          <w:rFonts w:ascii="Times New Roman" w:cs="Times New Roman" w:eastAsia="Times New Roman" w:hAnsi="Times New Roman"/>
          <w:sz w:val="18"/>
          <w:szCs w:val="18"/>
          <w:color w:val="auto"/>
        </w:rPr>
      </w:pPr>
    </w:p>
    <w:p>
      <w:pPr>
        <w:jc w:val="both"/>
        <w:ind w:firstLine="8"/>
        <w:spacing w:after="0" w:line="251" w:lineRule="auto"/>
        <w:tabs>
          <w:tab w:leader="none" w:pos="31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committed an act, made a statement, or failed to make a statement that, at the time such disclosure was made, would reasonably be expected to provide a reasonable basis for the FDA or any other regulatory authority to invoke its policy respecting “Fraud, Untrue Statements of Material Facts, Bribery, and Illegal Gratuities”, set forth in 56 Fed. Reg. 46191 (September 10, 1991) or any similar policy. Neither the Company nor, to the Knowledge of the Company, any officer, employee or agent of the Company has been convicted of any crime or engaged in any conduct for which debarment is mandated by 21 U.S.C. §335a(a) or any similar Healthcare Law or authorized by 21 U.S.C. §335a(b) or any similar Healthcare Law. Neither the Company nor, to the Knowledge of the Company, any officer, employee or agent of Company has been convicted of any crime or engaged in any conduct for which such person could be excluded from participating in the federal health care programs under Section 1128 of the Social Security Act of 1935 or any Healthcare Law. As of the date of this Agreement, no Actions that would reasonably be expected to result in material debarment or exclusion are pending or, to the Company’s Knowledge, threatened in writing against the Company or, to Company’s Knowledge, any of its officers, employees, contractors, suppliers (in their capacities as such) or other entities or individuals performing research or work on behalf of the Company. The Company is not party to any corporate integrity agreements, monitoring agreements, consent decrees, settlement orders, or similar agreements with or imposed by any Authority.</w:t>
      </w:r>
    </w:p>
    <w:p>
      <w:pPr>
        <w:spacing w:after="0" w:line="192" w:lineRule="exact"/>
        <w:rPr>
          <w:rFonts w:ascii="Times New Roman" w:cs="Times New Roman" w:eastAsia="Times New Roman" w:hAnsi="Times New Roman"/>
          <w:sz w:val="18"/>
          <w:szCs w:val="18"/>
          <w:color w:val="auto"/>
        </w:rPr>
      </w:pPr>
    </w:p>
    <w:p>
      <w:pPr>
        <w:jc w:val="both"/>
        <w:ind w:firstLine="872"/>
        <w:spacing w:after="0" w:line="266" w:lineRule="auto"/>
        <w:tabs>
          <w:tab w:leader="none" w:pos="11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received any written notice, correspondence or other communication from the FDA or any other regulatory authority or from any institutional review board requiring the termination, suspension or material modification of any ongoing or planned clinical trials conducted by, or on behalf of, the Company.</w:t>
      </w:r>
    </w:p>
    <w:p>
      <w:pPr>
        <w:spacing w:after="0" w:line="175" w:lineRule="exact"/>
        <w:rPr>
          <w:rFonts w:ascii="Times New Roman" w:cs="Times New Roman" w:eastAsia="Times New Roman" w:hAnsi="Times New Roman"/>
          <w:sz w:val="18"/>
          <w:szCs w:val="18"/>
          <w:color w:val="auto"/>
        </w:rPr>
      </w:pPr>
    </w:p>
    <w:p>
      <w:pPr>
        <w:ind w:firstLine="872"/>
        <w:spacing w:after="0" w:line="282" w:lineRule="auto"/>
        <w:tabs>
          <w:tab w:leader="none" w:pos="111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no data generated by the Company with respect to its products is the subject of any written regulatory Action, either pending or, to the Company’s Knowledge, threatened, by any Authority relating to the truthfulness or scientific integrity of such data.</w:t>
      </w:r>
    </w:p>
    <w:p>
      <w:pPr>
        <w:spacing w:after="0" w:line="161" w:lineRule="exact"/>
        <w:rPr>
          <w:rFonts w:ascii="Times New Roman" w:cs="Times New Roman" w:eastAsia="Times New Roman" w:hAnsi="Times New Roman"/>
          <w:sz w:val="18"/>
          <w:szCs w:val="18"/>
          <w:color w:val="auto"/>
        </w:rPr>
      </w:pPr>
    </w:p>
    <w:p>
      <w:pPr>
        <w:jc w:val="both"/>
        <w:ind w:firstLine="872"/>
        <w:spacing w:after="0" w:line="255" w:lineRule="auto"/>
        <w:tabs>
          <w:tab w:leader="none" w:pos="109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no product manufactured or distributed by the Company is (i) adulterated within the meaning of 21 U.S.C. §351 (or any similar Healthcare Law), or (ii) misbranded within the meaning of 21 U.S.C. § 352 (or any similar Healthcare Law). As of the date of this Agreement, neither the Company nor, to the Company’s Knowledge, any of its respective contract manufacturers has received any FDA Form 483, warning letter, untitled letter, or other similar correspondence or written notice from the FDA or any other regulatory authority alleging or asserting material noncompliance with any applicable Healthcare Laws or Permits issued to the Company by the FDA or any other regulatory authority. No manufacturing site owned by the Company or, to the Company’s Knowledge, any of their respective contract manufacturers, is or has been subject to a shutdown or import or export prohibition imposed by FDA or another regulatory authority.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Accounts Payable; Affiliate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72"/>
        <w:spacing w:after="0" w:line="266" w:lineRule="auto"/>
        <w:tabs>
          <w:tab w:leader="none" w:pos="114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any accounts receivable. The accounts payable of the Company reflected on the Company Financial Statements, and all accounts payable arising subsequent to the date thereof, arose from bona fide transactions in the ordinary course consistent with past practice.</w:t>
      </w:r>
    </w:p>
    <w:p>
      <w:pPr>
        <w:spacing w:after="0" w:line="175" w:lineRule="exact"/>
        <w:rPr>
          <w:rFonts w:ascii="Times New Roman" w:cs="Times New Roman" w:eastAsia="Times New Roman" w:hAnsi="Times New Roman"/>
          <w:sz w:val="18"/>
          <w:szCs w:val="18"/>
          <w:color w:val="auto"/>
        </w:rPr>
      </w:pPr>
    </w:p>
    <w:p>
      <w:pPr>
        <w:jc w:val="both"/>
        <w:ind w:firstLine="872"/>
        <w:spacing w:after="0" w:line="266" w:lineRule="auto"/>
        <w:tabs>
          <w:tab w:leader="none" w:pos="113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set forth on </w:t>
      </w:r>
      <w:r>
        <w:rPr>
          <w:rFonts w:ascii="Times New Roman" w:cs="Times New Roman" w:eastAsia="Times New Roman" w:hAnsi="Times New Roman"/>
          <w:sz w:val="18"/>
          <w:szCs w:val="18"/>
          <w:u w:val="single" w:color="auto"/>
          <w:color w:val="auto"/>
        </w:rPr>
        <w:t>Schedule 5.20(b)</w:t>
      </w:r>
      <w:r>
        <w:rPr>
          <w:rFonts w:ascii="Times New Roman" w:cs="Times New Roman" w:eastAsia="Times New Roman" w:hAnsi="Times New Roman"/>
          <w:sz w:val="18"/>
          <w:szCs w:val="18"/>
          <w:color w:val="auto"/>
        </w:rPr>
        <w:t xml:space="preserve"> separately identifies any and all accounts, receivables or notes of the Company which are owed by any Affiliate of the Company. Except as set forth on </w:t>
      </w:r>
      <w:r>
        <w:rPr>
          <w:rFonts w:ascii="Times New Roman" w:cs="Times New Roman" w:eastAsia="Times New Roman" w:hAnsi="Times New Roman"/>
          <w:sz w:val="18"/>
          <w:szCs w:val="18"/>
          <w:u w:val="single" w:color="auto"/>
          <w:color w:val="auto"/>
        </w:rPr>
        <w:t>Schedule 5.20(b)</w:t>
      </w:r>
      <w:r>
        <w:rPr>
          <w:rFonts w:ascii="Times New Roman" w:cs="Times New Roman" w:eastAsia="Times New Roman" w:hAnsi="Times New Roman"/>
          <w:sz w:val="18"/>
          <w:szCs w:val="18"/>
          <w:color w:val="auto"/>
        </w:rPr>
        <w:t>, the Company is not indebted to any of its Affiliates and no Affiliates are indebted to the Company.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Employees; Employment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72"/>
        <w:spacing w:after="0" w:line="266" w:lineRule="auto"/>
        <w:tabs>
          <w:tab w:leader="none" w:pos="110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5.21(a)</w:t>
      </w:r>
      <w:r>
        <w:rPr>
          <w:rFonts w:ascii="Times New Roman" w:cs="Times New Roman" w:eastAsia="Times New Roman" w:hAnsi="Times New Roman"/>
          <w:sz w:val="18"/>
          <w:szCs w:val="18"/>
          <w:color w:val="auto"/>
        </w:rPr>
        <w:t xml:space="preserve"> sets forth a true, correct and complete list of each of the five highest compensated officers or employees of the Company as of the date hereof, setting forth the name, title, current salary or compensation rate for each such person and total compensation (including bonuses and commissions) paid to each such person for the fiscal years ended December 31, 2019 and 2018.</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872"/>
        <w:spacing w:after="0" w:line="258" w:lineRule="auto"/>
        <w:tabs>
          <w:tab w:leader="none" w:pos="11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5.21(b</w:t>
      </w:r>
      <w:r>
        <w:rPr>
          <w:rFonts w:ascii="Times New Roman" w:cs="Times New Roman" w:eastAsia="Times New Roman" w:hAnsi="Times New Roman"/>
          <w:sz w:val="18"/>
          <w:szCs w:val="18"/>
          <w:color w:val="auto"/>
        </w:rPr>
        <w:t>), the Company is not a party to or subject to any collective bargaining agreement, or any similar agreement, and there has been no activity or proceeding by a labor union or representative thereof to organize any employees of the Company. There is no labor strike, material slowdown or material work stoppage or lockout pending or, to the Knowledge of the Company, threatened against or affecting the Company, and none of the Company has experienced any strike, material slowdown or material work stoppage, lockout or other collective labor action by or with respect to its employees.</w:t>
      </w:r>
    </w:p>
    <w:p>
      <w:pPr>
        <w:spacing w:after="0" w:line="183" w:lineRule="exact"/>
        <w:rPr>
          <w:rFonts w:ascii="Times New Roman" w:cs="Times New Roman" w:eastAsia="Times New Roman" w:hAnsi="Times New Roman"/>
          <w:sz w:val="18"/>
          <w:szCs w:val="18"/>
          <w:color w:val="auto"/>
        </w:rPr>
      </w:pPr>
    </w:p>
    <w:p>
      <w:pPr>
        <w:jc w:val="both"/>
        <w:ind w:firstLine="872"/>
        <w:spacing w:after="0" w:line="266" w:lineRule="auto"/>
        <w:tabs>
          <w:tab w:leader="none" w:pos="109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are no pending or, to the Knowledge of the Company, threatened Actions against the Company under any worker’s compensation policy or long-term disability policy. There is no unfair labor practice charge or complaint pending before any applicable governmental authority relating to the Company or any employee or other service provider thereof.</w:t>
      </w:r>
    </w:p>
    <w:p>
      <w:pPr>
        <w:spacing w:after="0" w:line="175" w:lineRule="exact"/>
        <w:rPr>
          <w:rFonts w:ascii="Times New Roman" w:cs="Times New Roman" w:eastAsia="Times New Roman" w:hAnsi="Times New Roman"/>
          <w:sz w:val="18"/>
          <w:szCs w:val="18"/>
          <w:color w:val="auto"/>
        </w:rPr>
      </w:pPr>
    </w:p>
    <w:p>
      <w:pPr>
        <w:jc w:val="both"/>
        <w:ind w:firstLine="872"/>
        <w:spacing w:after="0" w:line="258" w:lineRule="auto"/>
        <w:tabs>
          <w:tab w:leader="none" w:pos="1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has been in compliance in all material respects with all applicable Laws relating to employment of labor, including all applicable Laws relating to wages, hours, overtime, collective bargaining, employment discrimination, civil rights, safety and health, workers’ compensation, pay equity, classification of employees and independent contractors, and the collection and payment of withholding or social security Taxes. The Company has met in all material respects all requirements required by Law relating to the employment of foreign citizens, and the Company does not currently employ, or has ever employed, any Person who was not permitted to work in the jurisdiction in which such Person was employed.</w:t>
      </w:r>
    </w:p>
    <w:p>
      <w:pPr>
        <w:spacing w:after="0" w:line="183" w:lineRule="exact"/>
        <w:rPr>
          <w:rFonts w:ascii="Times New Roman" w:cs="Times New Roman" w:eastAsia="Times New Roman" w:hAnsi="Times New Roman"/>
          <w:sz w:val="18"/>
          <w:szCs w:val="18"/>
          <w:color w:val="auto"/>
        </w:rPr>
      </w:pPr>
    </w:p>
    <w:p>
      <w:pPr>
        <w:jc w:val="both"/>
        <w:ind w:firstLine="872"/>
        <w:spacing w:after="0" w:line="266" w:lineRule="auto"/>
        <w:tabs>
          <w:tab w:leader="none" w:pos="111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employee of the Company, in the ordinary course of his or her duties, has breached or will breach any obligation to a former employer in respect of any covenant against competition or soliciting clients or employees or servicing clients or any confidentiality or proprietary right of any former employer.</w:t>
      </w:r>
    </w:p>
    <w:p>
      <w:pPr>
        <w:spacing w:after="0" w:line="175" w:lineRule="exact"/>
        <w:rPr>
          <w:rFonts w:ascii="Times New Roman" w:cs="Times New Roman" w:eastAsia="Times New Roman" w:hAnsi="Times New Roman"/>
          <w:sz w:val="18"/>
          <w:szCs w:val="18"/>
          <w:color w:val="auto"/>
        </w:rPr>
      </w:pPr>
    </w:p>
    <w:p>
      <w:pPr>
        <w:ind w:firstLine="872"/>
        <w:spacing w:after="0" w:line="282" w:lineRule="auto"/>
        <w:tabs>
          <w:tab w:leader="none" w:pos="110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in the last five (5) years, no substantiated allegations of sexual harassment have been made to the Company against any individual in his or her capacity as director or an employee of the Company at a level of Senior Vice President or above.</w:t>
      </w:r>
    </w:p>
    <w:p>
      <w:pPr>
        <w:spacing w:after="0" w:line="161" w:lineRule="exact"/>
        <w:rPr>
          <w:rFonts w:ascii="Times New Roman" w:cs="Times New Roman" w:eastAsia="Times New Roman" w:hAnsi="Times New Roman"/>
          <w:sz w:val="18"/>
          <w:szCs w:val="18"/>
          <w:color w:val="auto"/>
        </w:rPr>
      </w:pPr>
    </w:p>
    <w:p>
      <w:pPr>
        <w:ind w:firstLine="872"/>
        <w:spacing w:after="0" w:line="282" w:lineRule="auto"/>
        <w:tabs>
          <w:tab w:leader="none" w:pos="11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5.21(g)</w:t>
      </w:r>
      <w:r>
        <w:rPr>
          <w:rFonts w:ascii="Times New Roman" w:cs="Times New Roman" w:eastAsia="Times New Roman" w:hAnsi="Times New Roman"/>
          <w:sz w:val="18"/>
          <w:szCs w:val="18"/>
          <w:color w:val="auto"/>
        </w:rPr>
        <w:t>, the Company has not paid or promised to pay any bonus to any employee in connection with the consummation of the transactions contemplated hereby.</w:t>
      </w:r>
    </w:p>
    <w:p>
      <w:pPr>
        <w:spacing w:after="0" w:line="16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Except as disclosed on </w:t>
      </w:r>
      <w:r>
        <w:rPr>
          <w:rFonts w:ascii="Times New Roman" w:cs="Times New Roman" w:eastAsia="Times New Roman" w:hAnsi="Times New Roman"/>
          <w:sz w:val="18"/>
          <w:szCs w:val="18"/>
          <w:u w:val="single" w:color="auto"/>
          <w:color w:val="auto"/>
        </w:rPr>
        <w:t>Schedule 5.22,</w:t>
      </w:r>
      <w:r>
        <w:rPr>
          <w:rFonts w:ascii="Times New Roman" w:cs="Times New Roman" w:eastAsia="Times New Roman" w:hAnsi="Times New Roman"/>
          <w:sz w:val="18"/>
          <w:szCs w:val="18"/>
          <w:color w:val="auto"/>
        </w:rPr>
        <w:t xml:space="preserve"> all obligations of the Company applicable to its employees, whether arising by operation of Law, by Contract, by past custom or otherwise, or attributable to payments by the Company to trusts or other funds or to any governmental agency, with respect to unemployment compensation benefits, social security benefits or any other benefits for its employees through the date hereof have been paid or adequate accruals therefor have been made on the Company Financial Statements. Except as disclosed on </w:t>
      </w:r>
      <w:r>
        <w:rPr>
          <w:rFonts w:ascii="Times New Roman" w:cs="Times New Roman" w:eastAsia="Times New Roman" w:hAnsi="Times New Roman"/>
          <w:sz w:val="18"/>
          <w:szCs w:val="18"/>
          <w:u w:val="single" w:color="auto"/>
          <w:color w:val="auto"/>
        </w:rPr>
        <w:t>Schedule 5.22</w:t>
      </w:r>
      <w:r>
        <w:rPr>
          <w:rFonts w:ascii="Times New Roman" w:cs="Times New Roman" w:eastAsia="Times New Roman" w:hAnsi="Times New Roman"/>
          <w:sz w:val="18"/>
          <w:szCs w:val="18"/>
          <w:color w:val="auto"/>
        </w:rPr>
        <w:t>, all reasonably anticipated obligations of the Company with respect to such employees (except for those related to wages during the pay period immediately prior to the Closing Date and arising in the ordinary course of business), whether arising by operation of Law, by contract, by past custom, or otherwise, for salaries and holiday pay, bonuses and other forms of compensation payable to such employees in respect of the services rendered by any of them prior to the date hereof have been or will be paid by the Company prior to the Closing Date.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5.23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72"/>
        <w:spacing w:after="0" w:line="255" w:lineRule="auto"/>
        <w:tabs>
          <w:tab w:leader="none" w:pos="112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5.23(a)</w:t>
      </w:r>
      <w:r>
        <w:rPr>
          <w:rFonts w:ascii="Times New Roman" w:cs="Times New Roman" w:eastAsia="Times New Roman" w:hAnsi="Times New Roman"/>
          <w:sz w:val="18"/>
          <w:szCs w:val="18"/>
          <w:color w:val="auto"/>
        </w:rPr>
        <w:t xml:space="preserve"> sets forth a correct and complete list of all material Plans. With respect to each material Plan, the Company has made available to Parent or its counsel a true and complete copy, to the extent applicable, of: (i) each writing constituting a part of such Plan and all amendments thereto, including all plan documents, material employee communications, benefit schedules, trust agreements, and insurance contracts and other funding vehicles; (ii) the most recent annual report and accompanying schedule; (iii) the current summary plan description and any material modifications thereto;</w:t>
      </w:r>
    </w:p>
    <w:p>
      <w:pPr>
        <w:spacing w:after="0" w:line="2" w:lineRule="exact"/>
        <w:rPr>
          <w:rFonts w:ascii="Times New Roman" w:cs="Times New Roman" w:eastAsia="Times New Roman" w:hAnsi="Times New Roman"/>
          <w:sz w:val="18"/>
          <w:szCs w:val="18"/>
          <w:color w:val="auto"/>
        </w:rPr>
      </w:pPr>
    </w:p>
    <w:p>
      <w:pPr>
        <w:ind w:firstLine="8"/>
        <w:spacing w:after="0" w:line="260" w:lineRule="auto"/>
        <w:tabs>
          <w:tab w:leader="none" w:pos="32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annual financial and actuarial reports; (v) the most recent determination letter received by the Company from the Internal Revenue Service regarding the tax-qualified status of such Plan and (vi) the most recent written results of all required compliance testing.</w:t>
      </w:r>
    </w:p>
    <w:p>
      <w:pPr>
        <w:spacing w:after="0" w:line="181" w:lineRule="exact"/>
        <w:rPr>
          <w:rFonts w:ascii="Times New Roman" w:cs="Times New Roman" w:eastAsia="Times New Roman" w:hAnsi="Times New Roman"/>
          <w:sz w:val="18"/>
          <w:szCs w:val="18"/>
          <w:color w:val="auto"/>
        </w:rPr>
      </w:pPr>
    </w:p>
    <w:p>
      <w:pPr>
        <w:jc w:val="both"/>
        <w:ind w:firstLine="872"/>
        <w:spacing w:after="0" w:line="258" w:lineRule="auto"/>
        <w:tabs>
          <w:tab w:leader="none" w:pos="112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Plan is (i) subject to Title IV or Section 302 of ERISA or Section 412 or 4971 of the Code, (ii) a “multiemployer plan” (as defined in Section 3(37) of ERISA) or (iii) a plan that has two or more contributing sponsors at least two of whom are not under common control, within the meaning of Section 4063 of ERISA, and none of the Company, or any ERISA Affiliate, has withdrawn at any time within the preceding six (6) years from any multiemployer plan or incurred any withdrawal liability which remains unsatisfied, and no events have occurred and no circumstances exist that could reasonably be expected to result in any such liability to the Company.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firstLine="872"/>
        <w:spacing w:after="0" w:line="256" w:lineRule="auto"/>
        <w:tabs>
          <w:tab w:leader="none" w:pos="111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Plan that is intended to qualify under Section 401(a) of the Code, such Plan, including its related trust, has received a determination letter (or opinion letters in the case of any prototype plans) from the Internal Revenue Service that it is so qualified and that its trust is exempt from Tax under Section 501(a) of the Code, and to the Knowledge of the Company, nothing has occurred with respect to the operation of any such Plan that could cause the loss of such qualification or exemption or the imposition of any material liability, penalty or tax under ERISA or the Code. No stock or other securities issued by the Company forms or has formed any part of the assets of any Plan that is intended to qualify under Section 401(a) of the Code.</w:t>
      </w:r>
    </w:p>
    <w:p>
      <w:pPr>
        <w:spacing w:after="0" w:line="187" w:lineRule="exact"/>
        <w:rPr>
          <w:rFonts w:ascii="Times New Roman" w:cs="Times New Roman" w:eastAsia="Times New Roman" w:hAnsi="Times New Roman"/>
          <w:sz w:val="18"/>
          <w:szCs w:val="18"/>
          <w:color w:val="auto"/>
        </w:rPr>
      </w:pPr>
    </w:p>
    <w:p>
      <w:pPr>
        <w:jc w:val="both"/>
        <w:ind w:firstLine="872"/>
        <w:spacing w:after="0" w:line="266" w:lineRule="auto"/>
        <w:tabs>
          <w:tab w:leader="none" w:pos="112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Knowledge of the Company, threatened Actions against or relating to the Plans or the assets of any of the trusts under such Plans (other than routine benefits claims). No Plan is presently under audit or examination (nor has written notice been received by the Company of a potential audit or examination) by any Authority.</w:t>
      </w:r>
    </w:p>
    <w:p>
      <w:pPr>
        <w:spacing w:after="0" w:line="175" w:lineRule="exact"/>
        <w:rPr>
          <w:rFonts w:ascii="Times New Roman" w:cs="Times New Roman" w:eastAsia="Times New Roman" w:hAnsi="Times New Roman"/>
          <w:sz w:val="18"/>
          <w:szCs w:val="18"/>
          <w:color w:val="auto"/>
        </w:rPr>
      </w:pPr>
    </w:p>
    <w:p>
      <w:pPr>
        <w:jc w:val="both"/>
        <w:ind w:firstLine="872"/>
        <w:spacing w:after="0" w:line="258" w:lineRule="auto"/>
        <w:tabs>
          <w:tab w:leader="none" w:pos="111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has been established, administered and funded in all material respects accordance with its terms and in compliance in all material respects with the applicable provisions of ERISA, the Code and other applicable Laws. There is not now, nor, to the Knowledge of the Company, do any circumstances exist that could give rise to, any requirement for the posting of security with respect to any Plan or the imposition of any Lien on the assets of the Company under ERISA or the Code. All premiums due or payable with respect to insurance policies funding any Plan have been made or paid in full or, to the extent not required to be made or paid on or before the date hereof, have been fully reflected on the Company Financial Statements.</w:t>
      </w:r>
    </w:p>
    <w:p>
      <w:pPr>
        <w:spacing w:after="0" w:line="183" w:lineRule="exact"/>
        <w:rPr>
          <w:rFonts w:ascii="Times New Roman" w:cs="Times New Roman" w:eastAsia="Times New Roman" w:hAnsi="Times New Roman"/>
          <w:sz w:val="18"/>
          <w:szCs w:val="18"/>
          <w:color w:val="auto"/>
        </w:rPr>
      </w:pPr>
    </w:p>
    <w:p>
      <w:pPr>
        <w:ind w:right="20" w:firstLine="872"/>
        <w:spacing w:after="0" w:line="282" w:lineRule="auto"/>
        <w:tabs>
          <w:tab w:leader="none" w:pos="109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Plans provide retiree health or life insurance benefits, except as may be required by Section 4980B of the Code, Section 601 of ERISA or any other applicable Law.</w:t>
      </w:r>
    </w:p>
    <w:p>
      <w:pPr>
        <w:spacing w:after="0" w:line="161" w:lineRule="exact"/>
        <w:rPr>
          <w:rFonts w:ascii="Times New Roman" w:cs="Times New Roman" w:eastAsia="Times New Roman" w:hAnsi="Times New Roman"/>
          <w:sz w:val="18"/>
          <w:szCs w:val="18"/>
          <w:color w:val="auto"/>
        </w:rPr>
      </w:pPr>
    </w:p>
    <w:p>
      <w:pPr>
        <w:jc w:val="both"/>
        <w:ind w:firstLine="872"/>
        <w:spacing w:after="0" w:line="256" w:lineRule="auto"/>
        <w:tabs>
          <w:tab w:leader="none" w:pos="112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contemplated hereby will (either alone or in combination with another event) (i) result in any payment becoming due, or increase the amount of any compensation or benefits due, to any current or former employee of the Company with respect to any Plan; (ii) increase any benefits otherwise payable under any Plan; or (iii) result in the acceleration of the time of payment or vesting of any such compensation or benefits. No Person is entitled to receive any additional payment (including any tax gross-up or other payment) from the Company as a result of the imposition of the excise taxes required by Section 4999 of the Code or any taxes required by Section 409A of the Code.</w:t>
      </w:r>
    </w:p>
    <w:p>
      <w:pPr>
        <w:spacing w:after="0" w:line="187" w:lineRule="exact"/>
        <w:rPr>
          <w:rFonts w:ascii="Times New Roman" w:cs="Times New Roman" w:eastAsia="Times New Roman" w:hAnsi="Times New Roman"/>
          <w:sz w:val="18"/>
          <w:szCs w:val="18"/>
          <w:color w:val="auto"/>
        </w:rPr>
      </w:pPr>
    </w:p>
    <w:p>
      <w:pPr>
        <w:jc w:val="both"/>
        <w:ind w:firstLine="872"/>
        <w:spacing w:after="0" w:line="266" w:lineRule="auto"/>
        <w:tabs>
          <w:tab w:leader="none" w:pos="112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contemplated hereby will (either alone or in combination with another event) result in the payment of any amount that would, individually or in combination with any other such payment, be an “excess parachute payment” within the meaning of Section 280G of the Code.</w:t>
      </w:r>
    </w:p>
    <w:p>
      <w:pPr>
        <w:spacing w:after="0" w:line="175" w:lineRule="exact"/>
        <w:rPr>
          <w:rFonts w:ascii="Times New Roman" w:cs="Times New Roman" w:eastAsia="Times New Roman" w:hAnsi="Times New Roman"/>
          <w:sz w:val="18"/>
          <w:szCs w:val="18"/>
          <w:color w:val="auto"/>
        </w:rPr>
      </w:pPr>
    </w:p>
    <w:p>
      <w:pPr>
        <w:ind w:firstLine="872"/>
        <w:spacing w:after="0" w:line="282" w:lineRule="auto"/>
        <w:tabs>
          <w:tab w:leader="none" w:pos="108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that is a “nonqualified deferred compensation plan” (as defined in Section 409A(d)(1) of the Code) is in all material respects in documentary compliance with, and has been administered in all material respects in compliance with Section 409A of the Code.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5.24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72"/>
        <w:spacing w:after="0" w:line="258" w:lineRule="auto"/>
        <w:tabs>
          <w:tab w:leader="none" w:pos="11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5.24</w:t>
      </w:r>
      <w:r>
        <w:rPr>
          <w:rFonts w:ascii="Times New Roman" w:cs="Times New Roman" w:eastAsia="Times New Roman" w:hAnsi="Times New Roman"/>
          <w:sz w:val="18"/>
          <w:szCs w:val="18"/>
          <w:color w:val="auto"/>
        </w:rPr>
        <w:t xml:space="preserve">, the Company does not own, or otherwise have an interest in, any Real Property, including under any Real Property lease, sublease, space sharing, license or other occupancy agreement. The Lease is the only Contract pursuant to which the Company leases any real property or right in any Real Property. The Company has good, valid and subsisting title to its respective leasehold estates in the offices described on </w:t>
      </w:r>
      <w:r>
        <w:rPr>
          <w:rFonts w:ascii="Times New Roman" w:cs="Times New Roman" w:eastAsia="Times New Roman" w:hAnsi="Times New Roman"/>
          <w:sz w:val="18"/>
          <w:szCs w:val="18"/>
          <w:u w:val="single" w:color="auto"/>
          <w:color w:val="auto"/>
        </w:rPr>
        <w:t>Schedule 5.24</w:t>
      </w:r>
      <w:r>
        <w:rPr>
          <w:rFonts w:ascii="Times New Roman" w:cs="Times New Roman" w:eastAsia="Times New Roman" w:hAnsi="Times New Roman"/>
          <w:sz w:val="18"/>
          <w:szCs w:val="18"/>
          <w:color w:val="auto"/>
        </w:rPr>
        <w:t>, free and clear of all Liens. The Company has not breached or violated any local zoning ordinance, and no notice from any Person has been received by the Company or served upon the Company claiming any violation of any local zoning ordinance.</w:t>
      </w:r>
    </w:p>
    <w:p>
      <w:pPr>
        <w:spacing w:after="0" w:line="183" w:lineRule="exact"/>
        <w:rPr>
          <w:rFonts w:ascii="Times New Roman" w:cs="Times New Roman" w:eastAsia="Times New Roman" w:hAnsi="Times New Roman"/>
          <w:sz w:val="18"/>
          <w:szCs w:val="18"/>
          <w:color w:val="auto"/>
        </w:rPr>
      </w:pPr>
    </w:p>
    <w:p>
      <w:pPr>
        <w:jc w:val="both"/>
        <w:ind w:firstLine="872"/>
        <w:spacing w:after="0" w:line="253" w:lineRule="auto"/>
        <w:tabs>
          <w:tab w:leader="none" w:pos="112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Lease: (i) it is valid, binding and in full force and effect; (ii) all rents and additional rents and other sums, expenses and charges due thereunder have been paid; (iii) the Company has been in peaceable possession of the premises leased thereunder since the commencement of the original term thereof; (iv) no waiver, indulgence or postponement of the Company’s obligations thereunder has been granted by the lessor; (v) there exist no default or event of default thereunder by the Company or, to the Company’s Knowledge, by any other party thereto; (vi) there exists no occurrence, condition or act which, with the giving of notice, the lapse of time or the happening of any further event or condition, would become a default or event of default by the Company thereunder; and (vii) there are no outstanding claims of breach or indemnification or notice of default or termination thereunder. The Company holds the leasehold estate established under the Lease free and clear of all Liens, except for Liens of mortgagees of the Real Property on which such leasehold estate is located. The Real Property leased by the Company is in a state of maintenance and repair in all material respects adequate and suitable for the purposes for which it is presently being used, and there are no material repair or restoration works likely to be required in connection with such leased Real Property. The Company is in physical possession and actual and exclusive occupation of the whole of the leased premises, none of which is subleased or assigned to another Person. The Lease leases all useable square footage of the premises located at the leased Real Property. The Company does not owe any brokerage commission with respect to any Real Property.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ind w:left="440"/>
        <w:spacing w:after="0"/>
        <w:rPr>
          <w:sz w:val="20"/>
          <w:szCs w:val="20"/>
          <w:color w:val="auto"/>
        </w:rPr>
      </w:pPr>
      <w:r>
        <w:rPr>
          <w:rFonts w:ascii="Times New Roman" w:cs="Times New Roman" w:eastAsia="Times New Roman" w:hAnsi="Times New Roman"/>
          <w:sz w:val="18"/>
          <w:szCs w:val="18"/>
          <w:color w:val="auto"/>
        </w:rPr>
        <w:t xml:space="preserve">5.25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5.25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72"/>
        <w:spacing w:after="0" w:line="251" w:lineRule="auto"/>
        <w:tabs>
          <w:tab w:leader="none" w:pos="111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has duly and timely filed all income and other material Tax Returns which are required to be filed by or with respect to it, and has paid all income and other material Taxes which have become due; (ii) all such Tax Returns are true, correct and complete and accurate in all material respects; (iii) there is no Action, within the past five years (or pending or proposed in writing), with respect to Taxes of the Company; (iv) no statute of limitations in respect of the assessment or collection of any Taxes of the Company has been waived or extended, which waiver or extension is in effect and the Company is not presently contesting the Tax liability before any Taxing Authority or other Authority; (v) the Company has complied in all respects with all applicable Laws relating to the reporting, payment, collection and withholding of Taxes and has duly and timely withheld or collected, paid over to the applicable Taxing Authority and reported all Taxes (including income, social, security and other payroll Taxes) required to be withheld or collected by the Company; (vi) no stock transfer Tax, sales Tax, use Tax, real estate transfer Tax or other similar Tax will be imposed on the transfer of the shares of Company Common Stock by the Company Stockholders to Parent pursuant to this Agreement; (vii) there is no outstanding request for a ruling from any Taxing Authority, request for consent by a Taxing Authority for a change in a method of accounting, subpoena or request for information by any Taxing Authority or agreement with any Taxing Authority with respect to the Company; (viii) there is no Lien (other than Permitted Liens) for Taxes upon the Company or any of the assets of the Company; (ix) no claim has ever been made by a Taxing Authority in a jurisdiction where the Company has not paid any Tax or filed Tax Returns, asserting that the Company is or may be subject to Tax in such jurisdiction, the Company is not nor has it ever been subject to Tax in any country other than the country of incorporation of the Company by virtue of having a permanent establishment or other place of business in that country, and the Company is and has always been tax resident solely in its country of incorporation; (x) the Company has provided to Parent true, complete and correct copies of all Tax Returns relating to, and all audit reports and correspondence relating to each proposed adjustment, if any, made by any Taxing Authority with respect to, any taxable period ending after December 31, 2015; (xi) the Company is not, and has never been, a party to any Tax sharing, allocation, indemnification or similar Contract; (xii) the Company is and has never been included in any consolidated, combined or unitary Tax Return and the Company does not have any liability for Taxes as a result of having been a member of any affiliated group within the meaning of Section 1504(a) of the Code, or any similar affiliated or consolidated group for Tax purposes under any state, local or foreign Law (other than a group the common parent of which is the Company), or has any liability for the Taxes of any Person (other than the Company) under United States Treasury regulations Section 1.1502-6 (or any similar provision of any state, local or foreign Law), as a transferee or successor, by Contract (other than Contracts entered into in the ordinary course of business, the primary purpose of which is not Tax) or otherwise; (xiii) to the Knowledge of the Company, no issue has been raised by a Taxing Authority in any prior Action relating to the Company with respect to any Tax for any period which, by application of the same or similar principles, could reasonably be expected to result in a proposed Tax deficiency of the Company for any other period; and (xiv) the Company has not requested any extension of time within which to file any Tax Return, which Tax Return has since not been filed.</w:t>
      </w:r>
    </w:p>
    <w:p>
      <w:pPr>
        <w:spacing w:after="0" w:line="203" w:lineRule="exact"/>
        <w:rPr>
          <w:rFonts w:ascii="Times New Roman" w:cs="Times New Roman" w:eastAsia="Times New Roman" w:hAnsi="Times New Roman"/>
          <w:sz w:val="18"/>
          <w:szCs w:val="18"/>
          <w:color w:val="auto"/>
        </w:rPr>
      </w:pPr>
    </w:p>
    <w:p>
      <w:pPr>
        <w:jc w:val="both"/>
        <w:ind w:firstLine="872"/>
        <w:spacing w:after="0" w:line="253" w:lineRule="auto"/>
        <w:tabs>
          <w:tab w:leader="none" w:pos="113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be required to include any item of income or exclude any item of deduction for any taxable period (or a portion thereof) ending after the Closing Date as a result of any of the following that occurred or existed on or prior to the Closing Date: (i) a “closing agreement” as described in Section 7121 of the Code (or any corresponding or similar provision of state, local or non-U.S. income Tax law), (ii) an installment sale or open transaction, (iii) a prepaid amount, (iv) an intercompany item under United States Treasury regulations Section 1.1502-13 or an excess loss account under United States Treasury regulations Section 1.1502-19, (v) a change in the accounting method of the Company pursuant to Section 481 of the Code or any similar provision of the Code or the corresponding tax laws of any nation, state or locality or the use of a method of accounting with respect to any transaction that occurred on or before the Closing Date; or (vi) any inclusion under Section 951(a) or Section 951A of the Code attributable to (A) “subpart F income,” within the meaning of Section 952 of the Code, (B) direct or indirect holding of “United States property,” within the meaning of Section 956 of the Code, (C) “global intangible low-taxed income,” as defined in Section 951A of the Code, in each case, determined as if the relevant taxable years ended on the Closing Date or (D) any inclusion under Section 965 of the Code.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872"/>
        <w:spacing w:after="0" w:line="261" w:lineRule="auto"/>
        <w:tabs>
          <w:tab w:leader="none" w:pos="111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unpaid Taxes of the Company (i) did not, as of the most recent fiscal month end, exceed the reserve for Tax liability (rather than any reserve for deferred Taxes established to reflect timing differences between book and Tax income) set forth on the Unaudited Financial Statements in accordance with U.S. GAAP and (ii) will not exceed that reserve as adjusted for the passage of time through the Closing Date in accordance with the past custom and practice of the Company in filing its Tax Return.</w:t>
      </w:r>
    </w:p>
    <w:p>
      <w:pPr>
        <w:spacing w:after="0" w:line="179" w:lineRule="exact"/>
        <w:rPr>
          <w:rFonts w:ascii="Times New Roman" w:cs="Times New Roman" w:eastAsia="Times New Roman" w:hAnsi="Times New Roman"/>
          <w:sz w:val="18"/>
          <w:szCs w:val="18"/>
          <w:color w:val="auto"/>
        </w:rPr>
      </w:pPr>
    </w:p>
    <w:p>
      <w:pPr>
        <w:ind w:firstLine="872"/>
        <w:spacing w:after="0" w:line="282" w:lineRule="auto"/>
        <w:tabs>
          <w:tab w:leader="none" w:pos="113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taken any action (nor permitted any action to be taken), and is not aware of any fact or circumstance, that would reasonably be expected to prevent the Merger from qualifying as a “reorganization” within the meaning of Section 368(a) of the Code.</w:t>
      </w:r>
    </w:p>
    <w:p>
      <w:pPr>
        <w:spacing w:after="0" w:line="161" w:lineRule="exact"/>
        <w:rPr>
          <w:rFonts w:ascii="Times New Roman" w:cs="Times New Roman" w:eastAsia="Times New Roman" w:hAnsi="Times New Roman"/>
          <w:sz w:val="18"/>
          <w:szCs w:val="18"/>
          <w:color w:val="auto"/>
        </w:rPr>
      </w:pPr>
    </w:p>
    <w:p>
      <w:pPr>
        <w:jc w:val="both"/>
        <w:ind w:firstLine="872"/>
        <w:spacing w:after="0" w:line="266" w:lineRule="auto"/>
        <w:tabs>
          <w:tab w:leader="none" w:pos="112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in compliance in all respects with all applicable transfer pricing laws and legal requirements. The prices for any property or services (or for the use of any property), including interest and other prices for financial services, provided by or to the Company are arm’s-length prices for purposes of the relevant transfer pricing laws.</w:t>
      </w:r>
    </w:p>
    <w:p>
      <w:pPr>
        <w:spacing w:after="0" w:line="175" w:lineRule="exact"/>
        <w:rPr>
          <w:rFonts w:ascii="Times New Roman" w:cs="Times New Roman" w:eastAsia="Times New Roman" w:hAnsi="Times New Roman"/>
          <w:sz w:val="18"/>
          <w:szCs w:val="18"/>
          <w:color w:val="auto"/>
        </w:rPr>
      </w:pPr>
    </w:p>
    <w:p>
      <w:pPr>
        <w:ind w:right="20" w:firstLine="872"/>
        <w:spacing w:after="0" w:line="282" w:lineRule="auto"/>
        <w:tabs>
          <w:tab w:leader="none" w:pos="109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“United States real property holding corporation” within the meaning of Section 897(c)(2) of the Code at any time during the five-year period ending on the Closing Date.</w:t>
      </w:r>
    </w:p>
    <w:p>
      <w:pPr>
        <w:spacing w:after="0" w:line="161" w:lineRule="exact"/>
        <w:rPr>
          <w:rFonts w:ascii="Times New Roman" w:cs="Times New Roman" w:eastAsia="Times New Roman" w:hAnsi="Times New Roman"/>
          <w:sz w:val="18"/>
          <w:szCs w:val="18"/>
          <w:color w:val="auto"/>
        </w:rPr>
      </w:pPr>
    </w:p>
    <w:p>
      <w:pPr>
        <w:ind w:left="1120" w:hanging="248"/>
        <w:spacing w:after="0"/>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engaged in a “reportable transaction” within the meaning of United States Treasury regulations Section 1.6011-4(b).</w:t>
      </w:r>
    </w:p>
    <w:p>
      <w:pPr>
        <w:spacing w:after="0" w:line="22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 xml:space="preserve">5.26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has not (i) received any written notice of any alleged claim, violation of or liability under any Environmental Law which has not heretofore been cured or for which there is any remaining liability; (ii) disposed of, emitted, discharged, handled, stored, transported, used or released any Hazardous Materials; arranged for the disposal, discharge, storage or release of any Hazardous Materials; or exposed any employee or other individual to any Hazardous Materials so as to give rise to any liability or corrective or remedial obligation under any Environmental Laws; or (iii) entered into any agreement that may require it to guarantee, reimburse, pledge, defend, hold harmless or indemnify any other Person with respect to liabilities arising out of Environmental Laws or the Hazardous Material Activities of the Company. There are no Hazardous Materials in, on or under any properties owned, leased or used at any time by the Company that could give rise to any material liability or corrective or remedial obligation of the Company under any Environmental Laws.</w:t>
      </w:r>
    </w:p>
    <w:p>
      <w:pPr>
        <w:spacing w:after="0" w:line="19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5.27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5.27</w:t>
      </w:r>
      <w:r>
        <w:rPr>
          <w:rFonts w:ascii="Times New Roman" w:cs="Times New Roman" w:eastAsia="Times New Roman" w:hAnsi="Times New Roman"/>
          <w:sz w:val="18"/>
          <w:szCs w:val="18"/>
          <w:color w:val="auto"/>
        </w:rPr>
        <w:t>, there is no investment banker, broker, finder or other intermediary which has been retained by or is authorized to act on behalf of the Company or any of its Affiliates who might be entitled to any fee or commission from the Company, Merger Sub, Parent or any of their Affiliates upon consummation of the transactions contemplated by this Agreement.</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5.28 </w:t>
      </w:r>
      <w:r>
        <w:rPr>
          <w:rFonts w:ascii="Times New Roman" w:cs="Times New Roman" w:eastAsia="Times New Roman" w:hAnsi="Times New Roman"/>
          <w:sz w:val="18"/>
          <w:szCs w:val="18"/>
          <w:u w:val="single" w:color="auto"/>
          <w:color w:val="auto"/>
        </w:rPr>
        <w:t>Powers of Attorney and Suretyships</w:t>
      </w:r>
      <w:r>
        <w:rPr>
          <w:rFonts w:ascii="Times New Roman" w:cs="Times New Roman" w:eastAsia="Times New Roman" w:hAnsi="Times New Roman"/>
          <w:sz w:val="18"/>
          <w:szCs w:val="18"/>
          <w:color w:val="auto"/>
        </w:rPr>
        <w:t>. The Company does not have any general or special powers of attorney outstanding (whether as grantor or grantee thereof) or any obligation or liability (whether actual, accrued, accruing, contingent or otherwise) as guarantor, surety, co-signer, endorser, co-maker, indemnitor or otherwise in respect of the obligation of any Person.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5.29 </w:t>
      </w: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5.29</w:t>
      </w:r>
      <w:r>
        <w:rPr>
          <w:rFonts w:ascii="Times New Roman" w:cs="Times New Roman" w:eastAsia="Times New Roman" w:hAnsi="Times New Roman"/>
          <w:sz w:val="18"/>
          <w:szCs w:val="18"/>
          <w:color w:val="auto"/>
        </w:rPr>
        <w:t xml:space="preserve"> sets forth a true, correct and complete list of all directors and officers of the Company.</w:t>
      </w:r>
    </w:p>
    <w:p>
      <w:pPr>
        <w:spacing w:after="0" w:line="22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5.30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The operations of the Company are and have been conducted at all times in compliance with anti-money laundering Laws in all applicable jurisdictions and any related or similar rules, regulations or guidelines, issued, administered or enforced by any Authority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involving the Company with respect to the Money Laundering Laws is pending or, to the Knowledge of the Company, threatened.</w:t>
      </w:r>
    </w:p>
    <w:p>
      <w:pPr>
        <w:spacing w:after="0" w:line="180"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 xml:space="preserve">5.31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All forms of insurance owned or held by and insuring the Company are set forth on </w:t>
      </w:r>
      <w:r>
        <w:rPr>
          <w:rFonts w:ascii="Times New Roman" w:cs="Times New Roman" w:eastAsia="Times New Roman" w:hAnsi="Times New Roman"/>
          <w:sz w:val="18"/>
          <w:szCs w:val="18"/>
          <w:u w:val="single" w:color="auto"/>
          <w:color w:val="auto"/>
        </w:rPr>
        <w:t>Schedule 5.31</w:t>
      </w:r>
      <w:r>
        <w:rPr>
          <w:rFonts w:ascii="Times New Roman" w:cs="Times New Roman" w:eastAsia="Times New Roman" w:hAnsi="Times New Roman"/>
          <w:sz w:val="18"/>
          <w:szCs w:val="18"/>
          <w:color w:val="auto"/>
        </w:rPr>
        <w:t>, and such policies are in full force and effect. All premiums with respect to such policies covering all periods up to and including the Closing Date have been or will be paid when due, and no notice of cancellation or termination has been received with respect to any such policy which was not replaced on substantially similar terms prior to the date of such cancellation or termination. There is no existing default or event which, with or without the passage of time or the giving of notice or both, would constitute noncompliance with, or a default under, any such policy or entitle any insurer to terminate or cancel any such policy. Such policies will not in any way be affected by or terminate or lapse by reason of the transactions contemplated by this Agreement or the Additional Agreements. The insurance policies to which the Company is a party are sufficient for compliance with all requirements of all Contracts to which the Company is a party or by which the Company is bound. The Company has not been refused any insurance with respect to its assets or operations or had its coverage limited by any insurance carrier to which it has applied for any such insurance or with which it has carried insurance. The Company does not have any self-insurance arrangements.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 xml:space="preserve">5.32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5.32</w:t>
      </w:r>
      <w:r>
        <w:rPr>
          <w:rFonts w:ascii="Times New Roman" w:cs="Times New Roman" w:eastAsia="Times New Roman" w:hAnsi="Times New Roman"/>
          <w:sz w:val="18"/>
          <w:szCs w:val="18"/>
          <w:color w:val="auto"/>
        </w:rPr>
        <w:t>, as contemplated by this Agreement or as provided in the Company Financial Statements, no Company Stockholder, Affiliate of the Company, current or former director, manager, officer or employee of the Company or any immediate family member or Affiliate of any of the foregoing (a) is a party to any Contract, or has otherwise entered into any transaction, understanding or arrangement, with the Company or (b) owns any property or right, tangible or intangible, which is used by the Company (each, an “</w:t>
      </w:r>
      <w:r>
        <w:rPr>
          <w:rFonts w:ascii="Times New Roman" w:cs="Times New Roman" w:eastAsia="Times New Roman" w:hAnsi="Times New Roman"/>
          <w:sz w:val="18"/>
          <w:szCs w:val="18"/>
          <w:u w:val="single" w:color="auto"/>
          <w:color w:val="auto"/>
        </w:rPr>
        <w:t>Affiliate Transaction</w:t>
      </w:r>
      <w:r>
        <w:rPr>
          <w:rFonts w:ascii="Times New Roman" w:cs="Times New Roman" w:eastAsia="Times New Roman" w:hAnsi="Times New Roman"/>
          <w:sz w:val="18"/>
          <w:szCs w:val="18"/>
          <w:color w:val="auto"/>
        </w:rPr>
        <w:t xml:space="preserve">”). None of the Contracts listed in </w:t>
      </w:r>
      <w:r>
        <w:rPr>
          <w:rFonts w:ascii="Times New Roman" w:cs="Times New Roman" w:eastAsia="Times New Roman" w:hAnsi="Times New Roman"/>
          <w:sz w:val="18"/>
          <w:szCs w:val="18"/>
          <w:u w:val="single" w:color="auto"/>
          <w:color w:val="auto"/>
        </w:rPr>
        <w:t>Schedule 5.32</w:t>
      </w:r>
      <w:r>
        <w:rPr>
          <w:rFonts w:ascii="Times New Roman" w:cs="Times New Roman" w:eastAsia="Times New Roman" w:hAnsi="Times New Roman"/>
          <w:sz w:val="18"/>
          <w:szCs w:val="18"/>
          <w:color w:val="auto"/>
        </w:rPr>
        <w:t xml:space="preserve"> was entered into on a basis other than on arm’s length.</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w:t>
      </w:r>
    </w:p>
    <w:p>
      <w:pPr>
        <w:spacing w:after="0" w:line="20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Except as disclosed in the Parent SEC Documents filed with or furnished to the SEC prior to the date of this Agreement (other than any risk factor disclosures or other similar cautionary or predictive statements therein), Parent and Merger Sub (the “</w:t>
      </w:r>
      <w:r>
        <w:rPr>
          <w:rFonts w:ascii="Times New Roman" w:cs="Times New Roman" w:eastAsia="Times New Roman" w:hAnsi="Times New Roman"/>
          <w:sz w:val="18"/>
          <w:szCs w:val="18"/>
          <w:u w:val="single" w:color="auto"/>
          <w:color w:val="auto"/>
        </w:rPr>
        <w:t>Parent Parties</w:t>
      </w:r>
      <w:r>
        <w:rPr>
          <w:rFonts w:ascii="Times New Roman" w:cs="Times New Roman" w:eastAsia="Times New Roman" w:hAnsi="Times New Roman"/>
          <w:sz w:val="18"/>
          <w:szCs w:val="18"/>
          <w:color w:val="auto"/>
        </w:rPr>
        <w:t>”) hereby represent and warrant to the Company that each of the following representations and warranties are true, correct and complete as of the date of this Agreement and as of the Closing Date:</w:t>
      </w:r>
    </w:p>
    <w:p>
      <w:pPr>
        <w:spacing w:after="0" w:line="18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Corporate Existence and Power</w:t>
      </w:r>
      <w:r>
        <w:rPr>
          <w:rFonts w:ascii="Times New Roman" w:cs="Times New Roman" w:eastAsia="Times New Roman" w:hAnsi="Times New Roman"/>
          <w:sz w:val="18"/>
          <w:szCs w:val="18"/>
          <w:color w:val="auto"/>
        </w:rPr>
        <w:t>. The Parent and Merger Sub are each corporations duly incorporated, validly existing and in good standing under the laws of the State of Delaware. Merger Sub does not hold and has not held any material assets or incurred any material liabilities, and has not carried on any business activities other than in connection with the Merger.</w:t>
      </w:r>
    </w:p>
    <w:p>
      <w:pPr>
        <w:spacing w:after="0" w:line="176"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Corporate Authorization</w:t>
      </w:r>
      <w:r>
        <w:rPr>
          <w:rFonts w:ascii="Times New Roman" w:cs="Times New Roman" w:eastAsia="Times New Roman" w:hAnsi="Times New Roman"/>
          <w:sz w:val="18"/>
          <w:szCs w:val="18"/>
          <w:color w:val="auto"/>
        </w:rPr>
        <w:t>. The execution, delivery and performance by the Parent Parties of this Agreement and the Additional Agreements to which they are or will be parties and the consummation by the Parent Parties of the transactions contemplated hereby and thereby are within the corporate powers of the Parent Parties and have been duly authorized by all necessary corporate action on the part of the Parent Parties. This Agreement has been duly executed and delivered by the Parent Parties and constitutes, and upon the execution and delivery thereof, each Additional Agreement to which a Parent Party is party, will constitute, a valid and legally binding agreement of the applicable Parent Party, enforceable against it in accordance with its terms, except as may be limited by the Enforceability Exceptions. This Agreement and the Additional Agreements to which a Parent Party is or will be party and the transactions contemplated hereby and thereby have been duly approved by Parent, on behalf of itself and in its capacity as the sole shareholder of Merger Sub. The affirmative vote of holders of a majority of the outstanding shares of Parent Common Stock present in person or by proxy and entitled to vote at the Parent Stockholder Meeting, assuming a quorum is present (the “</w:t>
      </w:r>
      <w:r>
        <w:rPr>
          <w:rFonts w:ascii="Times New Roman" w:cs="Times New Roman" w:eastAsia="Times New Roman" w:hAnsi="Times New Roman"/>
          <w:sz w:val="18"/>
          <w:szCs w:val="18"/>
          <w:u w:val="single" w:color="auto"/>
          <w:color w:val="auto"/>
        </w:rPr>
        <w:t>Parent Stockholder Approval</w:t>
      </w:r>
      <w:r>
        <w:rPr>
          <w:rFonts w:ascii="Times New Roman" w:cs="Times New Roman" w:eastAsia="Times New Roman" w:hAnsi="Times New Roman"/>
          <w:sz w:val="18"/>
          <w:szCs w:val="18"/>
          <w:color w:val="auto"/>
        </w:rPr>
        <w:t>”), is the only vote of the holders of any of Parent’s capital stock necessary to adopt this Agreement and approve the Merger and the consummation of the other transactions contemplated hereby.</w:t>
      </w:r>
    </w:p>
    <w:p>
      <w:pPr>
        <w:spacing w:after="0" w:line="19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xml:space="preserve">. Assuming the accuracy of the representations and warranties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neither the execution, delivery or performance of this Agreement requires any consent, approval, license or other action by or in respect of, or registration, declaration or filing with any Authority except for the filing of the Certificate of Merger with the Secretary of State of the State of Delaware pursuant to the DGCL.</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The execution, delivery and performance by the Parent Parties of this Agreement do not and will not (a) contravene or conflict with the organizational or constitutive documents of the Parent Parties, or (b) contravene or conflict with or constitute a violation of any provision of any Law or any Order binding upon the Parent Parties.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xml:space="preserve">. Except for the Persons identified on </w:t>
      </w:r>
      <w:r>
        <w:rPr>
          <w:rFonts w:ascii="Times New Roman" w:cs="Times New Roman" w:eastAsia="Times New Roman" w:hAnsi="Times New Roman"/>
          <w:sz w:val="18"/>
          <w:szCs w:val="18"/>
          <w:u w:val="single" w:color="auto"/>
          <w:color w:val="auto"/>
        </w:rPr>
        <w:t>Schedule 5.27</w:t>
      </w:r>
      <w:r>
        <w:rPr>
          <w:rFonts w:ascii="Times New Roman" w:cs="Times New Roman" w:eastAsia="Times New Roman" w:hAnsi="Times New Roman"/>
          <w:sz w:val="18"/>
          <w:szCs w:val="18"/>
          <w:color w:val="auto"/>
        </w:rPr>
        <w:t>, there is no investment banker, broker, finder or other intermediary which has been retained by or is authorized to act on behalf of the Parent Parties or their Affiliates who might be entitled to any fee or commission from the Company or any of its Affiliates upon consummation of the transactions contemplated by this Agreement or any of the Additional Agreements.</w:t>
      </w:r>
    </w:p>
    <w:p>
      <w:pPr>
        <w:spacing w:after="0" w:line="1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The Closing Payment Shares, when issued in accordance with this Agreement, will be duly authorized and validly issued, and will be fully paid and nonassessable.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72"/>
        <w:spacing w:after="0" w:line="254" w:lineRule="auto"/>
        <w:tabs>
          <w:tab w:leader="none" w:pos="112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Parent consists of 100,000,000 Parent Class A Shares of which 12,516,500 are outstanding, 10,000,000 Parent Class B Shares of which 3,018,750 are issued and outstanding, and 1,000,000 shares of preferred stock, par value $0.0001 per share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none of which are issued and outstanding. No other shares of capital stock or other voting securities of Parent are issued, reserved for issuance or outstanding. All issued and outstanding shares of Parent Common Stock are duly authorized, validly issued, fully paid and nonassessable and are not subject to, and were not issued in violation of, any purchase option, right of first refusal, preemptive right, subscription right or any similar right under any provision of the DGCL, Parent’s organizational documents or any contract to which Parent is a party or by which Parent is bound. Except as set forth in Parent’s organizational documents, there are no outstanding contractual obligations of Parent to repurchase, redeem or otherwise acquire any shares of Parent Common Stock or any capital equity of Parent. There are no outstanding contractual obligations of Parent to provide funds to, or make any investment (in the form of a loan, capital contribution or otherwise) in, any other Person.</w:t>
      </w:r>
    </w:p>
    <w:p>
      <w:pPr>
        <w:spacing w:after="0" w:line="188" w:lineRule="exact"/>
        <w:rPr>
          <w:rFonts w:ascii="Times New Roman" w:cs="Times New Roman" w:eastAsia="Times New Roman" w:hAnsi="Times New Roman"/>
          <w:sz w:val="18"/>
          <w:szCs w:val="18"/>
          <w:color w:val="auto"/>
        </w:rPr>
      </w:pPr>
    </w:p>
    <w:p>
      <w:pPr>
        <w:jc w:val="both"/>
        <w:ind w:firstLine="872"/>
        <w:spacing w:after="0" w:line="254" w:lineRule="auto"/>
        <w:tabs>
          <w:tab w:leader="none" w:pos="113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Sub is authorized to issue 100 shares, par value $0.0001 per share (“</w:t>
      </w:r>
      <w:r>
        <w:rPr>
          <w:rFonts w:ascii="Times New Roman" w:cs="Times New Roman" w:eastAsia="Times New Roman" w:hAnsi="Times New Roman"/>
          <w:sz w:val="18"/>
          <w:szCs w:val="18"/>
          <w:u w:val="single" w:color="auto"/>
          <w:color w:val="auto"/>
        </w:rPr>
        <w:t>Merger Sub Common Stock</w:t>
      </w:r>
      <w:r>
        <w:rPr>
          <w:rFonts w:ascii="Times New Roman" w:cs="Times New Roman" w:eastAsia="Times New Roman" w:hAnsi="Times New Roman"/>
          <w:sz w:val="18"/>
          <w:szCs w:val="18"/>
          <w:color w:val="auto"/>
        </w:rPr>
        <w:t>”), of which 100 shares of Merger Sub Common Stock are issued and outstanding as of the date hereof. No other shares or other voting securities of Merger Sub are issued, reserved for issuance or outstanding. All issued and outstanding shares of Merger Sub Common Stock are duly authorized, validly issued, fully paid and nonassessable and are not subject to, and were not issued in violation of, any purchase option, right of first refusal, preemptive right, subscription right or any similar right under any provision of the DGCL, the Merger Sub’s organizational documents or any contract to which Merger Sub is a party or by which Merger Sub is bound. There are no outstanding contractual obligations of Merger Sub to repurchase, redeem or otherwise acquire any shares of Merger Sub Common Stock or any equity capital of Merger Sub. There are no outstanding contractual obligations of Merger Sub to provide funds to, or make any investment (in the form of a loan, capital contribution or otherwise) in, any other Person.</w:t>
      </w:r>
    </w:p>
    <w:p>
      <w:pPr>
        <w:spacing w:after="0" w:line="19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the Parent Parties expressly for inclusion or incorporation by reference in the filings with the SEC and mailings to Parent’s stockholders with respect to the solicitation of proxies to approve the transactions contemplated by this Agreement and the Additional Agreements, if applicable, will, at the date of filing or mailing, at the time of the Parent Stockholder Meeting or at the Effective Time, as the case may be, contain any untrue statement of a material fact or omit to state any material fact required to be stated therein or necessary in order to make the statements therein, in light of the circumstances under which they are made, not misleading (subject to the qualifications and limitations set forth in the materials provided by Parent or included in the Parent SEC Documents, the Additional Parent SEC Documents, the SEC Statement or any Other Filing).</w:t>
      </w:r>
    </w:p>
    <w:p>
      <w:pPr>
        <w:spacing w:after="0" w:line="189"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Trust Fund</w:t>
      </w:r>
      <w:r>
        <w:rPr>
          <w:rFonts w:ascii="Times New Roman" w:cs="Times New Roman" w:eastAsia="Times New Roman" w:hAnsi="Times New Roman"/>
          <w:sz w:val="18"/>
          <w:szCs w:val="18"/>
          <w:color w:val="auto"/>
        </w:rPr>
        <w:t>. As of the date of this Agreement, Parent has at least $120,750,000 in the trust fund established by Parent for the benefit of its public stockholders (the “</w:t>
      </w:r>
      <w:r>
        <w:rPr>
          <w:rFonts w:ascii="Times New Roman" w:cs="Times New Roman" w:eastAsia="Times New Roman" w:hAnsi="Times New Roman"/>
          <w:sz w:val="18"/>
          <w:szCs w:val="18"/>
          <w:u w:val="single" w:color="auto"/>
          <w:color w:val="auto"/>
        </w:rPr>
        <w:t>Trust Fund</w:t>
      </w:r>
      <w:r>
        <w:rPr>
          <w:rFonts w:ascii="Times New Roman" w:cs="Times New Roman" w:eastAsia="Times New Roman" w:hAnsi="Times New Roman"/>
          <w:sz w:val="18"/>
          <w:szCs w:val="18"/>
          <w:color w:val="auto"/>
        </w:rPr>
        <w:t>”) in a trust account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maintained by Continental Stock Transfer &amp; Trust Company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at J.P. Morgan Chase Bank, N.A., and such monies are invested in “government securities” (as such term is defined in the Investment Company Act of 1940) and held in trust by the Trustee pursuant to the Investment Management Trust Agreement dated as of August 11, 2020, between Parent and the Trustee (the “</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The Trust Agreement is valid and in full force and effect and enforceable in accordance with its terms, except as may be limited by the Enforceability Exceptions, and has not been amended or modified. There are no separate agreements, side letters or other agreements or understandings (whether written or unwritten, express or implied) that would cause the description of the Trust Agreement in the Parent SEC Documents to be inaccurate in any material respect or that would entitle any Person (other than stockholders of Parent holding Parent Class A Shares sold in Parent’s IPO who shall have elected to redeem their Parent Class A Shares pursuant to Parent’s amended and restated certificate of incorporation) to any portion of the proceeds in the Trust Account. Prior to the Closing, none of the funds held in the Trust Account may be released except in accordance with the Trust Agreement and Parent’s amended and restated certificate of incorporation. The Parent has performed all material obligations required to be performed by it to date under, and is not in material default or delinquent in performance or any other respect (claimed or actual) in connection with, the Trust Agreement, and, to the knowledge of Parent, no event has occurred which, with due notice or lapse of time or both, would constitute such a material default thereunder. There are no claims or proceedings pending with respect to the Trust Account.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ind w:left="440"/>
        <w:spacing w:after="0"/>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Parent Class A Shares are listed on Nasdaq, with trading ticker “FSDC.”</w:t>
      </w:r>
    </w:p>
    <w:p>
      <w:pPr>
        <w:spacing w:after="0" w:line="22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Board Approval</w:t>
      </w:r>
      <w:r>
        <w:rPr>
          <w:rFonts w:ascii="Times New Roman" w:cs="Times New Roman" w:eastAsia="Times New Roman" w:hAnsi="Times New Roman"/>
          <w:sz w:val="18"/>
          <w:szCs w:val="18"/>
          <w:color w:val="auto"/>
        </w:rPr>
        <w:t>. The Parent Board of Directors (including any required committee or subgroup of such board) has, as of the date of this Agreement, unanimously (a) declared the advisability of the transactions contemplated by this Agreement, (b) determined that the transactions contemplated hereby are in the best interests of the stockholders of Parent (c) determined that the transactions contemplated hereby constitutes a “Business Combination” as such term is defined in Parent’s amended and restated certificate of incorporation and bylaws; and (d) recommended to the stockholders of Parent to adopt and approve each of the Parent Proposals (the “</w:t>
      </w:r>
      <w:r>
        <w:rPr>
          <w:rFonts w:ascii="Times New Roman" w:cs="Times New Roman" w:eastAsia="Times New Roman" w:hAnsi="Times New Roman"/>
          <w:sz w:val="18"/>
          <w:szCs w:val="18"/>
          <w:u w:val="single" w:color="auto"/>
          <w:color w:val="auto"/>
        </w:rPr>
        <w:t>Parent Board Recommendation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Parent SEC Documents and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72"/>
        <w:spacing w:after="0" w:line="253" w:lineRule="auto"/>
        <w:tabs>
          <w:tab w:leader="none" w:pos="112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filed all forms, reports, schedules, statements and other documents, including any exhibits thereto, required to be filed or furnished by Parent with the SEC since Parent’s formation under the Exchange Act or the Securities Act, together with any amendments, restatements or supplements thereto, and will use commercially reasonable efforts to file all such forms, reports, schedules, statements and other documents required to be filed subsequent to the date of this Agreement (the “</w:t>
      </w:r>
      <w:r>
        <w:rPr>
          <w:rFonts w:ascii="Times New Roman" w:cs="Times New Roman" w:eastAsia="Times New Roman" w:hAnsi="Times New Roman"/>
          <w:sz w:val="18"/>
          <w:szCs w:val="18"/>
          <w:u w:val="single" w:color="auto"/>
          <w:color w:val="auto"/>
        </w:rPr>
        <w:t>Additional Parent SEC Documents</w:t>
      </w:r>
      <w:r>
        <w:rPr>
          <w:rFonts w:ascii="Times New Roman" w:cs="Times New Roman" w:eastAsia="Times New Roman" w:hAnsi="Times New Roman"/>
          <w:sz w:val="18"/>
          <w:szCs w:val="18"/>
          <w:color w:val="auto"/>
        </w:rPr>
        <w:t xml:space="preserve">”). The Parent has made available to the Company copies in the form filed with the SEC of all of the following, except to the extent available in full without redaction on the SEC’s website through EDGAR for at least two (2) days prior to the date of this Agreement: (i) Parent’s Annual Reports on Form 10-K for each fiscal year of Parent beginning with the first year that Parent was required to file such a form, (ii) all proxy statements relating to Parent’s meetings of stockholders (whether annual or special) held, and all information statements relating to stockholder consents, since the beginning of the first fiscal year referred to in clause (i) above, (iii) its Form 8-Ks filed since the beginning of the first fiscal year referred to in clause (i) above, and (iv) all other forms, reports, registration statements and other documents (other than preliminary materials if the corresponding definitive materials have been provided to the Company pursuant to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filed by Parent with the SEC since Parent’s formation (the forms, reports, registration statements and other documents referred to in clauses (i) through (iv) above, whether or not available through EDGAR, collectively, the “</w:t>
      </w:r>
      <w:r>
        <w:rPr>
          <w:rFonts w:ascii="Times New Roman" w:cs="Times New Roman" w:eastAsia="Times New Roman" w:hAnsi="Times New Roman"/>
          <w:sz w:val="18"/>
          <w:szCs w:val="18"/>
          <w:u w:val="single" w:color="auto"/>
          <w:color w:val="auto"/>
        </w:rPr>
        <w:t>Parent SEC Documents</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firstLine="872"/>
        <w:spacing w:after="0" w:line="254" w:lineRule="auto"/>
        <w:tabs>
          <w:tab w:leader="none" w:pos="112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SEC Documents were, and the Additional Parent SEC Documents will be, prepared in all material respects in accordance with the requirements of the Securities Act, the Exchange Act, and the Sarbanes-Oxley Act, as the case may be, and the rules and regulations thereunder. The Parent SEC Documents did not, and the Additional Parent SEC Documents will not, at the time they were or are filed, as the case may be, with the SEC (except to the extent that information contained in any Parent SEC Document or Additional Parent SEC Document has been or is revised or superseded by a later filed Parent SEC Document or Additional Parent SEC Document, then on the date of such filing) contain any untrue statement of a material fact or omit to state a material fact required to be stated therein or necessary in order to make the statements made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does not apply to statements in or omissions in any information supplied or to be supplied by the Company expressly for inclusion or incorporation by reference in the SEC Statement or Other Filing.</w:t>
      </w:r>
    </w:p>
    <w:p>
      <w:pPr>
        <w:spacing w:after="0" w:line="191" w:lineRule="exact"/>
        <w:rPr>
          <w:rFonts w:ascii="Times New Roman" w:cs="Times New Roman" w:eastAsia="Times New Roman" w:hAnsi="Times New Roman"/>
          <w:sz w:val="18"/>
          <w:szCs w:val="18"/>
          <w:color w:val="auto"/>
        </w:rPr>
      </w:pPr>
    </w:p>
    <w:p>
      <w:pPr>
        <w:ind w:right="20" w:firstLine="872"/>
        <w:spacing w:after="0" w:line="282" w:lineRule="auto"/>
        <w:tabs>
          <w:tab w:leader="none" w:pos="112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the term “file” shall be broadly construed to include any manner in which a document or information is furnished, supplied or otherwise made available to the SEC.</w:t>
      </w:r>
    </w:p>
    <w:p>
      <w:pPr>
        <w:spacing w:after="0" w:line="16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Certain Business Practices</w:t>
      </w:r>
      <w:r>
        <w:rPr>
          <w:rFonts w:ascii="Times New Roman" w:cs="Times New Roman" w:eastAsia="Times New Roman" w:hAnsi="Times New Roman"/>
          <w:sz w:val="18"/>
          <w:szCs w:val="18"/>
          <w:color w:val="auto"/>
        </w:rPr>
        <w:t>. Neither Parent, nor any director, officer, agent or employee of Parent (in their capacities as such) has (a) used any funds for unlawful contributions, gifts, entertainment or other unlawful expenses relating to political activity, (b) made any unlawful payment to foreign or domestic government officials, employees or political parties or campaigns, (c) violated any provision of the Foreign Corrupt Practices Act or (d) made any other unlawful payment. Neither Parent, nor any director, officer, agent or employee of Parent (nor any Person acting on behalf of any of the foregoing, but solely in his or her capacity as a director, officer, employee or agent of Parent) has, since the IPO, directly or indirectly, given or agreed to give any gift or similar benefit in any material amount to any customer, supplier, governmental employee or other Person who is or may be in a position to help or hinder Parent or assist Parent in connection with any actual or proposed transaction, which, if not given or continued in the future, would reasonably be expected to (i) adversely affect the business or prospects of Parent and (ii) subject Parent to suit or penalty in any private or governmental Action.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The operations of Parent are and have at all times been conducted in compliance with the Money Laundering Laws, and no Action involving Parent with respect to the Money Laundering Laws is pending or, to the knowledge of Parent, threatened.</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Except as described in Parent SEC Documents, there are no transactions, agreements, arrangements or understandings between Parent or any of its subsidiaries, on the one hand, and any director, officer, employee, stockholder, warrant holder or Affiliate of Parent or any of its subsidiaries, on the other hand.</w:t>
      </w:r>
    </w:p>
    <w:p>
      <w:pPr>
        <w:spacing w:after="0" w:line="1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 Action pending, or, to the Knowledge of Parent, threatened in writing against Parent or any of its subsidiaries or that affects its or their assets or properties, or (b) Order outstanding against Parent or any of its subsidiaries or that affects its or their assets or properties. Neither Parent nor any of its subsidiaries is party to a settlement or similar agreement regarding any of the matters set forth in the preceding sentence that contains any ongoing obligations, restrictions or liabilities (of any nature) that are material to Parent and its subsidiaries.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6.17 </w:t>
      </w:r>
      <w:r>
        <w:rPr>
          <w:rFonts w:ascii="Times New Roman" w:cs="Times New Roman" w:eastAsia="Times New Roman" w:hAnsi="Times New Roman"/>
          <w:sz w:val="18"/>
          <w:szCs w:val="18"/>
          <w:u w:val="single" w:color="auto"/>
          <w:color w:val="auto"/>
        </w:rPr>
        <w:t>Expenses, Indebtedness and Other Liabilities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6.17</w:t>
      </w:r>
      <w:r>
        <w:rPr>
          <w:rFonts w:ascii="Times New Roman" w:cs="Times New Roman" w:eastAsia="Times New Roman" w:hAnsi="Times New Roman"/>
          <w:sz w:val="18"/>
          <w:szCs w:val="18"/>
          <w:color w:val="auto"/>
        </w:rPr>
        <w:t>, Parent does not have any Indebtedness or other liabilities.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6.18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6.18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72"/>
        <w:spacing w:after="0" w:line="251" w:lineRule="auto"/>
        <w:tabs>
          <w:tab w:leader="none" w:pos="111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Parent has duly and timely filed all income and other material Tax Returns which are required to be filed by or with respect to it, and has paid all income and other material Taxes which have become due; (ii) all such Tax Returns are true, correct and complete and accurate in all material respects; (iii) there is no Action, within the past five years (or pending or proposed in writing), with respect to Taxes of Parent; (iv) no statute of limitations in respect of the assessment or collection of any Taxes of Parent has been waived or extended, which waiver or extension is in effect, and Parent is not presently contesting the Tax liability before any Taxing Authority or other Authority; (v) Parent has complied in all respects with all applicable Laws relating to the reporting, payment, collection and withholding of Taxes and has duly and timely withheld or collected, paid over to the applicable Taxing Authority and reported all Taxes (including income, social, security and other payroll Taxes) required to be withheld or collected by Parent; (vi) there is no Lien (other than Permitted Liens) for Taxes upon Parent or any of the assets of Parent; (vii) no claim has ever been made by a Taxing Authority in a jurisdiction where Parent has not paid any Tax or filed Tax Returns, asserting that Parent is or may be subject to Tax in such jurisdiction, Parent is not nor has it ever been subject to Tax in any country other than the country of incorporation of Parent by virtue of having a permanent establishment or other place of business in that country, and Parent is and has always been tax resident solely in its country of incorporation; (viii) Parent has provided to the Company true, complete and correct copies of all Tax Returns (if any) relating to, and all audit reports and correspondence relating to each proposed adjustment (if any) made by any Taxing Authority with respect to, any taxable period ending after December 31, 2020; (ix) there is no outstanding power of attorney from Parent authorizing anyone to act on behalf of Parent in connection with any Tax, Tax Return or Action relating to any Tax or Tax Return of Parent;</w:t>
      </w:r>
    </w:p>
    <w:p>
      <w:pPr>
        <w:spacing w:after="0" w:line="11" w:lineRule="exact"/>
        <w:rPr>
          <w:rFonts w:ascii="Times New Roman" w:cs="Times New Roman" w:eastAsia="Times New Roman" w:hAnsi="Times New Roman"/>
          <w:sz w:val="18"/>
          <w:szCs w:val="18"/>
          <w:color w:val="auto"/>
        </w:rPr>
      </w:pPr>
    </w:p>
    <w:p>
      <w:pPr>
        <w:jc w:val="both"/>
        <w:ind w:firstLine="8"/>
        <w:spacing w:after="0" w:line="251" w:lineRule="auto"/>
        <w:tabs>
          <w:tab w:leader="none" w:pos="25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not, and has never been, a party to any Tax sharing, allocation, indemnification or similar Contract; (xi) Parent is and has never been included in any consolidated, combined or unitary Tax Return and Parent does not have any liability for Taxes as a result of having been a member of any affiliated group within the meaning of Section 1504(a) of the Code, or any similar affiliated or consolidated group for Tax purposes under any state, local or foreign Law (other than a group the common parent of which is Parent), or has any liability for the Taxes of any Person (other than Parent) under United States Treasury regulations Section 1.1502-6 (or any similar provision of any state, local or foreign Law), as a transferee or successor, by Contract (other than Contracts entered into in the ordinary course of business, the primary purpose of which is not Tax) or otherwise; (xii) to the knowledge of Parent, no issue has been raised by a Taxing Authority in any prior Action relating to Parent with respect to any Tax for any period which, by application of the same or similar principles, could reasonably be expected to result in a proposed Tax deficiency of Parent for any other period; and (xiii) Parent has not requested any extension of time within which to file any Tax Return, which Tax Return has since not been filed.</w:t>
      </w:r>
    </w:p>
    <w:p>
      <w:pPr>
        <w:spacing w:after="0" w:line="193" w:lineRule="exact"/>
        <w:rPr>
          <w:rFonts w:ascii="Times New Roman" w:cs="Times New Roman" w:eastAsia="Times New Roman" w:hAnsi="Times New Roman"/>
          <w:sz w:val="18"/>
          <w:szCs w:val="18"/>
          <w:color w:val="auto"/>
        </w:rPr>
      </w:pPr>
    </w:p>
    <w:p>
      <w:pPr>
        <w:jc w:val="both"/>
        <w:ind w:firstLine="872"/>
        <w:spacing w:after="0" w:line="253" w:lineRule="auto"/>
        <w:tabs>
          <w:tab w:leader="none" w:pos="111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will not be required to include any item of income or exclude any item of deduction for any taxable period (or a portion thereof) ending after the Closing Date as a result of any of the following that occurred or existed on or prior to the Closing Date: (i) a “closing agreement” as described in Section 7121 of the Code (or any corresponding or similar provision of state, local or non-U.S. income Tax law), (ii) an installment sale or open transaction, (iii) a prepaid amount, (iv) an intercompany item under United States Treasury regulations Section 1.1502-13 or an excess loss account under United States Treasury regulations Section 1.1502-19, (v) a change in the accounting method of Parent pursuant to Section 481 of the Code or any similar provision of the Code or the corresponding tax laws of any nation, state or locality or the use of a method of accounting with respect to any transaction that occurred on or before the Closing Date; or (vi) any inclusion under Section 951(a) or Section 951A of the Code attributable to (A) “subpart F income,” within the meaning of Section 952 of the Code, (B) direct or indirect holding of “United States property,” within the meaning of Section 956 of the Code, (C) “global intangible low-taxed income,” as defined in Section 951A of the Code, in each case, determined as if the relevant taxable years ended on the Closing Date or (D) any inclusion under Section 965 of the Code.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872"/>
        <w:spacing w:after="0" w:line="261" w:lineRule="auto"/>
        <w:tabs>
          <w:tab w:leader="none" w:pos="111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unpaid Taxes of Parent (i) did not, as of the most recent fiscal month end, exceed the reserve for Tax liability (rather than any reserve for deferred Taxes established to reflect timing differences between book and Tax income) set forth on the Unaudited Financial Statements in accordance with U.S. GAAP and (ii) will not exceed that reserve as adjusted for the passage of time through the Closing Date in accordance with the past custom and practice of Parent in filing its Tax Return.</w:t>
      </w:r>
    </w:p>
    <w:p>
      <w:pPr>
        <w:spacing w:after="0" w:line="179" w:lineRule="exact"/>
        <w:rPr>
          <w:rFonts w:ascii="Times New Roman" w:cs="Times New Roman" w:eastAsia="Times New Roman" w:hAnsi="Times New Roman"/>
          <w:sz w:val="18"/>
          <w:szCs w:val="18"/>
          <w:color w:val="auto"/>
        </w:rPr>
      </w:pPr>
    </w:p>
    <w:p>
      <w:pPr>
        <w:jc w:val="both"/>
        <w:ind w:firstLine="872"/>
        <w:spacing w:after="0" w:line="266" w:lineRule="auto"/>
        <w:tabs>
          <w:tab w:leader="none" w:pos="114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been in compliance in all respects with all applicable transfer pricing laws and legal requirements. The prices for any property or services (or for the use of any property), including interest and other prices for financial services, provided by or to Parent are arm’s-length prices for purposes of the relevant transfer pricing laws.</w:t>
      </w:r>
    </w:p>
    <w:p>
      <w:pPr>
        <w:spacing w:after="0" w:line="175" w:lineRule="exact"/>
        <w:rPr>
          <w:rFonts w:ascii="Times New Roman" w:cs="Times New Roman" w:eastAsia="Times New Roman" w:hAnsi="Times New Roman"/>
          <w:sz w:val="18"/>
          <w:szCs w:val="18"/>
          <w:color w:val="auto"/>
        </w:rPr>
      </w:pPr>
    </w:p>
    <w:p>
      <w:pPr>
        <w:ind w:right="20" w:firstLine="872"/>
        <w:spacing w:after="0" w:line="282" w:lineRule="auto"/>
        <w:tabs>
          <w:tab w:leader="none" w:pos="113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not taken any action (nor permitted any action to be taken), and is not aware of any fact or circumstance, that would reasonably be expected to prevent the Merger from qualifying as a “reorganization” within the meaning of Section 368(a) of the Code.</w:t>
      </w:r>
    </w:p>
    <w:p>
      <w:pPr>
        <w:spacing w:after="0" w:line="161" w:lineRule="exact"/>
        <w:rPr>
          <w:rFonts w:ascii="Times New Roman" w:cs="Times New Roman" w:eastAsia="Times New Roman" w:hAnsi="Times New Roman"/>
          <w:sz w:val="18"/>
          <w:szCs w:val="18"/>
          <w:color w:val="auto"/>
        </w:rPr>
      </w:pPr>
    </w:p>
    <w:p>
      <w:pPr>
        <w:ind w:right="20" w:firstLine="872"/>
        <w:spacing w:after="0" w:line="282" w:lineRule="auto"/>
        <w:tabs>
          <w:tab w:leader="none" w:pos="109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not a “United States real property holding corporation” within the meaning of Section 897(c)(2) of the Code at any time during the five-year period ending on the Closing Date.</w:t>
      </w:r>
    </w:p>
    <w:p>
      <w:pPr>
        <w:spacing w:after="0" w:line="161" w:lineRule="exact"/>
        <w:rPr>
          <w:rFonts w:ascii="Times New Roman" w:cs="Times New Roman" w:eastAsia="Times New Roman" w:hAnsi="Times New Roman"/>
          <w:sz w:val="18"/>
          <w:szCs w:val="18"/>
          <w:color w:val="auto"/>
        </w:rPr>
      </w:pPr>
    </w:p>
    <w:p>
      <w:pPr>
        <w:ind w:left="1120" w:hanging="248"/>
        <w:spacing w:after="0"/>
        <w:tabs>
          <w:tab w:leader="none" w:pos="11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not engaged in a “reportable transaction” within the meaning of United States Treasury regulations Section 1.6011-4(b).</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THE PARTIES PENDING CLOSING</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Conduct of the Business</w:t>
      </w:r>
      <w:r>
        <w:rPr>
          <w:rFonts w:ascii="Times New Roman" w:cs="Times New Roman" w:eastAsia="Times New Roman" w:hAnsi="Times New Roman"/>
          <w:sz w:val="18"/>
          <w:szCs w:val="18"/>
          <w:color w:val="auto"/>
        </w:rPr>
        <w:t>. Each of the Company and Parent covenants and agrees that:</w:t>
      </w:r>
    </w:p>
    <w:p>
      <w:pPr>
        <w:spacing w:after="0" w:line="225" w:lineRule="exact"/>
        <w:rPr>
          <w:sz w:val="20"/>
          <w:szCs w:val="20"/>
          <w:color w:val="auto"/>
        </w:rPr>
      </w:pPr>
    </w:p>
    <w:p>
      <w:pPr>
        <w:jc w:val="both"/>
        <w:ind w:firstLine="872"/>
        <w:spacing w:after="0" w:line="255" w:lineRule="auto"/>
        <w:tabs>
          <w:tab w:leader="none" w:pos="112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through the Closing Date, each party shall conduct business only in the ordinary course (including the payment of accounts payable and the collection of accounts receivable), consistent with past practices, and shall not enter into any material transactions outside the ordinary course of business without the prior written consent of the other party, and shall use its commercially reasonable efforts to preserve intact its business relationships with employees, clients, suppliers, contract manufacturing organizations, contract research organizations and other third parties. Without limiting the generality of the foregoing, from the date hereof through and including the Closing Date, without the other party’s prior written consent (which shall not be unreasonably conditioned, withheld or delayed), neither the Company nor Parent shall, and the Company shall cause its Subsidiaries not to:</w:t>
      </w:r>
    </w:p>
    <w:p>
      <w:pPr>
        <w:spacing w:after="0" w:line="188" w:lineRule="exact"/>
        <w:rPr>
          <w:rFonts w:ascii="Times New Roman" w:cs="Times New Roman" w:eastAsia="Times New Roman" w:hAnsi="Times New Roman"/>
          <w:sz w:val="18"/>
          <w:szCs w:val="18"/>
          <w:color w:val="auto"/>
        </w:rPr>
      </w:pPr>
    </w:p>
    <w:p>
      <w:pPr>
        <w:ind w:left="440" w:firstLine="1080"/>
        <w:spacing w:after="0" w:line="282" w:lineRule="auto"/>
        <w:tabs>
          <w:tab w:leader="none" w:pos="174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supplement its certificate of incorporation or bylaws or other organizational or governing documents, or engage in any reorganization, reclassification, liquidation, dissolution or similar transaction;</w:t>
      </w:r>
    </w:p>
    <w:p>
      <w:pPr>
        <w:spacing w:after="0" w:line="161" w:lineRule="exact"/>
        <w:rPr>
          <w:rFonts w:ascii="Times New Roman" w:cs="Times New Roman" w:eastAsia="Times New Roman" w:hAnsi="Times New Roman"/>
          <w:sz w:val="18"/>
          <w:szCs w:val="18"/>
          <w:color w:val="auto"/>
        </w:rPr>
      </w:pPr>
    </w:p>
    <w:p>
      <w:pPr>
        <w:ind w:left="440" w:firstLine="1080"/>
        <w:spacing w:after="0" w:line="282" w:lineRule="auto"/>
        <w:tabs>
          <w:tab w:leader="none" w:pos="178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any provision of, terminate prior to its scheduled expiration date, or otherwise compromise in any way or relinquish any material right under, any Material Contract or other right or asset of the Company or Parent, as applicable;</w:t>
      </w:r>
    </w:p>
    <w:p>
      <w:pPr>
        <w:spacing w:after="0" w:line="161" w:lineRule="exact"/>
        <w:rPr>
          <w:rFonts w:ascii="Times New Roman" w:cs="Times New Roman" w:eastAsia="Times New Roman" w:hAnsi="Times New Roman"/>
          <w:sz w:val="18"/>
          <w:szCs w:val="18"/>
          <w:color w:val="auto"/>
        </w:rPr>
      </w:pPr>
    </w:p>
    <w:p>
      <w:pPr>
        <w:jc w:val="both"/>
        <w:ind w:left="440" w:firstLine="1080"/>
        <w:spacing w:after="0" w:line="266" w:lineRule="auto"/>
        <w:tabs>
          <w:tab w:leader="none" w:pos="184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the case of the Company, modify, amend or enter into any contract, agreement, lease, license or commitment, including for capital expenditures, that would be considered a Material Contract if in effect on of the date hereof, except in the ordinary course of the Company’s business;</w:t>
      </w:r>
    </w:p>
    <w:p>
      <w:pPr>
        <w:spacing w:after="0" w:line="175" w:lineRule="exact"/>
        <w:rPr>
          <w:rFonts w:ascii="Times New Roman" w:cs="Times New Roman" w:eastAsia="Times New Roman" w:hAnsi="Times New Roman"/>
          <w:sz w:val="18"/>
          <w:szCs w:val="18"/>
          <w:color w:val="auto"/>
        </w:rPr>
      </w:pPr>
    </w:p>
    <w:p>
      <w:pPr>
        <w:ind w:left="1820" w:hanging="300"/>
        <w:spacing w:after="0"/>
        <w:tabs>
          <w:tab w:leader="none" w:pos="18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expenditures in excess of $200,000 (individually or in the aggregate);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right="20" w:firstLine="1080"/>
        <w:spacing w:after="0" w:line="282" w:lineRule="auto"/>
        <w:tabs>
          <w:tab w:leader="none" w:pos="135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or otherwise dispose of any of the Company’s or Parent’s, as applicable, material assets, except pursuant to existing contracts or commitments disclosed herein or in the ordinary course of the Company’s business or Parent’s business (as applicable);</w:t>
      </w:r>
    </w:p>
    <w:p>
      <w:pPr>
        <w:spacing w:after="0" w:line="161" w:lineRule="exact"/>
        <w:rPr>
          <w:rFonts w:ascii="Times New Roman" w:cs="Times New Roman" w:eastAsia="Times New Roman" w:hAnsi="Times New Roman"/>
          <w:sz w:val="18"/>
          <w:szCs w:val="18"/>
          <w:color w:val="auto"/>
        </w:rPr>
      </w:pPr>
    </w:p>
    <w:p>
      <w:pPr>
        <w:ind w:left="1400" w:hanging="320"/>
        <w:spacing w:after="0"/>
        <w:tabs>
          <w:tab w:leader="none" w:pos="14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 declare or promise to pay any dividends or other distributions with respect to its capital stock or other equity securities;</w:t>
      </w:r>
    </w:p>
    <w:p>
      <w:pPr>
        <w:spacing w:after="0" w:line="27" w:lineRule="exact"/>
        <w:rPr>
          <w:rFonts w:ascii="Times New Roman" w:cs="Times New Roman" w:eastAsia="Times New Roman" w:hAnsi="Times New Roman"/>
          <w:sz w:val="18"/>
          <w:szCs w:val="18"/>
          <w:color w:val="auto"/>
        </w:rPr>
      </w:pPr>
    </w:p>
    <w:p>
      <w:pPr>
        <w:jc w:val="both"/>
        <w:spacing w:after="0" w:line="253" w:lineRule="auto"/>
        <w:tabs>
          <w:tab w:leader="none" w:pos="30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declare or promise to pay any other amount to any stockholder, shareholder or other equityholder in its capacity as such (which for the avoidance of doubt does not include payment of salary, benefits, commissions and other regular and necessary customary payments made in the ordinary course of business consistent with past practices); or (C) except as contemplated by any Additional Agreement, amend any term, right or obligation with respect to any outstanding shares of its capital stock or other equity securities;</w:t>
      </w:r>
    </w:p>
    <w:p>
      <w:pPr>
        <w:spacing w:after="0" w:line="188" w:lineRule="exact"/>
        <w:rPr>
          <w:rFonts w:ascii="Times New Roman" w:cs="Times New Roman" w:eastAsia="Times New Roman" w:hAnsi="Times New Roman"/>
          <w:sz w:val="18"/>
          <w:szCs w:val="18"/>
          <w:color w:val="auto"/>
        </w:rPr>
      </w:pPr>
    </w:p>
    <w:p>
      <w:pPr>
        <w:jc w:val="both"/>
        <w:ind w:firstLine="1080"/>
        <w:spacing w:after="0" w:line="261" w:lineRule="auto"/>
        <w:tabs>
          <w:tab w:leader="none" w:pos="143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any loan, advance or capital contribution to any Person; (B) incur any Indebtedness, including drawings under the lines of credit, if any, other than (1) loans evidenced by promissory notes made to Parent as working capital advances as described in the Prospectus and</w:t>
      </w: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intercompany Indebtedness; or (C) repay or satisfy any Indebtedness, other than the repayment of Indebtedness in accordance with the terms thereof (provided, however, that the Company shall not be permitted to repay or satisfy all or any portion of the SVB Loan);</w:t>
      </w:r>
    </w:p>
    <w:p>
      <w:pPr>
        <w:spacing w:after="0" w:line="181" w:lineRule="exact"/>
        <w:rPr>
          <w:rFonts w:ascii="Times New Roman" w:cs="Times New Roman" w:eastAsia="Times New Roman" w:hAnsi="Times New Roman"/>
          <w:sz w:val="18"/>
          <w:szCs w:val="18"/>
          <w:color w:val="auto"/>
        </w:rPr>
      </w:pPr>
    </w:p>
    <w:p>
      <w:pPr>
        <w:ind w:left="1480" w:hanging="400"/>
        <w:spacing w:after="0"/>
        <w:tabs>
          <w:tab w:leader="none" w:pos="14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suffer or incur any Lien, except for Permitted Liens, on the Company’s or Parent’s, as applicable, assets;</w:t>
      </w:r>
    </w:p>
    <w:p>
      <w:pPr>
        <w:spacing w:after="0" w:line="225" w:lineRule="exact"/>
        <w:rPr>
          <w:rFonts w:ascii="Times New Roman" w:cs="Times New Roman" w:eastAsia="Times New Roman" w:hAnsi="Times New Roman"/>
          <w:sz w:val="18"/>
          <w:szCs w:val="18"/>
          <w:color w:val="auto"/>
        </w:rPr>
      </w:pPr>
    </w:p>
    <w:p>
      <w:pPr>
        <w:ind w:firstLine="1080"/>
        <w:spacing w:after="0" w:line="282" w:lineRule="auto"/>
        <w:tabs>
          <w:tab w:leader="none" w:pos="139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accelerate or cancel, or waive any material right with respect to, any receivables or Indebtedness owed to the Company or Parent, as applicable, or write off or make reserves against the same;</w:t>
      </w:r>
    </w:p>
    <w:p>
      <w:pPr>
        <w:spacing w:after="0" w:line="161" w:lineRule="exact"/>
        <w:rPr>
          <w:rFonts w:ascii="Times New Roman" w:cs="Times New Roman" w:eastAsia="Times New Roman" w:hAnsi="Times New Roman"/>
          <w:sz w:val="18"/>
          <w:szCs w:val="18"/>
          <w:color w:val="auto"/>
        </w:rPr>
      </w:pPr>
    </w:p>
    <w:p>
      <w:pPr>
        <w:ind w:firstLine="1080"/>
        <w:spacing w:after="0" w:line="282" w:lineRule="auto"/>
        <w:tabs>
          <w:tab w:leader="none" w:pos="1349"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or enter a similar transaction with, or acquire all or substantially all of the assets or business of, any other Person; make any material investment in any Person; or be acquired by any other Person;</w:t>
      </w:r>
    </w:p>
    <w:p>
      <w:pPr>
        <w:spacing w:after="0" w:line="161" w:lineRule="exact"/>
        <w:rPr>
          <w:rFonts w:ascii="Times New Roman" w:cs="Times New Roman" w:eastAsia="Times New Roman" w:hAnsi="Times New Roman"/>
          <w:sz w:val="18"/>
          <w:szCs w:val="18"/>
          <w:color w:val="auto"/>
        </w:rPr>
      </w:pPr>
    </w:p>
    <w:p>
      <w:pPr>
        <w:jc w:val="both"/>
        <w:ind w:firstLine="1080"/>
        <w:spacing w:after="0" w:line="261" w:lineRule="auto"/>
        <w:tabs>
          <w:tab w:leader="none" w:pos="139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allow to lapse any insurance policy protecting any of the Company’s or Parent’s assets, unless simultaneously with such termination or lapse, a replacement policy underwritten by an insurance company of nationally recognized standing having comparable deductions and providing coverage equal to or greater than the coverage under the terminated or lapsed policy for substantially similar premiums or less is in full force and effect;</w:t>
      </w:r>
    </w:p>
    <w:p>
      <w:pPr>
        <w:spacing w:after="0" w:line="179" w:lineRule="exact"/>
        <w:rPr>
          <w:rFonts w:ascii="Times New Roman" w:cs="Times New Roman" w:eastAsia="Times New Roman" w:hAnsi="Times New Roman"/>
          <w:sz w:val="18"/>
          <w:szCs w:val="18"/>
          <w:color w:val="auto"/>
        </w:rPr>
      </w:pPr>
    </w:p>
    <w:p>
      <w:pPr>
        <w:ind w:right="20" w:firstLine="1080"/>
        <w:spacing w:after="0" w:line="282" w:lineRule="auto"/>
        <w:tabs>
          <w:tab w:leader="none" w:pos="145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any severance, retention or other employee plan or fail to continue to make timely contributions to each benefit plan in accordance with the terms thereof;</w:t>
      </w:r>
    </w:p>
    <w:p>
      <w:pPr>
        <w:spacing w:after="0" w:line="161" w:lineRule="exact"/>
        <w:rPr>
          <w:rFonts w:ascii="Times New Roman" w:cs="Times New Roman" w:eastAsia="Times New Roman" w:hAnsi="Times New Roman"/>
          <w:sz w:val="18"/>
          <w:szCs w:val="18"/>
          <w:color w:val="auto"/>
        </w:rPr>
      </w:pPr>
    </w:p>
    <w:p>
      <w:pPr>
        <w:ind w:right="20" w:firstLine="1080"/>
        <w:spacing w:after="0" w:line="282" w:lineRule="auto"/>
        <w:tabs>
          <w:tab w:leader="none" w:pos="149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settle or agree to settle any Action before any Authority, in each case in excess of $100,000 (exclusive of any amounts covered by insurance) or that imposes injunctive or other non-monetary relief on such party;</w:t>
      </w:r>
    </w:p>
    <w:p>
      <w:pPr>
        <w:spacing w:after="0" w:line="161" w:lineRule="exact"/>
        <w:rPr>
          <w:rFonts w:ascii="Times New Roman" w:cs="Times New Roman" w:eastAsia="Times New Roman" w:hAnsi="Times New Roman"/>
          <w:sz w:val="18"/>
          <w:szCs w:val="18"/>
          <w:color w:val="auto"/>
        </w:rPr>
      </w:pPr>
    </w:p>
    <w:p>
      <w:pPr>
        <w:ind w:left="1480" w:hanging="400"/>
        <w:spacing w:after="0"/>
        <w:tabs>
          <w:tab w:leader="none" w:pos="14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U.S. GAAP, make any material change in its accounting principles, methods or practices or write down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its assets;</w:t>
      </w:r>
    </w:p>
    <w:p>
      <w:pPr>
        <w:spacing w:after="0" w:line="206" w:lineRule="exact"/>
        <w:rPr>
          <w:rFonts w:ascii="Times New Roman" w:cs="Times New Roman" w:eastAsia="Times New Roman" w:hAnsi="Times New Roman"/>
          <w:sz w:val="18"/>
          <w:szCs w:val="18"/>
          <w:color w:val="auto"/>
        </w:rPr>
      </w:pPr>
    </w:p>
    <w:p>
      <w:pPr>
        <w:ind w:left="1420" w:hanging="340"/>
        <w:spacing w:after="0"/>
        <w:tabs>
          <w:tab w:leader="none" w:pos="14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principal place of business or jurisdiction of organization;</w:t>
      </w:r>
    </w:p>
    <w:p>
      <w:pPr>
        <w:spacing w:after="0" w:line="225" w:lineRule="exact"/>
        <w:rPr>
          <w:rFonts w:ascii="Times New Roman" w:cs="Times New Roman" w:eastAsia="Times New Roman" w:hAnsi="Times New Roman"/>
          <w:sz w:val="18"/>
          <w:szCs w:val="18"/>
          <w:color w:val="auto"/>
        </w:rPr>
      </w:pPr>
    </w:p>
    <w:p>
      <w:pPr>
        <w:jc w:val="both"/>
        <w:ind w:firstLine="1080"/>
        <w:spacing w:after="0" w:line="261" w:lineRule="auto"/>
        <w:tabs>
          <w:tab w:leader="none" w:pos="149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 redeem or repurchase any Equity Interests (other than (A) with respect to the Company, the exercise of any Company Option outstanding on the date hereof or the exercise of the Company Warrant, (B) with respect to Parent, any redemption by Parent of Parent Class A Shares held by its public stockholder pursuant to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or (C) with respect to Parent, as otherwise contemplated by this Agreement or any Additional Agreement);</w:t>
      </w:r>
    </w:p>
    <w:p>
      <w:pPr>
        <w:spacing w:after="0" w:line="179" w:lineRule="exact"/>
        <w:rPr>
          <w:rFonts w:ascii="Times New Roman" w:cs="Times New Roman" w:eastAsia="Times New Roman" w:hAnsi="Times New Roman"/>
          <w:sz w:val="18"/>
          <w:szCs w:val="18"/>
          <w:color w:val="auto"/>
        </w:rPr>
      </w:pPr>
    </w:p>
    <w:p>
      <w:pPr>
        <w:jc w:val="both"/>
        <w:ind w:firstLine="1080"/>
        <w:spacing w:after="0" w:line="266" w:lineRule="auto"/>
        <w:tabs>
          <w:tab w:leader="none" w:pos="152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change or revoke any material Tax election; (B) change any annual Tax accounting periods; (C) settle or compromise any material claim, notice, audit report or assessment in respect of Taxes of the Company; (D) enter into any Tax allocation, Tax sharing, Tax indemnity or other closing agreement relating to any Taxes of the Company; or (E) surrender or forfeit any right to claim a material Tax refund;</w:t>
      </w:r>
    </w:p>
    <w:p>
      <w:pPr>
        <w:spacing w:after="0" w:line="175" w:lineRule="exact"/>
        <w:rPr>
          <w:rFonts w:ascii="Times New Roman" w:cs="Times New Roman" w:eastAsia="Times New Roman" w:hAnsi="Times New Roman"/>
          <w:sz w:val="18"/>
          <w:szCs w:val="18"/>
          <w:color w:val="auto"/>
        </w:rPr>
      </w:pPr>
    </w:p>
    <w:p>
      <w:pPr>
        <w:ind w:firstLine="1080"/>
        <w:spacing w:after="0" w:line="282" w:lineRule="auto"/>
        <w:tabs>
          <w:tab w:leader="none" w:pos="1579"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transaction with or distribute or advance any assets or property to any of its Affiliates, other than the payment of salary and benefits in the ordinary course;</w:t>
      </w:r>
    </w:p>
    <w:p>
      <w:pPr>
        <w:spacing w:after="0" w:line="36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10795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904" w:right="339" w:bottom="1440" w:gutter="0" w:footer="0" w:header="0"/>
        </w:sectPr>
      </w:pPr>
    </w:p>
    <w:bookmarkStart w:id="60" w:name="page61"/>
    <w:bookmarkEnd w:id="60"/>
    <w:p>
      <w:pPr>
        <w:jc w:val="both"/>
        <w:ind w:left="440" w:firstLine="1080"/>
        <w:spacing w:after="0" w:line="254" w:lineRule="auto"/>
        <w:tabs>
          <w:tab w:leader="none" w:pos="194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in the case of the Company, other than as required by a Plan, as set forth on </w:t>
      </w:r>
      <w:r>
        <w:rPr>
          <w:rFonts w:ascii="Times New Roman" w:cs="Times New Roman" w:eastAsia="Times New Roman" w:hAnsi="Times New Roman"/>
          <w:sz w:val="18"/>
          <w:szCs w:val="18"/>
          <w:u w:val="single" w:color="auto"/>
          <w:color w:val="auto"/>
        </w:rPr>
        <w:t>Schedule 7.1(a)(xix)</w:t>
      </w:r>
      <w:r>
        <w:rPr>
          <w:rFonts w:ascii="Times New Roman" w:cs="Times New Roman" w:eastAsia="Times New Roman" w:hAnsi="Times New Roman"/>
          <w:sz w:val="18"/>
          <w:szCs w:val="18"/>
          <w:color w:val="auto"/>
        </w:rPr>
        <w:t xml:space="preserve"> or as explicitly contemplated hereunder, (A) increase or make any material change in the compensation or benefits of any employee or other individual service provider of the Company other than in the ordinary course of the Company’s business consistent with past practice, (B) accelerate the vesting or payment of any compensation or benefits of any employee or other individual service provider of the Company, (C) terminate without “cause” any employee or other individual service provider of the Company, (D) hire or engage any new employee or other individual service provider of the Company if such new employee or individual service provider will receive annual base compensation in excess of $100,000, (E) make any loan to any present or former employee or other individual service provider of the Company, other than advancement of expenses in the ordinary course of business consistent with past practices, or (F) enter into, amend or terminate any collective bargaining agreement or other agreement with a labor union or labor organization;</w:t>
      </w:r>
    </w:p>
    <w:p>
      <w:pPr>
        <w:spacing w:after="0" w:line="188" w:lineRule="exact"/>
        <w:rPr>
          <w:rFonts w:ascii="Times New Roman" w:cs="Times New Roman" w:eastAsia="Times New Roman" w:hAnsi="Times New Roman"/>
          <w:sz w:val="18"/>
          <w:szCs w:val="18"/>
          <w:color w:val="auto"/>
        </w:rPr>
      </w:pPr>
    </w:p>
    <w:p>
      <w:pPr>
        <w:ind w:left="1860" w:hanging="340"/>
        <w:spacing w:after="0"/>
        <w:tabs>
          <w:tab w:leader="none" w:pos="18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the case of the Company, enter into any Affiliate Transactions;</w:t>
      </w:r>
    </w:p>
    <w:p>
      <w:pPr>
        <w:spacing w:after="0" w:line="225" w:lineRule="exact"/>
        <w:rPr>
          <w:rFonts w:ascii="Times New Roman" w:cs="Times New Roman" w:eastAsia="Times New Roman" w:hAnsi="Times New Roman"/>
          <w:sz w:val="18"/>
          <w:szCs w:val="18"/>
          <w:color w:val="auto"/>
        </w:rPr>
      </w:pPr>
    </w:p>
    <w:p>
      <w:pPr>
        <w:ind w:left="1920" w:hanging="400"/>
        <w:spacing w:after="0"/>
        <w:tabs>
          <w:tab w:leader="none" w:pos="19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duly observe and conform in all material respects to all applicable Law, including the Exchange Act, and Orders; or</w:t>
      </w:r>
    </w:p>
    <w:p>
      <w:pPr>
        <w:spacing w:after="0" w:line="225" w:lineRule="exact"/>
        <w:rPr>
          <w:rFonts w:ascii="Times New Roman" w:cs="Times New Roman" w:eastAsia="Times New Roman" w:hAnsi="Times New Roman"/>
          <w:sz w:val="18"/>
          <w:szCs w:val="18"/>
          <w:color w:val="auto"/>
        </w:rPr>
      </w:pPr>
    </w:p>
    <w:p>
      <w:pPr>
        <w:ind w:left="1960" w:hanging="440"/>
        <w:spacing w:after="0"/>
        <w:tabs>
          <w:tab w:leader="none" w:pos="1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do any of the foregoing.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72"/>
        <w:spacing w:after="0" w:line="252" w:lineRule="auto"/>
        <w:tabs>
          <w:tab w:leader="none" w:pos="110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through the Closing Date, neither the Company, on the one hand, nor Parent, on the other hand, shall, and such Persons shall cause each of their respective officers, directors, Affiliates, managers, consultant, employees, representatives and agents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not to, directly or indirectly, (i) encourage, solicit, initiate, engage or participate in negotiations with any Person concerning any Alternative Transaction, (ii) take any other action intended or designed to facilitate the efforts of any Person relating to a possible Alternative Transaction or (iii) approve, recommend or enter into any Alternative Transaction or any Contract related to any Alternative Transaction. Immediately following the execution of this Agreement, the Company, on the one hand, and Parent, on the other hand, shall, and shall cause each of its Representatives, to terminate any existing discussion or negotiations with any Persons other than the Company or Parent, as applicable, concerning any Alternative Transaction. Each of the Company and Parent shall be responsible for any acts or omissions of any of its respective Representatives that, if they were the acts or omissions of the Company or Parent, as applicable, would be deemed a breach of such party’s obligations hereunder (it being understood that such responsibility shall be in addition to and not by way of limitation of any right or remedy the Company or Parent, as applicable, may have against such Representatives with respect to any such acts or omissions). For purposes of this Agreement, the term “</w:t>
      </w:r>
      <w:r>
        <w:rPr>
          <w:rFonts w:ascii="Times New Roman" w:cs="Times New Roman" w:eastAsia="Times New Roman" w:hAnsi="Times New Roman"/>
          <w:sz w:val="18"/>
          <w:szCs w:val="18"/>
          <w:u w:val="single" w:color="auto"/>
          <w:color w:val="auto"/>
        </w:rPr>
        <w:t>Alternative Transaction</w:t>
      </w:r>
      <w:r>
        <w:rPr>
          <w:rFonts w:ascii="Times New Roman" w:cs="Times New Roman" w:eastAsia="Times New Roman" w:hAnsi="Times New Roman"/>
          <w:sz w:val="18"/>
          <w:szCs w:val="18"/>
          <w:color w:val="auto"/>
        </w:rPr>
        <w:t>” means any of the following transactions involving the Company or Parent (other than the transactions contemplated by this Agreement): (A) any merger, consolidation, share exchange, business combination or other similar transaction or (B) any sale, lease, exchange, transfer or other disposition of all or a material portion of (x) the assets of such Person (other than sales of inventory in the ordinary course of business) or (y) any class or series of the capital stock or other equity interests of the Company or Parent, as the case may be, in a single transaction or series of transactions.</w:t>
      </w:r>
    </w:p>
    <w:p>
      <w:pPr>
        <w:spacing w:after="0" w:line="195" w:lineRule="exact"/>
        <w:rPr>
          <w:rFonts w:ascii="Times New Roman" w:cs="Times New Roman" w:eastAsia="Times New Roman" w:hAnsi="Times New Roman"/>
          <w:sz w:val="18"/>
          <w:szCs w:val="18"/>
          <w:color w:val="auto"/>
        </w:rPr>
      </w:pPr>
    </w:p>
    <w:p>
      <w:pPr>
        <w:jc w:val="both"/>
        <w:ind w:firstLine="872"/>
        <w:spacing w:after="0" w:line="254" w:lineRule="auto"/>
        <w:tabs>
          <w:tab w:leader="none" w:pos="11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there is an unsolicited proposal for, or an indication of interest in entering into, an Alternative Transaction, communicated in writing to the Company or Parent or any of their respective representatives or agents (each, an “</w:t>
      </w:r>
      <w:r>
        <w:rPr>
          <w:rFonts w:ascii="Times New Roman" w:cs="Times New Roman" w:eastAsia="Times New Roman" w:hAnsi="Times New Roman"/>
          <w:sz w:val="18"/>
          <w:szCs w:val="18"/>
          <w:u w:val="single" w:color="auto"/>
          <w:color w:val="auto"/>
        </w:rPr>
        <w:t>Alternative Proposal</w:t>
      </w:r>
      <w:r>
        <w:rPr>
          <w:rFonts w:ascii="Times New Roman" w:cs="Times New Roman" w:eastAsia="Times New Roman" w:hAnsi="Times New Roman"/>
          <w:sz w:val="18"/>
          <w:szCs w:val="18"/>
          <w:color w:val="auto"/>
        </w:rPr>
        <w:t>”), such party shall as promptly as practicable (and in any event within one (1) Business Day after receipt thereof) advise the other parties to this Agreement, orally and in writing, of such Alternative Proposal and the material terms and conditions thereof (including any changes thereto) and the identity of the Person making any such Alternative Proposal. The Company and Parent shall keep each other informed on a reasonably current basis of material developments with respect to any such Alternative Proposal. As used herein with respect to Parent, the term “Alternative Proposal” shall not include the receipt by Parent of any unsolicited communications (including the receipt of draft non-disclosure agreements) in the ordinary course of business inquiring as to Parent’s interest in a potential target for a business combination; provided, however, that Parent shall inform the person initiating such communication of the existence of this Agreement.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From the date hereof through and including the Closing Date, the Company and Parent shall each, to the best of its ability,</w:t>
      </w:r>
    </w:p>
    <w:p>
      <w:pPr>
        <w:spacing w:after="0" w:line="27" w:lineRule="exact"/>
        <w:rPr>
          <w:sz w:val="20"/>
          <w:szCs w:val="20"/>
          <w:color w:val="auto"/>
        </w:rPr>
      </w:pPr>
    </w:p>
    <w:p>
      <w:pPr>
        <w:jc w:val="both"/>
        <w:ind w:firstLine="8"/>
        <w:spacing w:after="0" w:line="251" w:lineRule="auto"/>
        <w:tabs>
          <w:tab w:leader="none" w:pos="24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continue to give the other party, its legal counsel and its other representatives full access to the offices, properties and Books and Records, (b) furnish to the other party, its legal counsel and its other representatives such information relating to the business of the Company and Parent as such Persons may request and (c) cause its employees, legal counsel, accountants and other representatives to cooperate with the other party in its investigation of the Business (in the case of the Company) or the business of Parent (in the case of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investigation pursuant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(or any investigation made prior to the date hereof) shall affect any representation or warranty given by the Company or Parent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investigation pursuant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shall be conducted in such manner as not to interfere unreasonably with the conduct of the Business of the Company. Notwithstanding anything to the contrary expressed or implied in this Agreement, neither party shall be required to provide the access described above or disclose any information to the other party if doing so is, in such party’s reasonable judgement, reasonably likely to (i) result in a waiver of attorney-client privilege, work product doctrine or similar privilege or (ii) violate any contract to which it is a party or to which it is subject or applicable Law.</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ind w:left="440"/>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Notices of Certain Events</w:t>
      </w:r>
      <w:r>
        <w:rPr>
          <w:rFonts w:ascii="Times New Roman" w:cs="Times New Roman" w:eastAsia="Times New Roman" w:hAnsi="Times New Roman"/>
          <w:sz w:val="18"/>
          <w:szCs w:val="18"/>
          <w:color w:val="auto"/>
        </w:rPr>
        <w:t>. Each of Parent and the Company shall promptly notify the other party of:</w:t>
      </w:r>
    </w:p>
    <w:p>
      <w:pPr>
        <w:spacing w:after="0" w:line="225" w:lineRule="exact"/>
        <w:rPr>
          <w:sz w:val="20"/>
          <w:szCs w:val="20"/>
          <w:color w:val="auto"/>
        </w:rPr>
      </w:pPr>
    </w:p>
    <w:p>
      <w:pPr>
        <w:jc w:val="both"/>
        <w:ind w:firstLine="872"/>
        <w:spacing w:after="0" w:line="261" w:lineRule="auto"/>
        <w:tabs>
          <w:tab w:leader="none" w:pos="111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from any Person alleging or raising the possibility that the consent of such Person is or may be required in connection with the transactions contemplated by this Agreement or that the transactions contemplated by this Agreement might give rise to any Action or other rights by or on behalf of such Person or result in the loss of any rights or privileges of the Company (or Parent, post-Closing) to any such Person or create any Lien on any of the Company’s or Parent’s assets;</w:t>
      </w:r>
    </w:p>
    <w:p>
      <w:pPr>
        <w:spacing w:after="0" w:line="179" w:lineRule="exact"/>
        <w:rPr>
          <w:rFonts w:ascii="Times New Roman" w:cs="Times New Roman" w:eastAsia="Times New Roman" w:hAnsi="Times New Roman"/>
          <w:sz w:val="18"/>
          <w:szCs w:val="18"/>
          <w:color w:val="auto"/>
        </w:rPr>
      </w:pPr>
    </w:p>
    <w:p>
      <w:pPr>
        <w:ind w:firstLine="872"/>
        <w:spacing w:after="0" w:line="282" w:lineRule="auto"/>
        <w:tabs>
          <w:tab w:leader="none" w:pos="115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from any Authority in connection with the transactions contemplated by this Agreement or the Additional Agreements;</w:t>
      </w:r>
    </w:p>
    <w:p>
      <w:pPr>
        <w:spacing w:after="0" w:line="161" w:lineRule="exact"/>
        <w:rPr>
          <w:rFonts w:ascii="Times New Roman" w:cs="Times New Roman" w:eastAsia="Times New Roman" w:hAnsi="Times New Roman"/>
          <w:sz w:val="18"/>
          <w:szCs w:val="18"/>
          <w:color w:val="auto"/>
        </w:rPr>
      </w:pPr>
    </w:p>
    <w:p>
      <w:pPr>
        <w:ind w:firstLine="872"/>
        <w:spacing w:after="0" w:line="282" w:lineRule="auto"/>
        <w:tabs>
          <w:tab w:leader="none" w:pos="112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commenced or threatened against, relating to or involving or otherwise affecting either party or any of their stockholders or their equity, assets or business or that relate to the consummation of the transactions contemplated by this Agreement or the Additional Agreements;</w:t>
      </w:r>
    </w:p>
    <w:p>
      <w:pPr>
        <w:spacing w:after="0" w:line="161" w:lineRule="exact"/>
        <w:rPr>
          <w:rFonts w:ascii="Times New Roman" w:cs="Times New Roman" w:eastAsia="Times New Roman" w:hAnsi="Times New Roman"/>
          <w:sz w:val="18"/>
          <w:szCs w:val="18"/>
          <w:color w:val="auto"/>
        </w:rPr>
      </w:pPr>
    </w:p>
    <w:p>
      <w:pPr>
        <w:ind w:firstLine="872"/>
        <w:spacing w:after="0" w:line="282" w:lineRule="auto"/>
        <w:tabs>
          <w:tab w:leader="none" w:pos="112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fact or circumstance which constitutes or results, or would reasonably be expected to constitute or result in a Material Adverse Change; and</w:t>
      </w:r>
    </w:p>
    <w:p>
      <w:pPr>
        <w:spacing w:after="0" w:line="161" w:lineRule="exact"/>
        <w:rPr>
          <w:rFonts w:ascii="Times New Roman" w:cs="Times New Roman" w:eastAsia="Times New Roman" w:hAnsi="Times New Roman"/>
          <w:sz w:val="18"/>
          <w:szCs w:val="18"/>
          <w:color w:val="auto"/>
        </w:rPr>
      </w:pPr>
    </w:p>
    <w:p>
      <w:pPr>
        <w:jc w:val="both"/>
        <w:ind w:right="20" w:firstLine="872"/>
        <w:spacing w:after="0" w:line="266" w:lineRule="auto"/>
        <w:tabs>
          <w:tab w:leader="none" w:pos="112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inaccuracy of any representation or warranty of such party contained in this Agreement at any time during the term hereof, or any failure of such party to comply with or satisfy any covenant, condition or agreement to be complied with or satisfied by it hereunder, that would reasonably be expected to cause any of the conditions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X not to be satisfied.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Cooperation with Form S-4/Proxy Statement; Other Filings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72"/>
        <w:spacing w:after="0" w:line="254" w:lineRule="auto"/>
        <w:tabs>
          <w:tab w:leader="none" w:pos="112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provide to Parent such information concerning the Company and the Company Securityholders as is either required by the federal securities laws or reasonably requested by Parent for inclusion in the proxy statement/prospectus and Offer Documents. As promptly as practicable after the receipt by Parent from the Company of all such information, Parent and shall prepare and file with the SEC, and with all other applicable regulatory bodies, proxy materials for the purpose of soliciting proxies from holders of Parent Common Stock sufficient to obtain Parent Stockholder Approval at a meeting of holders of Parent Common Stock to be called and held for such purpose (the “</w:t>
      </w:r>
      <w:r>
        <w:rPr>
          <w:rFonts w:ascii="Times New Roman" w:cs="Times New Roman" w:eastAsia="Times New Roman" w:hAnsi="Times New Roman"/>
          <w:sz w:val="18"/>
          <w:szCs w:val="18"/>
          <w:u w:val="single" w:color="auto"/>
          <w:color w:val="auto"/>
        </w:rPr>
        <w:t>Parent Stockholder Meeting</w:t>
      </w:r>
      <w:r>
        <w:rPr>
          <w:rFonts w:ascii="Times New Roman" w:cs="Times New Roman" w:eastAsia="Times New Roman" w:hAnsi="Times New Roman"/>
          <w:sz w:val="18"/>
          <w:szCs w:val="18"/>
          <w:color w:val="auto"/>
        </w:rPr>
        <w:t>”). Such proxy materials shall be in the form of a proxy statement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which shall be included in a Registration Statement on Form S-4 (the “</w:t>
      </w:r>
      <w:r>
        <w:rPr>
          <w:rFonts w:ascii="Times New Roman" w:cs="Times New Roman" w:eastAsia="Times New Roman" w:hAnsi="Times New Roman"/>
          <w:sz w:val="18"/>
          <w:szCs w:val="18"/>
          <w:u w:val="single" w:color="auto"/>
          <w:color w:val="auto"/>
        </w:rPr>
        <w:t>Form S-4</w:t>
      </w:r>
      <w:r>
        <w:rPr>
          <w:rFonts w:ascii="Times New Roman" w:cs="Times New Roman" w:eastAsia="Times New Roman" w:hAnsi="Times New Roman"/>
          <w:sz w:val="18"/>
          <w:szCs w:val="18"/>
          <w:color w:val="auto"/>
        </w:rPr>
        <w:t>”) filed by Parent with the SEC, pursuant to which the Parent Class A Shares issuable in the Merger shall be registered. Parent shall promptly respond to any SEC comments on the Form S-4. The Proxy Statement, the Form S-4 and the documents included or referred to therein, together with any supplements, amendments or exhibits thereto, are referred to herein as the “</w:t>
      </w:r>
      <w:r>
        <w:rPr>
          <w:rFonts w:ascii="Times New Roman" w:cs="Times New Roman" w:eastAsia="Times New Roman" w:hAnsi="Times New Roman"/>
          <w:sz w:val="18"/>
          <w:szCs w:val="18"/>
          <w:u w:val="single" w:color="auto"/>
          <w:color w:val="auto"/>
        </w:rPr>
        <w:t>Offer Documents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872"/>
        <w:spacing w:after="0" w:line="252" w:lineRule="auto"/>
        <w:tabs>
          <w:tab w:leader="none" w:pos="11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(i) permit the Company and its counsel to review and comment on the Proxy Statement and Form S-4 and any exhibits, amendments or supplements thereto (or other related documents); (ii) shall consider any such comments in good faith; and (iii) consult with the Company and its counsel prior to filing the Proxy Statement and Form S-4 or any exhibit, amendment or supplement thereto. As promptly as practicable after receipt thereof, Parent shall provide to the Company and its counsel notice and a copy of all correspondence (or, to the extent such correspondence is oral, a summary thereof), including any comments from the SEC or its staff, between Parent or any of its representatives, on the one hand, and the SEC or its staff or other government officials, on the other hand, with respect to the Proxy Statement and the S-4, and, in each case, shall consult with the Company and its counsel concerning any such correspondence. Parent shall, with respect to, any response letters to any comments from the SEC consider any comments from the Company and its counsel in good faith. Parent will advise the Company, promptly after it receives notice thereof, of the time when the Proxy Statement or the S-4 or any amendment or supplement thereto has been filed with the SEC and the time when the Form S-4 declared effective or any stop order relating to the Form S-4 is issued. Except as otherwise required by applicable Law, Parent covenants that none of Parent, the Parent Board of Directors nor any committee of the Parent Board of Directors shall withdraw or modify, or propose publicly or by formal action of Parent, the Parent Board of Directors or any committee of the Parent Board of Directors to withdraw or modify, in a manner adverse to the Company, the Parent Board Recommendation or any other recommendation by Parent, the Parent Board of Directors or any committee of the Parent Board of Directors of in connection with any of the Parent Proposals.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firstLine="872"/>
        <w:spacing w:after="0" w:line="258" w:lineRule="auto"/>
        <w:tabs>
          <w:tab w:leader="none" w:pos="112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the date on which the Form S-4 is declared effective by the SEC (such effective date, the “</w:t>
      </w:r>
      <w:r>
        <w:rPr>
          <w:rFonts w:ascii="Times New Roman" w:cs="Times New Roman" w:eastAsia="Times New Roman" w:hAnsi="Times New Roman"/>
          <w:sz w:val="18"/>
          <w:szCs w:val="18"/>
          <w:u w:val="single" w:color="auto"/>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Parent shall distribute the Proxy Statement to the holders of Parent Common Stock and, pursuant thereto, shall call the Parent Stockholder Meeting in accordance with its organizational documents and the laws of the State of Delaware and, subject to the other provisions of this Agreement, solicit proxies from such holders to vote in favor of the adoption of this Agreement and the approval of the transactions contemplated hereby and the other matters presented to the Parent’s stockholders for approval or adoption at the Parent Stockholder Meeting, including the matters described in </w:t>
      </w:r>
      <w:r>
        <w:rPr>
          <w:rFonts w:ascii="Times New Roman" w:cs="Times New Roman" w:eastAsia="Times New Roman" w:hAnsi="Times New Roman"/>
          <w:sz w:val="18"/>
          <w:szCs w:val="18"/>
          <w:u w:val="single" w:color="auto"/>
          <w:color w:val="auto"/>
        </w:rPr>
        <w:t>Section 7.5(e)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872"/>
        <w:spacing w:after="0" w:line="252" w:lineRule="auto"/>
        <w:tabs>
          <w:tab w:leader="none" w:pos="114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Company shall comply with all applicable provisions of and rules under the Securities Act and Exchange Act and all applicable Laws of the State of Delaware and Nasdaq in the preparation, filing and distribution of the Form S-4 and the Proxy Statement (or any amendment or supplement thereto), as applicable, the solicitation of proxies under the Proxy Statement and the calling and holding of the Parent Stockholder Meeting. Without limiting the foregoing, Parent shall ensure that each of the Form S-4, as of the Effective Date, and the Proxy Statement, as of the date on which it is first distributed to Parent’s stockholders, and as of the date of the Parent Stockholder Meeting, does not contain any untrue statement of a material fact or omit to state a material fact necessary in order to make the statements made, in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not be responsible for the accuracy or completeness of any information relating to the Company or any other information furnished by the Company for inclusion in the Proxy Statement). The Company represents and warrants that the information relating to the Company supplied by the Company for inclusion in the Form S-4 or the Proxy Statement, as applicable, as of the Effective Date and the date on which the Proxy Statement (or any amendment or supplement thereto) is first distributed to Parent Stockholders or at the time of the Parent Stockholder Meeting, does not contain any untrue statement of a material fact or omit to state a material fact necessary in order to make the statements made, in light of the circumstances under which they were made, not misleading. If at any time prior to the Effective Time, a change in the information relating to the Company or any other information furnished by Parent, Merger Sub or the Company for inclusion in the Proxy Statement, which would make the preceding sentence incorrect, should be discovered by Parent, Merger Sub or the Company, as applicable, such party shall promptly notify the other parties of such change or discovery and an appropriate amendment or supplement describing such information shall be promptly filed with the SEC and, to the extent required by Law, disseminated to Parent’s stockholders. In connection therewith, Parent, Merger Sub and the Company shall instruct their respective employees, counsel, financial advisors, auditors and other authorized representatives to reasonably cooperate with Parent as relevant if required to achieve the foregoing.</w:t>
      </w:r>
    </w:p>
    <w:p>
      <w:pPr>
        <w:spacing w:after="0" w:line="191" w:lineRule="exact"/>
        <w:rPr>
          <w:rFonts w:ascii="Times New Roman" w:cs="Times New Roman" w:eastAsia="Times New Roman" w:hAnsi="Times New Roman"/>
          <w:sz w:val="18"/>
          <w:szCs w:val="18"/>
          <w:color w:val="auto"/>
        </w:rPr>
      </w:pPr>
    </w:p>
    <w:p>
      <w:pPr>
        <w:jc w:val="both"/>
        <w:ind w:firstLine="872"/>
        <w:spacing w:after="0" w:line="253" w:lineRule="auto"/>
        <w:tabs>
          <w:tab w:leader="none" w:pos="110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Parent’s amended and restated certificate of incorporation and applicable securities laws, rules and regulations, including the DGCL and rules and regulations of Nasdaq in the Proxy Statement, Parent shall seek from the holders of Parent Common Stock the approval of the following proposals: (i) the Parent Stockholder Approval; (ii) adoption and approval of the Amended and Restated Certificate of Incorporation of Parent, in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including the change of the name of Parent to “Gemini Therapeutics, Inc.”; (iii) adoption and approval of the Amended and Restated Bylaws of Parent in the form attached hereto as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(iv) approval of the Parent Equity Incentive Plan; (v) approval of the issuance of more than 20% of the issued and outstanding shares of Parent Common Stock to the Company Securityholders in connection with the Merger under applicable exchange listing rules; (vi) approval to adjourn the Parent Stockholder Meeting, if necessary; and (vii) approval to obtain any and all other approvals necessary or advisable to effect the consummation of the Merger as determined by Parent (the proposals set forth in the forgoing clauses</w:t>
      </w:r>
    </w:p>
    <w:p>
      <w:pPr>
        <w:ind w:left="220" w:hanging="212"/>
        <w:spacing w:after="0"/>
        <w:tabs>
          <w:tab w:leader="none" w:pos="2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(vii) collectively, the “</w:t>
      </w:r>
      <w:r>
        <w:rPr>
          <w:rFonts w:ascii="Times New Roman" w:cs="Times New Roman" w:eastAsia="Times New Roman" w:hAnsi="Times New Roman"/>
          <w:sz w:val="18"/>
          <w:szCs w:val="18"/>
          <w:u w:val="single" w:color="auto"/>
          <w:color w:val="auto"/>
        </w:rPr>
        <w:t>Parent Proposals</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jc w:val="both"/>
        <w:ind w:firstLine="872"/>
        <w:spacing w:after="0" w:line="255" w:lineRule="auto"/>
        <w:tabs>
          <w:tab w:leader="none" w:pos="11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with the assistance of the Company, shall use its reasonable best efforts to cause the S-4 and the Proxy Statement to “clear” comments from the SEC and the S-4 to become effective as promptly as reasonably practicable. The Offer Documents shall provide the public stockholders of Parent with the opportunity to redeem all or a portion of their public Parent Class A Shares, up to that number of Parent Class A Shares that would permit Parent to maintain net tangible assets of at least $5,000,001 (the “</w:t>
      </w:r>
      <w:r>
        <w:rPr>
          <w:rFonts w:ascii="Times New Roman" w:cs="Times New Roman" w:eastAsia="Times New Roman" w:hAnsi="Times New Roman"/>
          <w:sz w:val="18"/>
          <w:szCs w:val="18"/>
          <w:u w:val="single" w:color="auto"/>
          <w:color w:val="auto"/>
        </w:rPr>
        <w:t>Offering Shares</w:t>
      </w:r>
      <w:r>
        <w:rPr>
          <w:rFonts w:ascii="Times New Roman" w:cs="Times New Roman" w:eastAsia="Times New Roman" w:hAnsi="Times New Roman"/>
          <w:sz w:val="18"/>
          <w:szCs w:val="18"/>
          <w:color w:val="auto"/>
        </w:rPr>
        <w:t>”), at a price per share determined in accordance with the Parent Certificate of Incorporation, all in accordance with applicable Law and any applicable rules and regulations of the SEC. In accordance with the Parent Certificate of Incorporation, the proceeds held in the Trust Account will be used for the redemption of the Parent Class A Shares held by Parent’s public stockholders who have elected to redeem such shares, if any.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ind w:firstLine="872"/>
        <w:spacing w:after="0" w:line="282" w:lineRule="auto"/>
        <w:tabs>
          <w:tab w:leader="none" w:pos="113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to the contrary in this Agreement or any Additional Agreements, Parent may make any public filing with respect to the Merger to the extent required by applicable Law.</w:t>
      </w:r>
    </w:p>
    <w:p>
      <w:pPr>
        <w:spacing w:after="0" w:line="161" w:lineRule="exact"/>
        <w:rPr>
          <w:rFonts w:ascii="Times New Roman" w:cs="Times New Roman" w:eastAsia="Times New Roman" w:hAnsi="Times New Roman"/>
          <w:sz w:val="18"/>
          <w:szCs w:val="18"/>
          <w:color w:val="auto"/>
        </w:rPr>
      </w:pPr>
    </w:p>
    <w:p>
      <w:pPr>
        <w:jc w:val="both"/>
        <w:ind w:firstLine="872"/>
        <w:spacing w:after="0" w:line="253" w:lineRule="auto"/>
        <w:tabs>
          <w:tab w:leader="none" w:pos="11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call and hold the Parent Stockholder Meeting as promptly as practicable after the Effective Date for the purpose of seeking the approval of each of the Parent Proposals, and Parent shall consult in good faith with the Company with respect to the date on which such meeting is to be held. Parent shall use reasonable best efforts to solicit from its stockholders proxies in favor of the approval and adoption of the Merger and this Agreement. The Company acknowledges that a substantial portion of the Proxy Statement shall include disclosure regarding the Company and its management, operations and financial condition. Accordingly, the Company agrees to as promptly as reasonably practical provide Parent with such information as shall be reasonably requested by Parent for inclusion in or attachment to the Proxy Statement, and that such information is accurate in all material respects and complies as to form in all material respects with the requirements of the Exchange Act and the rules and regulations promulgated thereunder. The Company understands that such information shall be included in the Proxy Statement/Form S-4 or responses to comments from the SEC or its staff in connection therewith. The Company shall make, and cause each Subsidiary to make, their managers, directors, officers and employees available to Parent and its counsel in connection with the drafting of such filings and mailings and responding in a timely manner to comments from the SEC.</w:t>
      </w:r>
    </w:p>
    <w:p>
      <w:pPr>
        <w:spacing w:after="0" w:line="1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Parent covenants that it shall cause the funds in the Trust Account to be disbursed in accordance with the Trust Agreement, including for the payment of (a) all amounts payable to public stockholders of Parent holding Parent Class A Shares who shall have validly redeemed their Parent Class A Shares upon acceptance by Parent of such Parent Class A Shares (the “</w:t>
      </w:r>
      <w:r>
        <w:rPr>
          <w:rFonts w:ascii="Times New Roman" w:cs="Times New Roman" w:eastAsia="Times New Roman" w:hAnsi="Times New Roman"/>
          <w:sz w:val="18"/>
          <w:szCs w:val="18"/>
          <w:u w:val="single" w:color="auto"/>
          <w:color w:val="auto"/>
        </w:rPr>
        <w:t>Parent Redemption Amount</w:t>
      </w:r>
      <w:r>
        <w:rPr>
          <w:rFonts w:ascii="Times New Roman" w:cs="Times New Roman" w:eastAsia="Times New Roman" w:hAnsi="Times New Roman"/>
          <w:sz w:val="18"/>
          <w:szCs w:val="18"/>
          <w:color w:val="auto"/>
        </w:rPr>
        <w:t>”), (b) deferred underwriting commissions and the expenses to third parties to which they are owed, and (c) the remaining monies in the Trust Account to Parent after the Closing.</w:t>
      </w:r>
    </w:p>
    <w:p>
      <w:pPr>
        <w:spacing w:after="0" w:line="18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Obligations of Merger Sub</w:t>
      </w:r>
      <w:r>
        <w:rPr>
          <w:rFonts w:ascii="Times New Roman" w:cs="Times New Roman" w:eastAsia="Times New Roman" w:hAnsi="Times New Roman"/>
          <w:sz w:val="18"/>
          <w:szCs w:val="18"/>
          <w:color w:val="auto"/>
        </w:rPr>
        <w:t>. Parent shall take all action necessary to cause Merger Sub to perform its obligations under this Agreement and to consummate the transactions contemplated under this Agreement, upon the terms and subject to the conditions set forth in this Agreement.</w:t>
      </w:r>
    </w:p>
    <w:p>
      <w:pPr>
        <w:spacing w:after="0" w:line="16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Private Placement, Parent Support Agreements</w:t>
      </w:r>
      <w:r>
        <w:rPr>
          <w:rFonts w:ascii="Times New Roman" w:cs="Times New Roman" w:eastAsia="Times New Roman" w:hAnsi="Times New Roman"/>
          <w:sz w:val="18"/>
          <w:szCs w:val="18"/>
          <w:color w:val="auto"/>
        </w:rPr>
        <w:t>. Neither Parent, Merger Sub or any of their respective Affiliates or representatives shall make or agree to any amendments, changes, modifications or waivers (except, in each case, with respect to ministerial changes that do not have an economic impact) to any of the Subscription Agreements, without the prior written consent of the Company, which consent shall not be unreasonably withheld, conditioned or delayed.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THE COMPANY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Reporting; Compliance with Laws</w:t>
      </w:r>
      <w:r>
        <w:rPr>
          <w:rFonts w:ascii="Times New Roman" w:cs="Times New Roman" w:eastAsia="Times New Roman" w:hAnsi="Times New Roman"/>
          <w:sz w:val="18"/>
          <w:szCs w:val="18"/>
          <w:color w:val="auto"/>
        </w:rPr>
        <w:t>. From the date hereof through and including the Closing Date:</w:t>
      </w:r>
    </w:p>
    <w:p>
      <w:pPr>
        <w:spacing w:after="0" w:line="225" w:lineRule="exact"/>
        <w:rPr>
          <w:sz w:val="20"/>
          <w:szCs w:val="20"/>
          <w:color w:val="auto"/>
        </w:rPr>
      </w:pPr>
    </w:p>
    <w:p>
      <w:pPr>
        <w:jc w:val="both"/>
        <w:ind w:firstLine="872"/>
        <w:spacing w:after="0" w:line="258" w:lineRule="auto"/>
        <w:tabs>
          <w:tab w:leader="none" w:pos="110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duly and timely file all material Tax Returns required to be filed with the applicable Taxing Authorities and pay any and all Taxes due and payable during such time period. The Company shall prepare, or cause to be prepared, each such material Tax Return in a manner consistent with the Company’s past practice. The Company shall provide each such Tax Return to Parent for review and comment as soon as reasonably practicable before the due date of each such Tax Return and not file such Tax Returns without the prior written consent of Parent (such consent not to be unreasonably withheld, conditioned or delayed).</w:t>
      </w:r>
    </w:p>
    <w:p>
      <w:pPr>
        <w:spacing w:after="0" w:line="183"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Commercially Reasonable Efforts to Obtain Consents</w:t>
      </w:r>
      <w:r>
        <w:rPr>
          <w:rFonts w:ascii="Times New Roman" w:cs="Times New Roman" w:eastAsia="Times New Roman" w:hAnsi="Times New Roman"/>
          <w:sz w:val="18"/>
          <w:szCs w:val="18"/>
          <w:color w:val="auto"/>
        </w:rPr>
        <w:t xml:space="preserve">. The Company shall use its commercially reasonable efforts to obtain each Company Consent set forth on </w:t>
      </w:r>
      <w:r>
        <w:rPr>
          <w:rFonts w:ascii="Times New Roman" w:cs="Times New Roman" w:eastAsia="Times New Roman" w:hAnsi="Times New Roman"/>
          <w:sz w:val="18"/>
          <w:szCs w:val="18"/>
          <w:u w:val="single" w:color="auto"/>
          <w:color w:val="auto"/>
        </w:rPr>
        <w:t>Schedule 8.2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Company’s Stockholders Approval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72"/>
        <w:spacing w:after="0" w:line="258" w:lineRule="auto"/>
        <w:tabs>
          <w:tab w:leader="none" w:pos="113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and in any event within two (2) Business Days following the Effective Date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Stockholder Written Consent Deadline</w:t>
      </w:r>
      <w:r>
        <w:rPr>
          <w:rFonts w:ascii="Times New Roman" w:cs="Times New Roman" w:eastAsia="Times New Roman" w:hAnsi="Times New Roman"/>
          <w:sz w:val="18"/>
          <w:szCs w:val="18"/>
          <w:color w:val="auto"/>
        </w:rPr>
        <w:t>”), the Company shall obtain and deliver to Parent a true, complete and correct copy of a written consent (in form and substance reasonably satisfactory to Parent and certified by an executive officer of the Company) evidencing the Company Stockholder Approval that is duly executed by the Company Stockholders that hold at least the requisite number and class of issued and outstanding shares of Company Capital Stock required to obtain the Company Stockholder Approval (the “</w:t>
      </w:r>
      <w:r>
        <w:rPr>
          <w:rFonts w:ascii="Times New Roman" w:cs="Times New Roman" w:eastAsia="Times New Roman" w:hAnsi="Times New Roman"/>
          <w:sz w:val="18"/>
          <w:szCs w:val="18"/>
          <w:u w:val="single" w:color="auto"/>
          <w:color w:val="auto"/>
        </w:rPr>
        <w:t>Company Stockholder Written Consent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firstLine="872"/>
        <w:spacing w:after="0" w:line="282" w:lineRule="auto"/>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Company’s Board of Directors, nor any committee thereof, shall withhold, withdraw, amend, modify, change or propose or resolve to withhold, withdraw, amend, modify or change, in each case in a manner adverse to Parent, the Company Board Recommendation.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ind w:left="44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Section 280G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72"/>
        <w:spacing w:after="0" w:line="255" w:lineRule="auto"/>
        <w:tabs>
          <w:tab w:leader="none" w:pos="112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obtained prior to the initiation of the requisite Company Stockholder approval procedure under </w:t>
      </w:r>
      <w:r>
        <w:rPr>
          <w:rFonts w:ascii="Times New Roman" w:cs="Times New Roman" w:eastAsia="Times New Roman" w:hAnsi="Times New Roman"/>
          <w:sz w:val="18"/>
          <w:szCs w:val="18"/>
          <w:u w:val="single" w:color="auto"/>
          <w:color w:val="auto"/>
        </w:rPr>
        <w:t>Section 8.4(b)</w:t>
      </w:r>
      <w:r>
        <w:rPr>
          <w:rFonts w:ascii="Times New Roman" w:cs="Times New Roman" w:eastAsia="Times New Roman" w:hAnsi="Times New Roman"/>
          <w:sz w:val="18"/>
          <w:szCs w:val="18"/>
          <w:color w:val="auto"/>
        </w:rPr>
        <w:t xml:space="preserve"> below, a waiver of the right to receive payments that could constitute “parachute payments” under Section 280G of the Code and regulations promulgated thereunder (a “</w:t>
      </w:r>
      <w:r>
        <w:rPr>
          <w:rFonts w:ascii="Times New Roman" w:cs="Times New Roman" w:eastAsia="Times New Roman" w:hAnsi="Times New Roman"/>
          <w:sz w:val="18"/>
          <w:szCs w:val="18"/>
          <w:u w:val="single" w:color="auto"/>
          <w:color w:val="auto"/>
        </w:rPr>
        <w:t>Parachute Payment Waiver</w:t>
      </w:r>
      <w:r>
        <w:rPr>
          <w:rFonts w:ascii="Times New Roman" w:cs="Times New Roman" w:eastAsia="Times New Roman" w:hAnsi="Times New Roman"/>
          <w:sz w:val="18"/>
          <w:szCs w:val="18"/>
          <w:color w:val="auto"/>
        </w:rPr>
        <w:t xml:space="preserve">”), in a form reasonably acceptable to Parent, from each Person whom the Company and/or Parent reasonably believes is, with respect to the Company, a “disqualified individual” (within the meaning of Section 280G of the Code and the regulations promulgated thereunder), as determined immediately prior to the initiation of the requisite Company Stockholder approval procedure under </w:t>
      </w:r>
      <w:r>
        <w:rPr>
          <w:rFonts w:ascii="Times New Roman" w:cs="Times New Roman" w:eastAsia="Times New Roman" w:hAnsi="Times New Roman"/>
          <w:sz w:val="18"/>
          <w:szCs w:val="18"/>
          <w:u w:val="single" w:color="auto"/>
          <w:color w:val="auto"/>
        </w:rPr>
        <w:t>Section 8.4(b)</w:t>
      </w:r>
      <w:r>
        <w:rPr>
          <w:rFonts w:ascii="Times New Roman" w:cs="Times New Roman" w:eastAsia="Times New Roman" w:hAnsi="Times New Roman"/>
          <w:sz w:val="18"/>
          <w:szCs w:val="18"/>
          <w:color w:val="auto"/>
        </w:rPr>
        <w:t>, and whom the Company and/or Parent believes might otherwise receive, have received, or have the right or entitlement to receive any parachute payment under Section 280G of the Code, and the Company shall have delivered each such Parachute Payment Waiver to Parent on or before the Closing Date.</w:t>
      </w:r>
    </w:p>
    <w:p>
      <w:pPr>
        <w:spacing w:after="0" w:line="188" w:lineRule="exact"/>
        <w:rPr>
          <w:rFonts w:ascii="Times New Roman" w:cs="Times New Roman" w:eastAsia="Times New Roman" w:hAnsi="Times New Roman"/>
          <w:sz w:val="18"/>
          <w:szCs w:val="18"/>
          <w:color w:val="auto"/>
        </w:rPr>
      </w:pPr>
    </w:p>
    <w:p>
      <w:pPr>
        <w:jc w:val="both"/>
        <w:ind w:firstLine="872"/>
        <w:spacing w:after="0" w:line="254" w:lineRule="auto"/>
        <w:tabs>
          <w:tab w:leader="none" w:pos="112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use its reasonable best efforts to obtain the approval by such number of Company Stockholders as is required by the terms of Section 280G(b)(5)(B) of the Code so as to render the parachute payment provisions of Section 280G of the Code inapplicable to any and all payments and/or benefits provided pursuant to contracts or arrangements that, in the absence of the executed Parachute Payment Waivers by the affected Persons under </w:t>
      </w:r>
      <w:r>
        <w:rPr>
          <w:rFonts w:ascii="Times New Roman" w:cs="Times New Roman" w:eastAsia="Times New Roman" w:hAnsi="Times New Roman"/>
          <w:sz w:val="18"/>
          <w:szCs w:val="18"/>
          <w:u w:val="single" w:color="auto"/>
          <w:color w:val="auto"/>
        </w:rPr>
        <w:t>Section 8.4(a)</w:t>
      </w:r>
      <w:r>
        <w:rPr>
          <w:rFonts w:ascii="Times New Roman" w:cs="Times New Roman" w:eastAsia="Times New Roman" w:hAnsi="Times New Roman"/>
          <w:sz w:val="18"/>
          <w:szCs w:val="18"/>
          <w:color w:val="auto"/>
        </w:rPr>
        <w:t xml:space="preserve"> above, might otherwise result, separately or in the aggregate, in the payment of any amount and/or the provision of any benefit that would not be deductible by reason of Section 280G of the Code, with such Company Stockholder approval to be obtained in a manner which satisfies all applicable requirements of such Section 280G(b)(5)(B) of the Code and the Treasury Regulations thereunder, including Q-7 of Section 1.280G-I of such Treasury Regulations. The Company shall forward to Parent, and allow Parent to review and comment upon, prior to submission to the Company Stockholders, copies of all material documents prepared for purposes of complying with this provision and shall consider any such reasonable comments in good faith.</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ALL PARTIES HERETO</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Commercially Reasonable Efforts; Further Assurances; Governmental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72"/>
        <w:spacing w:after="0" w:line="254" w:lineRule="auto"/>
        <w:tabs>
          <w:tab w:leader="none" w:pos="111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the matters set forth in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(which shall be subject to the terms and conditions of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and otherwise subject to the terms and conditions of this Agreement, each party (other than the Stockholders’ Representative) shall use its reasonable best efforts to take, or cause to be taken, all actions and to do, or cause to be done, all things necessary or desirable under applicable Laws, or as reasonably requested by the other parties, to consummate and implement expeditiously each of the transactions contemplated by this Agreement, including using its reasonable best efforts to (i) obtain all necessary actions, nonactions, waivers, consents, approvals and other authorizations from all applicable Authorities prior to the Effective Time; (ii) avoid an Action by any Authority, and (iii) execute and deliver any additional instruments necessary to consummate the transactions contemplated by this Agreement. The parties (other than the Stockholders’ Representative) shall execute and deliver such other documents, certificates, agreements and other writings and take such other actions as may be necessary or desirable in order to consummate or implement expeditiously each of the transactions contemplated by this Agreement.</w:t>
      </w:r>
    </w:p>
    <w:p>
      <w:pPr>
        <w:spacing w:after="0" w:line="188" w:lineRule="exact"/>
        <w:rPr>
          <w:rFonts w:ascii="Times New Roman" w:cs="Times New Roman" w:eastAsia="Times New Roman" w:hAnsi="Times New Roman"/>
          <w:sz w:val="18"/>
          <w:szCs w:val="18"/>
          <w:color w:val="auto"/>
        </w:rPr>
      </w:pPr>
    </w:p>
    <w:p>
      <w:pPr>
        <w:jc w:val="both"/>
        <w:ind w:firstLine="872"/>
        <w:spacing w:after="0" w:line="252" w:lineRule="auto"/>
        <w:tabs>
          <w:tab w:leader="none" w:pos="112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the matters set forth in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(which shall be subject to the terms and conditions of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and otherwise subject to applicable Law, each of the Company and Parent agrees to (i) cooperate and consult with the other regarding obtaining and making all notifications and filings with Authorities, (ii) furnish to the other such information and assistance as the other may reasonably request in connection with its preparation of any notifications or filings, (iii) keep the other apprised of the status of matters relating to the completion of the transactions contemplated by this Agreement, including promptly furnishing the other with copies of notices or other communications received by such party from, or given by such party to, any third party or any Authority with respect to such transactions, (iv) permit the other party to review and incorporate the other party’s reasonable comments in any communication to be given by it to any Authority with respect to any filings required to be made with, or action or nonactions, waivers, expirations or terminations of waiting periods, clearances, consents or orders required to be obtained from, such Authority in connection with execution and delivery of this Agreement and the consummation of the transactions contemplated by this Agreement and (v) to the extent reasonably practicable, consult with the other in advance of and not participate in any meeting or discussion relating to the transactions contemplated by this Agreement, either in person or by telephone, with any Authority in connection with the proposed transactions unless it gives the other party the opportunity to attend and observe;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of clauses (ii), (iii) and (iv) above, that materials may be redacted (A) to remove references concerning the valuation of such party and its Affiliates, (B) as necessary to comply with contractual arrangements or applicable Laws, and (C) as necessary to address reasonable attorney-client or other privilege or confidentiality concerns.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432"/>
        <w:spacing w:after="0" w:line="25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Except as necessary to complete the Offer Documents or any Other Filings, the Company, on the one hand, and Parent and Merger Sub, on the other hand, shall hold and shall cause their respective representatives to hold in strict confidence, unless compelled to disclose by judicial or administrative process or by other requirements of Law, all documents and information concerning the other party furnished to it by such other party or its representatives in connection with the transactions contemplated by this Agreement (except to the extent that such information can be shown to have been (a) previously known by the party to which it was furnished, (b) in the public domain through no fault of such party or (c) later lawfully acquired from another source, which source is not the agent of the other party and is not under any obligation of confidentiality with respect to such information); and no party shall release or disclose such information to any other Person, except its representatives in connection with this Agreement. In the event that any party believes that it is required to disclose any such confidential information pursuant to applicable Law, to the extent legally permissible, such party shall give timely written notice to the other party so that such party may have an opportunity to obtain a protective order or other appropriate relief. Each party shall be deemed to have satisfied its obligations to hold confidential information concerning or supplied by the other party if it exercises the same care as it takes to preserve confidentiality for its own similar information. The parties acknowledge that some previously confidential information will be required to be disclosed in the Offer Documents and Other Filings. Notwithstanding anything in this Agreement to the contrary, following the Closing, the Stockholders’ Representative shall be permitted to disclose information as required by Law or to employees, advisors, agents or consultants of the Stockholders’ Representative and to the Company Securityholders, in each case who have a need to know such information, provided that such persons are subject to confidentiality obligations with respect thereto.</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Directors’ and Officers’ Indemnification and Liability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72"/>
        <w:spacing w:after="0" w:line="266" w:lineRule="auto"/>
        <w:tabs>
          <w:tab w:leader="none" w:pos="11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to indemnification for acts or omissions occurring through the Closing Date now existing in favor of the current directors and officers of the Company and Parent as provided in their respective organizational documents or in any indemnification agreements shall survive the applicable Merger and shall continue in full force and effect in accordance with their terms.</w:t>
      </w:r>
    </w:p>
    <w:p>
      <w:pPr>
        <w:spacing w:after="0" w:line="175" w:lineRule="exact"/>
        <w:rPr>
          <w:rFonts w:ascii="Times New Roman" w:cs="Times New Roman" w:eastAsia="Times New Roman" w:hAnsi="Times New Roman"/>
          <w:sz w:val="18"/>
          <w:szCs w:val="18"/>
          <w:color w:val="auto"/>
        </w:rPr>
      </w:pPr>
    </w:p>
    <w:p>
      <w:pPr>
        <w:jc w:val="both"/>
        <w:ind w:firstLine="872"/>
        <w:spacing w:after="0" w:line="255" w:lineRule="auto"/>
        <w:tabs>
          <w:tab w:leader="none" w:pos="113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Parent and the Company shall reasonably cooperate in order to obtain directors’ and officers’ liability insurance for Parent and the Company that shall be effective as of Closing and will cover (i) those Persons who were directors and officers of the Company prior to the Closing and (ii) those Persons who will be the directors and officers of Parent and its subsidiaries (including the Company after the Effective Time) at and after the Closing on terms not less favorable than the better of (x) the terms of the current directors’ and officers’ liability insurance in place for the Company’s directors and officers and (y) the terms of a typical directors’ and officers’ liability insurance policy for a company whose equity is listed on Nasdaq which policy has a scope and amount of coverage that is reasonably appropriate for a company of similar characteristics (including the line of business and revenues) as the Company.</w:t>
      </w:r>
    </w:p>
    <w:p>
      <w:pPr>
        <w:spacing w:after="0" w:line="188" w:lineRule="exact"/>
        <w:rPr>
          <w:rFonts w:ascii="Times New Roman" w:cs="Times New Roman" w:eastAsia="Times New Roman" w:hAnsi="Times New Roman"/>
          <w:sz w:val="18"/>
          <w:szCs w:val="18"/>
          <w:color w:val="auto"/>
        </w:rPr>
      </w:pPr>
    </w:p>
    <w:p>
      <w:pPr>
        <w:jc w:val="both"/>
        <w:ind w:firstLine="872"/>
        <w:spacing w:after="0" w:line="266" w:lineRule="auto"/>
        <w:tabs>
          <w:tab w:leader="none" w:pos="11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are intended to be for the benefit of, and shall be enforceable by, each Person who will have been a director or officer of the Company or Parent for all periods ending on or before the Closing Date and may not be changed with respect to any officer or director without his or her written consent.</w:t>
      </w:r>
    </w:p>
    <w:p>
      <w:pPr>
        <w:spacing w:after="0" w:line="175" w:lineRule="exact"/>
        <w:rPr>
          <w:rFonts w:ascii="Times New Roman" w:cs="Times New Roman" w:eastAsia="Times New Roman" w:hAnsi="Times New Roman"/>
          <w:sz w:val="18"/>
          <w:szCs w:val="18"/>
          <w:color w:val="auto"/>
        </w:rPr>
      </w:pPr>
    </w:p>
    <w:p>
      <w:pPr>
        <w:jc w:val="both"/>
        <w:ind w:firstLine="872"/>
        <w:spacing w:after="0" w:line="258" w:lineRule="auto"/>
        <w:tabs>
          <w:tab w:leader="none" w:pos="11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the Company shall be permitted to obtain and fully pay the premium for a six year prepaid “tail” policy for the extension of the directors’ and officers’ liability coverage of the Company’s existing directors’ and officers’ liability insurance policies, for claims reporting or discovery period of six years from and after the Effective Time, on terms and conditions providing coverage retentions, limits and other material terms substantially equivalent to the current policies of directors’ and officers’ liability insurance maintained by the Company with respect to matters arising on or before the Effective Time, covering without limitation the transactions contemplated hereby (the “</w:t>
      </w:r>
      <w:r>
        <w:rPr>
          <w:rFonts w:ascii="Times New Roman" w:cs="Times New Roman" w:eastAsia="Times New Roman" w:hAnsi="Times New Roman"/>
          <w:sz w:val="18"/>
          <w:szCs w:val="18"/>
          <w:u w:val="single" w:color="auto"/>
          <w:color w:val="auto"/>
        </w:rPr>
        <w:t>Tail Policy</w:t>
      </w:r>
      <w:r>
        <w:rPr>
          <w:rFonts w:ascii="Times New Roman" w:cs="Times New Roman" w:eastAsia="Times New Roman" w:hAnsi="Times New Roman"/>
          <w:sz w:val="18"/>
          <w:szCs w:val="18"/>
          <w:color w:val="auto"/>
        </w:rPr>
        <w: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Nasdaq Listing</w:t>
      </w:r>
      <w:r>
        <w:rPr>
          <w:rFonts w:ascii="Times New Roman" w:cs="Times New Roman" w:eastAsia="Times New Roman" w:hAnsi="Times New Roman"/>
          <w:sz w:val="18"/>
          <w:szCs w:val="18"/>
          <w:color w:val="auto"/>
        </w:rPr>
        <w:t>. Parent shall use its reasonable best efforts to cause (a) Parent’s initial listing application with the Nasdaq in connection with the transactions contemplated by this Agreement to have been approved; (b) all applicable initial and continuing listing requirements of the Nasdaq to be satisfied; and (c) the Closing Payment Shares, to be approved for listing on the Nasdaq, subject to official notice of issuance, in each case, as promptly as reasonably practicable after the date of this Agreement and in any event prior to the Effective Time.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Certain 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72"/>
        <w:spacing w:after="0" w:line="261" w:lineRule="auto"/>
        <w:tabs>
          <w:tab w:leader="none" w:pos="111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the Company shall take any action, or fail to take any action, that could reasonably be expected to cause the Merger to fail to qualify as a “reorganization” within the meaning of Section 368(a) of the Code. Parent and the Company intend to report and, except to the extent otherwise required by a change in Law, shall report, for U.S. federal income tax purposes, the Merger as a “reorganization” within the meaning of Section 368(a) of the Code, unless otherwise required by applicable Law.</w:t>
      </w:r>
    </w:p>
    <w:p>
      <w:pPr>
        <w:spacing w:after="0" w:line="179" w:lineRule="exact"/>
        <w:rPr>
          <w:rFonts w:ascii="Times New Roman" w:cs="Times New Roman" w:eastAsia="Times New Roman" w:hAnsi="Times New Roman"/>
          <w:sz w:val="18"/>
          <w:szCs w:val="18"/>
          <w:color w:val="auto"/>
        </w:rPr>
      </w:pPr>
    </w:p>
    <w:p>
      <w:pPr>
        <w:jc w:val="both"/>
        <w:ind w:firstLine="872"/>
        <w:spacing w:after="0" w:line="266" w:lineRule="auto"/>
        <w:tabs>
          <w:tab w:leader="none" w:pos="11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(and shall cause its Affiliates to) provide any information reasonably requested to allow Parent to comply with any information reporting or withholding requirements contained in the Code or other applicable Laws with respect to the transactions contemplated by, or any payment made in connection with, this Agreement.</w:t>
      </w:r>
    </w:p>
    <w:p>
      <w:pPr>
        <w:spacing w:after="0" w:line="175" w:lineRule="exact"/>
        <w:rPr>
          <w:rFonts w:ascii="Times New Roman" w:cs="Times New Roman" w:eastAsia="Times New Roman" w:hAnsi="Times New Roman"/>
          <w:sz w:val="18"/>
          <w:szCs w:val="18"/>
          <w:color w:val="auto"/>
        </w:rPr>
      </w:pPr>
    </w:p>
    <w:p>
      <w:pPr>
        <w:jc w:val="both"/>
        <w:ind w:firstLine="872"/>
        <w:spacing w:after="0" w:line="255" w:lineRule="auto"/>
        <w:tabs>
          <w:tab w:leader="none" w:pos="111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transfer, documentary, sales, use, value added, goods and services, stamp, registration, notarial fees and other similar Taxes and fees (collectively,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shall be paid by the Surviving Corporation. After the Closing Date, the Surviving Corporation will prepare and file all necessary Tax Returns and other documentation with respect to all such Transfer Taxes that are required to be filed after the Closing Date, and, if required by applicable Law, the Company Securityholders and Parent will, and will cause their respective Affiliates to, cooperate and join in the execution of any such Tax Returns and other documentation, as applicable. Each party (other than the Stockholders’ Representative) shall (and shall cause its Affiliates to) provide certificates or forms, and timely execute any Tax Return, that are necessary or appropriate to establish an exemption for (or reduction in) any Transfer Tax.</w:t>
      </w:r>
    </w:p>
    <w:p>
      <w:pPr>
        <w:spacing w:after="0" w:line="18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Equity Incentive Plan</w:t>
      </w:r>
      <w:r>
        <w:rPr>
          <w:rFonts w:ascii="Times New Roman" w:cs="Times New Roman" w:eastAsia="Times New Roman" w:hAnsi="Times New Roman"/>
          <w:sz w:val="18"/>
          <w:szCs w:val="18"/>
          <w:color w:val="auto"/>
        </w:rPr>
        <w:t xml:space="preserve">. Prior to the Effective Date, Parent shall adopt a new equity incentive plan in substantially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with such changes or modifications thereto as the Company and Parent may mutually agree (such agreement not to be unreasonably withheld, conditioned or delayed by either the Company or Parent, as applicable) (the “</w:t>
      </w:r>
      <w:r>
        <w:rPr>
          <w:rFonts w:ascii="Times New Roman" w:cs="Times New Roman" w:eastAsia="Times New Roman" w:hAnsi="Times New Roman"/>
          <w:sz w:val="18"/>
          <w:szCs w:val="18"/>
          <w:u w:val="single" w:color="auto"/>
          <w:color w:val="auto"/>
        </w:rPr>
        <w:t>Parent Equity Incentive Plan</w:t>
      </w:r>
      <w:r>
        <w:rPr>
          <w:rFonts w:ascii="Times New Roman" w:cs="Times New Roman" w:eastAsia="Times New Roman" w:hAnsi="Times New Roman"/>
          <w:sz w:val="18"/>
          <w:szCs w:val="18"/>
          <w:color w:val="auto"/>
        </w:rPr>
        <w:t xml:space="preserve">”), effective as of one day prior to the Closing Date. The Parent Equity Incentive Plan shall have such number of shares available for issuance as mutually determined by the Company and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shares of Company Common Stock that remain reserved for issuance under the Equity Incentive Plans shall be converted into shares of Parent Class A Common Stock reserved or available for issuance under the Parent Equity Incentive Plan.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20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Condition to the Obligations of the Parties</w:t>
      </w:r>
      <w:r>
        <w:rPr>
          <w:rFonts w:ascii="Times New Roman" w:cs="Times New Roman" w:eastAsia="Times New Roman" w:hAnsi="Times New Roman"/>
          <w:sz w:val="18"/>
          <w:szCs w:val="18"/>
          <w:color w:val="auto"/>
        </w:rPr>
        <w:t>. The obligations of all of the parties to consummate the Merger are subject to the satisfaction of all the following conditions:</w:t>
      </w:r>
    </w:p>
    <w:p>
      <w:pPr>
        <w:spacing w:after="0" w:line="162" w:lineRule="exact"/>
        <w:rPr>
          <w:sz w:val="20"/>
          <w:szCs w:val="20"/>
          <w:color w:val="auto"/>
        </w:rPr>
      </w:pPr>
    </w:p>
    <w:p>
      <w:pPr>
        <w:ind w:left="1160" w:hanging="288"/>
        <w:spacing w:after="0"/>
        <w:tabs>
          <w:tab w:leader="none" w:pos="11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provisions of any applicable Law and no Order shall restrain or prohibit or impose any condition on the consummation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w:t>
      </w:r>
    </w:p>
    <w:p>
      <w:pPr>
        <w:spacing w:after="0" w:line="206" w:lineRule="exact"/>
        <w:rPr>
          <w:rFonts w:ascii="Times New Roman" w:cs="Times New Roman" w:eastAsia="Times New Roman" w:hAnsi="Times New Roman"/>
          <w:sz w:val="18"/>
          <w:szCs w:val="18"/>
          <w:color w:val="auto"/>
        </w:rPr>
      </w:pPr>
    </w:p>
    <w:p>
      <w:pPr>
        <w:ind w:left="1120" w:hanging="248"/>
        <w:spacing w:after="0"/>
        <w:tabs>
          <w:tab w:leader="none" w:pos="11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consent or approval required to be obtained from any Authority set forth on </w:t>
      </w:r>
      <w:r>
        <w:rPr>
          <w:rFonts w:ascii="Times New Roman" w:cs="Times New Roman" w:eastAsia="Times New Roman" w:hAnsi="Times New Roman"/>
          <w:sz w:val="18"/>
          <w:szCs w:val="18"/>
          <w:u w:val="single" w:color="auto"/>
          <w:color w:val="auto"/>
        </w:rPr>
        <w:t>Schedule 10.1(b)</w:t>
      </w:r>
      <w:r>
        <w:rPr>
          <w:rFonts w:ascii="Times New Roman" w:cs="Times New Roman" w:eastAsia="Times New Roman" w:hAnsi="Times New Roman"/>
          <w:sz w:val="18"/>
          <w:szCs w:val="18"/>
          <w:color w:val="auto"/>
        </w:rPr>
        <w:t xml:space="preserve"> shall have been obtained.</w:t>
      </w:r>
    </w:p>
    <w:p>
      <w:pPr>
        <w:spacing w:after="0" w:line="225" w:lineRule="exact"/>
        <w:rPr>
          <w:rFonts w:ascii="Times New Roman" w:cs="Times New Roman" w:eastAsia="Times New Roman" w:hAnsi="Times New Roman"/>
          <w:sz w:val="18"/>
          <w:szCs w:val="18"/>
          <w:color w:val="auto"/>
        </w:rPr>
      </w:pPr>
    </w:p>
    <w:p>
      <w:pPr>
        <w:ind w:left="1120" w:hanging="248"/>
        <w:spacing w:after="0"/>
        <w:tabs>
          <w:tab w:leader="none" w:pos="11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be any Action brought by any governmental Authority to enjoin or otherwise restrict the consummation of the Transactions.</w:t>
      </w:r>
    </w:p>
    <w:p>
      <w:pPr>
        <w:spacing w:after="0" w:line="225" w:lineRule="exact"/>
        <w:rPr>
          <w:rFonts w:ascii="Times New Roman" w:cs="Times New Roman" w:eastAsia="Times New Roman" w:hAnsi="Times New Roman"/>
          <w:sz w:val="18"/>
          <w:szCs w:val="18"/>
          <w:color w:val="auto"/>
        </w:rPr>
      </w:pPr>
    </w:p>
    <w:p>
      <w:pPr>
        <w:ind w:firstLine="872"/>
        <w:spacing w:after="0" w:line="282" w:lineRule="auto"/>
        <w:tabs>
          <w:tab w:leader="none" w:pos="11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not have redeemed the Parent Class A Shares in an amount that would cause Parent to have net tangible assets of less than $5,000,001 upon consummation of the Merger.</w:t>
      </w:r>
    </w:p>
    <w:p>
      <w:pPr>
        <w:spacing w:after="0" w:line="161" w:lineRule="exact"/>
        <w:rPr>
          <w:rFonts w:ascii="Times New Roman" w:cs="Times New Roman" w:eastAsia="Times New Roman" w:hAnsi="Times New Roman"/>
          <w:sz w:val="18"/>
          <w:szCs w:val="18"/>
          <w:color w:val="auto"/>
        </w:rPr>
      </w:pPr>
    </w:p>
    <w:p>
      <w:pPr>
        <w:ind w:left="1120" w:hanging="248"/>
        <w:spacing w:after="0"/>
        <w:tabs>
          <w:tab w:leader="none" w:pos="11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Parent Proposals shall have been duly approved at the Parent Stockholder Meeting;</w:t>
      </w:r>
    </w:p>
    <w:p>
      <w:pPr>
        <w:spacing w:after="0" w:line="225" w:lineRule="exact"/>
        <w:rPr>
          <w:rFonts w:ascii="Times New Roman" w:cs="Times New Roman" w:eastAsia="Times New Roman" w:hAnsi="Times New Roman"/>
          <w:sz w:val="18"/>
          <w:szCs w:val="18"/>
          <w:color w:val="auto"/>
        </w:rPr>
      </w:pPr>
    </w:p>
    <w:p>
      <w:pPr>
        <w:ind w:left="1100" w:hanging="228"/>
        <w:spacing w:after="0"/>
        <w:tabs>
          <w:tab w:leader="none" w:pos="11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Stockholder Approval shall have been obtained.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ind w:firstLine="432"/>
        <w:spacing w:after="0" w:line="282"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Conditions to Obligations of Parent and Merger Sub</w:t>
      </w:r>
      <w:r>
        <w:rPr>
          <w:rFonts w:ascii="Times New Roman" w:cs="Times New Roman" w:eastAsia="Times New Roman" w:hAnsi="Times New Roman"/>
          <w:sz w:val="18"/>
          <w:szCs w:val="18"/>
          <w:color w:val="auto"/>
        </w:rPr>
        <w:t>. The obligation of Parent and Merger Sub to consummate the Merger is subject to the satisfaction, or the waiver in Parent’s sole and absolute discretion, of all the following further conditions:</w:t>
      </w:r>
    </w:p>
    <w:p>
      <w:pPr>
        <w:spacing w:after="0" w:line="162" w:lineRule="exact"/>
        <w:rPr>
          <w:sz w:val="20"/>
          <w:szCs w:val="20"/>
          <w:color w:val="auto"/>
        </w:rPr>
      </w:pPr>
    </w:p>
    <w:p>
      <w:pPr>
        <w:ind w:firstLine="872"/>
        <w:spacing w:after="0" w:line="282" w:lineRule="auto"/>
        <w:tabs>
          <w:tab w:leader="none" w:pos="110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duly performed or complied with, in all material respects, all of its obligations hereunder required to be performed or complied with (without giving effect to any materiality or similar qualifiers contained therein) by the Company at or prior to the Closing Date.</w:t>
      </w:r>
    </w:p>
    <w:p>
      <w:pPr>
        <w:spacing w:after="0" w:line="161" w:lineRule="exact"/>
        <w:rPr>
          <w:rFonts w:ascii="Times New Roman" w:cs="Times New Roman" w:eastAsia="Times New Roman" w:hAnsi="Times New Roman"/>
          <w:sz w:val="18"/>
          <w:szCs w:val="18"/>
          <w:color w:val="auto"/>
        </w:rPr>
      </w:pPr>
    </w:p>
    <w:p>
      <w:pPr>
        <w:jc w:val="both"/>
        <w:ind w:firstLine="872"/>
        <w:spacing w:after="0" w:line="256" w:lineRule="auto"/>
        <w:tabs>
          <w:tab w:leader="none" w:pos="112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contained in this Agreement (disregarding all qualifications and exceptions contained therein relating to materiality or Material Adverse Effect), other than the Company Fundamental Representations, shall be true and correct in all respects at and as of the date of this Agreement and as of the Closing Date, as if made as of such date (except to the extent that any such representation and warranty is expressly made as of a specific date, in which case such representation and warranty shall be true and correct at and as of such specific date), except, in each case, for any failure of such representations and warranties (disregarding all qualifications and exceptions contained therein relating to materiality or Material Adverse Effect) to be so true and correct that would not in the aggregate have or reasonably be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firstLine="872"/>
        <w:spacing w:after="0" w:line="261" w:lineRule="auto"/>
        <w:tabs>
          <w:tab w:leader="none" w:pos="11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Fundamental Representations (disregarding all qualifications and exceptions contained therein relating to materiality or Material Adverse Effect) shall be true and correct in all respects at and as of the date of this Agreement and as of the Closing Date, as if made as of such date (except to the extent that any such representation and warranty is expressly made as of a specific date, in which case such representation and warranty shall be true and correct at and as of such specific date),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w:t>
      </w:r>
    </w:p>
    <w:p>
      <w:pPr>
        <w:spacing w:after="0" w:line="179" w:lineRule="exact"/>
        <w:rPr>
          <w:rFonts w:ascii="Times New Roman" w:cs="Times New Roman" w:eastAsia="Times New Roman" w:hAnsi="Times New Roman"/>
          <w:sz w:val="18"/>
          <w:szCs w:val="18"/>
          <w:color w:val="auto"/>
        </w:rPr>
      </w:pPr>
    </w:p>
    <w:p>
      <w:pPr>
        <w:ind w:firstLine="872"/>
        <w:spacing w:after="0" w:line="282" w:lineRule="auto"/>
        <w:tabs>
          <w:tab w:leader="none" w:pos="112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have received a certificate signed by the Chief Executive Officer or the Chief Financial Officer certifying the accuracy of the provisions of the foregoing clauses (a), (b) and (c) of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Company Certificate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872"/>
        <w:spacing w:after="0" w:line="258" w:lineRule="auto"/>
        <w:tabs>
          <w:tab w:leader="none" w:pos="11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received a certificate signed by the Secretary of the Company attaching true and correct copies of (i) the Company Certificate of Incorporation and by-laws, certified as of a recent date by the. Secretary of State of the State of Delaware; (ii) copies of resolutions duly adopted by the Board of Directors of the Company authorizing this Agreement, the Additional Agreements to which the Company is a party and the transactions contemplated hereby and thereby and the Company Stockholder Written Consent; and (iii) a certificate of good standing of the Company, certified as of a recent date by the Secretary of State of the State of Delaware.</w:t>
      </w:r>
    </w:p>
    <w:p>
      <w:pPr>
        <w:spacing w:after="0" w:line="183" w:lineRule="exact"/>
        <w:rPr>
          <w:rFonts w:ascii="Times New Roman" w:cs="Times New Roman" w:eastAsia="Times New Roman" w:hAnsi="Times New Roman"/>
          <w:sz w:val="18"/>
          <w:szCs w:val="18"/>
          <w:color w:val="auto"/>
        </w:rPr>
      </w:pPr>
    </w:p>
    <w:p>
      <w:pPr>
        <w:ind w:firstLine="872"/>
        <w:spacing w:after="0" w:line="282" w:lineRule="auto"/>
        <w:tabs>
          <w:tab w:leader="none" w:pos="110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Specified Company Securityholders shall have duly executed and delivered to Parent a copy of the Registration Rights Agreement.</w:t>
      </w:r>
    </w:p>
    <w:p>
      <w:pPr>
        <w:spacing w:after="0" w:line="161" w:lineRule="exact"/>
        <w:rPr>
          <w:rFonts w:ascii="Times New Roman" w:cs="Times New Roman" w:eastAsia="Times New Roman" w:hAnsi="Times New Roman"/>
          <w:sz w:val="18"/>
          <w:szCs w:val="18"/>
          <w:color w:val="auto"/>
        </w:rPr>
      </w:pPr>
    </w:p>
    <w:p>
      <w:pPr>
        <w:ind w:left="1120" w:hanging="248"/>
        <w:spacing w:after="0"/>
        <w:tabs>
          <w:tab w:leader="none" w:pos="11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Parent and Sponsor a copy of the Escrow Agreement, duly executed by the Company.</w:t>
      </w:r>
    </w:p>
    <w:p>
      <w:pPr>
        <w:spacing w:after="0" w:line="225" w:lineRule="exact"/>
        <w:rPr>
          <w:rFonts w:ascii="Times New Roman" w:cs="Times New Roman" w:eastAsia="Times New Roman" w:hAnsi="Times New Roman"/>
          <w:sz w:val="18"/>
          <w:szCs w:val="18"/>
          <w:color w:val="auto"/>
        </w:rPr>
      </w:pPr>
    </w:p>
    <w:p>
      <w:pPr>
        <w:ind w:left="1160" w:hanging="288"/>
        <w:spacing w:after="0"/>
        <w:tabs>
          <w:tab w:leader="none" w:pos="11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Specified Company Securityholders shall have duly executed and delivered to Parent a copy of the Voting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left="1080" w:hanging="208"/>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been a Material Adverse Effect since the date hereof that is continuing.</w:t>
      </w:r>
    </w:p>
    <w:p>
      <w:pPr>
        <w:spacing w:after="0" w:line="225" w:lineRule="exact"/>
        <w:rPr>
          <w:rFonts w:ascii="Times New Roman" w:cs="Times New Roman" w:eastAsia="Times New Roman" w:hAnsi="Times New Roman"/>
          <w:sz w:val="18"/>
          <w:szCs w:val="18"/>
          <w:color w:val="auto"/>
        </w:rPr>
      </w:pPr>
    </w:p>
    <w:p>
      <w:pPr>
        <w:ind w:firstLine="872"/>
        <w:spacing w:after="0" w:line="282" w:lineRule="auto"/>
        <w:tabs>
          <w:tab w:leader="none" w:pos="108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three percent (3%) of the issued and outstanding shares of Company Common Stock (including shares of Company Common Stock issuable upon conversion of Company Preferred Stock) shall continue Dissenting Shares.</w:t>
      </w:r>
    </w:p>
    <w:p>
      <w:pPr>
        <w:spacing w:after="0" w:line="161" w:lineRule="exact"/>
        <w:rPr>
          <w:rFonts w:ascii="Times New Roman" w:cs="Times New Roman" w:eastAsia="Times New Roman" w:hAnsi="Times New Roman"/>
          <w:sz w:val="18"/>
          <w:szCs w:val="18"/>
          <w:color w:val="auto"/>
        </w:rPr>
      </w:pPr>
    </w:p>
    <w:p>
      <w:pPr>
        <w:jc w:val="both"/>
        <w:ind w:firstLine="872"/>
        <w:spacing w:after="0" w:line="261" w:lineRule="auto"/>
        <w:tabs>
          <w:tab w:leader="none" w:pos="113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Parent a duly executed certificate conforming to the requirements of Sections 1.897-2(h)(1)(i) and 1.1445-2(c)(3)(i) of the United States Treasury regulations, and a notice to be delivered to the United States Internal Revenue Service as required under Section 1.897-2(h)(2) of the United States Treasury regulations, each dated no more than thirty (30) days prior to the Closing Date and in substantially the form attached hereto as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872"/>
        <w:spacing w:after="0" w:line="266"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Parent evidence, in form and substance reasonably acceptable to Parent, that (x) each of the Contracts set forth on Schedule 10.2(l) has been terminated without any further obligations of the Company and (y) the Convertible Notes have been converted into Company Series B Preferred Stock prior to the Closing.</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ind w:left="1180" w:hanging="308"/>
        <w:spacing w:after="0"/>
        <w:tabs>
          <w:tab w:leader="none" w:pos="11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each Company Consent set forth on Schedule 10.2(m).</w:t>
      </w:r>
    </w:p>
    <w:p>
      <w:pPr>
        <w:spacing w:after="0" w:line="225" w:lineRule="exact"/>
        <w:rPr>
          <w:rFonts w:ascii="Times New Roman" w:cs="Times New Roman" w:eastAsia="Times New Roman" w:hAnsi="Times New Roman"/>
          <w:sz w:val="18"/>
          <w:szCs w:val="18"/>
          <w:color w:val="auto"/>
        </w:rPr>
      </w:pPr>
    </w:p>
    <w:p>
      <w:pPr>
        <w:ind w:left="1120" w:hanging="248"/>
        <w:spacing w:after="0"/>
        <w:tabs>
          <w:tab w:leader="none" w:pos="11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Parent evidence of termination of the Equity Incentive Plans in accordance with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20" w:firstLine="872"/>
        <w:spacing w:after="0" w:line="266" w:lineRule="auto"/>
        <w:tabs>
          <w:tab w:leader="none" w:pos="111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the consent of the holders of outstanding awards under the Equity Incentive Plans, to ensure that no more than five percent (5%) of the outstanding equity and equity-based awards under the Equity Incentive Plans accelerate in connection with the Closing or otherwise as a result of the transactions contemplated by this Agreement.</w:t>
      </w:r>
    </w:p>
    <w:p>
      <w:pPr>
        <w:spacing w:after="0" w:line="175" w:lineRule="exact"/>
        <w:rPr>
          <w:rFonts w:ascii="Times New Roman" w:cs="Times New Roman" w:eastAsia="Times New Roman" w:hAnsi="Times New Roman"/>
          <w:sz w:val="18"/>
          <w:szCs w:val="18"/>
          <w:color w:val="auto"/>
        </w:rPr>
      </w:pPr>
    </w:p>
    <w:p>
      <w:pPr>
        <w:ind w:left="1140" w:hanging="268"/>
        <w:spacing w:after="0"/>
        <w:tabs>
          <w:tab w:leader="none" w:pos="11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executed and delivered to Parent a copy of each Additional Agreement to which it or any of its stockholders is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w:t>
      </w:r>
    </w:p>
    <w:p>
      <w:pPr>
        <w:spacing w:after="0" w:line="206" w:lineRule="exact"/>
        <w:rPr>
          <w:rFonts w:ascii="Times New Roman" w:cs="Times New Roman" w:eastAsia="Times New Roman" w:hAnsi="Times New Roman"/>
          <w:sz w:val="18"/>
          <w:szCs w:val="18"/>
          <w:color w:val="auto"/>
        </w:rPr>
      </w:pPr>
    </w:p>
    <w:p>
      <w:pPr>
        <w:ind w:firstLine="872"/>
        <w:spacing w:after="0" w:line="282" w:lineRule="auto"/>
        <w:tabs>
          <w:tab w:leader="none" w:pos="112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Parent copies of the Lockup Agreements, duly executed by each of the Company Securityholders set forth on </w:t>
      </w:r>
      <w:r>
        <w:rPr>
          <w:rFonts w:ascii="Times New Roman" w:cs="Times New Roman" w:eastAsia="Times New Roman" w:hAnsi="Times New Roman"/>
          <w:sz w:val="18"/>
          <w:szCs w:val="18"/>
          <w:u w:val="single" w:color="auto"/>
          <w:color w:val="auto"/>
        </w:rPr>
        <w:t>Schedule 10.2(q)</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Conditions to Obligations of the Company</w:t>
      </w:r>
      <w:r>
        <w:rPr>
          <w:rFonts w:ascii="Times New Roman" w:cs="Times New Roman" w:eastAsia="Times New Roman" w:hAnsi="Times New Roman"/>
          <w:sz w:val="18"/>
          <w:szCs w:val="18"/>
          <w:color w:val="auto"/>
        </w:rPr>
        <w:t>. The obligations of the Company to consummate the Merger is subject to the satisfaction, or the waiver in the Company’s sole and absolute discretion, of all of the following further conditions:</w:t>
      </w:r>
    </w:p>
    <w:p>
      <w:pPr>
        <w:spacing w:after="0" w:line="162" w:lineRule="exact"/>
        <w:rPr>
          <w:sz w:val="20"/>
          <w:szCs w:val="20"/>
          <w:color w:val="auto"/>
        </w:rPr>
      </w:pPr>
    </w:p>
    <w:p>
      <w:pPr>
        <w:jc w:val="both"/>
        <w:ind w:firstLine="872"/>
        <w:spacing w:after="0" w:line="266" w:lineRule="auto"/>
        <w:tabs>
          <w:tab w:leader="none" w:pos="111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Merger Sub shall each have duly performed or complied with, in all material respects, all of its respective obligations hereunder required to be performed or complied with (without giving effect to any materiality or similar qualifiers contained therein) by Parent or Merger Sub, as applicable, at or prior to the Closing Date.</w:t>
      </w:r>
    </w:p>
    <w:p>
      <w:pPr>
        <w:spacing w:after="0" w:line="175" w:lineRule="exact"/>
        <w:rPr>
          <w:rFonts w:ascii="Times New Roman" w:cs="Times New Roman" w:eastAsia="Times New Roman" w:hAnsi="Times New Roman"/>
          <w:sz w:val="18"/>
          <w:szCs w:val="18"/>
          <w:color w:val="auto"/>
        </w:rPr>
      </w:pPr>
    </w:p>
    <w:p>
      <w:pPr>
        <w:jc w:val="both"/>
        <w:ind w:firstLine="872"/>
        <w:spacing w:after="0" w:line="256" w:lineRule="auto"/>
        <w:tabs>
          <w:tab w:leader="none" w:pos="11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Parent and Merger Sub contained in this Agreement (disregarding all qualifications contained therein relating to materiality or Material Adverse Effect), other than the Parent Fundamental Representations, shall be true and correct as of the date of this Agreement and as of the Closing Date, as if made at and as of such date (except to the extent that any such representation and warranty is made as of an earlier date, in which case such representation and warranty shall be true and correct at and as of such earlier date), except for any failure of such representations and warranties which would not in the aggregate reasonably be expected to have a Material Adverse Effect on Parent or on Parent’s ability to consummate the transactions contemplated by this Agreement and the Additional Agreements.</w:t>
      </w:r>
    </w:p>
    <w:p>
      <w:pPr>
        <w:spacing w:after="0" w:line="187" w:lineRule="exact"/>
        <w:rPr>
          <w:rFonts w:ascii="Times New Roman" w:cs="Times New Roman" w:eastAsia="Times New Roman" w:hAnsi="Times New Roman"/>
          <w:sz w:val="18"/>
          <w:szCs w:val="18"/>
          <w:color w:val="auto"/>
        </w:rPr>
      </w:pPr>
    </w:p>
    <w:p>
      <w:pPr>
        <w:jc w:val="both"/>
        <w:ind w:firstLine="872"/>
        <w:spacing w:after="0" w:line="261" w:lineRule="auto"/>
        <w:tabs>
          <w:tab w:leader="none" w:pos="110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Fundamental Representations (disregarding all qualifications and exceptions contained therein relating to materiality or Material Adverse Effect) shall be true and correct in all respects at and as of the date of this Agreement and as of the Closing Date, as if made as of such date (except to the extent that any such representation and warranty is expressly made as of a specific date, in which case such representation and warranty shall be true and correct at and as of such specific date),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w:t>
      </w:r>
    </w:p>
    <w:p>
      <w:pPr>
        <w:spacing w:after="0" w:line="179" w:lineRule="exact"/>
        <w:rPr>
          <w:rFonts w:ascii="Times New Roman" w:cs="Times New Roman" w:eastAsia="Times New Roman" w:hAnsi="Times New Roman"/>
          <w:sz w:val="18"/>
          <w:szCs w:val="18"/>
          <w:color w:val="auto"/>
        </w:rPr>
      </w:pPr>
    </w:p>
    <w:p>
      <w:pPr>
        <w:ind w:firstLine="872"/>
        <w:spacing w:after="0" w:line="282" w:lineRule="auto"/>
        <w:tabs>
          <w:tab w:leader="none" w:pos="112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Amended and Restated Certificate of Incorporation of Parent, in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shall have been filed with, and declared effective by, the Delaware Secretary of State.</w:t>
      </w:r>
    </w:p>
    <w:p>
      <w:pPr>
        <w:spacing w:after="0" w:line="161" w:lineRule="exact"/>
        <w:rPr>
          <w:rFonts w:ascii="Times New Roman" w:cs="Times New Roman" w:eastAsia="Times New Roman" w:hAnsi="Times New Roman"/>
          <w:sz w:val="18"/>
          <w:szCs w:val="18"/>
          <w:color w:val="auto"/>
        </w:rPr>
      </w:pPr>
    </w:p>
    <w:p>
      <w:pPr>
        <w:ind w:firstLine="872"/>
        <w:spacing w:after="0" w:line="282" w:lineRule="auto"/>
        <w:tabs>
          <w:tab w:leader="none" w:pos="111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received a certificate signed by an authorized officer of Parent accuracy of the provisions of the foregoing clauses (a), (b) and (c) of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100" w:hanging="228"/>
        <w:spacing w:after="0"/>
        <w:tabs>
          <w:tab w:leader="none" w:pos="11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shall have executed and delivered to the Company a copy of the Registration Rights Agreement.</w:t>
      </w:r>
    </w:p>
    <w:p>
      <w:pPr>
        <w:spacing w:after="0" w:line="225" w:lineRule="exact"/>
        <w:rPr>
          <w:rFonts w:ascii="Times New Roman" w:cs="Times New Roman" w:eastAsia="Times New Roman" w:hAnsi="Times New Roman"/>
          <w:sz w:val="18"/>
          <w:szCs w:val="18"/>
          <w:color w:val="auto"/>
        </w:rPr>
      </w:pPr>
    </w:p>
    <w:p>
      <w:pPr>
        <w:ind w:left="1120" w:hanging="248"/>
        <w:spacing w:after="0"/>
        <w:tabs>
          <w:tab w:leader="none" w:pos="11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shall have executed and delivered to the Company a copy of the Escrow Agreement.</w:t>
      </w:r>
    </w:p>
    <w:p>
      <w:pPr>
        <w:spacing w:after="0" w:line="225" w:lineRule="exact"/>
        <w:rPr>
          <w:rFonts w:ascii="Times New Roman" w:cs="Times New Roman" w:eastAsia="Times New Roman" w:hAnsi="Times New Roman"/>
          <w:sz w:val="18"/>
          <w:szCs w:val="18"/>
          <w:color w:val="auto"/>
        </w:rPr>
      </w:pPr>
    </w:p>
    <w:p>
      <w:pPr>
        <w:ind w:left="1120" w:hanging="248"/>
        <w:spacing w:after="0"/>
        <w:tabs>
          <w:tab w:leader="none" w:pos="11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Sponsor shall have executed and delivered to Parent a copy of the Voting Agreement.</w:t>
      </w:r>
    </w:p>
    <w:p>
      <w:pPr>
        <w:spacing w:after="0" w:line="225" w:lineRule="exact"/>
        <w:rPr>
          <w:rFonts w:ascii="Times New Roman" w:cs="Times New Roman" w:eastAsia="Times New Roman" w:hAnsi="Times New Roman"/>
          <w:sz w:val="18"/>
          <w:szCs w:val="18"/>
          <w:color w:val="auto"/>
        </w:rPr>
      </w:pPr>
    </w:p>
    <w:p>
      <w:pPr>
        <w:ind w:left="1100" w:hanging="228"/>
        <w:spacing w:after="0"/>
        <w:tabs>
          <w:tab w:leader="none" w:pos="11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executed and delivered to the Company a copy of each Additional Agreement to which it or any of its stockholders is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w:t>
      </w:r>
    </w:p>
    <w:p>
      <w:pPr>
        <w:spacing w:after="0" w:line="206" w:lineRule="exact"/>
        <w:rPr>
          <w:rFonts w:ascii="Times New Roman" w:cs="Times New Roman" w:eastAsia="Times New Roman" w:hAnsi="Times New Roman"/>
          <w:sz w:val="18"/>
          <w:szCs w:val="18"/>
          <w:color w:val="auto"/>
        </w:rPr>
      </w:pPr>
    </w:p>
    <w:p>
      <w:pPr>
        <w:ind w:left="1080" w:hanging="208"/>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size and composition of the post-Closing Parent Board of Directors shall have been appointed as set forth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120" w:hanging="248"/>
        <w:spacing w:after="0"/>
        <w:tabs>
          <w:tab w:leader="none" w:pos="11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Transaction Proceeds shall be equal to or greater than $170,000,000.</w:t>
      </w:r>
    </w:p>
    <w:p>
      <w:pPr>
        <w:spacing w:after="0" w:line="225" w:lineRule="exact"/>
        <w:rPr>
          <w:rFonts w:ascii="Times New Roman" w:cs="Times New Roman" w:eastAsia="Times New Roman" w:hAnsi="Times New Roman"/>
          <w:sz w:val="18"/>
          <w:szCs w:val="18"/>
          <w:color w:val="auto"/>
        </w:rPr>
      </w:pPr>
    </w:p>
    <w:p>
      <w:pPr>
        <w:jc w:val="both"/>
        <w:ind w:firstLine="872"/>
        <w:spacing w:after="0" w:line="261" w:lineRule="auto"/>
        <w:tabs>
          <w:tab w:leader="none" w:pos="111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Parent’s initial listing application with Nasdaq in connection with the transactions contemplated by this Agreement shall have been conditionally approved and, immediately following the Effective Time, Parent shall satisfy any applicable initial and continuing listing requirements of Nasdaq, and Parent shall not have received any notice of non-compliance therewith, and the Closing Payment Shares shall have been approved for listing on Nasdaq.</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7"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Indemnification of Parent</w:t>
      </w:r>
      <w:r>
        <w:rPr>
          <w:rFonts w:ascii="Times New Roman" w:cs="Times New Roman" w:eastAsia="Times New Roman" w:hAnsi="Times New Roman"/>
          <w:sz w:val="18"/>
          <w:szCs w:val="18"/>
          <w:color w:val="auto"/>
        </w:rPr>
        <w:t>. From and after the Closing, the Escrow Participants shall, severally and not jointly, indemnify and hold harmless Parent, its officers, directors and Affiliates and their respective successors and permitted assigns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from and against and in respect of any and all out-of-pocket loss, cost, payment, demand, penalty, forfeiture, expense, liability, judgment, deficiency or damage (including actual costs of investigation and attorneys’ fees and other costs and expenses) (all of the foregoing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incurred or sustained by Parent as a result of (a) any breach or inaccuracy of any of the representations or warranties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(as modified by the Schedules) or in the Company Certificate, in each case, for the avoidance of doubt, as of the date of this Agreement or the Closing Date or such other date as expressly set forth in such representation or warranty; or (b) any breach or nonfulfillment of any covenants of the Company contained in this Agreement to be performed at or prior to the Closing Date. Notwithstanding anything in this Agreement to the contrary, the maximum liability of the Escrow Participants under this Agreement, including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or otherwise in connection with the transactions contemplated by this Agreement, shall in no event exceed an amount equal to</w:t>
      </w:r>
    </w:p>
    <w:p>
      <w:pPr>
        <w:spacing w:after="0" w:line="6" w:lineRule="exact"/>
        <w:rPr>
          <w:sz w:val="20"/>
          <w:szCs w:val="20"/>
          <w:color w:val="auto"/>
        </w:rPr>
      </w:pPr>
    </w:p>
    <w:p>
      <w:pPr>
        <w:jc w:val="both"/>
        <w:ind w:firstLine="8"/>
        <w:spacing w:after="0" w:line="253" w:lineRule="auto"/>
        <w:tabs>
          <w:tab w:leader="none" w:pos="2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Escrow Share Value, </w:t>
      </w:r>
      <w:r>
        <w:rPr>
          <w:rFonts w:ascii="Times New Roman" w:cs="Times New Roman" w:eastAsia="Times New Roman" w:hAnsi="Times New Roman"/>
          <w:sz w:val="18"/>
          <w:szCs w:val="18"/>
          <w:i w:val="1"/>
          <w:iCs w:val="1"/>
          <w:u w:val="single" w:color="auto"/>
          <w:color w:val="auto"/>
        </w:rPr>
        <w:t>multiplied</w:t>
      </w:r>
      <w:r>
        <w:rPr>
          <w:rFonts w:ascii="Times New Roman" w:cs="Times New Roman" w:eastAsia="Times New Roman" w:hAnsi="Times New Roman"/>
          <w:sz w:val="18"/>
          <w:szCs w:val="18"/>
          <w:color w:val="auto"/>
        </w:rPr>
        <w:t xml:space="preserve"> by (ii) the Escrow Shares (the “</w:t>
      </w:r>
      <w:r>
        <w:rPr>
          <w:rFonts w:ascii="Times New Roman" w:cs="Times New Roman" w:eastAsia="Times New Roman" w:hAnsi="Times New Roman"/>
          <w:sz w:val="18"/>
          <w:szCs w:val="18"/>
          <w:u w:val="single" w:color="auto"/>
          <w:color w:val="auto"/>
        </w:rPr>
        <w:t>Indemnifiable Loss Limit</w:t>
      </w:r>
      <w:r>
        <w:rPr>
          <w:rFonts w:ascii="Times New Roman" w:cs="Times New Roman" w:eastAsia="Times New Roman" w:hAnsi="Times New Roman"/>
          <w:sz w:val="18"/>
          <w:szCs w:val="18"/>
          <w:color w:val="auto"/>
        </w:rPr>
        <w:t xml:space="preserve">”). Parent shall not be entitled to indemnification pursuant to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unless and until the aggregate amount of Losses incurred by Parent equals at least $1,612,500 (the “</w:t>
      </w:r>
      <w:r>
        <w:rPr>
          <w:rFonts w:ascii="Times New Roman" w:cs="Times New Roman" w:eastAsia="Times New Roman" w:hAnsi="Times New Roman"/>
          <w:sz w:val="18"/>
          <w:szCs w:val="18"/>
          <w:u w:val="single" w:color="auto"/>
          <w:color w:val="auto"/>
        </w:rPr>
        <w:t>Basket</w:t>
      </w:r>
      <w:r>
        <w:rPr>
          <w:rFonts w:ascii="Times New Roman" w:cs="Times New Roman" w:eastAsia="Times New Roman" w:hAnsi="Times New Roman"/>
          <w:sz w:val="18"/>
          <w:szCs w:val="18"/>
          <w:color w:val="auto"/>
        </w:rPr>
        <w:t>”), at which time, subject to the Indemnifiable Loss Limit, Parent shall be entitled to indemnification for any and all Losses above the Basket. The Escrow Participants shall have no liability or obligation to indemnify Parent or any other Indemnified Party under this Agreement with respect to the breach or inaccuracy of any representation or warranty, based on any matter, fact or circumstance Known by Parent on the date of this Agreement.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xml:space="preserve">. The following shall apply with respect to all claims by an Indemnified Party for indemnification pursuant to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72"/>
        <w:spacing w:after="0" w:line="254" w:lineRule="auto"/>
        <w:tabs>
          <w:tab w:leader="none" w:pos="115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Indemnified Party shall give the Stockholders’ Representative prompt notice (an “</w:t>
      </w:r>
      <w:r>
        <w:rPr>
          <w:rFonts w:ascii="Times New Roman" w:cs="Times New Roman" w:eastAsia="Times New Roman" w:hAnsi="Times New Roman"/>
          <w:sz w:val="18"/>
          <w:szCs w:val="18"/>
          <w:u w:val="single" w:color="auto"/>
          <w:color w:val="auto"/>
        </w:rPr>
        <w:t>Indemnification Notice</w:t>
      </w:r>
      <w:r>
        <w:rPr>
          <w:rFonts w:ascii="Times New Roman" w:cs="Times New Roman" w:eastAsia="Times New Roman" w:hAnsi="Times New Roman"/>
          <w:sz w:val="18"/>
          <w:szCs w:val="18"/>
          <w:color w:val="auto"/>
        </w:rPr>
        <w:t>”) of (i) any event, circumstance, development, state of facts or occurrence of which such Indemnified Party is aware that resulted or may result in any Losses by any Indemnified Party with respect to which such Indemnified Party seeks indemnification pursuant to this Agreement and/or (ii) any third-party action with respect to which such Indemnified Party seeks indemnification pursuant to this Agreement (a “</w:t>
      </w:r>
      <w:r>
        <w:rPr>
          <w:rFonts w:ascii="Times New Roman" w:cs="Times New Roman" w:eastAsia="Times New Roman" w:hAnsi="Times New Roman"/>
          <w:sz w:val="18"/>
          <w:szCs w:val="18"/>
          <w:u w:val="single" w:color="auto"/>
          <w:color w:val="auto"/>
        </w:rPr>
        <w:t>Third-Party Claim</w:t>
      </w:r>
      <w:r>
        <w:rPr>
          <w:rFonts w:ascii="Times New Roman" w:cs="Times New Roman" w:eastAsia="Times New Roman" w:hAnsi="Times New Roman"/>
          <w:sz w:val="18"/>
          <w:szCs w:val="18"/>
          <w:color w:val="auto"/>
        </w:rPr>
        <w:t xml:space="preserve">”), which shall describe in reasonable detail the Loss that has been or may be suffered by the Indemnified Party. The failure to promptly give the Indemnification Notice shall not impair any of the rights or benefits of such Indemnified Party under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except to the extent such failure materially prejudices the ability of the Stockholders’ Representative, on behalf of the Escrow Participants (the “</w:t>
      </w:r>
      <w:r>
        <w:rPr>
          <w:rFonts w:ascii="Times New Roman" w:cs="Times New Roman" w:eastAsia="Times New Roman" w:hAnsi="Times New Roman"/>
          <w:sz w:val="18"/>
          <w:szCs w:val="18"/>
          <w:u w:val="single" w:color="auto"/>
          <w:color w:val="auto"/>
        </w:rPr>
        <w:t>Indemnifying Parties</w:t>
      </w:r>
      <w:r>
        <w:rPr>
          <w:rFonts w:ascii="Times New Roman" w:cs="Times New Roman" w:eastAsia="Times New Roman" w:hAnsi="Times New Roman"/>
          <w:sz w:val="18"/>
          <w:szCs w:val="18"/>
          <w:color w:val="auto"/>
        </w:rPr>
        <w:t>”), to defend such claim or increases the amount of such liability.</w:t>
      </w:r>
    </w:p>
    <w:p>
      <w:pPr>
        <w:spacing w:after="0" w:line="191" w:lineRule="exact"/>
        <w:rPr>
          <w:rFonts w:ascii="Times New Roman" w:cs="Times New Roman" w:eastAsia="Times New Roman" w:hAnsi="Times New Roman"/>
          <w:sz w:val="18"/>
          <w:szCs w:val="18"/>
          <w:color w:val="auto"/>
        </w:rPr>
      </w:pPr>
    </w:p>
    <w:p>
      <w:pPr>
        <w:jc w:val="both"/>
        <w:ind w:firstLine="872"/>
        <w:spacing w:after="0" w:line="258" w:lineRule="auto"/>
        <w:tabs>
          <w:tab w:leader="none" w:pos="113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Third-Party Claims as to which indemnification is sought by any Indemnified Party, such Indemnified Party shall be entitled, at the sole expense and liability of the Escrow Participants, to exercise full control of the defense, compromise or settlement of any Third-Party Claim unless the Stockholders’ Representative, within a reasonable time after the giving of an Indemnification Notice by the Indemnified Party (but in any event within twenty (20) Business Days thereafter), shall (x) notify such Indemnified Party in writing of the intention of the Indemnifying Parties to assume the defense thereof and (y) retain legal counsel reasonably satisfactory to the Indemnified Party to conduct the defense of such Third-Party Claim.</w:t>
      </w:r>
    </w:p>
    <w:p>
      <w:pPr>
        <w:spacing w:after="0" w:line="183" w:lineRule="exact"/>
        <w:rPr>
          <w:rFonts w:ascii="Times New Roman" w:cs="Times New Roman" w:eastAsia="Times New Roman" w:hAnsi="Times New Roman"/>
          <w:sz w:val="18"/>
          <w:szCs w:val="18"/>
          <w:color w:val="auto"/>
        </w:rPr>
      </w:pPr>
    </w:p>
    <w:p>
      <w:pPr>
        <w:jc w:val="both"/>
        <w:ind w:firstLine="872"/>
        <w:spacing w:after="0" w:line="253" w:lineRule="auto"/>
        <w:tabs>
          <w:tab w:leader="none" w:pos="111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Stockholders’ Representative, on behalf of the Indemnifying Parties, assumes the defense of any such Third-Party Claim pursuant to </w:t>
      </w:r>
      <w:r>
        <w:rPr>
          <w:rFonts w:ascii="Times New Roman" w:cs="Times New Roman" w:eastAsia="Times New Roman" w:hAnsi="Times New Roman"/>
          <w:sz w:val="18"/>
          <w:szCs w:val="18"/>
          <w:u w:val="single" w:color="auto"/>
          <w:color w:val="auto"/>
        </w:rPr>
        <w:t>Section 11.2(b)</w:t>
      </w:r>
      <w:r>
        <w:rPr>
          <w:rFonts w:ascii="Times New Roman" w:cs="Times New Roman" w:eastAsia="Times New Roman" w:hAnsi="Times New Roman"/>
          <w:sz w:val="18"/>
          <w:szCs w:val="18"/>
          <w:color w:val="auto"/>
        </w:rPr>
        <w:t xml:space="preserve">, then the Indemnified Party shall cooperate with the Stockholders’ Representative in any manner reasonably requested in connection with the defense, and the Indemnified Party shall have the right to be kept fully informed by the Stockholders’ Representative and its legal counsel with respect to the status of any legal proceedings, to the extent not inconsistent with the preservation of attorney-client or work product privilege. If the Stockholders’ Representative so assumes the defense of any such Third-Party Claim the Indemnified Party shall have the right to employ separate counsel and to participate in (but not control) the defense, compromise or settlement thereof, but the fees and expenses of such counsel employed by the Indemnified Party shall be at the expense of such Indemnified Party unless (i) the Stockholders’ Representative has agreed, on behalf of the Indemnifying Parties, to pay such fees and expenses or (ii) the named parties to any such Third-Party Claim (including any impleaded parties) include an Indemnified Party and an Indemnifying Party and such Indemnified Party shall have been advised by its counsel that there may be a conflict of interest between such Indemnified Party and the Indemnifying Parties in the conduct of the defense thereof, in which event the reasonable documented out-of-pocket fees and expenses of such separate counsel of the Indemnified Party shall be borne by the Indemnifying Parties, subject to the limitations set forth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jc w:val="both"/>
        <w:ind w:firstLine="872"/>
        <w:spacing w:after="0" w:line="252" w:lineRule="auto"/>
        <w:tabs>
          <w:tab w:leader="none" w:pos="113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Stockholders’ Representative elects to assume the defense of any Third-Party Claim pursuant to </w:t>
      </w:r>
      <w:r>
        <w:rPr>
          <w:rFonts w:ascii="Times New Roman" w:cs="Times New Roman" w:eastAsia="Times New Roman" w:hAnsi="Times New Roman"/>
          <w:sz w:val="18"/>
          <w:szCs w:val="18"/>
          <w:u w:val="single" w:color="auto"/>
          <w:color w:val="auto"/>
        </w:rPr>
        <w:t>Section 11.2(b)</w:t>
      </w:r>
      <w:r>
        <w:rPr>
          <w:rFonts w:ascii="Times New Roman" w:cs="Times New Roman" w:eastAsia="Times New Roman" w:hAnsi="Times New Roman"/>
          <w:sz w:val="18"/>
          <w:szCs w:val="18"/>
          <w:color w:val="auto"/>
        </w:rPr>
        <w:t xml:space="preserve">, the Indemnified Party shall not pay, or permit to be paid, any part of any claim or demand arising from such asserted liability unless the Stockholders’ Representative withdraws from or fails to adequately prosecute the defense of such asserted liability or Third-Party Claim, or unless a judgment is entered against the Indemnified Party for such liability by an Authority of competent jurisdiction. If the Stockholders’ Representative does not elect to defend, or if, after commencing or undertaking any such defense, the Stockholders’ Representative withdraws from or fails to adequately prosecute such defense, the Indemnified Party shall have the right to undertake the defense or settlement thereof, at the Indemnifying Parties’ expense, subject to the limitations set forth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Notwithstanding anything to the contrary, the Stockholders’ Representative shall not be entitled to control, but may participate in, and the Indemnified Parties (at the expense of the Indemnifying Parties) shall be entitled to have sole control over, the defense or settlement of (x) that part of any Third-Party Claim (i) that seeks a temporary restraining order, a preliminary or permanent injunction or specific performance against such Indemnified Parties, or (ii) to the extent such Third-Party Claim involves criminal allegations against such Indemnified Parties or (y) the entire Third-Party Claim if such Third-Party Claim would impose liability on the part of such Indemnified Party in an amount which is greater than the amount as to which such Indemnified Party is entitled to indemnification under this Agreement. In the event the Indemnified Parties retain control of the Third-Party Claim, the Indemnified Parties will not settle the subject claim without the prior written consent of the Stockholders’ Representative, which consent will not be unreasonably withheld or delayed.</w:t>
      </w:r>
    </w:p>
    <w:p>
      <w:pPr>
        <w:spacing w:after="0" w:line="197" w:lineRule="exact"/>
        <w:rPr>
          <w:rFonts w:ascii="Times New Roman" w:cs="Times New Roman" w:eastAsia="Times New Roman" w:hAnsi="Times New Roman"/>
          <w:sz w:val="18"/>
          <w:szCs w:val="18"/>
          <w:color w:val="auto"/>
        </w:rPr>
      </w:pPr>
    </w:p>
    <w:p>
      <w:pPr>
        <w:jc w:val="both"/>
        <w:ind w:firstLine="872"/>
        <w:spacing w:after="0" w:line="253" w:lineRule="auto"/>
        <w:tabs>
          <w:tab w:leader="none" w:pos="111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Indemnified Party undertakes the defense of any such Third-Party Claim pursuant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and proposes to settle the same prior to a final judgment thereon or to forgo appeal with respect thereto, then the Indemnified Party shall give the Stockholders’ Representative prompt written notice thereof and the Stockholders’ Representative (on behalf of the Indemnifying Parties) shall have the right to participate in the settlement, assume or reassume the defense thereof or prosecute such appeal, in each case at the Indemnifying Parties’ expense. The Stockholders’ Representative shall not, without the prior written consent of such Indemnified Party settle or compromise or consent to entry of any judgment with respect to any such Third-Party Claim (i) in which any relief other than the payment of money damages is or may be sought against such Indemnified Party, (ii) in which such Third-Party Claim could be reasonably expected to impose or create a monetary liability on the part of the Indemnified Party (such as an increase in the Indemnified Party’s income Tax liability), other than the monetary claim of the third party in such Third-Party Claim being paid pursuant to such settlement or judgment, or (iii) which does not include as an unconditional term thereof the giving by the claimant, person conducting such investigation or initiating such hearing, plaintiff or petitioner to such Indemnified Party of a release from all liability with respect to such Third-Party Claim and all other actions (known or unknown) arising or which might arise out of the same facts.</w:t>
      </w:r>
    </w:p>
    <w:p>
      <w:pPr>
        <w:spacing w:after="0" w:line="191" w:lineRule="exact"/>
        <w:rPr>
          <w:rFonts w:ascii="Times New Roman" w:cs="Times New Roman" w:eastAsia="Times New Roman" w:hAnsi="Times New Roman"/>
          <w:sz w:val="18"/>
          <w:szCs w:val="18"/>
          <w:color w:val="auto"/>
        </w:rPr>
      </w:pPr>
    </w:p>
    <w:p>
      <w:pPr>
        <w:ind w:firstLine="872"/>
        <w:spacing w:after="0" w:line="282" w:lineRule="auto"/>
        <w:tabs>
          <w:tab w:leader="none" w:pos="109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the disinterested members of the Board of Directors of Parent shall have the authority to institute and prosecute any claims for indemnification hereunder in good faith on behalf of Parent or any other Indemnified Party to enforce the terms of this Agreement.</w:t>
      </w:r>
    </w:p>
    <w:p>
      <w:pPr>
        <w:spacing w:after="0" w:line="16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Escrow of Escrow Shares by Escrow Participants</w:t>
      </w:r>
      <w:r>
        <w:rPr>
          <w:rFonts w:ascii="Times New Roman" w:cs="Times New Roman" w:eastAsia="Times New Roman" w:hAnsi="Times New Roman"/>
          <w:sz w:val="18"/>
          <w:szCs w:val="18"/>
          <w:color w:val="auto"/>
        </w:rPr>
        <w:t>. The Company and the Company Securityholders hereby authorize Parent to deliver the Escrow Shares to the Escrow Agent to be held in escrow (such Escrow Shares, together with any dividends or other distributions of any kind made in respect thereof and any earnings thereon, the “</w:t>
      </w:r>
      <w:r>
        <w:rPr>
          <w:rFonts w:ascii="Times New Roman" w:cs="Times New Roman" w:eastAsia="Times New Roman" w:hAnsi="Times New Roman"/>
          <w:sz w:val="18"/>
          <w:szCs w:val="18"/>
          <w:u w:val="single" w:color="auto"/>
          <w:color w:val="auto"/>
        </w:rPr>
        <w:t>Escrow Fund</w:t>
      </w:r>
      <w:r>
        <w:rPr>
          <w:rFonts w:ascii="Times New Roman" w:cs="Times New Roman" w:eastAsia="Times New Roman" w:hAnsi="Times New Roman"/>
          <w:sz w:val="18"/>
          <w:szCs w:val="18"/>
          <w:color w:val="auto"/>
        </w:rPr>
        <w:t xml:space="preserve">”) pursuant to the Escrow Agreement. For purposes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the Escrow Shares are valued at the greater of: (a) $10.00 per share and (b) the VWAP (the “</w:t>
      </w:r>
      <w:r>
        <w:rPr>
          <w:rFonts w:ascii="Times New Roman" w:cs="Times New Roman" w:eastAsia="Times New Roman" w:hAnsi="Times New Roman"/>
          <w:sz w:val="18"/>
          <w:szCs w:val="18"/>
          <w:u w:val="single" w:color="auto"/>
          <w:color w:val="auto"/>
        </w:rPr>
        <w:t>Escrow Share Value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872"/>
        <w:spacing w:after="0" w:line="258" w:lineRule="auto"/>
        <w:tabs>
          <w:tab w:leader="none" w:pos="11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dividends or other distributions of any kind made in respect of the Escrow Shares will be delivered promptly to the Escrow Agent to be held in escrow pursuant to the terms of the Escrow Agreement. Each Escrow Participant shall be entitled to vote such Escrow Participant’s Pro Rata Portion of the Escrow Shares on any matters to come before the stockholders of Parent. It is intended that for U.S. federal (and applicable state, local and foreign) income tax purposes that while the Escrow Shares are held by the Escrow Agent, the Escrow Participants shall be treated as owners of the Escrow Shares, and to the extent required by applicable Law, the Escrow Agent shall report in a manner consistent with such treatment.</w:t>
      </w:r>
    </w:p>
    <w:p>
      <w:pPr>
        <w:spacing w:after="0" w:line="183" w:lineRule="exact"/>
        <w:rPr>
          <w:rFonts w:ascii="Times New Roman" w:cs="Times New Roman" w:eastAsia="Times New Roman" w:hAnsi="Times New Roman"/>
          <w:sz w:val="18"/>
          <w:szCs w:val="18"/>
          <w:color w:val="auto"/>
        </w:rPr>
      </w:pPr>
    </w:p>
    <w:p>
      <w:pPr>
        <w:jc w:val="both"/>
        <w:ind w:firstLine="872"/>
        <w:spacing w:after="0" w:line="261" w:lineRule="auto"/>
        <w:tabs>
          <w:tab w:leader="none" w:pos="112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times provided for in </w:t>
      </w:r>
      <w:r>
        <w:rPr>
          <w:rFonts w:ascii="Times New Roman" w:cs="Times New Roman" w:eastAsia="Times New Roman" w:hAnsi="Times New Roman"/>
          <w:sz w:val="18"/>
          <w:szCs w:val="18"/>
          <w:u w:val="single" w:color="auto"/>
          <w:color w:val="auto"/>
        </w:rPr>
        <w:t>Section 11.3(d)</w:t>
      </w:r>
      <w:r>
        <w:rPr>
          <w:rFonts w:ascii="Times New Roman" w:cs="Times New Roman" w:eastAsia="Times New Roman" w:hAnsi="Times New Roman"/>
          <w:sz w:val="18"/>
          <w:szCs w:val="18"/>
          <w:color w:val="auto"/>
        </w:rPr>
        <w:t>, the Escrow Shares shall be distributed to each Escrow Participant in accordance with such Escrow Participant’s Pro Rata Portion. Parent will take such action as may be necessary to cause such securities to be issued in the names of the appropriate Persons. Certificates representing Escrow Shares so issued that are subject to resale restrictions under applicable securities laws will bear a legend to that effect. No fractional shares shall be released and delivered from the Escrow Fund and all fractional shares shall be rounded to the nearest whole share.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right="20" w:firstLine="872"/>
        <w:spacing w:after="0" w:line="266" w:lineRule="auto"/>
        <w:tabs>
          <w:tab w:leader="none" w:pos="112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Escrow Shares or any beneficial interest therein may be pledged, sold, assigned or transferred, including by operation of law, by the Escrow Participants or be taken or reached by any legal or equitable process in satisfaction of any debt or other liability of the Escrow Participants, prior to the delivery to such Escrow Participants of the Escrow Fund by the Escrow Agent as provided herein.</w:t>
      </w:r>
    </w:p>
    <w:p>
      <w:pPr>
        <w:spacing w:after="0" w:line="175" w:lineRule="exact"/>
        <w:rPr>
          <w:rFonts w:ascii="Times New Roman" w:cs="Times New Roman" w:eastAsia="Times New Roman" w:hAnsi="Times New Roman"/>
          <w:sz w:val="18"/>
          <w:szCs w:val="18"/>
          <w:color w:val="auto"/>
        </w:rPr>
      </w:pPr>
    </w:p>
    <w:p>
      <w:pPr>
        <w:jc w:val="both"/>
        <w:ind w:firstLine="872"/>
        <w:spacing w:after="0" w:line="253" w:lineRule="auto"/>
        <w:tabs>
          <w:tab w:leader="none" w:pos="111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no event later than five (5) Business Days, following expiration of the Survival Period (the “</w:t>
      </w:r>
      <w:r>
        <w:rPr>
          <w:rFonts w:ascii="Times New Roman" w:cs="Times New Roman" w:eastAsia="Times New Roman" w:hAnsi="Times New Roman"/>
          <w:sz w:val="18"/>
          <w:szCs w:val="18"/>
          <w:u w:val="single" w:color="auto"/>
          <w:color w:val="auto"/>
        </w:rPr>
        <w:t>Release Date</w:t>
      </w:r>
      <w:r>
        <w:rPr>
          <w:rFonts w:ascii="Times New Roman" w:cs="Times New Roman" w:eastAsia="Times New Roman" w:hAnsi="Times New Roman"/>
          <w:sz w:val="18"/>
          <w:szCs w:val="18"/>
          <w:color w:val="auto"/>
        </w:rPr>
        <w:t xml:space="preserve">”), the Escrow Shares, </w:t>
      </w:r>
      <w:r>
        <w:rPr>
          <w:rFonts w:ascii="Times New Roman" w:cs="Times New Roman" w:eastAsia="Times New Roman" w:hAnsi="Times New Roman"/>
          <w:sz w:val="18"/>
          <w:szCs w:val="18"/>
          <w:i w:val="1"/>
          <w:iCs w:val="1"/>
          <w:u w:val="single" w:color="auto"/>
          <w:color w:val="auto"/>
        </w:rPr>
        <w:t>less</w:t>
      </w:r>
      <w:r>
        <w:rPr>
          <w:rFonts w:ascii="Times New Roman" w:cs="Times New Roman" w:eastAsia="Times New Roman" w:hAnsi="Times New Roman"/>
          <w:sz w:val="18"/>
          <w:szCs w:val="18"/>
          <w:color w:val="auto"/>
        </w:rPr>
        <w:t xml:space="preserve"> the number of Escrow Shares (at an assumed value equal to the Escrow Share Value per Escrow Share) reasonably necessary to serve as security for Losses set forth in any Indemnification Notice delivered by Parent prior to the expiration of the Survival Period with respect to any claims for indemnification that remain pending and unresolved as of the Release Date, will be released from escrow to the Escrow Participants (in accordance with each Escrow Participant’s Pro Rata Portion). The Stockholders’ Representative and Parent shall jointly issue to the Escrow Agent a certificate executed by each of them instructing the Escrow Agent to release such number of Escrow Shares (in accordance with each Escrow Participant’s Pro Rata Portion) determined in accordance with this </w:t>
      </w:r>
      <w:r>
        <w:rPr>
          <w:rFonts w:ascii="Times New Roman" w:cs="Times New Roman" w:eastAsia="Times New Roman" w:hAnsi="Times New Roman"/>
          <w:sz w:val="18"/>
          <w:szCs w:val="18"/>
          <w:u w:val="single" w:color="auto"/>
          <w:color w:val="auto"/>
        </w:rPr>
        <w:t>Section 11.3(d)</w:t>
      </w:r>
      <w:r>
        <w:rPr>
          <w:rFonts w:ascii="Times New Roman" w:cs="Times New Roman" w:eastAsia="Times New Roman" w:hAnsi="Times New Roman"/>
          <w:sz w:val="18"/>
          <w:szCs w:val="18"/>
          <w:color w:val="auto"/>
        </w:rPr>
        <w:t xml:space="preserve">. Promptly, but in no event later than five (5) Business Days, following the resolution, in accordance with the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of any claim(s) for indemnification that remain unresolved as of the Release Date, the Stockholders’ Representative and Parent shall jointly issue to the Escrow Agent a certificate executed by each of them instructing the Escrow Agent to release to each Escrow Participant (in accordance with such Escrow Participant’s Pro Rata Portion) the number of Escrow Shares retained in escrow as a result of such claim(s) following the resolution of such claim(s) and not released to Parent. Any Escrow Shares received by Parent as an indemnification payment shall be promptly cancelled by Parent after its receipt thereof.</w:t>
      </w:r>
    </w:p>
    <w:p>
      <w:pPr>
        <w:spacing w:after="0" w:line="190"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Payment of Indemnification</w:t>
      </w:r>
      <w:r>
        <w:rPr>
          <w:rFonts w:ascii="Times New Roman" w:cs="Times New Roman" w:eastAsia="Times New Roman" w:hAnsi="Times New Roman"/>
          <w:sz w:val="18"/>
          <w:szCs w:val="18"/>
          <w:color w:val="auto"/>
        </w:rPr>
        <w:t xml:space="preserve">. In the event that Parent is entitled to indemnification for any Losses pursuant to this Agreement or otherwise in connection with the transactions contemplated by this Agreement, Parent’s sole and exclusive remedy for such Losses shall be the recovery of a number of Parent Class A Shares from the then-remaining Escrow Shares having a value equal to the Losses that have been finally determined to be owing to Parent in accordance with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(at an assumed value equal to the Escrow Share Value per Escrow Share), in each case, subject to the limitations set forth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Any payments to Parent from the Escrow Shares (a) is intended to comply with, and shall be effected in accordance with, Rev. Proc. 84-42, 1984-1 C.B. 521 and (b) shall be treated as a reduction in the number of Parent Class A Shares issued to the Escrow Participants for U.S. federal (and applicable state, local, and foreign) income Tax purposes except to the extent otherwise required pursuant to a “determination” (as defined in Section 1313(a) of the Code or any similar provision of state, local or foreign Law) or with respect to any amounts treated as imputed interest under Section 483 of the Code.</w:t>
      </w:r>
    </w:p>
    <w:p>
      <w:pPr>
        <w:spacing w:after="0" w:line="18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In calculating amounts of Losses payable to an Indemnified Party hereunder, the amount of any indemnified Losses shall be determined net of amounts actually recovered by the applicable Indemnified Party under any insurance policy or other third party reimbursement actually received.</w:t>
      </w:r>
    </w:p>
    <w:p>
      <w:pPr>
        <w:spacing w:after="0" w:line="176"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Survival of Indemnification Rights</w:t>
      </w:r>
      <w:r>
        <w:rPr>
          <w:rFonts w:ascii="Times New Roman" w:cs="Times New Roman" w:eastAsia="Times New Roman" w:hAnsi="Times New Roman"/>
          <w:sz w:val="18"/>
          <w:szCs w:val="18"/>
          <w:color w:val="auto"/>
        </w:rPr>
        <w:t>. The representations and warranties of the Company shall survive until twelve (12) months (the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xml:space="preserve">”) following the Closing. The covenants of the Company contained in this Agreement to be performed prior to the Closing shall expire and be of no further force or effect as of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claim for breach or nonfulfillment may be asserted at any time prior to the expiration of the Survival Period as set forth in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The indemnification to which any Indemnified Party is entitled from the Indemnifying Parties pursuant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for Losses shall be effective so long as it is asserted prior to the expiration of the Survival Period (for the avoidance of doubt, any claim set forth in an Indemnification Notice shall be deemed asserted upon delivery of such Indemnification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Indemnification Notice shall have been given in accordance with the provisions of this Agreement prior to the expiration of the Survival Period and such claim has not been finally resolved by the expiration of the Survival Period, the representations, warranties, covenants, agreements or obligations that are the subject of such Indemnifications Notice shall survive solely for purposes of resolving such claim until such matters are finally resolved. The parties acknowledge that the time periods set forth in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for the assertion of claims under this Agreement are the result of arms’-length negotiation among the parties and that they intend for the time periods to be enforced as agreed by the parties without regard to the applicable statute of limitations with respect to such matters and that the twenty (20) year statute of limitations contemplated by Title 10 of Section 8106(c) of the Delaware Code shall not apply to this Agreement.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Sole and Exclusive Remedy</w:t>
      </w:r>
      <w:r>
        <w:rPr>
          <w:rFonts w:ascii="Times New Roman" w:cs="Times New Roman" w:eastAsia="Times New Roman" w:hAnsi="Times New Roman"/>
          <w:sz w:val="18"/>
          <w:szCs w:val="18"/>
          <w:color w:val="auto"/>
        </w:rPr>
        <w:t xml:space="preserve">. The remedies provided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the rights to enforce the Additional Agreements in accordance with their terms shall be deemed the sole and exclusive remedies of the Indemnified Parties, from and after the Closing Date, with respect to any and all claims arising out of or related to this Agreement or in connection with the transactions contemplated hereby, except nothing in this Agreement (a) will limit the parties’ rights to seek injunctive relief or other equitable remedies, (b) shall prevent Parent from bringing an action for fraud (with scienter) against the Person who committed such Fraud (with scienter) or (c) limit the right of any Person to pursue remedies under any Additional Agreement against the parties thereto.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DISPUTE RESOLUTION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72"/>
        <w:spacing w:after="0" w:line="258" w:lineRule="auto"/>
        <w:tabs>
          <w:tab w:leader="none" w:pos="111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promptly submit any dispute, claim, or controversy arising out of or relating to this Agreement (including with respect to the meaning, effect, validity, termination, interpretation, performance, or enforcement of this Agreement) or any alleged breach thereof (including any action in tort, contract, equity, or otherwise), to binding arbitration before one arbitrator (the “</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Binding arbitration shall be the sole means of resolving any dispute, claim, or controversy arising out of or relating to this Agreement (including with respect to the meaning, effect, validity, termination, interpretation, performance or enforcement of this Agreement) or any alleged breach thereof (including any claim in tort, contract, equity, or otherwise).</w:t>
      </w:r>
    </w:p>
    <w:p>
      <w:pPr>
        <w:spacing w:after="0" w:line="183" w:lineRule="exact"/>
        <w:rPr>
          <w:rFonts w:ascii="Times New Roman" w:cs="Times New Roman" w:eastAsia="Times New Roman" w:hAnsi="Times New Roman"/>
          <w:sz w:val="18"/>
          <w:szCs w:val="18"/>
          <w:color w:val="auto"/>
        </w:rPr>
      </w:pPr>
    </w:p>
    <w:p>
      <w:pPr>
        <w:ind w:firstLine="872"/>
        <w:spacing w:after="0" w:line="282" w:lineRule="auto"/>
        <w:tabs>
          <w:tab w:leader="none" w:pos="112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parties cannot agree upon the Arbitrator, the Arbitrator shall be selected by the New York, New York chapter head of the American Arbitration Association upon the written request of any party. The Arbitrator shall be selected within thirty (30) days of the written request of any party.</w:t>
      </w:r>
    </w:p>
    <w:p>
      <w:pPr>
        <w:spacing w:after="0" w:line="161" w:lineRule="exact"/>
        <w:rPr>
          <w:rFonts w:ascii="Times New Roman" w:cs="Times New Roman" w:eastAsia="Times New Roman" w:hAnsi="Times New Roman"/>
          <w:sz w:val="18"/>
          <w:szCs w:val="18"/>
          <w:color w:val="auto"/>
        </w:rPr>
      </w:pPr>
    </w:p>
    <w:p>
      <w:pPr>
        <w:jc w:val="both"/>
        <w:ind w:firstLine="872"/>
        <w:spacing w:after="0" w:line="261" w:lineRule="auto"/>
        <w:tabs>
          <w:tab w:leader="none" w:pos="11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the State of Delaware shall apply to any arbitration hereunder. In any arbitration hereunder, this Agreement shall be governed by the laws of the State of Delaware applicable to a contract negotiated, signed and to be performed wholly in the State of Delaware, which laws the Arbitrator shall apply in rendering his decision. The Arbitrator shall issue a written decision, setting forth findings of fact and conclusions of law, within sixty (60) days after he shall have been selected. The Arbitrator shall have no authority to award punitive or other exemplary damages.</w:t>
      </w:r>
    </w:p>
    <w:p>
      <w:pPr>
        <w:spacing w:after="0" w:line="179" w:lineRule="exact"/>
        <w:rPr>
          <w:rFonts w:ascii="Times New Roman" w:cs="Times New Roman" w:eastAsia="Times New Roman" w:hAnsi="Times New Roman"/>
          <w:sz w:val="18"/>
          <w:szCs w:val="18"/>
          <w:color w:val="auto"/>
        </w:rPr>
      </w:pPr>
    </w:p>
    <w:p>
      <w:pPr>
        <w:ind w:right="20" w:firstLine="872"/>
        <w:spacing w:after="0" w:line="282" w:lineRule="auto"/>
        <w:tabs>
          <w:tab w:leader="none" w:pos="111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shall be held in New York, New York in accordance with and under the then-current provisions of the rules of the American Arbitration Association, except as otherwise provided herein.</w:t>
      </w:r>
    </w:p>
    <w:p>
      <w:pPr>
        <w:spacing w:after="0" w:line="161" w:lineRule="exact"/>
        <w:rPr>
          <w:rFonts w:ascii="Times New Roman" w:cs="Times New Roman" w:eastAsia="Times New Roman" w:hAnsi="Times New Roman"/>
          <w:sz w:val="18"/>
          <w:szCs w:val="18"/>
          <w:color w:val="auto"/>
        </w:rPr>
      </w:pPr>
    </w:p>
    <w:p>
      <w:pPr>
        <w:jc w:val="both"/>
        <w:ind w:firstLine="872"/>
        <w:spacing w:after="0" w:line="266" w:lineRule="auto"/>
        <w:tabs>
          <w:tab w:leader="none" w:pos="111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application to the Arbitrator, any party shall have rights to discovery to the same extent as would be provided under the Federal Rules of Civil Procedure, and the Federal Rules of Evidence shall apply to any arbitration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Arbitrator shall limit any discovery or evidence such that his decision shall be rendered within the period referred to in </w:t>
      </w:r>
      <w:r>
        <w:rPr>
          <w:rFonts w:ascii="Times New Roman" w:cs="Times New Roman" w:eastAsia="Times New Roman" w:hAnsi="Times New Roman"/>
          <w:sz w:val="18"/>
          <w:szCs w:val="18"/>
          <w:u w:val="single" w:color="auto"/>
          <w:color w:val="auto"/>
        </w:rPr>
        <w:t>Section 12.1(c)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872"/>
        <w:spacing w:after="0" w:line="282" w:lineRule="auto"/>
        <w:tabs>
          <w:tab w:leader="none" w:pos="108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Arbitrator may, at his discretion and at the expense of the party who will bear the cost of the arbitration, employ experts to assist him in his determinations.</w:t>
      </w:r>
    </w:p>
    <w:p>
      <w:pPr>
        <w:spacing w:after="0" w:line="161" w:lineRule="exact"/>
        <w:rPr>
          <w:rFonts w:ascii="Times New Roman" w:cs="Times New Roman" w:eastAsia="Times New Roman" w:hAnsi="Times New Roman"/>
          <w:sz w:val="18"/>
          <w:szCs w:val="18"/>
          <w:color w:val="auto"/>
        </w:rPr>
      </w:pPr>
    </w:p>
    <w:p>
      <w:pPr>
        <w:jc w:val="both"/>
        <w:ind w:firstLine="872"/>
        <w:spacing w:after="0" w:line="261" w:lineRule="auto"/>
        <w:tabs>
          <w:tab w:leader="none" w:pos="113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costs of the arbitration proceeding and any proceeding in court to confirm any arbitration award or to obtain relief as provided in </w:t>
      </w:r>
      <w:r>
        <w:rPr>
          <w:rFonts w:ascii="Times New Roman" w:cs="Times New Roman" w:eastAsia="Times New Roman" w:hAnsi="Times New Roman"/>
          <w:sz w:val="18"/>
          <w:szCs w:val="18"/>
          <w:u w:val="single" w:color="auto"/>
          <w:color w:val="auto"/>
        </w:rPr>
        <w:t>Section 12.1(h)</w:t>
      </w:r>
      <w:r>
        <w:rPr>
          <w:rFonts w:ascii="Times New Roman" w:cs="Times New Roman" w:eastAsia="Times New Roman" w:hAnsi="Times New Roman"/>
          <w:sz w:val="18"/>
          <w:szCs w:val="18"/>
          <w:color w:val="auto"/>
        </w:rPr>
        <w:t>, as applicable (including actual attorneys’ fees and costs), shall be borne by the unsuccessful party (if the Stockholders’ Representative, then solely on behalf of the Company Securityholders) and shall be awarded as part of the Arbitrator’s decision, unless the Arbitrator shall otherwise allocate such costs in such decision. The determination of the Arbitrator shall be final and binding upon the parties and not subject to appeal.</w:t>
      </w:r>
    </w:p>
    <w:p>
      <w:pPr>
        <w:spacing w:after="0" w:line="179" w:lineRule="exact"/>
        <w:rPr>
          <w:rFonts w:ascii="Times New Roman" w:cs="Times New Roman" w:eastAsia="Times New Roman" w:hAnsi="Times New Roman"/>
          <w:sz w:val="18"/>
          <w:szCs w:val="18"/>
          <w:color w:val="auto"/>
        </w:rPr>
      </w:pPr>
    </w:p>
    <w:p>
      <w:pPr>
        <w:jc w:val="both"/>
        <w:ind w:firstLine="872"/>
        <w:spacing w:after="0" w:line="256" w:lineRule="auto"/>
        <w:tabs>
          <w:tab w:leader="none" w:pos="113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judgment upon any award rendered by the Arbitrator may be entered in and enforced by any court of competent jurisdiction. The parties expressly consent to the non-exclusive jurisdiction of the courts (Federal and state) in Delaware, to enforce any award of the Arbitrator or to render any provisional, temporary, or injunctive relief in connection with or in aid of the arbitration. The parties expressly consent to the personal and subject matter jurisdiction of the Arbitrator to arbitrate any and all matters to be submitted to arbitration hereunder. None of the parties hereto shall challenge any arbitration hereunder on the grounds that any party necessary to such arbitration (including the parties hereto) shall have been absent from such arbitration for any reason, including that such party shall have been the subject of any bankruptcy, reorganization, or insolvency proceeding.</w:t>
      </w:r>
    </w:p>
    <w:p>
      <w:pPr>
        <w:spacing w:after="0" w:line="187" w:lineRule="exact"/>
        <w:rPr>
          <w:rFonts w:ascii="Times New Roman" w:cs="Times New Roman" w:eastAsia="Times New Roman" w:hAnsi="Times New Roman"/>
          <w:sz w:val="18"/>
          <w:szCs w:val="18"/>
          <w:color w:val="auto"/>
        </w:rPr>
      </w:pPr>
    </w:p>
    <w:p>
      <w:pPr>
        <w:jc w:val="both"/>
        <w:ind w:firstLine="872"/>
        <w:spacing w:after="0" w:line="266" w:lineRule="auto"/>
        <w:tabs>
          <w:tab w:leader="none" w:pos="11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 the case of the Stockholders’ Representative, solely on behalf of the Company Securityholders) shall indemnify the Arbitrator and any experts employed by the Arbitrator and hold them harmless from and against any claim or demand arising out of any arbitration under this Agreement or any agreement contemplated hereby, unless resulting from the gross negligence or willful misconduct of the person indemnified.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872"/>
        <w:spacing w:after="0" w:line="258" w:lineRule="auto"/>
        <w:tabs>
          <w:tab w:leader="none" w:pos="110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parties agree that irreparable damage would occur if any of the provisions of this Agreement were not performed in accordance with their specific terms or were otherwise breached. It is accordingly agreed that the parties shall be entitled to seek an injunction or injunctions, specific performance and other equitable relief to prevent breaches of this Agreement and to enforce specifically the terms and provisions of this Agreement. The parties expressly consent to the non-exclusive jurisdiction of the courts (Federal and state) in Delaware to render such relief and to enforce specifically the terms and provisions of this Agreement.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Waiver of Jury Trial; Exemplary Damages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72"/>
        <w:spacing w:after="0" w:line="261" w:lineRule="auto"/>
        <w:tabs>
          <w:tab w:leader="none" w:pos="114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THIS AGREEMENT HEREBY KNOWINGLY, VOLUNTARILY AND IRREVOCABLY WAIVE ANY RIGHT EACH SUCH PARTY MAY HAVE TO TRIAL BY JURY IN ANY ACTION OF ANY KIND OR NATURE, IN ANY COURT IN WHICH AN ACTION MAY BE COMMENCED, ARISING OUT OF OR IN CONNECTION WITH THIS AGREEMENT. NO PARTY SHALL BE AWARDED PUNITIVE OR OTHER EXEMPLARY DAMAGES RESPECTING ANY DISPUTE ARISING UNDER THIS AGREEMENT.</w:t>
      </w:r>
    </w:p>
    <w:p>
      <w:pPr>
        <w:spacing w:after="0" w:line="179" w:lineRule="exact"/>
        <w:rPr>
          <w:rFonts w:ascii="Times New Roman" w:cs="Times New Roman" w:eastAsia="Times New Roman" w:hAnsi="Times New Roman"/>
          <w:sz w:val="18"/>
          <w:szCs w:val="18"/>
          <w:color w:val="auto"/>
        </w:rPr>
      </w:pPr>
    </w:p>
    <w:p>
      <w:pPr>
        <w:jc w:val="both"/>
        <w:ind w:firstLine="872"/>
        <w:spacing w:after="0" w:line="261" w:lineRule="auto"/>
        <w:tabs>
          <w:tab w:leader="none" w:pos="112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this Agreement acknowledges that it has been represented in connection with the signing of the foregoing waiver by independent legal counsel selected by it and that such party has discussed the legal consequences and import of such waiver with legal counsel. Each of the parties to this Agreement further acknowledges that it has read and understands the meaning of such waiver and grants such waiver knowingly, voluntarily, without duress and only after consideration of the consequences of this waiver with legal counsel.</w:t>
      </w:r>
    </w:p>
    <w:p>
      <w:pPr>
        <w:spacing w:after="0" w:line="17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Termination Without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72"/>
        <w:spacing w:after="0" w:line="256" w:lineRule="auto"/>
        <w:tabs>
          <w:tab w:leader="none" w:pos="111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the Closing of the transactions contemplated hereunder has not occurred by April 15, 2021 (the “Outside Closing Date”) (provided that, if the SEC has not declared the Proxy Statement/Form S-4 effective on or prior to January 15, 2021, the Outside Closing Date shall be automatically extended to May 15, 2021); and (ii) the party (i.e., Parent or the Merger Sub, on one hand, or the Company, on the other hand) seeking to terminate this Agreement is not in material breach of this Agreement, then Parent or the Company, as applicable, shall have the right, at its sole option, to terminate this Agreement without liability to the other party. Such right may be exercised by Parent or the Company, as the case may be, giving written notice to the other at any time after the Outside Closing Date.</w:t>
      </w:r>
    </w:p>
    <w:p>
      <w:pPr>
        <w:spacing w:after="0" w:line="187" w:lineRule="exact"/>
        <w:rPr>
          <w:rFonts w:ascii="Times New Roman" w:cs="Times New Roman" w:eastAsia="Times New Roman" w:hAnsi="Times New Roman"/>
          <w:sz w:val="18"/>
          <w:szCs w:val="18"/>
          <w:color w:val="auto"/>
        </w:rPr>
      </w:pPr>
    </w:p>
    <w:p>
      <w:pPr>
        <w:jc w:val="both"/>
        <w:ind w:firstLine="872"/>
        <w:spacing w:after="0" w:line="266" w:lineRule="auto"/>
        <w:tabs>
          <w:tab w:leader="none" w:pos="112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(i) an Authority shall have issued an Order, having the effect of permanently restraining, enjoining or otherwise prohibiting the Merger, which Order is final and non-appealable or (ii) any applicable Law is in effect making the consummation of the Merger illegal, Parent or the Company shall have the right, at its sole option, to terminate this Agreement without liability to the other party.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Termination Upon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72"/>
        <w:spacing w:after="0" w:line="255" w:lineRule="auto"/>
        <w:tabs>
          <w:tab w:leader="none" w:pos="111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may terminate this Agreement by giving notice to the Company at any time prior to the Closing, without prejudice to any rights or obligations Parent or Merger Sub may have, if: (i) (x) the Company shall have breached any representation, warranty, agreement or covenant contained herein which has rendered or would render the satisfaction of any of the conditions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impossible and (y) such breach cannot be cured or is not be cured by the earlier of the Outside Closing Date and thirty (30) days following receipt by the Company of a written notice from Parent describing in reasonable detail the nature of such breach; or (ii) evidence that the Company Stockholder Written Consent was obtained is not delivered to Parent by the Company Stockholder Written Consent Deadline (provided that Parent shall not be permitted to terminate this Agreement under this </w:t>
      </w:r>
      <w:r>
        <w:rPr>
          <w:rFonts w:ascii="Times New Roman" w:cs="Times New Roman" w:eastAsia="Times New Roman" w:hAnsi="Times New Roman"/>
          <w:sz w:val="18"/>
          <w:szCs w:val="18"/>
          <w:u w:val="single" w:color="auto"/>
          <w:color w:val="auto"/>
        </w:rPr>
        <w:t>Section 13.2(a)(ii)</w:t>
      </w:r>
      <w:r>
        <w:rPr>
          <w:rFonts w:ascii="Times New Roman" w:cs="Times New Roman" w:eastAsia="Times New Roman" w:hAnsi="Times New Roman"/>
          <w:sz w:val="18"/>
          <w:szCs w:val="18"/>
          <w:color w:val="auto"/>
        </w:rPr>
        <w:t xml:space="preserve"> at any time (A) prior to the Company Stockholder Written Consent Deadline or (B) after such evidence has been delivered to Parent).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872"/>
        <w:spacing w:after="0" w:line="258" w:lineRule="auto"/>
        <w:tabs>
          <w:tab w:leader="none" w:pos="112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terminate this Agreement by giving notice to Parent at any time prior to the Closing, without prejudice to any rights or obligations the Company may have, if: (i) Parent shall have breached any of its covenants, agreements, representations, and warranties contained herein, which has rendered or would render the satisfaction of any of the conditions set forth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impossible; and (ii) such breach cannot be cured or is not be cured by the earlier of the Outside Closing Date and thirty (30) days following receipt by Parent of a written notice from the Company describing in reasonable detail the nature of such breach.</w:t>
      </w:r>
    </w:p>
    <w:p>
      <w:pPr>
        <w:spacing w:after="0" w:line="18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If this Agreement is terminated pursuant to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this Agreement shall become void and be of no further force or effect, without any liability on the part of any party (or any shareholder, director, officer, employee, Affiliate, agent, consultant or representative of such party) to the other party hereto or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termination shall relieve any party from liability incurred as a result of the willful breach by such party of this Agreement or such party’s fraud, in which case such party shall be fully liable for any and all liabilities and damages incurred or suffered by the other party as a result of such breach or fraud. The provisions of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XII,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XIV</w:t>
      </w:r>
      <w:r>
        <w:rPr>
          <w:rFonts w:ascii="Times New Roman" w:cs="Times New Roman" w:eastAsia="Times New Roman" w:hAnsi="Times New Roman"/>
          <w:sz w:val="18"/>
          <w:szCs w:val="18"/>
          <w:color w:val="auto"/>
        </w:rPr>
        <w:t xml:space="preserve"> shall survive any termination hereof pursuant to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hereunder shall be sent in writing, addressed as specified below, and shall be deemed given: (a) if by hand, electronic mail or recognized courier service, by 5:00 PM on a Business Day, addressee’s day and time, on the date of delivery, and otherwise on the first Business Day after such delivery; (b) if by fax, on the date that transmission is confirmed electronically, if by 5:00 PM on a Business Day, addressee’s day and time, and otherwise on the first Business Day after the date of such confirmation; (c) if by email, on the date of transmission; or (d) five (5) days after mailing by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Company (or, following the Closing, the Surviving Corporation or Parent), to:</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Gemini Therapeutics, Inc.</w:t>
      </w:r>
    </w:p>
    <w:p>
      <w:pPr>
        <w:ind w:left="880"/>
        <w:spacing w:after="0" w:line="205" w:lineRule="auto"/>
        <w:rPr>
          <w:sz w:val="20"/>
          <w:szCs w:val="20"/>
          <w:color w:val="auto"/>
        </w:rPr>
      </w:pPr>
      <w:r>
        <w:rPr>
          <w:rFonts w:ascii="Times New Roman" w:cs="Times New Roman" w:eastAsia="Times New Roman" w:hAnsi="Times New Roman"/>
          <w:sz w:val="18"/>
          <w:szCs w:val="18"/>
          <w:color w:val="auto"/>
        </w:rPr>
        <w:t>300 One Kendall Square,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Attn: Jason Meyenburg</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Attention: Mitchell S. Bloom</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Jocelyn M. Arel</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Laurie A. Burlingame</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Daniel J. Espinoza</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mbloom@goodwinlaw.com</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jarel@goodwinlaw.com</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lburlingame@goodwinlaw.com</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despinoza@goodwinlaw.com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Stockholders’ Representative, or to the Company Securityholders after Closing, to:</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Shareholder Representative Services LLC</w:t>
      </w:r>
    </w:p>
    <w:p>
      <w:pPr>
        <w:ind w:left="880"/>
        <w:spacing w:after="0" w:line="205" w:lineRule="auto"/>
        <w:rPr>
          <w:sz w:val="20"/>
          <w:szCs w:val="20"/>
          <w:color w:val="auto"/>
        </w:rPr>
      </w:pPr>
      <w:r>
        <w:rPr>
          <w:rFonts w:ascii="Times New Roman" w:cs="Times New Roman" w:eastAsia="Times New Roman" w:hAnsi="Times New Roman"/>
          <w:sz w:val="18"/>
          <w:szCs w:val="18"/>
          <w:color w:val="auto"/>
        </w:rPr>
        <w:t>950 17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Suite 1400</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Denver, CO 80202</w:t>
      </w:r>
    </w:p>
    <w:p>
      <w:pPr>
        <w:spacing w:after="0" w:line="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Attention: Managing Director</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Facsimile: (303) 623-0294</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Telephone: (303) 648-4085</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if to Parent or Merger Sub:</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Attn: Dennis Ryan</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docs-Investments@foresitecapital.com</w:t>
      </w:r>
    </w:p>
    <w:p>
      <w:pPr>
        <w:spacing w:after="0" w:line="2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Attention: Joel L. Rubinstein, Esq.</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joel.rubinstein@whitecase.com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Amendments; No Waivers;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72"/>
        <w:spacing w:after="0" w:line="266" w:lineRule="auto"/>
        <w:tabs>
          <w:tab w:leader="none" w:pos="111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cannot be amended, except by a writing signed by each party, and cannot be terminated orally or by course of conduct. No provision hereof can be waived, except by a writing signed by the party against whom such waiver is to be enforced, and any such waiver shall apply only in the particular instance in which such waiver shall have been given.</w:t>
      </w:r>
    </w:p>
    <w:p>
      <w:pPr>
        <w:spacing w:after="0" w:line="175" w:lineRule="exact"/>
        <w:rPr>
          <w:rFonts w:ascii="Times New Roman" w:cs="Times New Roman" w:eastAsia="Times New Roman" w:hAnsi="Times New Roman"/>
          <w:sz w:val="18"/>
          <w:szCs w:val="18"/>
          <w:color w:val="auto"/>
        </w:rPr>
      </w:pPr>
    </w:p>
    <w:p>
      <w:pPr>
        <w:jc w:val="both"/>
        <w:ind w:firstLine="872"/>
        <w:spacing w:after="0" w:line="256" w:lineRule="auto"/>
        <w:tabs>
          <w:tab w:leader="none" w:pos="112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any failure or delay in exercising any right or remedy hereunder or in requiring satisfaction of any condition herein nor any course of dealing shall constitute a waiver of or prevent any party from enforcing any right or remedy or from requiring satisfaction of any condition. No notice to or demand on a party waives or otherwise affects any obligation of that party or impairs any right of the party giving such notice or making such demand, including any right to take any action without notice or demand not otherwise required by this Agreement. No exercise of any right or remedy with respect to a breach of this Agreement shall preclude exercise of any other right or remedy, as appropriate to make the aggrieved party whole with respect to such breach, or subsequent exercise of any right or remedy with respect to any other breach.</w:t>
      </w:r>
    </w:p>
    <w:p>
      <w:pPr>
        <w:spacing w:after="0" w:line="187" w:lineRule="exact"/>
        <w:rPr>
          <w:rFonts w:ascii="Times New Roman" w:cs="Times New Roman" w:eastAsia="Times New Roman" w:hAnsi="Times New Roman"/>
          <w:sz w:val="18"/>
          <w:szCs w:val="18"/>
          <w:color w:val="auto"/>
        </w:rPr>
      </w:pPr>
    </w:p>
    <w:p>
      <w:pPr>
        <w:ind w:firstLine="872"/>
        <w:spacing w:after="0" w:line="282" w:lineRule="auto"/>
        <w:tabs>
          <w:tab w:leader="none" w:pos="112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no statement herein of any right or remedy shall impair any other right or remedy stated herein or that otherwise may be available.</w:t>
      </w:r>
    </w:p>
    <w:p>
      <w:pPr>
        <w:spacing w:after="0" w:line="161" w:lineRule="exact"/>
        <w:rPr>
          <w:rFonts w:ascii="Times New Roman" w:cs="Times New Roman" w:eastAsia="Times New Roman" w:hAnsi="Times New Roman"/>
          <w:sz w:val="18"/>
          <w:szCs w:val="18"/>
          <w:color w:val="auto"/>
        </w:rPr>
      </w:pPr>
    </w:p>
    <w:p>
      <w:pPr>
        <w:jc w:val="both"/>
        <w:ind w:firstLine="872"/>
        <w:spacing w:after="0" w:line="266" w:lineRule="auto"/>
        <w:tabs>
          <w:tab w:leader="none" w:pos="112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no shall any party seek, nor shall any party be liable for, punitive or exemplary damages under any tort, contract, equity or other legal theory with respect to any breach (or alleged breach) of this Agreement or any provision hereof or any matter otherwise relating hereto or arising in connection herewith.</w:t>
      </w:r>
    </w:p>
    <w:p>
      <w:pPr>
        <w:spacing w:after="0" w:line="1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Arm’s Length Bargaining; No Presumption Against Drafter</w:t>
      </w:r>
      <w:r>
        <w:rPr>
          <w:rFonts w:ascii="Times New Roman" w:cs="Times New Roman" w:eastAsia="Times New Roman" w:hAnsi="Times New Roman"/>
          <w:sz w:val="18"/>
          <w:szCs w:val="18"/>
          <w:color w:val="auto"/>
        </w:rPr>
        <w:t>. This Agreement has been negotiated at arm’s-length by parties of equal bargaining strength, each represented by counsel and having participated in the drafting of this Agreement. This Agreement creates no fiduciary or other special relationship between the parties, and no such relationship otherwise exists. No presumption in favor of or against any party in the construction or interpretation of this Agreement or any provision hereof shall be made based upon which Person might have drafted this Agreement or such provision.</w:t>
      </w:r>
    </w:p>
    <w:p>
      <w:pPr>
        <w:spacing w:after="0" w:line="18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Except as required by law or applicable stock exchange rules and except with respect to the Additional Parent SEC Documents, the parties agree that neither they nor their agents shall issue any press release or make any other public disclosure concerning the transactions contemplated hereunder without the prior approval of the other party hereto. If a party is required to make such a disclosure as required by law or applicable stock exchange rules, the party making such determination will, if practicable in the circumstances, use reasonable commercial efforts to allow the other party reasonable time to comment on such disclosure in advance of its issuance. Notwithstanding the foregoing, following Closing and the public announcement (if any) of the Merger, the Stockholders’ Representative shall be permitted to publicly announce that it has been engaged to serve as the Stockholders’ Representative in connection herewith as long as such announcement does not disclose any of the other terms hereof.</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14.5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The anticipated costs and expenses of the Company in connection with any merger, consolidation or business combination, including this Agreement and the transactions contemplated hereby as of the Closing Date as set forth on </w:t>
      </w:r>
      <w:r>
        <w:rPr>
          <w:rFonts w:ascii="Times New Roman" w:cs="Times New Roman" w:eastAsia="Times New Roman" w:hAnsi="Times New Roman"/>
          <w:sz w:val="18"/>
          <w:szCs w:val="18"/>
          <w:u w:val="single" w:color="auto"/>
          <w:color w:val="auto"/>
        </w:rPr>
        <w:t>Schedule 14.5</w:t>
      </w:r>
      <w:r>
        <w:rPr>
          <w:rFonts w:ascii="Times New Roman" w:cs="Times New Roman" w:eastAsia="Times New Roman" w:hAnsi="Times New Roman"/>
          <w:sz w:val="18"/>
          <w:szCs w:val="18"/>
          <w:color w:val="auto"/>
        </w:rPr>
        <w:t xml:space="preserve"> shall be paid by Parent after the Closing. If the Closing does not take place, each party (in the case of the Stockholders’ Representative, solely on behalf of the Company Securityholders) shall be responsible for its own expenses.</w:t>
      </w:r>
    </w:p>
    <w:p>
      <w:pPr>
        <w:spacing w:after="0" w:line="18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u w:val="single" w:color="auto"/>
          <w:color w:val="auto"/>
        </w:rPr>
        <w:t>No Assignment or Delegation</w:t>
      </w:r>
      <w:r>
        <w:rPr>
          <w:rFonts w:ascii="Times New Roman" w:cs="Times New Roman" w:eastAsia="Times New Roman" w:hAnsi="Times New Roman"/>
          <w:sz w:val="18"/>
          <w:szCs w:val="18"/>
          <w:color w:val="auto"/>
        </w:rPr>
        <w:t>. No party may assign any right or delegate any obligation hereunder, including by merger, consolidation, operation of law or otherwise, without the written consent of the other party. Any purported assignment or delegation without such consent shall be void, in addition to constituting a material breach of this Agreement.</w:t>
      </w:r>
    </w:p>
    <w:p>
      <w:pPr>
        <w:spacing w:after="0" w:line="1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 xml:space="preserve">14.7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in accordance with and governed by the laws of the State of Delaware, without giving effect to the conflict of laws principles thereof.</w:t>
      </w:r>
    </w:p>
    <w:p>
      <w:pPr>
        <w:spacing w:after="0" w:line="16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14.8 </w:t>
      </w:r>
      <w:r>
        <w:rPr>
          <w:rFonts w:ascii="Times New Roman" w:cs="Times New Roman" w:eastAsia="Times New Roman" w:hAnsi="Times New Roman"/>
          <w:sz w:val="18"/>
          <w:szCs w:val="18"/>
          <w:u w:val="single" w:color="auto"/>
          <w:color w:val="auto"/>
        </w:rPr>
        <w:t>Counterparts; Facsimile Signatures</w:t>
      </w:r>
      <w:r>
        <w:rPr>
          <w:rFonts w:ascii="Times New Roman" w:cs="Times New Roman" w:eastAsia="Times New Roman" w:hAnsi="Times New Roman"/>
          <w:sz w:val="18"/>
          <w:szCs w:val="18"/>
          <w:color w:val="auto"/>
        </w:rPr>
        <w:t>. This Agreement may be executed in counterparts, each of which shall constitute an original, but all of which shall constitute one agreement. This Agreement shall become effective upon delivery to each party of an executed counterpart or the earlier delivery to each party of original, photocopied, or electronically transmitted (including scanned .pdf image) signature pages that together (but need not individually) bear the signatures of all other parties.</w:t>
      </w:r>
    </w:p>
    <w:p>
      <w:pPr>
        <w:spacing w:after="0" w:line="18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 xml:space="preserve">14.9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Additional Agreements, sets forth the entire agreement of the parties with respect to the subject matter hereof and thereof and supersedes all prior and contemporaneous understandings and agreements related thereto (whether written or oral), all of which are merged herein. No provision of this Agreement or any Additional Agreement may be explained or qualified by any agreement, negotiations, understanding, discussion, conduct or course of conduct or by any trade usage. Except as otherwise expressly stated herein or in any Additional Agreement, there is no condition precedent to the effectiveness of any provision hereof or thereof.</w:t>
      </w:r>
    </w:p>
    <w:p>
      <w:pPr>
        <w:spacing w:after="0" w:line="18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14.10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 determination by a court or other legal authority that any provision that is not of the essence of this Agreement is legally invalid shall not affect the validity or enforceability of any other provision hereof. The parties shall cooperate in good faith to substitute (or cause such court or other legal authority to substitute) for any provision so held to be invalid a valid provision, as alike in substance to such invalid provision as is lawful.</w:t>
      </w:r>
    </w:p>
    <w:p>
      <w:pPr>
        <w:spacing w:after="0" w:line="176"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 xml:space="preserve">14.11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execute and deliver such documents and take such action, as may reasonably be considered within the scope of such party’s obligations hereunder, necessary to effectuate the transactions contemplated by this Agreement.</w:t>
      </w:r>
    </w:p>
    <w:p>
      <w:pPr>
        <w:spacing w:after="0" w:line="162"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 xml:space="preserve">14.12 </w:t>
      </w: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14.15</w:t>
      </w:r>
      <w:r>
        <w:rPr>
          <w:rFonts w:ascii="Times New Roman" w:cs="Times New Roman" w:eastAsia="Times New Roman" w:hAnsi="Times New Roman"/>
          <w:sz w:val="18"/>
          <w:szCs w:val="18"/>
          <w:color w:val="auto"/>
        </w:rPr>
        <w:t>, neither this Agreement nor any provision hereof confers any benefit or right upon or may be enforced by any Person not a signatory hereto.</w:t>
      </w:r>
    </w:p>
    <w:p>
      <w:pPr>
        <w:spacing w:after="0" w:line="16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14.13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Reference is made to the final prospectus of Parent, dated August 13, 2020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Company has read the Prospectus and understands that Parent has established the Trust Account for the benefit of the public shareholders of Parent and the underwriters of the IPO pursuant to the Trust Agreement and that, except for a portion of the interest earned on the amounts held in the Trust Account, Parent may disburse monies from the Trust Account only for the purposes set forth in the Trust Agreement. For and in consideration of Parent agreeing to enter into this Agreement, each of the Company and the Stockholders’ Representative, for itself and on behalf of the Company Securityholders, hereby agrees that it does not now and shall not at any time hereafter have any right, title, interest or claim of any kind in or to any monies in the Trust Account as a result of, or arising out of, any negotiations, contracts or agreements with Parent and hereby agrees that it will not seek recourse against the Trust Account for any reason.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firstLine="432"/>
        <w:spacing w:after="0" w:line="251" w:lineRule="auto"/>
        <w:rPr>
          <w:sz w:val="20"/>
          <w:szCs w:val="20"/>
          <w:color w:val="auto"/>
        </w:rPr>
      </w:pPr>
      <w:r>
        <w:rPr>
          <w:rFonts w:ascii="Times New Roman" w:cs="Times New Roman" w:eastAsia="Times New Roman" w:hAnsi="Times New Roman"/>
          <w:sz w:val="18"/>
          <w:szCs w:val="18"/>
          <w:color w:val="auto"/>
        </w:rPr>
        <w:t xml:space="preserve">14.14 </w:t>
      </w:r>
      <w:r>
        <w:rPr>
          <w:rFonts w:ascii="Times New Roman" w:cs="Times New Roman" w:eastAsia="Times New Roman" w:hAnsi="Times New Roman"/>
          <w:sz w:val="18"/>
          <w:szCs w:val="18"/>
          <w:u w:val="single" w:color="auto"/>
          <w:color w:val="auto"/>
        </w:rPr>
        <w:t>Stockholders’ Representative</w:t>
      </w:r>
      <w:r>
        <w:rPr>
          <w:rFonts w:ascii="Times New Roman" w:cs="Times New Roman" w:eastAsia="Times New Roman" w:hAnsi="Times New Roman"/>
          <w:sz w:val="18"/>
          <w:szCs w:val="18"/>
          <w:color w:val="auto"/>
        </w:rPr>
        <w:t xml:space="preserve">. By virtue of the adoption of this Agreement and the transactions contemplated hereby, the approval of the principal terms of the Merger and the consummation of the Merger or participating in the Merger and receiving the benefits thereof, including the right to receive the consideration payable in connection with the Merger, each Company Securityholder shall be deemed to have appointed the designation of, and hereby designates, Shareholder Representative Services LLC as the Stockholders’ Representative for all purposes in connection with this Agreement and any agreement ancillary hereto, including (a) to give and receive notices and communications to Parent for any purpose under this Agreement and the Additional Agreements; (b) to agree to, negotiate, enter into settlements and compromises of and demand arbitration and comply with orders of courts and awards of arbitrators with respect to any indemnification claims (including Third-Party Claims) under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or, following the Closing, other disputes arising under or related to this Agreement; (c) to enter into and deliver the Escrow Agreement on behalf of each of the Company Securityholders; (d) to authorize or object to delivery to Parent of the Escrow Fund, or any portion thereof, in satisfaction of indemnification claims by Parent in accordance with the provisions of the Escrow Agreement; (e) to act on behalf of Company Securityholders in accordance with the provisions of the Agreement, the securities described herein and any other document or instrument executed in connection with the Agreement and the Merger; and (f) to take all actions necessary or appropriate in the judgment of the Stockholders’ Representative for the accomplishment of the foregoing. The Stockholders’ Representative may resign at any time. Such agency may be changed by the Company Securityholders from time to time upon no less than twenty (20) days’ prior written notice to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Stockholders’ Representative may not be removed unless holders of a majority of the Company Securities (on an as converted or exercised basis) outstanding immediately prior to the Effective Time agree to such removal. Any vacancy in the position of Stockholders’ Representative may be filled by approval of the holders of a majority of the Company Securities (on an as converted or exercised basis) outstanding immediately prior to the Effective Time. No bond shall be required of the Stockholders’ Representative. The Stockholders’ Representative will incur no liability of any kind with respect to any action or omission by the Stockholders’ Representative in connection with the Stockholders’ Representative’s services pursuant to this Agreement and any agreement ancillary hereto, except in the event of liability directly resulting from the Stockholders’ Representative’s gross negligence or willful misconduct. The Stockholders’ Representative shall not be liable for any action or omission pursuant to the advice of counsel. The Company Securityholders will indemnify, defend and hold harmless the Stockholders’ Representative from and against any and all losses, liabilities, damages, claims, penalties, fines, forfeitures, actions, fees, costs and expenses (including the fees and expenses of counsel and experts and their staffs and all expense of document location, duplication and shipment) (collectively, “</w:t>
      </w:r>
      <w:r>
        <w:rPr>
          <w:rFonts w:ascii="Times New Roman" w:cs="Times New Roman" w:eastAsia="Times New Roman" w:hAnsi="Times New Roman"/>
          <w:sz w:val="18"/>
          <w:szCs w:val="18"/>
          <w:u w:val="single" w:color="auto"/>
          <w:color w:val="auto"/>
        </w:rPr>
        <w:t>Representative Losses</w:t>
      </w:r>
      <w:r>
        <w:rPr>
          <w:rFonts w:ascii="Times New Roman" w:cs="Times New Roman" w:eastAsia="Times New Roman" w:hAnsi="Times New Roman"/>
          <w:sz w:val="18"/>
          <w:szCs w:val="18"/>
          <w:color w:val="auto"/>
        </w:rPr>
        <w:t xml:space="preserve">”) arising out of or in connection with the Stockholders’ Representative’s execution and performance of this Agreement and any agreement ancillary hereto, in each case as such Representative Loss is suffered or incurred; provided, that in the event that any such Representative Loss is finally adjudicated to have been directly caused by the gross negligence or willful misconduct of the Stockholders’ Representative, the Stockholders’ Representative will reimburse the Company Securityholders the amount of such indemnified Representative Loss to the extent attributable to such gross negligence or willful misconduct. If not paid directly to the Stockholders’ Representative by the Company Securityholders, any such Representative Losses may be recovered by the Stockholders’ Representative from (i) the funds in the Expense Fund, and (ii) the amounts in the Escrow Fund at such time as remaining amounts would otherwise be distributable to the Company Securityholders;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while this provision allows the Stockholders’ Representative to be paid from the aforementioned sources of funds, this does not relieve the Company Securityholders from their obligation to promptly pay such Representative Losses as they are suffered or incurred, nor does it prevent the Stockholders’ Representative from seeking any remedies available to it at law or otherwise. In no event will the Stockholders’ Representative be required to advance its own funds on behalf of the Company Securityholders or otherwise. Notwithstanding anything in this Agreement to the contrary, any restrictions or limitations on liability or indemnification obligations of, or provisions limiting the recourse against non-parties otherwise applicable to, the Company Securityholders set forth elsewhere in this Agreement are not intended to be applicable to the indemnities provided to the Stockholders’ Representative under this </w:t>
      </w:r>
      <w:r>
        <w:rPr>
          <w:rFonts w:ascii="Times New Roman" w:cs="Times New Roman" w:eastAsia="Times New Roman" w:hAnsi="Times New Roman"/>
          <w:sz w:val="18"/>
          <w:szCs w:val="18"/>
          <w:u w:val="single" w:color="auto"/>
          <w:color w:val="auto"/>
        </w:rPr>
        <w:t>Section 14.14</w:t>
      </w:r>
      <w:r>
        <w:rPr>
          <w:rFonts w:ascii="Times New Roman" w:cs="Times New Roman" w:eastAsia="Times New Roman" w:hAnsi="Times New Roman"/>
          <w:sz w:val="18"/>
          <w:szCs w:val="18"/>
          <w:color w:val="auto"/>
        </w:rPr>
        <w:t>. The foregoing indemnities will survive the Closing, the resignation or removal of the Stockholders’ Representative or the termination of this Agreement. Upon the Closing, the Company will wire $150,000 (the “</w:t>
      </w:r>
      <w:r>
        <w:rPr>
          <w:rFonts w:ascii="Times New Roman" w:cs="Times New Roman" w:eastAsia="Times New Roman" w:hAnsi="Times New Roman"/>
          <w:sz w:val="18"/>
          <w:szCs w:val="18"/>
          <w:u w:val="single" w:color="auto"/>
          <w:color w:val="auto"/>
        </w:rPr>
        <w:t>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to the Stockholders’ Representative, which will be used for the purposes of paying directly, or reimbursing the Stockholders’ Representative for, any third party expenses pursuant to this Agreement and the agreements ancillary hereto. The Company Securityholders will not receive any interest or earnings on the Expense Fund and irrevocably transfer and assign to the Stockholders’ Representative any ownership right that they may otherwise have had in any such interest or earnings. The Stockholders’ Representative will not be liable for any loss of principal of the Expense Fund other than as a result of its gross negligence or willful misconduct. The Stockholders’ Representative will hold these funds separate from its corporate funds, will not use these funds for its operating expenses or any other corporate purposes and will not voluntarily make these funds available to its creditors in the event of bankruptcy. As soon as practicable following the completion of the Stockholders’ Representative’s responsibilities, the Stockholders’ Representative will deliver any remaining balance of the Expense Fund to the Company. For Tax purposes, the Expense Fund will be treated as having been received and voluntarily set aside by the Company at the time of Closing.</w:t>
      </w:r>
    </w:p>
    <w:p>
      <w:pPr>
        <w:spacing w:after="0" w:line="19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 xml:space="preserve">14.15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xml:space="preserve">. This Agreement may be enforced only against, and any dispute, claim or controversy based upon, arising out of or related to this Agreement or the transactions contemplated hereby may be brought only against, the entities that are expressly named as parties hereto and then only with respect to the specific obligations set forth in this Agreement with respect to such party. No past, present or future director, officer, employee, incorporator, member, partner, shareholder, agent, attorney, advisor, lender or representative or Affiliate of any named party to this Agreement (which Persons are intended third party beneficiaries of this </w:t>
      </w:r>
      <w:r>
        <w:rPr>
          <w:rFonts w:ascii="Times New Roman" w:cs="Times New Roman" w:eastAsia="Times New Roman" w:hAnsi="Times New Roman"/>
          <w:sz w:val="18"/>
          <w:szCs w:val="18"/>
          <w:u w:val="single" w:color="auto"/>
          <w:color w:val="auto"/>
        </w:rPr>
        <w:t>Section 14.15</w:t>
      </w:r>
      <w:r>
        <w:rPr>
          <w:rFonts w:ascii="Times New Roman" w:cs="Times New Roman" w:eastAsia="Times New Roman" w:hAnsi="Times New Roman"/>
          <w:sz w:val="18"/>
          <w:szCs w:val="18"/>
          <w:color w:val="auto"/>
        </w:rPr>
        <w:t xml:space="preserve">) shall have any liability (whether in contract or tort, at law or in equity or otherwise, or based upon any theory that seeks to impose liability of an entity party against its owners or Affiliates) for any one or more of the representations, warranties, covenants, agreements or other obligations or liabilities of such named party or for any dispute, claim or controversy based on, arising out of, or related to this Agreement or the transactions contemplated hereby, provided, that this </w:t>
      </w:r>
      <w:r>
        <w:rPr>
          <w:rFonts w:ascii="Times New Roman" w:cs="Times New Roman" w:eastAsia="Times New Roman" w:hAnsi="Times New Roman"/>
          <w:sz w:val="18"/>
          <w:szCs w:val="18"/>
          <w:u w:val="single" w:color="auto"/>
          <w:color w:val="auto"/>
        </w:rPr>
        <w:t>Section 14.15</w:t>
      </w:r>
      <w:r>
        <w:rPr>
          <w:rFonts w:ascii="Times New Roman" w:cs="Times New Roman" w:eastAsia="Times New Roman" w:hAnsi="Times New Roman"/>
          <w:sz w:val="18"/>
          <w:szCs w:val="18"/>
          <w:color w:val="auto"/>
        </w:rPr>
        <w:t xml:space="preserve"> shall not apply to </w:t>
      </w:r>
      <w:r>
        <w:rPr>
          <w:rFonts w:ascii="Times New Roman" w:cs="Times New Roman" w:eastAsia="Times New Roman" w:hAnsi="Times New Roman"/>
          <w:sz w:val="18"/>
          <w:szCs w:val="18"/>
          <w:u w:val="single" w:color="auto"/>
          <w:color w:val="auto"/>
        </w:rPr>
        <w:t>Section 14.14</w:t>
      </w:r>
      <w:r>
        <w:rPr>
          <w:rFonts w:ascii="Times New Roman" w:cs="Times New Roman" w:eastAsia="Times New Roman" w:hAnsi="Times New Roman"/>
          <w:sz w:val="18"/>
          <w:szCs w:val="18"/>
          <w:color w:val="auto"/>
        </w:rPr>
        <w:t>, which shall be enforceable by the Stockholders’ Representative in its entirety against the Company Securityholders.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firstLine="432"/>
        <w:spacing w:after="0" w:line="251" w:lineRule="auto"/>
        <w:rPr>
          <w:sz w:val="20"/>
          <w:szCs w:val="20"/>
          <w:color w:val="auto"/>
        </w:rPr>
      </w:pPr>
      <w:r>
        <w:rPr>
          <w:rFonts w:ascii="Times New Roman" w:cs="Times New Roman" w:eastAsia="Times New Roman" w:hAnsi="Times New Roman"/>
          <w:sz w:val="18"/>
          <w:szCs w:val="18"/>
          <w:color w:val="auto"/>
        </w:rPr>
        <w:t xml:space="preserve">14.16 </w:t>
      </w:r>
      <w:r>
        <w:rPr>
          <w:rFonts w:ascii="Times New Roman" w:cs="Times New Roman" w:eastAsia="Times New Roman" w:hAnsi="Times New Roman"/>
          <w:sz w:val="18"/>
          <w:szCs w:val="18"/>
          <w:u w:val="single" w:color="auto"/>
          <w:color w:val="auto"/>
        </w:rPr>
        <w:t>No Other Representations; No Reliance</w:t>
      </w:r>
      <w:r>
        <w:rPr>
          <w:rFonts w:ascii="Times New Roman" w:cs="Times New Roman" w:eastAsia="Times New Roman" w:hAnsi="Times New Roman"/>
          <w:sz w:val="18"/>
          <w:szCs w:val="18"/>
          <w:color w:val="auto"/>
        </w:rPr>
        <w:t xml:space="preserve">. NONE OF THE COMPANY, ANY COMPANY SECURITYHOLDER NOR ANY OF THEIR RESPECTIVE REPRESENTATIVES HAS MADE ANY REPRESENTATIONS OR WARRANTIES, EXPRESS OR IMPLIED, OF ANY NATURE WHATSOEVER RELATING TO THE COMPANY OR THE BUSINESS OR OTHERWISE IN CONNECTION WITH THE TRANSACTIONS CONTEMPLATED BY THIS AGREEMENT OR ANY ADDITIONAL AGREEMENT, OTHER THAN THOSE REPRESENTATIONS AND WARRANTIES EXPRESSLY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EACH CASE, AS MODIFIED BY THE SCHEDULES TO THIS AGREEMENT. Without limiting the generality of the foregoing, neither the Company, any Company Securityholder nor any of their respective representatives has made, and shall not be deemed to have made, any representations or warranties in the materials relating to the Company made available to Parent and its representatives, including due diligence materials, or in any presentation of the business of the Company by management of the Company or others in connection with the transactions contemplated hereby, and no statement contained in any of such materials or made in any such presentation shall be deemed a representation or warranty hereunder or otherwise or deemed to be relied upon by Parent or Merger Sub in executing, delivering and performing this Agreement, the Additional Agreements or the transactions contemplated hereby or thereby, in each case except for the representations and warranties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as modified by the Schedules to this Agreement. It is understood that any cost estimates, projections or other predictions, any data, any financial information or any memoranda or offering materials or presentations, including any offering memorandum or similar materials made available by the Company, any Company Securityholder or their respective representatives are not and shall not be deemed to be or to include representations or warranties of the Company or any Company Securityholder, and are not and shall not be deemed to be relied upon by Parent or Merger Sub in executing, delivering and performing this Agreement, the Additional Agreement and the transactions contemplated hereby or thereby, in each case except for the representations and warranties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each case, as modified by the Schedules to this Agreement. Except for the specific representations and warranties expressly made by the Company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each case as modified by the Schedules: (a) Parent acknowledges and agrees that: (i) neither the Company, the Company Securityholders nor any of their respective representatives is making or has made any representation or warranty, express or implied, at law or in equity, in respect of the Company, the business, assets, liabilities, operations, prospects or condition (financial or otherwise) of the Company, the nature or extent of any liabilities of the Company, the effectiveness or the success of any operations of the Company or the accuracy or completeness of any confidential information memoranda, projections, forecasts or estimates of earnings, or other information (financial or otherwise) regarding the Company furnished to Parent, Merger Sub or their respective representatives or made available to Parent and its representatives in any “data rooms,” “virtual data rooms,” management presentations or any other form in expectation of, or in connection with, the transactions contemplated hereby, or in respect of any other matter or thing whatsoever; and (ii) no representative of any Company Securityholder or the Company has any authority, express or implied, to make any representations, warranties or agreements not specifically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subject to the limited remedies herein provided; (b) Parent specifically disclaims that it is relying upon or has relied upon any such other representations or warranties that may have been made by any Person, and acknowledges and agrees that the Company Securityholders and the Company have specifically disclaimed and do hereby specifically disclaim any such other representation or warranty made by any Person; and (c) none of the Company, the Company Securityholders nor any other Person shall have any liability to Parent or any other Person with respect to any such other representations or warranties, including projections, forecasts, estimates, plans or budgets of future revenue, expenses or expenditures, future results of operations, future cash flows or the future financial condition of the Company or the future business, operations or affairs of the Company.</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remainder of this page intentionally left blank; signature pages to follow]</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as of the day and year first above written.</w:t>
      </w:r>
    </w:p>
    <w:p>
      <w:pPr>
        <w:spacing w:after="0" w:line="22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2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25" w:lineRule="exact"/>
        <w:rPr>
          <w:sz w:val="20"/>
          <w:szCs w:val="20"/>
          <w:color w:val="auto"/>
        </w:rPr>
      </w:pPr>
    </w:p>
    <w:p>
      <w:pPr>
        <w:ind w:left="6320"/>
        <w:spacing w:after="0"/>
        <w:tabs>
          <w:tab w:leader="none" w:pos="6760" w:val="left"/>
        </w:tabs>
        <w:rPr>
          <w:sz w:val="20"/>
          <w:szCs w:val="20"/>
          <w:color w:val="auto"/>
        </w:rPr>
      </w:pPr>
      <w:r>
        <w:rPr>
          <w:rFonts w:ascii="Times New Roman" w:cs="Times New Roman" w:eastAsia="Times New Roman" w:hAnsi="Times New Roman"/>
          <w:sz w:val="18"/>
          <w:szCs w:val="18"/>
          <w:color w:val="auto"/>
        </w:rPr>
        <w:t>By:</w:t>
        <w:tab/>
        <w:t>/s/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4303395</wp:posOffset>
            </wp:positionH>
            <wp:positionV relativeFrom="paragraph">
              <wp:posOffset>17145</wp:posOffset>
            </wp:positionV>
            <wp:extent cx="255460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Name: Jim Tananbaum</w:t>
      </w:r>
    </w:p>
    <w:p>
      <w:pPr>
        <w:spacing w:after="0" w:line="23" w:lineRule="exact"/>
        <w:rPr>
          <w:sz w:val="20"/>
          <w:szCs w:val="20"/>
          <w:color w:val="auto"/>
        </w:rPr>
      </w:pPr>
    </w:p>
    <w:p>
      <w:pPr>
        <w:ind w:left="6780"/>
        <w:spacing w:after="0"/>
        <w:tabs>
          <w:tab w:leader="none" w:pos="73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Merger Sub:</w:t>
      </w:r>
    </w:p>
    <w:p>
      <w:pPr>
        <w:spacing w:after="0" w:line="2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FSG MERGER SUB, INC.</w:t>
      </w:r>
    </w:p>
    <w:p>
      <w:pPr>
        <w:spacing w:after="0" w:line="225" w:lineRule="exact"/>
        <w:rPr>
          <w:sz w:val="20"/>
          <w:szCs w:val="20"/>
          <w:color w:val="auto"/>
        </w:rPr>
      </w:pPr>
    </w:p>
    <w:p>
      <w:pPr>
        <w:ind w:left="6320"/>
        <w:spacing w:after="0"/>
        <w:tabs>
          <w:tab w:leader="none" w:pos="6760" w:val="left"/>
        </w:tabs>
        <w:rPr>
          <w:sz w:val="20"/>
          <w:szCs w:val="20"/>
          <w:color w:val="auto"/>
        </w:rPr>
      </w:pPr>
      <w:r>
        <w:rPr>
          <w:rFonts w:ascii="Times New Roman" w:cs="Times New Roman" w:eastAsia="Times New Roman" w:hAnsi="Times New Roman"/>
          <w:sz w:val="18"/>
          <w:szCs w:val="18"/>
          <w:color w:val="auto"/>
        </w:rPr>
        <w:t>By:</w:t>
        <w:tab/>
        <w:t>/s/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4303395</wp:posOffset>
            </wp:positionH>
            <wp:positionV relativeFrom="paragraph">
              <wp:posOffset>17145</wp:posOffset>
            </wp:positionV>
            <wp:extent cx="255460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Name: Jim Tananbaum</w:t>
      </w:r>
    </w:p>
    <w:p>
      <w:pPr>
        <w:spacing w:after="0" w:line="23" w:lineRule="exact"/>
        <w:rPr>
          <w:sz w:val="20"/>
          <w:szCs w:val="20"/>
          <w:color w:val="auto"/>
        </w:rPr>
      </w:pPr>
    </w:p>
    <w:p>
      <w:pPr>
        <w:ind w:left="6780"/>
        <w:spacing w:after="0"/>
        <w:tabs>
          <w:tab w:leader="none" w:pos="73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225" w:lineRule="exact"/>
        <w:rPr>
          <w:sz w:val="20"/>
          <w:szCs w:val="20"/>
          <w:color w:val="auto"/>
        </w:rPr>
      </w:pPr>
    </w:p>
    <w:p>
      <w:pPr>
        <w:ind w:left="6320"/>
        <w:spacing w:after="0"/>
        <w:tabs>
          <w:tab w:leader="none" w:pos="6760" w:val="left"/>
        </w:tabs>
        <w:rPr>
          <w:sz w:val="20"/>
          <w:szCs w:val="20"/>
          <w:color w:val="auto"/>
        </w:rPr>
      </w:pPr>
      <w:r>
        <w:rPr>
          <w:rFonts w:ascii="Times New Roman" w:cs="Times New Roman" w:eastAsia="Times New Roman" w:hAnsi="Times New Roman"/>
          <w:sz w:val="18"/>
          <w:szCs w:val="18"/>
          <w:color w:val="auto"/>
        </w:rPr>
        <w:t>By:</w:t>
        <w:tab/>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4303395</wp:posOffset>
            </wp:positionH>
            <wp:positionV relativeFrom="paragraph">
              <wp:posOffset>17145</wp:posOffset>
            </wp:positionV>
            <wp:extent cx="255460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Name: Jason Meyenburg</w:t>
      </w:r>
    </w:p>
    <w:p>
      <w:pPr>
        <w:spacing w:after="0" w:line="23" w:lineRule="exact"/>
        <w:rPr>
          <w:sz w:val="20"/>
          <w:szCs w:val="20"/>
          <w:color w:val="auto"/>
        </w:rPr>
      </w:pPr>
    </w:p>
    <w:p>
      <w:pPr>
        <w:ind w:left="6780"/>
        <w:spacing w:after="0"/>
        <w:tabs>
          <w:tab w:leader="none" w:pos="73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Stockholders’ Representative:</w:t>
      </w:r>
    </w:p>
    <w:p>
      <w:pPr>
        <w:spacing w:after="0" w:line="2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7"/>
          <w:szCs w:val="17"/>
          <w:color w:val="auto"/>
        </w:rPr>
        <w:t>SHAREHOLDER REPRESENTATIVE SERVICES LLC,</w:t>
      </w:r>
    </w:p>
    <w:p>
      <w:pPr>
        <w:spacing w:after="0" w:line="3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solely in its capacity as the Stockholders’ Representative</w:t>
      </w:r>
    </w:p>
    <w:p>
      <w:pPr>
        <w:spacing w:after="0" w:line="207" w:lineRule="exact"/>
        <w:rPr>
          <w:sz w:val="20"/>
          <w:szCs w:val="20"/>
          <w:color w:val="auto"/>
        </w:rPr>
      </w:pPr>
    </w:p>
    <w:p>
      <w:pPr>
        <w:ind w:left="6320"/>
        <w:spacing w:after="0"/>
        <w:tabs>
          <w:tab w:leader="none" w:pos="6760" w:val="left"/>
        </w:tabs>
        <w:rPr>
          <w:sz w:val="20"/>
          <w:szCs w:val="20"/>
          <w:color w:val="auto"/>
        </w:rPr>
      </w:pPr>
      <w:r>
        <w:rPr>
          <w:rFonts w:ascii="Times New Roman" w:cs="Times New Roman" w:eastAsia="Times New Roman" w:hAnsi="Times New Roman"/>
          <w:sz w:val="18"/>
          <w:szCs w:val="18"/>
          <w:color w:val="auto"/>
        </w:rPr>
        <w:t>By:</w:t>
        <w:tab/>
        <w:t>/s/ Sam Riffe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4303395</wp:posOffset>
            </wp:positionH>
            <wp:positionV relativeFrom="paragraph">
              <wp:posOffset>17145</wp:posOffset>
            </wp:positionV>
            <wp:extent cx="255460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Name: Sam Riffe</w:t>
      </w:r>
    </w:p>
    <w:p>
      <w:pPr>
        <w:spacing w:after="0" w:line="23" w:lineRule="exact"/>
        <w:rPr>
          <w:sz w:val="20"/>
          <w:szCs w:val="20"/>
          <w:color w:val="auto"/>
        </w:rPr>
      </w:pPr>
    </w:p>
    <w:p>
      <w:pPr>
        <w:ind w:left="6780"/>
        <w:spacing w:after="0"/>
        <w:tabs>
          <w:tab w:leader="none" w:pos="73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i w:val="1"/>
          <w:iCs w:val="1"/>
          <w:color w:val="auto"/>
        </w:rPr>
        <w:t>[Signature page to Agreement and Plan of Merger]</w:t>
      </w:r>
    </w:p>
    <w:p>
      <w:pPr>
        <w:spacing w:after="0" w:line="200" w:lineRule="exact"/>
        <w:rPr>
          <w:sz w:val="20"/>
          <w:szCs w:val="20"/>
          <w:color w:val="auto"/>
        </w:rPr>
      </w:pPr>
    </w:p>
    <w:p>
      <w:pPr>
        <w:spacing w:after="0" w:line="24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760" w:top="904" w:right="6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5, 2021</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FS Development Corp., a corporation organized and existing under the laws of the State of Delaware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DOES HEREBY CERTIFY AS FOLLOWS:</w:t>
      </w:r>
    </w:p>
    <w:p>
      <w:pPr>
        <w:spacing w:after="0" w:line="162" w:lineRule="exact"/>
        <w:rPr>
          <w:sz w:val="20"/>
          <w:szCs w:val="20"/>
          <w:color w:val="auto"/>
        </w:rPr>
      </w:pPr>
    </w:p>
    <w:p>
      <w:pPr>
        <w:jc w:val="both"/>
        <w:ind w:left="660" w:hanging="328"/>
        <w:spacing w:after="0" w:line="256"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“FS Development Corp.” The Corporation was initially formed as “Hindsite Acquisition Corp.”, and the original certificate of incorporation was filed with the Secretary of State of the State of Delaware on June 25, 2020 (the “</w:t>
      </w:r>
      <w:r>
        <w:rPr>
          <w:rFonts w:ascii="Times New Roman" w:cs="Times New Roman" w:eastAsia="Times New Roman" w:hAnsi="Times New Roman"/>
          <w:sz w:val="18"/>
          <w:szCs w:val="18"/>
          <w:u w:val="single" w:color="auto"/>
          <w:color w:val="auto"/>
        </w:rPr>
        <w:t>Original Certificate</w:t>
      </w:r>
      <w:r>
        <w:rPr>
          <w:rFonts w:ascii="Times New Roman" w:cs="Times New Roman" w:eastAsia="Times New Roman" w:hAnsi="Times New Roman"/>
          <w:sz w:val="18"/>
          <w:szCs w:val="18"/>
          <w:color w:val="auto"/>
        </w:rPr>
        <w:t>”). The First Amendment to the Original Certificate was filed with the Secretary of State of the State of Delaware on June 29, 2020 (the “</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The Amended and Restated Certificate of Incorporation (the “</w:t>
      </w:r>
      <w:r>
        <w:rPr>
          <w:rFonts w:ascii="Times New Roman" w:cs="Times New Roman" w:eastAsia="Times New Roman" w:hAnsi="Times New Roman"/>
          <w:sz w:val="18"/>
          <w:szCs w:val="18"/>
          <w:u w:val="single" w:color="auto"/>
          <w:color w:val="auto"/>
        </w:rPr>
        <w:t>First Amended and Restated Certificate</w:t>
      </w:r>
      <w:r>
        <w:rPr>
          <w:rFonts w:ascii="Times New Roman" w:cs="Times New Roman" w:eastAsia="Times New Roman" w:hAnsi="Times New Roman"/>
          <w:sz w:val="18"/>
          <w:szCs w:val="18"/>
          <w:color w:val="auto"/>
        </w:rPr>
        <w:t>”), which both restated and amended the provisions of the Original Certificate, as amended by the First Amendment, was filed with the Secretary of the State of Delaware on August 11, 2020.</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Second Amended and Restated Certificate of Incorporation (the “</w:t>
      </w:r>
      <w:r>
        <w:rPr>
          <w:rFonts w:ascii="Times New Roman" w:cs="Times New Roman" w:eastAsia="Times New Roman" w:hAnsi="Times New Roman"/>
          <w:sz w:val="18"/>
          <w:szCs w:val="18"/>
          <w:u w:val="single" w:color="auto"/>
          <w:color w:val="auto"/>
        </w:rPr>
        <w:t>Second Amended and Restated Certificate</w:t>
      </w:r>
      <w:r>
        <w:rPr>
          <w:rFonts w:ascii="Times New Roman" w:cs="Times New Roman" w:eastAsia="Times New Roman" w:hAnsi="Times New Roman"/>
          <w:sz w:val="18"/>
          <w:szCs w:val="18"/>
          <w:color w:val="auto"/>
        </w:rPr>
        <w:t>”), which both restates and amends the provisions of the First Amended and Restated Certificate, was duly adopted in accordance with Sections 228, 242 and 245 of the General Corporation Law of the State of Delaware (as amended from time to time,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Second Amended and Restated Certificate shall become effective on the date of filing with the Secretary of State of Delaware.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capitalized terms used in this Second Amended and Restated Certificate are defined where appropriate herein.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Second Amended and Restated Certificate is being amended and restated in connection with the transactions contemplated by that certain Agreement and Plan of Merger, dated October 15, 2020 (the “Merger Agreement”), by and among the Corporation, Gemini Therapeutics Sub, Inc. (f/k/a Gemini Therapeutics, Inc.), FSG Merger Sub Inc. and Shareholder Representative Services LLC (solely in its capacity as the stockholder representative as set forth therein). As part of the transactions contemplated by the Merger Agreement, and in accordance with Section 4.3(b) of the First Amended and Restated Certificate, all shares of outstanding Class B Common Stock of the Corporation shall automatically be converted, on a one-to-one basis, into shares of Class A Common Stock of the Corporation such that, at the effectiveness of this Second Amended and Restated Certificate, only Class A Common Stock remains outstanding. All Class A Common Stock issued and outstanding prior to the effectiveness of this Third Amended and Restated Certificate and all Class A Common Stock issued as part of the Merger Agreement and the Subscription Agreements contemplated by the Merger Agreement shall be renamed as Common Stock for all purposes of this Second Amended and Restated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First Amended and Restated Certificate is hereby restated and amended in its entirety to read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the corporation is Gemini Therapeutics,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251 Little Falls Drive, in the City of Wilmington, County of New Castle, State of Delaware, 19808. The name of its registered agent at such address is Corporation Service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DGCL.</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total number of shares of capital stock which the Corporation shall have authority to issue is Two Hundred and Sixty Million (260,000,000) of which (i) Two Hundred and Fifty Million (250,000,000) shares shall be a class designated as common stock, par value $0.0001 per share (the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and (ii) Ten Million (10,000,000) shares shall be a class designated as undesignated preferred stock, par value $0.0001 per share (the “</w:t>
      </w:r>
      <w:r>
        <w:rPr>
          <w:rFonts w:ascii="Times New Roman" w:cs="Times New Roman" w:eastAsia="Times New Roman" w:hAnsi="Times New Roman"/>
          <w:sz w:val="18"/>
          <w:szCs w:val="18"/>
          <w:u w:val="single" w:color="auto"/>
          <w:color w:val="auto"/>
        </w:rPr>
        <w:t>Undesignated Preferred Stock</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powers, preferences and rights of, and the qualifications, limitations and restrictions upon, each class or series of stock shall be determined in accordance with, or as set forth below in, this Article IV.</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162" w:lineRule="exact"/>
        <w:rPr>
          <w:sz w:val="20"/>
          <w:szCs w:val="20"/>
          <w:color w:val="auto"/>
        </w:rPr>
      </w:pPr>
    </w:p>
    <w:p>
      <w:pPr>
        <w:jc w:val="both"/>
        <w:ind w:firstLine="1952"/>
        <w:spacing w:after="0" w:line="254" w:lineRule="auto"/>
        <w:tabs>
          <w:tab w:leader="none" w:pos="219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Common Stock shall have the exclusive right to vote for the election of directors of the Corporation (the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xml:space="preserve">”) and on all other matters requiring stockholder action, each outstanding share entitling the holder thereof to one vote on each matter properly submitted to the stockholders of the Corporation for their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19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2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may be declared and paid or set apart for payment upon the Common Stock out of any assets or funds of the Corporation legally available for the payment of dividends, but only when and as declared by the Board of Directors of the Corporation (the “</w:t>
      </w:r>
      <w:r>
        <w:rPr>
          <w:rFonts w:ascii="Times New Roman" w:cs="Times New Roman" w:eastAsia="Times New Roman" w:hAnsi="Times New Roman"/>
          <w:sz w:val="18"/>
          <w:szCs w:val="18"/>
          <w:u w:val="single" w:color="auto"/>
          <w:color w:val="auto"/>
        </w:rPr>
        <w:t>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or any authorized committee thereof; and</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19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voluntary or involuntary liquidation, dissolution or winding up of the Corporation, the net assets of the Corporation shall be distributed pro rata to the holders of the Common Stock.</w:t>
      </w:r>
    </w:p>
    <w:p>
      <w:pPr>
        <w:spacing w:after="0" w:line="161" w:lineRule="exact"/>
        <w:rPr>
          <w:rFonts w:ascii="Times New Roman" w:cs="Times New Roman" w:eastAsia="Times New Roman" w:hAnsi="Times New Roman"/>
          <w:sz w:val="18"/>
          <w:szCs w:val="18"/>
          <w:color w:val="auto"/>
        </w:rPr>
      </w:pPr>
    </w:p>
    <w:p>
      <w:pPr>
        <w:ind w:left="4640" w:hanging="200"/>
        <w:spacing w:after="0"/>
        <w:tabs>
          <w:tab w:leader="none" w:pos="46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Undesignated Preferred Stock</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Except as otherwise provided by any certificate of designations of any series of Undesignated Preferred Stock then outstanding or by law, no holder of any series of Undesignated Preferred Stock, as such, shall be entitled to any voting powers in respect thereof.</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 Action</w:t>
      </w:r>
    </w:p>
    <w:p>
      <w:pPr>
        <w:spacing w:after="0" w:line="229" w:lineRule="exact"/>
        <w:rPr>
          <w:sz w:val="20"/>
          <w:szCs w:val="20"/>
          <w:color w:val="auto"/>
        </w:rPr>
      </w:pPr>
    </w:p>
    <w:p>
      <w:pPr>
        <w:jc w:val="both"/>
        <w:ind w:firstLine="656"/>
        <w:spacing w:after="0" w:line="255" w:lineRule="auto"/>
        <w:tabs>
          <w:tab w:leader="none" w:pos="82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without Meeting</w:t>
      </w:r>
      <w:r>
        <w:rPr>
          <w:rFonts w:ascii="Times New Roman" w:cs="Times New Roman" w:eastAsia="Times New Roman" w:hAnsi="Times New Roman"/>
          <w:sz w:val="18"/>
          <w:szCs w:val="18"/>
          <w:color w:val="auto"/>
        </w:rPr>
        <w:t>. Except as may otherwise be provided by or pursuant to this Certificate (or any certificate of designations of any series of Undesignated Preferred Stock then outstanding) with respect to the holders of any series of Undesignated Preferred Stock then outstanding,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1.</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82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229" w:lineRule="exact"/>
        <w:rPr>
          <w:sz w:val="20"/>
          <w:szCs w:val="20"/>
          <w:color w:val="auto"/>
        </w:rPr>
      </w:pPr>
    </w:p>
    <w:p>
      <w:pPr>
        <w:ind w:firstLine="656"/>
        <w:spacing w:after="0" w:line="282" w:lineRule="auto"/>
        <w:tabs>
          <w:tab w:leader="none" w:pos="82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otherwise provided herein or required by law.</w:t>
      </w:r>
    </w:p>
    <w:p>
      <w:pPr>
        <w:spacing w:after="0" w:line="161"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Election of Directors need not be by written ballot unless the By-laws of the Corporation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shall so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w:t>
      </w:r>
    </w:p>
    <w:p>
      <w:pPr>
        <w:spacing w:after="0" w:line="206" w:lineRule="exact"/>
        <w:rPr>
          <w:rFonts w:ascii="Times New Roman" w:cs="Times New Roman" w:eastAsia="Times New Roman" w:hAnsi="Times New Roman"/>
          <w:sz w:val="18"/>
          <w:szCs w:val="18"/>
          <w:color w:val="auto"/>
        </w:rPr>
      </w:pPr>
    </w:p>
    <w:p>
      <w:pPr>
        <w:jc w:val="both"/>
        <w:ind w:firstLine="656"/>
        <w:spacing w:after="0" w:line="252" w:lineRule="auto"/>
        <w:tabs>
          <w:tab w:leader="none" w:pos="84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Directors; Term of Office</w:t>
      </w:r>
      <w:r>
        <w:rPr>
          <w:rFonts w:ascii="Times New Roman" w:cs="Times New Roman" w:eastAsia="Times New Roman" w:hAnsi="Times New Roman"/>
          <w:sz w:val="18"/>
          <w:szCs w:val="18"/>
          <w:color w:val="auto"/>
        </w:rPr>
        <w:t>. Subject to the terms of the Registration and Rights Agreement, dated as of February 5, 2021,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the Voting Agreement, dated as of February 5, 2021,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initial Class I Directors of the Corporation shall be Jean George and Dr. Carl Gordon; the initial Class II Directors of the Corporation shall be David Lubner, Dr. Tuyen Ong and Jason Rhodes; and the initial Class III Directors of the Corporation shall be Jason Meyenburg and Dr. Jim Tananbaum. The initial Class I Directors shall serve for a term expiring at the annual meeting of stockholders to be held in 2021, the initial Class II Directors shall serve for a term expiring at the annual meeting of stockholders to be held in 2022, and the initial Class III Directors shall serve for a term expiring at the annual meeting of stockholders to be held in 2023. The mailing address of each person who is to serve initially as a director is c/o Gemini Therapeutics, Inc., One Kendall Square, Building 300, Cambridge, MA.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4" w:name="page85"/>
    <w:bookmarkEnd w:id="8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 Section 3.</w:t>
      </w:r>
    </w:p>
    <w:p>
      <w:pPr>
        <w:spacing w:after="0" w:line="176" w:lineRule="exact"/>
        <w:rPr>
          <w:sz w:val="20"/>
          <w:szCs w:val="20"/>
          <w:color w:val="auto"/>
        </w:rPr>
      </w:pPr>
    </w:p>
    <w:p>
      <w:pPr>
        <w:jc w:val="both"/>
        <w:ind w:firstLine="656"/>
        <w:spacing w:after="0" w:line="253" w:lineRule="auto"/>
        <w:tabs>
          <w:tab w:leader="none" w:pos="82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xml:space="preserve">. Subject to the rights, if any, of the holders of any series of Undesignated Preferred Stock to elect Directors and to fill vacancies in the Board of Directors relating thereto and subject to the terms of the Registration Rights Agreement and the Voting Agreement,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(except as otherwise provided in the Registration Rights Agreement and the Voting Agreement).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determine the class or classes to which the increased or decreased number of Directors shall be apportioned;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firstLine="656"/>
        <w:spacing w:after="0" w:line="256" w:lineRule="auto"/>
        <w:tabs>
          <w:tab w:leader="none" w:pos="82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Subject to the rights, if any, of any series of Undesignated Preferred Stock to elect Directors and to remove any Director whom the holders of any such series have the right to elect and subject to the terms of the Registration Rights Agreement and the Voting Agreement, any Director (including persons elected by Directors to fill vacancies in the Board of Directors) may be removed from office (i) only with cause and (ii) only by the affirmative vote of the holders of not less than two thirds (2/3)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Limitation of Liability</w:t>
      </w:r>
    </w:p>
    <w:p>
      <w:pPr>
        <w:spacing w:after="0" w:line="229" w:lineRule="exact"/>
        <w:rPr>
          <w:sz w:val="20"/>
          <w:szCs w:val="20"/>
          <w:color w:val="auto"/>
        </w:rPr>
      </w:pPr>
    </w:p>
    <w:p>
      <w:pPr>
        <w:jc w:val="both"/>
        <w:ind w:firstLine="656"/>
        <w:spacing w:after="0" w:line="256" w:lineRule="auto"/>
        <w:tabs>
          <w:tab w:leader="none" w:pos="82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Director Liability</w:t>
      </w:r>
      <w:r>
        <w:rPr>
          <w:rFonts w:ascii="Times New Roman" w:cs="Times New Roman" w:eastAsia="Times New Roman" w:hAnsi="Times New Roman"/>
          <w:sz w:val="18"/>
          <w:szCs w:val="18"/>
          <w:color w:val="auto"/>
        </w:rPr>
        <w:t>. 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firstLine="656"/>
        <w:spacing w:after="0" w:line="261" w:lineRule="auto"/>
        <w:tabs>
          <w:tab w:leader="none" w:pos="84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83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VII.</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of By-Laws</w:t>
      </w:r>
    </w:p>
    <w:p>
      <w:pPr>
        <w:spacing w:after="0" w:line="229" w:lineRule="exact"/>
        <w:rPr>
          <w:sz w:val="20"/>
          <w:szCs w:val="20"/>
          <w:color w:val="auto"/>
        </w:rPr>
      </w:pPr>
    </w:p>
    <w:p>
      <w:pPr>
        <w:ind w:firstLine="656"/>
        <w:spacing w:after="0" w:line="282" w:lineRule="auto"/>
        <w:tabs>
          <w:tab w:leader="none" w:pos="82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otherwise provided by law, the By-laws of the Corporation may be amended or repealed by the Board of Directors by the affirmative vote of a majority of the Directors then in office.</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82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Except as otherwise provided therein, the By-laws of the Corporation may be amended or repealed at any annual meeting of stockholders, or special meeting of stockholders called for such purpose, by the affirmative vote of not less than two thirds (2/3)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of Certificate of Incorporation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Corporation reserves the right to amend or repeal this Certificate in the manner now or hereafter prescribed by statute and this Certificate, and all rights conferred upon stockholders herein are granted subject to this reservation. Except as otherwise required by this Certificate or by law, whenever any vote of the holders of capital stock of the Corporation is required to amend or repeal any provision of this Certificate,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Business Combinations</w:t>
      </w:r>
    </w:p>
    <w:p>
      <w:pPr>
        <w:spacing w:after="0" w:line="229" w:lineRule="exact"/>
        <w:rPr>
          <w:sz w:val="20"/>
          <w:szCs w:val="20"/>
          <w:color w:val="auto"/>
        </w:rPr>
      </w:pPr>
    </w:p>
    <w:p>
      <w:pPr>
        <w:ind w:left="840" w:hanging="184"/>
        <w:spacing w:after="0"/>
        <w:tabs>
          <w:tab w:leader="none" w:pos="8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 Out of DGCL 203</w:t>
      </w:r>
      <w:r>
        <w:rPr>
          <w:rFonts w:ascii="Times New Roman" w:cs="Times New Roman" w:eastAsia="Times New Roman" w:hAnsi="Times New Roman"/>
          <w:sz w:val="18"/>
          <w:szCs w:val="18"/>
          <w:color w:val="auto"/>
        </w:rPr>
        <w:t>. The Corporation shall not be governed by Section 203 of the DGCL.</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84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Excluded Opportunity</w:t>
      </w:r>
      <w:r>
        <w:rPr>
          <w:rFonts w:ascii="Times New Roman" w:cs="Times New Roman" w:eastAsia="Times New Roman" w:hAnsi="Times New Roman"/>
          <w:sz w:val="18"/>
          <w:szCs w:val="18"/>
          <w:color w:val="auto"/>
        </w:rPr>
        <w:t>. The Corporation renounces any interest or expectancy of the Corporation in, or in being offered an opportunity to participate in, any Excluded Opportunity. An “Excluded Opportunity” is any matter, transaction or interest that is presented to, or acquired, created or developed by, or which otherwise comes into the possession of, any Director of the Corporation who is not an employee or officer of the Corporation or any of its subsidiaries (a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Text]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THIS AMENDED AND RESTATED CERTIFICATE OF INCORPORATION is executed as of this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February, 2021.</w:t>
      </w:r>
    </w:p>
    <w:p>
      <w:pPr>
        <w:spacing w:after="0" w:line="13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229"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Jason Meyenburg</w:t>
      </w:r>
    </w:p>
    <w:p>
      <w:pPr>
        <w:spacing w:after="0" w:line="36" w:lineRule="exact"/>
        <w:rPr>
          <w:sz w:val="20"/>
          <w:szCs w:val="20"/>
          <w:color w:val="auto"/>
        </w:rPr>
      </w:pPr>
    </w:p>
    <w:p>
      <w:pPr>
        <w:jc w:val="right"/>
        <w:ind w:right="79"/>
        <w:spacing w:after="0"/>
        <w:tabs>
          <w:tab w:leader="none" w:pos="27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417195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Stockholders</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SECTION 1. Annual Meeting. The annual meeting of stockholders (any such meeting being referred to in these By-laws as an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shall be held at the hour, date and place within or without the United States which is fixed by the Board of Directors of the Corporation (the “</w:t>
      </w:r>
      <w:r>
        <w:rPr>
          <w:rFonts w:ascii="Times New Roman" w:cs="Times New Roman" w:eastAsia="Times New Roman" w:hAnsi="Times New Roman"/>
          <w:sz w:val="18"/>
          <w:szCs w:val="18"/>
          <w:u w:val="single" w:color="auto"/>
          <w:color w:val="auto"/>
        </w:rPr>
        <w:t>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2. Notice of Stockholder Business and Nominations.</w:t>
      </w:r>
    </w:p>
    <w:p>
      <w:pPr>
        <w:spacing w:after="0" w:line="225" w:lineRule="exact"/>
        <w:rPr>
          <w:sz w:val="20"/>
          <w:szCs w:val="20"/>
          <w:color w:val="auto"/>
        </w:rPr>
      </w:pPr>
    </w:p>
    <w:p>
      <w:pPr>
        <w:ind w:left="720" w:hanging="280"/>
        <w:spacing w:after="0"/>
        <w:tabs>
          <w:tab w:leader="none" w:pos="7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54" w:lineRule="auto"/>
        <w:tabs>
          <w:tab w:leader="none" w:pos="70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of Directors and the proposal of other business to be considered by the stockholders may be brought before an Annual Meeting (i) by or at the direction of the Board of Directors or (ii) by any stockholder of the Corporation who was a stockholder of record at the time of giving of notice provided for in these By-laws, who is entitled to vote at the meeting, who is present (in person or by proxy) at the meeting and who complies with the notice procedures set forth in these By-laws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and such stockholder must comply with the notice and other procedures set forth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of these By-laws to bring such nominations or business properly before an Annual Meeting. In addition to the other requirements set forth in these By-laws, for any proposal of business to be considered at an Annual Meeting, it must be a proper subject for action by stockholders of the Corporation under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jc w:val="both"/>
        <w:ind w:firstLine="440"/>
        <w:spacing w:after="0" w:line="237" w:lineRule="auto"/>
        <w:tabs>
          <w:tab w:leader="none" w:pos="7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nominations or other business to be properly brought before an Annual Meeting by a stockholder pursuant to clause (ii)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2(a)(1)</w:t>
      </w:r>
      <w:r>
        <w:rPr>
          <w:rFonts w:ascii="Times New Roman" w:cs="Times New Roman" w:eastAsia="Times New Roman" w:hAnsi="Times New Roman"/>
          <w:sz w:val="18"/>
          <w:szCs w:val="18"/>
          <w:color w:val="auto"/>
        </w:rPr>
        <w:t xml:space="preserve"> of these By-laws, the stockholder must (i) have given Timely Notice (as defined below) thereof in writing to the Secretary of the Corporation, (ii) have provided any updates or supplements to such notice at the times and in the forms required by these By-laws and (iii) together with the beneficial owner(s), if any, on whose behalf the nomination or business proposal is made, have acted in accordance with the representations set forth in the Solicitation Statement (as defined below) required by these By-laws. To be timely, a stockholder’s written notice shall be received by the Secretary at the principal executive offices of the Corporation not later than the close of business on the ninetieth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nor earlier than the close of business on the</w:t>
      </w:r>
    </w:p>
    <w:p>
      <w:pPr>
        <w:spacing w:after="0" w:line="5"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8"/>
          <w:szCs w:val="18"/>
          <w:color w:val="auto"/>
        </w:rPr>
        <w:t>one hundred twentieth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one-year anniversary of the preceding year’s Annual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w:t>
      </w:r>
    </w:p>
    <w:p>
      <w:pPr>
        <w:spacing w:after="0" w:line="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on the later of the ninetieth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the scheduled date of such Annual Meeting or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meeting is first made (such notice within such time periods shall be referred to as “</w:t>
      </w:r>
      <w:r>
        <w:rPr>
          <w:rFonts w:ascii="Times New Roman" w:cs="Times New Roman" w:eastAsia="Times New Roman" w:hAnsi="Times New Roman"/>
          <w:sz w:val="18"/>
          <w:szCs w:val="18"/>
          <w:u w:val="single" w:color="auto"/>
          <w:color w:val="auto"/>
        </w:rPr>
        <w:t>Timely Notice</w:t>
      </w:r>
      <w:r>
        <w:rPr>
          <w:rFonts w:ascii="Times New Roman" w:cs="Times New Roman" w:eastAsia="Times New Roman" w:hAnsi="Times New Roman"/>
          <w:sz w:val="18"/>
          <w:szCs w:val="18"/>
          <w:color w:val="auto"/>
        </w:rPr>
        <w:t>”).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the close of business on</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 later of the ninetieth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the scheduled date of such Annual Meeting or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Annual Meeting is first made or sent by the Corporation. Such stockholder’s Timely Notice shall set forth:</w:t>
      </w:r>
    </w:p>
    <w:p>
      <w:pPr>
        <w:spacing w:after="0" w:line="200" w:lineRule="exact"/>
        <w:rPr>
          <w:sz w:val="20"/>
          <w:szCs w:val="20"/>
          <w:color w:val="auto"/>
        </w:rPr>
      </w:pPr>
    </w:p>
    <w:p>
      <w:pPr>
        <w:jc w:val="both"/>
        <w:ind w:left="1300" w:firstLine="436"/>
        <w:spacing w:after="0" w:line="253" w:lineRule="auto"/>
        <w:tabs>
          <w:tab w:leader="none" w:pos="2027"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stockholder proposes to nominate for election or reelection as a director, (i) the name, age, business address and residence address of the nominee, (ii) the principal occupation or employment of the nominee, (iii) the class and number of shares of the Corporation that are held of record or are beneficially owned by the nominee and any derivative positions held or beneficially held by the nominee, (iv)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w:t>
      </w:r>
    </w:p>
    <w:p>
      <w:pPr>
        <w:spacing w:after="0" w:line="2" w:lineRule="exact"/>
        <w:rPr>
          <w:rFonts w:ascii="Times New Roman" w:cs="Times New Roman" w:eastAsia="Times New Roman" w:hAnsi="Times New Roman"/>
          <w:sz w:val="18"/>
          <w:szCs w:val="18"/>
          <w:color w:val="auto"/>
        </w:rPr>
      </w:pPr>
    </w:p>
    <w:p>
      <w:pPr>
        <w:jc w:val="both"/>
        <w:ind w:left="1300" w:firstLine="4"/>
        <w:spacing w:after="0" w:line="250" w:lineRule="auto"/>
        <w:tabs>
          <w:tab w:leader="none" w:pos="157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(vi) a written statement executed by the nominee acknowledging that as a director of the corporation, the nominee will owe fiduciary duties under Delaware law with respect to the Corporation and its stockholders, and</w:t>
      </w:r>
    </w:p>
    <w:p>
      <w:pPr>
        <w:spacing w:after="0" w:line="1" w:lineRule="exact"/>
        <w:rPr>
          <w:rFonts w:ascii="Times New Roman" w:cs="Times New Roman" w:eastAsia="Times New Roman" w:hAnsi="Times New Roman"/>
          <w:sz w:val="18"/>
          <w:szCs w:val="18"/>
          <w:color w:val="auto"/>
        </w:rPr>
      </w:pPr>
    </w:p>
    <w:p>
      <w:pPr>
        <w:jc w:val="both"/>
        <w:ind w:left="1300" w:firstLine="4"/>
        <w:spacing w:after="0" w:line="255" w:lineRule="auto"/>
        <w:tabs>
          <w:tab w:leader="none" w:pos="168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185" w:lineRule="exact"/>
        <w:rPr>
          <w:rFonts w:ascii="Times New Roman" w:cs="Times New Roman" w:eastAsia="Times New Roman" w:hAnsi="Times New Roman"/>
          <w:sz w:val="18"/>
          <w:szCs w:val="18"/>
          <w:color w:val="auto"/>
        </w:rPr>
      </w:pPr>
    </w:p>
    <w:p>
      <w:pPr>
        <w:jc w:val="both"/>
        <w:ind w:left="1300" w:firstLine="436"/>
        <w:spacing w:after="0" w:line="266" w:lineRule="auto"/>
        <w:tabs>
          <w:tab w:leader="none" w:pos="2017"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stockholder proposes to bring before the meeting, a brief description of the business desired to be brought before the meeting, the reasons for conducting such business at the meeting, the text, if any, of any resolutions or By-law amendment proposed for adoption, and any material interest in such business of each Proposing Person (as defined below);</w:t>
      </w:r>
    </w:p>
    <w:p>
      <w:pPr>
        <w:spacing w:after="0" w:line="175" w:lineRule="exact"/>
        <w:rPr>
          <w:rFonts w:ascii="Times New Roman" w:cs="Times New Roman" w:eastAsia="Times New Roman" w:hAnsi="Times New Roman"/>
          <w:sz w:val="18"/>
          <w:szCs w:val="18"/>
          <w:color w:val="auto"/>
        </w:rPr>
      </w:pPr>
    </w:p>
    <w:p>
      <w:pPr>
        <w:jc w:val="both"/>
        <w:ind w:left="1300" w:firstLine="436"/>
        <w:spacing w:after="0" w:line="251" w:lineRule="auto"/>
        <w:tabs>
          <w:tab w:leader="none" w:pos="203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 clauses (a) through (e) are referred to, collectively, as “</w:t>
      </w:r>
      <w:r>
        <w:rPr>
          <w:rFonts w:ascii="Times New Roman" w:cs="Times New Roman" w:eastAsia="Times New Roman" w:hAnsi="Times New Roman"/>
          <w:sz w:val="18"/>
          <w:szCs w:val="18"/>
          <w:u w:val="single" w:color="auto"/>
          <w:color w:val="auto"/>
        </w:rPr>
        <w:t>Material Ownership Interests</w:t>
      </w:r>
      <w:r>
        <w:rPr>
          <w:rFonts w:ascii="Times New Roman" w:cs="Times New Roman" w:eastAsia="Times New Roman" w:hAnsi="Times New Roman"/>
          <w:sz w:val="18"/>
          <w:szCs w:val="18"/>
          <w:color w:val="auto"/>
        </w:rPr>
        <w:t>”) and (iii) 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left="1300" w:firstLine="436"/>
        <w:spacing w:after="0" w:line="255" w:lineRule="auto"/>
        <w:tabs>
          <w:tab w:leader="none" w:pos="20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188" w:lineRule="exact"/>
        <w:rPr>
          <w:rFonts w:ascii="Times New Roman" w:cs="Times New Roman" w:eastAsia="Times New Roman" w:hAnsi="Times New Roman"/>
          <w:sz w:val="18"/>
          <w:szCs w:val="18"/>
          <w:color w:val="auto"/>
        </w:rPr>
      </w:pPr>
    </w:p>
    <w:p>
      <w:pPr>
        <w:jc w:val="both"/>
        <w:ind w:left="1300" w:firstLine="436"/>
        <w:spacing w:after="0" w:line="256" w:lineRule="auto"/>
        <w:tabs>
          <w:tab w:leader="none" w:pos="200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w:t>
      </w:r>
      <w:r>
        <w:rPr>
          <w:rFonts w:ascii="Times New Roman" w:cs="Times New Roman" w:eastAsia="Times New Roman" w:hAnsi="Times New Roman"/>
          <w:sz w:val="18"/>
          <w:szCs w:val="18"/>
          <w:u w:val="single" w:color="auto"/>
          <w:color w:val="auto"/>
        </w:rPr>
        <w:t>Solicitation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 the term “</w:t>
      </w:r>
      <w:r>
        <w:rPr>
          <w:rFonts w:ascii="Times New Roman" w:cs="Times New Roman" w:eastAsia="Times New Roman" w:hAnsi="Times New Roman"/>
          <w:sz w:val="18"/>
          <w:szCs w:val="18"/>
          <w:u w:val="single" w:color="auto"/>
          <w:color w:val="auto"/>
        </w:rPr>
        <w:t>Proposing Person</w:t>
      </w:r>
      <w:r>
        <w:rPr>
          <w:rFonts w:ascii="Times New Roman" w:cs="Times New Roman" w:eastAsia="Times New Roman" w:hAnsi="Times New Roman"/>
          <w:sz w:val="18"/>
          <w:szCs w:val="18"/>
          <w:color w:val="auto"/>
        </w:rPr>
        <w:t xml:space="preserve">”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 the term “</w:t>
      </w:r>
      <w:r>
        <w:rPr>
          <w:rFonts w:ascii="Times New Roman" w:cs="Times New Roman" w:eastAsia="Times New Roman" w:hAnsi="Times New Roman"/>
          <w:sz w:val="18"/>
          <w:szCs w:val="18"/>
          <w:u w:val="single" w:color="auto"/>
          <w:color w:val="auto"/>
        </w:rPr>
        <w:t>Synthetic Equity Interest</w:t>
      </w:r>
      <w:r>
        <w:rPr>
          <w:rFonts w:ascii="Times New Roman" w:cs="Times New Roman" w:eastAsia="Times New Roman" w:hAnsi="Times New Roman"/>
          <w:sz w:val="18"/>
          <w:szCs w:val="18"/>
          <w:color w:val="auto"/>
        </w:rPr>
        <w: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w:t>
      </w:r>
    </w:p>
    <w:p>
      <w:pPr>
        <w:spacing w:after="0" w:line="1" w:lineRule="exact"/>
        <w:rPr>
          <w:sz w:val="20"/>
          <w:szCs w:val="20"/>
          <w:color w:val="auto"/>
        </w:rPr>
      </w:pPr>
    </w:p>
    <w:p>
      <w:pPr>
        <w:jc w:val="both"/>
        <w:ind w:firstLine="8"/>
        <w:spacing w:after="0" w:line="253" w:lineRule="auto"/>
        <w:tabs>
          <w:tab w:leader="none" w:pos="26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188" w:lineRule="exact"/>
        <w:rPr>
          <w:rFonts w:ascii="Times New Roman" w:cs="Times New Roman" w:eastAsia="Times New Roman" w:hAnsi="Times New Roman"/>
          <w:sz w:val="18"/>
          <w:szCs w:val="18"/>
          <w:color w:val="auto"/>
        </w:rPr>
      </w:pPr>
    </w:p>
    <w:p>
      <w:pPr>
        <w:jc w:val="both"/>
        <w:ind w:firstLine="440"/>
        <w:spacing w:after="0" w:line="247" w:lineRule="auto"/>
        <w:tabs>
          <w:tab w:leader="none" w:pos="702"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these By-laws shall be true and correct as of the record date for the meeting and as of the date that is ten (10) business days prior to such Annual Meeting, and such update and supplement shall be received by the Secretary at the principal executive offices of the Corporation not later than the close of business on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business day after the record date for the Annual Meeting (in the case of the update and</w:t>
      </w:r>
    </w:p>
    <w:p>
      <w:pPr>
        <w:spacing w:after="0" w:line="4"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supplement required to be made as of the record date), and not later than the close of business on the eighth (8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prior to the date of the Annual Meeting (in the case of the update and supplement required to be made as of ten (10) business days prior to the meeting).</w:t>
      </w:r>
    </w:p>
    <w:p>
      <w:pPr>
        <w:spacing w:after="0" w:line="198" w:lineRule="exact"/>
        <w:rPr>
          <w:sz w:val="20"/>
          <w:szCs w:val="20"/>
          <w:color w:val="auto"/>
        </w:rPr>
      </w:pPr>
    </w:p>
    <w:p>
      <w:pPr>
        <w:jc w:val="both"/>
        <w:ind w:firstLine="440"/>
        <w:spacing w:after="0" w:line="262" w:lineRule="auto"/>
        <w:tabs>
          <w:tab w:leader="none" w:pos="7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the second sentence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xml:space="preserve"> of these By-laws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a stockholder’s notice required by these By-laws shall also be considered timely, but only with respect to nominees for any new positions created by such increase, if it shall be received by the Secretary of the Corporation not later than the close of business on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day on which such public announcement is first made by the Corporation.</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ind w:left="700" w:hanging="260"/>
        <w:spacing w:after="0"/>
        <w:tabs>
          <w:tab w:leader="none" w:pos="7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52" w:lineRule="auto"/>
        <w:tabs>
          <w:tab w:leader="none" w:pos="69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such persons who are nominated in accordance with the provisions of these By-laws, the Registration and Shareholder Rights Agreement, dated as of February 5, 2021,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Registration and Shareholder Rights Agreement</w:t>
      </w:r>
      <w:r>
        <w:rPr>
          <w:rFonts w:ascii="Times New Roman" w:cs="Times New Roman" w:eastAsia="Times New Roman" w:hAnsi="Times New Roman"/>
          <w:sz w:val="18"/>
          <w:szCs w:val="18"/>
          <w:color w:val="auto"/>
        </w:rPr>
        <w:t>”) and the Voting Agreement, dated as of February 5, 2021,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shall be eligible for election and to serve as directors and only such business shall be conducted at an Annual Meeting as shall have been brought before the meeting in accordance with the provisions of these By-laws, the Registration and Shareholder Rights Agreement, the Voting Agreement or in accordance with Rule 14a-8 under the Exchange Act. The Board of Directors or a designated committee thereof shall have the power to determine whether a nomination or any business proposed to be brought before the meeting was made in accordance with the provisions of these By-laws, the Registration and Shareholder Rights Agreement or the Voting Agreement. If neither the Board of Directors nor such designated committee makes a determination as to whether any stockholder proposal or nomination was made in accordance with the provisions of these By-laws, the Registration and Shareholder Rights Agreement or the Voting Agreement, the presiding officer of the Annual Meeting shall have the power and duty to determine whether the stockholder proposal or nomination was made in accordance with the provisions of these By-laws, the Registration and Shareholder Rights Agreement or the Voting Agreement. If the Board of Directors or a designated committee thereof or the presiding officer, as applicable, determines that any stockholder proposal or nomination was not made in accordance with the provisions of these By-laws, the Registration and Shareholder Rights Agreement or the Voting Agreement, such proposal or nomination shall be disregarded and shall not be presented for action at the Annual Meeting.</w:t>
      </w:r>
    </w:p>
    <w:p>
      <w:pPr>
        <w:spacing w:after="0" w:line="195" w:lineRule="exact"/>
        <w:rPr>
          <w:rFonts w:ascii="Times New Roman" w:cs="Times New Roman" w:eastAsia="Times New Roman" w:hAnsi="Times New Roman"/>
          <w:sz w:val="18"/>
          <w:szCs w:val="18"/>
          <w:color w:val="auto"/>
        </w:rPr>
      </w:pPr>
    </w:p>
    <w:p>
      <w:pPr>
        <w:jc w:val="both"/>
        <w:ind w:firstLine="440"/>
        <w:spacing w:after="0" w:line="261" w:lineRule="auto"/>
        <w:tabs>
          <w:tab w:leader="none" w:pos="71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required by law, the Registration and Shareholder Rights Agreement or the Voting Agreement, nothing in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79" w:lineRule="exact"/>
        <w:rPr>
          <w:rFonts w:ascii="Times New Roman" w:cs="Times New Roman" w:eastAsia="Times New Roman" w:hAnsi="Times New Roman"/>
          <w:sz w:val="18"/>
          <w:szCs w:val="18"/>
          <w:color w:val="auto"/>
        </w:rPr>
      </w:pPr>
    </w:p>
    <w:p>
      <w:pPr>
        <w:jc w:val="both"/>
        <w:ind w:firstLine="440"/>
        <w:spacing w:after="0" w:line="255" w:lineRule="auto"/>
        <w:tabs>
          <w:tab w:leader="none" w:pos="69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188" w:lineRule="exact"/>
        <w:rPr>
          <w:rFonts w:ascii="Times New Roman" w:cs="Times New Roman" w:eastAsia="Times New Roman" w:hAnsi="Times New Roman"/>
          <w:sz w:val="18"/>
          <w:szCs w:val="18"/>
          <w:color w:val="auto"/>
        </w:rPr>
      </w:pPr>
    </w:p>
    <w:p>
      <w:pPr>
        <w:jc w:val="both"/>
        <w:ind w:firstLine="440"/>
        <w:spacing w:after="0" w:line="266" w:lineRule="auto"/>
        <w:tabs>
          <w:tab w:leader="none" w:pos="78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75" w:lineRule="exact"/>
        <w:rPr>
          <w:rFonts w:ascii="Times New Roman" w:cs="Times New Roman" w:eastAsia="Times New Roman" w:hAnsi="Times New Roman"/>
          <w:sz w:val="18"/>
          <w:szCs w:val="18"/>
          <w:color w:val="auto"/>
        </w:rPr>
      </w:pPr>
    </w:p>
    <w:p>
      <w:pPr>
        <w:jc w:val="both"/>
        <w:ind w:firstLine="440"/>
        <w:spacing w:after="0" w:line="258" w:lineRule="auto"/>
        <w:tabs>
          <w:tab w:leader="none" w:pos="68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these By-laws, a stockholder shall also comply with all applicable requirements of the Exchange Act and the rules and regulations thereunder with respect to the matters set forth in these By-laws. Nothing in these By-laws shall be deemed to affect any rights of (i) stockholders to have proposals included in the Corporation’s proxy statement pursuant to Rule 14a-8 (or any successor rule), as applicable, under the Exchange Act and, to the extent required by such rule, have such proposals considered and voted on at an Annual Meeting or (ii) the holders of any series of Undesignated Preferred Stock to elect directors under specified circumstances.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firstLine="440"/>
        <w:spacing w:after="0" w:line="258" w:lineRule="auto"/>
        <w:tabs>
          <w:tab w:leader="none" w:pos="74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183"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 xml:space="preserve">SECTION 3. Special Meetings.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accordance with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these By-laws, in which case such special meeting in lieu thereof shall be deemed an Annual Meeting for purposes of these By-laws and the provisions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these By-laws shall govern such special meeting.</w:t>
      </w:r>
    </w:p>
    <w:p>
      <w:pPr>
        <w:spacing w:after="0" w:line="19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4. Notice of Meetings; Adjournments.</w:t>
      </w:r>
    </w:p>
    <w:p>
      <w:pPr>
        <w:spacing w:after="0" w:line="225" w:lineRule="exact"/>
        <w:rPr>
          <w:sz w:val="20"/>
          <w:szCs w:val="20"/>
          <w:color w:val="auto"/>
        </w:rPr>
      </w:pPr>
    </w:p>
    <w:p>
      <w:pPr>
        <w:jc w:val="both"/>
        <w:ind w:firstLine="440"/>
        <w:spacing w:after="0" w:line="256" w:lineRule="auto"/>
        <w:tabs>
          <w:tab w:leader="none" w:pos="73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Delaware General Corporation Law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firstLine="440"/>
        <w:spacing w:after="0" w:line="282" w:lineRule="auto"/>
        <w:tabs>
          <w:tab w:leader="none" w:pos="69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required by the DGCL, notice of all special meetings of stockholders shall be given in the same manner as provided for Annual Meetings, except that the notice of all special meetings shall state the purpose or purposes for which the meeting has been called.</w:t>
      </w:r>
    </w:p>
    <w:p>
      <w:pPr>
        <w:spacing w:after="0" w:line="161" w:lineRule="exact"/>
        <w:rPr>
          <w:rFonts w:ascii="Times New Roman" w:cs="Times New Roman" w:eastAsia="Times New Roman" w:hAnsi="Times New Roman"/>
          <w:sz w:val="18"/>
          <w:szCs w:val="18"/>
          <w:color w:val="auto"/>
        </w:rPr>
      </w:pPr>
    </w:p>
    <w:p>
      <w:pPr>
        <w:jc w:val="both"/>
        <w:ind w:firstLine="440"/>
        <w:spacing w:after="0" w:line="261" w:lineRule="auto"/>
        <w:tabs>
          <w:tab w:leader="none" w:pos="72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79" w:lineRule="exact"/>
        <w:rPr>
          <w:rFonts w:ascii="Times New Roman" w:cs="Times New Roman" w:eastAsia="Times New Roman" w:hAnsi="Times New Roman"/>
          <w:sz w:val="18"/>
          <w:szCs w:val="18"/>
          <w:color w:val="auto"/>
        </w:rPr>
      </w:pPr>
    </w:p>
    <w:p>
      <w:pPr>
        <w:jc w:val="both"/>
        <w:ind w:firstLine="440"/>
        <w:spacing w:after="0" w:line="258" w:lineRule="auto"/>
        <w:tabs>
          <w:tab w:leader="none" w:pos="71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 or otherwise. In no event shall the public announcement of an adjournment, postponement or rescheduling of any previously scheduled meeting of stockholders commence a new time period for the giving of a stockholder’s notice under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both"/>
        <w:ind w:firstLine="440"/>
        <w:spacing w:after="0" w:line="253" w:lineRule="auto"/>
        <w:tabs>
          <w:tab w:leader="none" w:pos="73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any meeting is convened, the presiding officer may adjourn the meeting if (i) no quorum is present for the transaction of business, (ii) 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or these By-laws, is entitled to such notice.</w:t>
      </w:r>
    </w:p>
    <w:p>
      <w:pPr>
        <w:spacing w:after="0" w:line="19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SECTION 5. Quorum. A majority of the outstanding shares entitled to vote, present in person or represented by proxy, shall constitute a quorum at any meeting of stockholders.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At such adjourned meeting at which a quorum is present, any business may be transacted which might have been transacted at the original meeting. The stockholders present at a duly constituted meeting may continue to transact business until adjournment, notwithstanding the withdrawal of enough stockholders to leave less than a quorum.</w:t>
      </w:r>
    </w:p>
    <w:p>
      <w:pPr>
        <w:spacing w:after="0" w:line="18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SECTION 6. Voting and Proxies. Stockholders shall have one vote for each share of stock entitled to vote owned by them of record according to the stock ledger of the Corporation as of the record date, unless otherwise provided by law or by the Certificate. Stockholders may vote either (i) in person,</w:t>
      </w:r>
    </w:p>
    <w:p>
      <w:pPr>
        <w:jc w:val="both"/>
        <w:ind w:firstLine="8"/>
        <w:spacing w:after="0" w:line="251" w:lineRule="auto"/>
        <w:tabs>
          <w:tab w:leader="none" w:pos="29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1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SECTION 7. Action at Meeting.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18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SECTION 8. Stockholder Lists.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 period of at least ten (10) days prior to the meeting as provided in the manner, and subject to the terms, set forth in Section 219 of the DGCL (or any successor provision). The list shall also be open to the examination of any stockholder during the whole time of the meeting as provided by law.</w:t>
      </w:r>
    </w:p>
    <w:p>
      <w:pPr>
        <w:spacing w:after="0" w:line="18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 xml:space="preserve">SECTION 9. Presiding Officer. The Board of Directors shall designate a representative to preside over all Annual Meetings or special meetings of stockholders, provided that if the Board of Directors does not so designate such a presiding officer, then the Chairman of the Board, if one is elected, shall preside over such meetings. If the Board of Directors does not so designate such a presiding officer and there is no Chairman of the Board or the Chairman of the Board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w:t>
      </w:r>
      <w:r>
        <w:rPr>
          <w:rFonts w:ascii="Times New Roman" w:cs="Times New Roman" w:eastAsia="Times New Roman" w:hAnsi="Times New Roman"/>
          <w:sz w:val="18"/>
          <w:szCs w:val="18"/>
          <w:u w:val="single" w:color="auto"/>
          <w:color w:val="auto"/>
        </w:rPr>
        <w:t>Sections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The order of business and all other matters of procedure at any meeting of the stockholders shall be determined by the presiding officer.</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SECTION 10. Inspectors of Elections.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 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229"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SECTION 1. Powers. The business and affairs of the Corporation shall be managed by or under the direction of the Board of Directors except as otherwise provided by the Certificate or required by law.</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SECTION 2. Number and Terms. Subject to the terms of the Registration and Shareholder Rights Agreement and the Voting Agreement, the number of directors of the Corporation shall be fixed solely and exclusively by resolution duly adopted from time to time by the Board of Directors. The directors shall hold office in the manner provided in the Certificate.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3. Qualification. No director need be a stockholder of the Corporation.</w:t>
      </w:r>
    </w:p>
    <w:p>
      <w:pPr>
        <w:spacing w:after="0" w:line="22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SECTION 4. Vacancies. Vacancies in the Board of Directors shall be filled in the manner provided in the Certificate, the Registration and Shareholder Rights Agreement and the Voting Agreement.</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SECTION 5. Removal. Directors may be removed from office only in the manner provided in the Certificate, the Registration and Shareholder Rights Agreement and the Voting Agreement.</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SECTION 6. Resignation. A director may resign at any time by electronic transmission or by giving written notice to the Chairman of the Board, if one is elected, the President or the Secretary. A resignation shall be effective upon receipt, unless the resignation otherwise provides.</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SECTION 7. Regular Meetings. Regular and annual meetings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SECTION 8. Special Meetings. Special meetings of the Board of Directors may be called, orally or in writing, by or at the request of a majority of the directors, the Chairman of the Board, if one is elected, or the President. The person calling any such special meeting of the Board of Directors may fix the hour, date and place thereof.</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SECTION 9. Notice of Meetings. Notice of the hour, date and place of all special meetings of the Board of Directors shall be given to each director by the Secretary or an Assistant Secretary, or in case of the death, absence, incapacity or refusal of such persons, by the Chairman of the Board, if one is elected, or the President or such other officer designated by the Chairman of the Board, if one is elected, or the President. Notice of any special meeting of the Board of Directors shall be given to each director in person, by telephone, or by facsimile, electronic mail or other form of electronic communication, sent to his or her business or home address, at least twenty-four (24) hours in advance of the meeting, or by written notice mailed to his or her business or home address, at least forty-eight (48) hours in advance of the meeting. Such notice shall be deemed to be delivered when hand-delivered to such address, read to such director by telephone, deposited in the mail so addressed, with postage thereon prepaid if mailed, dispatched or transmitted if sent by facsimile transmission or by electronic mail or other form of electronic communications.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8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SECTION 10. Quorum.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18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SECTION 11. Action at Meeting. At any meeting of the Board of Directors at which a quorum is present, the vote of a majority of the directors present shall constitute action by the Board of Directors, unless otherwise required by law, by the Certificate or by these By-laws.</w:t>
      </w:r>
    </w:p>
    <w:p>
      <w:pPr>
        <w:spacing w:after="0" w:line="16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SECTION 12. Action by Consent.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8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SECTION 13. Manner of Participation.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17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SECTION 14. Presiding Director.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Chairman of the Board, if one is elected, shall preside over all meetings of the Board of Directors. If both the designated presiding director, if one is so designated, and the Chairman of the Board, if one is elected, are unable to preside or are absent, the Board of Directors shall designate an alternate representative to preside over a meeting of the Board of Directors.</w:t>
      </w:r>
    </w:p>
    <w:p>
      <w:pPr>
        <w:spacing w:after="0" w:line="183"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SECTION 15. Committees. Subject to the terms of the Registration and Shareholder Rights Agreement and the Voting Agreement, the Board of Directors, by vote of a majority of the directors then in office, may elect one or more committees, including, without limitation, a Compensation Committee, a Nominating &amp;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19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SECTION 16. Compensation of Directors. Directors shall receive such compensation for their services as shall be determined by a majority of the Board of Directors, or a designated committee thereof, provided that directors who are serving the Corporation as employees and who receive compensation for their services as such, shall not receive any salary or other compensation for their services as directors of the Corporation.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SECTION 1. Enumeration. The officers of the Corporation shall consist of a President, a Treasurer, a Secretary and such other officers, including, without limitation, a Chairman of the Board of Directors, a Chief Executive Officer and one or more Vice Presidents (including Executive Vice Presidents or Senior Vice Presidents), Assistant Vice Presidents, Assistant Treasurers and Assistant Secretaries, as the Board of Directors may determine.</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SECTION 2. Election. At the regular annual meeting of the Board of Directors following the Annual Meeting, the Board of Directors shall elect the President, the Treasurer and the Secretary. Other officers may be elected by the Board of Directors at such regular annual meeting of the Board of Directors or at any other regular or special meeting.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3. Qualification. No officer need be a stockholder or a director. Any person may occupy more than one office of the Corporation at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SECTION 4. Tenure. Except as otherwise provided by the Certificate or by these By-laws, each of the officers of the Corporation shall hold office until the regular annual meeting of the Board of Directors following the next Annual Meeting and until his or her successor is elected and qualified or until his or her earlier resignation or removal.</w:t>
      </w:r>
    </w:p>
    <w:p>
      <w:pPr>
        <w:spacing w:after="0" w:line="1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SECTION 5. Resignation. Any officer may resign by delivering his or her written or electronically transmitted resignation to the Corporation addressed to the President or the Secretary, and such resignation shall be effective upon receipt, unless the resignation otherwise provides.</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SECTION 6. Removal. Except as otherwise provided by law or by resolution of the Board of Directors, the Board of Directors may remove any officer with or without cause by the affirmative vote of a majority of the directors then in office.</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SECTION 7. Absence or Disability. In the event of the absence or disability of any officer, the Board of Directors may designate another officer to act temporarily in place of such absent or disabled officer.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8. Vacancies. Any vacancy in any office may be filled for the unexpired portion of the term by the Board of Directors.</w:t>
      </w:r>
    </w:p>
    <w:p>
      <w:pPr>
        <w:spacing w:after="0" w:line="22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SECTION 9. President. The President shall, subject to the direction of the Board of Directors, have such powers and shall perform such duties as the Board of Directors may from time to time designate.</w:t>
      </w:r>
    </w:p>
    <w:p>
      <w:pPr>
        <w:spacing w:after="0" w:line="162"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SECTION 10. Chairman of the Board. The Chairman of the Board, if one is elected, shall have such powers and shall perform such duties as the Board of Directors may from time to time designate.</w:t>
      </w:r>
    </w:p>
    <w:p>
      <w:pPr>
        <w:spacing w:after="0" w:line="162"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SECTION 11. Chief Executive Officer. The Chief Executive Officer, if one is elected, shall have such powers and shall perform such duties as the Board of Directors may from time to time designate.</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SECTION 12. Vice Presidents and Assistant Vice Presidents.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17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SECTION 13. Treasurer and Assistant Treasurers.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83"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SECTION 14. Secretary and Assistant Secretaries.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7" w:name="page98"/>
    <w:bookmarkEnd w:id="97"/>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SECTION 15. Other Powers and Duties.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 Stock</w:t>
      </w:r>
    </w:p>
    <w:p>
      <w:pPr>
        <w:spacing w:after="0" w:line="22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1. Certificates of Stock.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w:t>
      </w:r>
      <w:r>
        <w:rPr>
          <w:rFonts w:ascii="Times New Roman" w:cs="Times New Roman" w:eastAsia="Times New Roman" w:hAnsi="Times New Roman"/>
          <w:sz w:val="18"/>
          <w:szCs w:val="18"/>
          <w:b w:val="1"/>
          <w:bCs w:val="1"/>
          <w:color w:val="auto"/>
        </w:rPr>
        <w:t>Notwithstanding anything to</w:t>
      </w:r>
      <w:r>
        <w:rPr>
          <w:rFonts w:ascii="Times New Roman" w:cs="Times New Roman" w:eastAsia="Times New Roman" w:hAnsi="Times New Roman"/>
          <w:sz w:val="18"/>
          <w:szCs w:val="18"/>
          <w:color w:val="auto"/>
        </w:rPr>
        <w:t xml:space="preserve">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9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SECTION 2. Transfers.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8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SECTION 3. Record Holders.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80"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SECTION 4. Record Date.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ind w:firstLine="432"/>
        <w:spacing w:after="0" w:line="282" w:lineRule="auto"/>
        <w:rPr>
          <w:sz w:val="20"/>
          <w:szCs w:val="20"/>
          <w:color w:val="auto"/>
        </w:rPr>
      </w:pPr>
      <w:r>
        <w:rPr>
          <w:rFonts w:ascii="Times New Roman" w:cs="Times New Roman" w:eastAsia="Times New Roman" w:hAnsi="Times New Roman"/>
          <w:sz w:val="18"/>
          <w:szCs w:val="18"/>
          <w:color w:val="auto"/>
        </w:rPr>
        <w:t>SECTION 5. Replacement of Certificates. In case of the alleged loss, destruction or mutilation of a certificate of stock of the Corporation, a duplicate certificate may be issued in place thereof, upon such terms as the Board of Directors may prescribe.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 Definitions. For purposes of this Article:</w:t>
      </w:r>
    </w:p>
    <w:p>
      <w:pPr>
        <w:spacing w:after="0" w:line="225" w:lineRule="exact"/>
        <w:rPr>
          <w:sz w:val="20"/>
          <w:szCs w:val="20"/>
          <w:color w:val="auto"/>
        </w:rPr>
      </w:pPr>
    </w:p>
    <w:p>
      <w:pPr>
        <w:jc w:val="both"/>
        <w:ind w:firstLine="440"/>
        <w:spacing w:after="0" w:line="254" w:lineRule="auto"/>
        <w:tabs>
          <w:tab w:leader="none" w:pos="74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Status</w:t>
      </w:r>
      <w:r>
        <w:rPr>
          <w:rFonts w:ascii="Times New Roman" w:cs="Times New Roman" w:eastAsia="Times New Roman" w:hAnsi="Times New Roman"/>
          <w:sz w:val="18"/>
          <w:szCs w:val="18"/>
          <w:color w:val="auto"/>
        </w:rPr>
        <w:t xml:space="preserve">”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91" w:lineRule="exact"/>
        <w:rPr>
          <w:rFonts w:ascii="Times New Roman" w:cs="Times New Roman" w:eastAsia="Times New Roman" w:hAnsi="Times New Roman"/>
          <w:sz w:val="18"/>
          <w:szCs w:val="18"/>
          <w:color w:val="auto"/>
        </w:rPr>
      </w:pPr>
    </w:p>
    <w:p>
      <w:pPr>
        <w:ind w:firstLine="440"/>
        <w:spacing w:after="0" w:line="282" w:lineRule="auto"/>
        <w:tabs>
          <w:tab w:leader="none" w:pos="68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any person who serves or has served the Corporation as a director on the Board of Directors; including, for the avoidance of doubt, any person who has served as a director of FS Development Corp., a Delaware corporation;</w:t>
      </w:r>
    </w:p>
    <w:p>
      <w:pPr>
        <w:spacing w:after="0" w:line="161" w:lineRule="exact"/>
        <w:rPr>
          <w:rFonts w:ascii="Times New Roman" w:cs="Times New Roman" w:eastAsia="Times New Roman" w:hAnsi="Times New Roman"/>
          <w:sz w:val="18"/>
          <w:szCs w:val="18"/>
          <w:color w:val="auto"/>
        </w:rPr>
      </w:pPr>
    </w:p>
    <w:p>
      <w:pPr>
        <w:ind w:firstLine="440"/>
        <w:spacing w:after="0" w:line="282" w:lineRule="auto"/>
        <w:tabs>
          <w:tab w:leader="none" w:pos="83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Disinterested Director</w:t>
      </w:r>
      <w:r>
        <w:rPr>
          <w:rFonts w:ascii="Times New Roman" w:cs="Times New Roman" w:eastAsia="Times New Roman" w:hAnsi="Times New Roman"/>
          <w:sz w:val="18"/>
          <w:szCs w:val="18"/>
          <w:color w:val="auto"/>
        </w:rPr>
        <w:t>” means, with respect to each Proceeding in respect of which indemnification is sought hereunder, a Director of the Corporation who is not and was not a party to such Proceeding;</w:t>
      </w:r>
    </w:p>
    <w:p>
      <w:pPr>
        <w:spacing w:after="0" w:line="161" w:lineRule="exact"/>
        <w:rPr>
          <w:rFonts w:ascii="Times New Roman" w:cs="Times New Roman" w:eastAsia="Times New Roman" w:hAnsi="Times New Roman"/>
          <w:sz w:val="18"/>
          <w:szCs w:val="18"/>
          <w:color w:val="auto"/>
        </w:rPr>
      </w:pPr>
    </w:p>
    <w:p>
      <w:pPr>
        <w:jc w:val="both"/>
        <w:ind w:firstLine="440"/>
        <w:spacing w:after="0" w:line="256" w:lineRule="auto"/>
        <w:tabs>
          <w:tab w:leader="none" w:pos="68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means all reasonable, documented and out-of-pocket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187" w:lineRule="exact"/>
        <w:rPr>
          <w:rFonts w:ascii="Times New Roman" w:cs="Times New Roman" w:eastAsia="Times New Roman" w:hAnsi="Times New Roman"/>
          <w:sz w:val="18"/>
          <w:szCs w:val="18"/>
          <w:color w:val="auto"/>
        </w:rPr>
      </w:pPr>
    </w:p>
    <w:p>
      <w:pPr>
        <w:ind w:left="720" w:hanging="280"/>
        <w:spacing w:after="0"/>
        <w:tabs>
          <w:tab w:leader="none" w:pos="7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judgments, damages, liabilities, losses, penalties, excise taxes, fines and amounts paid in settlement;</w:t>
      </w:r>
    </w:p>
    <w:p>
      <w:pPr>
        <w:spacing w:after="0" w:line="225" w:lineRule="exact"/>
        <w:rPr>
          <w:rFonts w:ascii="Times New Roman" w:cs="Times New Roman" w:eastAsia="Times New Roman" w:hAnsi="Times New Roman"/>
          <w:sz w:val="18"/>
          <w:szCs w:val="18"/>
          <w:color w:val="auto"/>
        </w:rPr>
      </w:pPr>
    </w:p>
    <w:p>
      <w:pPr>
        <w:ind w:firstLine="440"/>
        <w:spacing w:after="0" w:line="282" w:lineRule="auto"/>
        <w:tabs>
          <w:tab w:leader="none" w:pos="71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Non-Officer Employee</w:t>
      </w:r>
      <w:r>
        <w:rPr>
          <w:rFonts w:ascii="Times New Roman" w:cs="Times New Roman" w:eastAsia="Times New Roman" w:hAnsi="Times New Roman"/>
          <w:sz w:val="18"/>
          <w:szCs w:val="18"/>
          <w:color w:val="auto"/>
        </w:rPr>
        <w:t>” means any person who serves or has served as an employee or agent of the Corporation, but who is not or was not a Director or Officer;</w:t>
      </w:r>
    </w:p>
    <w:p>
      <w:pPr>
        <w:spacing w:after="0" w:line="161" w:lineRule="exact"/>
        <w:rPr>
          <w:rFonts w:ascii="Times New Roman" w:cs="Times New Roman" w:eastAsia="Times New Roman" w:hAnsi="Times New Roman"/>
          <w:sz w:val="18"/>
          <w:szCs w:val="18"/>
          <w:color w:val="auto"/>
        </w:rPr>
      </w:pPr>
    </w:p>
    <w:p>
      <w:pPr>
        <w:ind w:right="20" w:firstLine="440"/>
        <w:spacing w:after="0" w:line="282" w:lineRule="auto"/>
        <w:tabs>
          <w:tab w:leader="none" w:pos="7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any person who serves or has served the Corporation as an officer of the Corporation appointed by the Board of Directors, including, for the avoidance of doubt, any person who has served as an officer of FS Development Corp., a Delaware corporation;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both"/>
        <w:ind w:firstLine="440"/>
        <w:spacing w:after="0" w:line="255" w:lineRule="auto"/>
        <w:tabs>
          <w:tab w:leader="none" w:pos="68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threatened, pending or completed action, suit, arbitration, alternate dispute resolution mechanism, inquiry, investigation, administrative hearing or other proceeding, whether civil, criminal, administrative, arbitrative or investigative; and (i)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2. Indemnification of Directors and Officers.</w:t>
      </w:r>
    </w:p>
    <w:p>
      <w:pPr>
        <w:spacing w:after="0" w:line="225" w:lineRule="exact"/>
        <w:rPr>
          <w:sz w:val="20"/>
          <w:szCs w:val="20"/>
          <w:color w:val="auto"/>
        </w:rPr>
      </w:pPr>
    </w:p>
    <w:p>
      <w:pPr>
        <w:jc w:val="both"/>
        <w:ind w:firstLine="440"/>
        <w:spacing w:after="0" w:line="261" w:lineRule="auto"/>
        <w:tabs>
          <w:tab w:leader="none" w:pos="72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operation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440" w:firstLine="432"/>
        <w:spacing w:after="0" w:line="256" w:lineRule="auto"/>
        <w:tabs>
          <w:tab w:leader="none" w:pos="1127"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Other than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87" w:lineRule="exact"/>
        <w:rPr>
          <w:rFonts w:ascii="Times New Roman" w:cs="Times New Roman" w:eastAsia="Times New Roman" w:hAnsi="Times New Roman"/>
          <w:sz w:val="18"/>
          <w:szCs w:val="18"/>
          <w:color w:val="auto"/>
        </w:rPr>
      </w:pPr>
    </w:p>
    <w:p>
      <w:pPr>
        <w:jc w:val="both"/>
        <w:ind w:left="440" w:firstLine="432"/>
        <w:spacing w:after="0" w:line="253" w:lineRule="auto"/>
        <w:tabs>
          <w:tab w:leader="none" w:pos="1127"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By or In the Right of the Corporation</w:t>
      </w:r>
      <w:r>
        <w:rPr>
          <w:rFonts w:ascii="Times New Roman" w:cs="Times New Roman" w:eastAsia="Times New Roman" w:hAnsi="Times New Roman"/>
          <w:sz w:val="18"/>
          <w:szCs w:val="18"/>
          <w:color w:val="auto"/>
        </w:rPr>
        <w:t xml:space="preserve">.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xml:space="preserve">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94" w:lineRule="exact"/>
        <w:rPr>
          <w:rFonts w:ascii="Times New Roman" w:cs="Times New Roman" w:eastAsia="Times New Roman" w:hAnsi="Times New Roman"/>
          <w:sz w:val="18"/>
          <w:szCs w:val="18"/>
          <w:color w:val="auto"/>
        </w:rPr>
      </w:pPr>
    </w:p>
    <w:p>
      <w:pPr>
        <w:ind w:left="440" w:right="20" w:firstLine="432"/>
        <w:spacing w:after="0" w:line="282" w:lineRule="auto"/>
        <w:tabs>
          <w:tab w:leader="none" w:pos="114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Rights</w:t>
      </w:r>
      <w:r>
        <w:rPr>
          <w:rFonts w:ascii="Times New Roman" w:cs="Times New Roman" w:eastAsia="Times New Roman" w:hAnsi="Times New Roman"/>
          <w:sz w:val="18"/>
          <w:szCs w:val="18"/>
          <w:color w:val="auto"/>
        </w:rPr>
        <w:t xml:space="preserve">. The rights of indemnification provided by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continue as to a Director or Officer after he or she has ceased to be a Director or Officer and shall inure to the benefit of his or her heirs, executors, administrators and personal representatives.</w:t>
      </w:r>
    </w:p>
    <w:p>
      <w:pPr>
        <w:spacing w:after="0" w:line="161" w:lineRule="exact"/>
        <w:rPr>
          <w:rFonts w:ascii="Times New Roman" w:cs="Times New Roman" w:eastAsia="Times New Roman" w:hAnsi="Times New Roman"/>
          <w:sz w:val="18"/>
          <w:szCs w:val="18"/>
          <w:color w:val="auto"/>
        </w:rPr>
      </w:pPr>
    </w:p>
    <w:p>
      <w:pPr>
        <w:jc w:val="both"/>
        <w:ind w:left="440" w:firstLine="432"/>
        <w:spacing w:after="0" w:line="258" w:lineRule="auto"/>
        <w:tabs>
          <w:tab w:leader="none" w:pos="1167"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by Directors or Officers</w:t>
      </w:r>
      <w:r>
        <w:rPr>
          <w:rFonts w:ascii="Times New Roman" w:cs="Times New Roman" w:eastAsia="Times New Roman" w:hAnsi="Times New Roman"/>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w:t>
      </w:r>
    </w:p>
    <w:p>
      <w:pPr>
        <w:spacing w:after="0" w:line="183"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3. Indemnification of Non-Officer Employees. Subject to the operation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these By-laws,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SECTION 4. Determination. Unless ordered by a court, no indemnification shall be provided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5. Advancement of Expenses to Directors Prior to Final Disposition.</w:t>
      </w:r>
    </w:p>
    <w:p>
      <w:pPr>
        <w:spacing w:after="0" w:line="225" w:lineRule="exact"/>
        <w:rPr>
          <w:sz w:val="20"/>
          <w:szCs w:val="20"/>
          <w:color w:val="auto"/>
        </w:rPr>
      </w:pPr>
    </w:p>
    <w:p>
      <w:pPr>
        <w:jc w:val="both"/>
        <w:ind w:firstLine="440"/>
        <w:spacing w:after="0" w:line="254" w:lineRule="auto"/>
        <w:tabs>
          <w:tab w:leader="none" w:pos="71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or (ii) brought to enforce such Director’s rights to indemnification or advancement of Expenses under these By-laws.</w:t>
      </w:r>
    </w:p>
    <w:p>
      <w:pPr>
        <w:spacing w:after="0" w:line="188" w:lineRule="exact"/>
        <w:rPr>
          <w:rFonts w:ascii="Times New Roman" w:cs="Times New Roman" w:eastAsia="Times New Roman" w:hAnsi="Times New Roman"/>
          <w:sz w:val="18"/>
          <w:szCs w:val="18"/>
          <w:color w:val="auto"/>
        </w:rPr>
      </w:pPr>
    </w:p>
    <w:p>
      <w:pPr>
        <w:jc w:val="both"/>
        <w:ind w:firstLine="440"/>
        <w:spacing w:after="0" w:line="255" w:lineRule="auto"/>
        <w:tabs>
          <w:tab w:leader="none" w:pos="69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or defending such suit. The failure of the Corporation (including its Board of Directors or any committee thereof, independent legal counsel, or stockholders) to make a determination concerning the permissibility of such advancement of Expenses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88" w:lineRule="exact"/>
        <w:rPr>
          <w:rFonts w:ascii="Times New Roman" w:cs="Times New Roman" w:eastAsia="Times New Roman" w:hAnsi="Times New Roman"/>
          <w:sz w:val="18"/>
          <w:szCs w:val="18"/>
          <w:color w:val="auto"/>
        </w:rPr>
      </w:pPr>
    </w:p>
    <w:p>
      <w:pPr>
        <w:jc w:val="both"/>
        <w:ind w:firstLine="440"/>
        <w:spacing w:after="0" w:line="282" w:lineRule="auto"/>
        <w:tabs>
          <w:tab w:leader="none" w:pos="73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6. Advancement of Expenses to Officers and Non-Officer Employees Prior to Final Disposition.</w:t>
      </w:r>
    </w:p>
    <w:p>
      <w:pPr>
        <w:spacing w:after="0" w:line="225" w:lineRule="exact"/>
        <w:rPr>
          <w:sz w:val="20"/>
          <w:szCs w:val="20"/>
          <w:color w:val="auto"/>
        </w:rPr>
      </w:pPr>
    </w:p>
    <w:p>
      <w:pPr>
        <w:jc w:val="both"/>
        <w:ind w:firstLine="440"/>
        <w:spacing w:after="0" w:line="255" w:lineRule="auto"/>
        <w:tabs>
          <w:tab w:leader="none" w:pos="74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88" w:lineRule="exact"/>
        <w:rPr>
          <w:rFonts w:ascii="Times New Roman" w:cs="Times New Roman" w:eastAsia="Times New Roman" w:hAnsi="Times New Roman"/>
          <w:sz w:val="18"/>
          <w:szCs w:val="18"/>
          <w:color w:val="auto"/>
        </w:rPr>
      </w:pPr>
    </w:p>
    <w:p>
      <w:pPr>
        <w:jc w:val="both"/>
        <w:ind w:firstLine="440"/>
        <w:spacing w:after="0" w:line="266" w:lineRule="auto"/>
        <w:tabs>
          <w:tab w:leader="none" w:pos="69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ind w:left="440"/>
        <w:spacing w:after="0"/>
        <w:rPr>
          <w:sz w:val="20"/>
          <w:szCs w:val="20"/>
          <w:color w:val="auto"/>
        </w:rPr>
      </w:pPr>
      <w:r>
        <w:rPr>
          <w:rFonts w:ascii="Times New Roman" w:cs="Times New Roman" w:eastAsia="Times New Roman" w:hAnsi="Times New Roman"/>
          <w:sz w:val="18"/>
          <w:szCs w:val="18"/>
          <w:color w:val="auto"/>
        </w:rPr>
        <w:t>SECTION 7. Contractual Nature of Rights.</w:t>
      </w:r>
    </w:p>
    <w:p>
      <w:pPr>
        <w:spacing w:after="0" w:line="225" w:lineRule="exact"/>
        <w:rPr>
          <w:sz w:val="20"/>
          <w:szCs w:val="20"/>
          <w:color w:val="auto"/>
        </w:rPr>
      </w:pPr>
    </w:p>
    <w:p>
      <w:pPr>
        <w:jc w:val="both"/>
        <w:ind w:firstLine="440"/>
        <w:spacing w:after="0" w:line="253" w:lineRule="auto"/>
        <w:tabs>
          <w:tab w:leader="none" w:pos="73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be deemed to be a contract between the Corporation and each Director and Officer entitled to the benefits hereof at any time while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is in effect, in consideration of such person’s past or current and any future performance of services for the Corporation. Neither amendment, repeal or modification of any provision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nor the adoption of any provision of the Certificate of Incorporation inconsistent with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eliminate or reduce any right conferred by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continue notwithstanding that the person has ceased to be a director or officer of the Corporation and shall inure to the benefit of the estate, heirs, executors, administrators, legatees and distributes of such person.</w:t>
      </w:r>
    </w:p>
    <w:p>
      <w:pPr>
        <w:spacing w:after="0" w:line="194" w:lineRule="exact"/>
        <w:rPr>
          <w:rFonts w:ascii="Times New Roman" w:cs="Times New Roman" w:eastAsia="Times New Roman" w:hAnsi="Times New Roman"/>
          <w:sz w:val="18"/>
          <w:szCs w:val="18"/>
          <w:color w:val="auto"/>
        </w:rPr>
      </w:pPr>
    </w:p>
    <w:p>
      <w:pPr>
        <w:jc w:val="both"/>
        <w:ind w:firstLine="440"/>
        <w:spacing w:after="0" w:line="254" w:lineRule="auto"/>
        <w:tabs>
          <w:tab w:leader="none" w:pos="69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claim for indemnification (following final disposition of such Proceeding) or advancement of Expenses hereunder by a Director or Officer is not paid in full by the Corporation within sixty (60) days after receipt by the Corporation of a written claim for indemnification or advancement of Expenses, such Director or Officer may at any time thereafter bring suit against the Corporation to recover the unpaid amount of the claim, and if successful in whole or in part, pursuant to the terms of an undertaking, such Director or Officer shall also be entitled to be paid the expenses of prosecuting or defending such suit. The failure of the Corporation (including its Board of Directors or any committee thereof, independent legal counsel, or stockholders) to make a determination concerning the permissibility of such indemnification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or advancement of Expenses shall be on the Corporation.</w:t>
      </w:r>
    </w:p>
    <w:p>
      <w:pPr>
        <w:spacing w:after="0" w:line="191" w:lineRule="exact"/>
        <w:rPr>
          <w:rFonts w:ascii="Times New Roman" w:cs="Times New Roman" w:eastAsia="Times New Roman" w:hAnsi="Times New Roman"/>
          <w:sz w:val="18"/>
          <w:szCs w:val="18"/>
          <w:color w:val="auto"/>
        </w:rPr>
      </w:pPr>
    </w:p>
    <w:p>
      <w:pPr>
        <w:ind w:right="20" w:firstLine="440"/>
        <w:spacing w:after="0" w:line="282" w:lineRule="auto"/>
        <w:tabs>
          <w:tab w:leader="none" w:pos="72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8. Non-Exclusivity of Rights. The rights to indemnification and to advancement of Expenses set forth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9. Insurance.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10. Other Indemnification. Subject to any other right which any Director, Officer or Non-Officer Employee may have or hereafter acquire under any statute, provision of the Certificate or these By-laws, agreement, vote of stockholders or Disinterested Directors or otherwise to the contrary, the Corporation’s obligation, if any, to indemnify or provide advancement of Expenses to any person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w:t>
      </w:r>
      <w:r>
        <w:rPr>
          <w:rFonts w:ascii="Times New Roman" w:cs="Times New Roman" w:eastAsia="Times New Roman" w:hAnsi="Times New Roman"/>
          <w:sz w:val="18"/>
          <w:szCs w:val="18"/>
          <w:u w:val="single" w:color="auto"/>
          <w:color w:val="auto"/>
        </w:rPr>
        <w:t>Primary Indemnitor</w:t>
      </w:r>
      <w:r>
        <w:rPr>
          <w:rFonts w:ascii="Times New Roman" w:cs="Times New Roman" w:eastAsia="Times New Roman" w:hAnsi="Times New Roman"/>
          <w:sz w:val="18"/>
          <w:szCs w:val="18"/>
          <w:color w:val="auto"/>
        </w:rPr>
        <w:t xml:space="preserve">”). Subject to any other right which any Director, Officer or Non-Officer Employee may have or hereafter acquire under any statute, provision of the Certificate or these By-laws, agreement, vote of stockholders or Disinterested Directors or otherwise to the contrary, any indemnification or advancement of Expenses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 Provisions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 Fiscal Year. The fiscal year of the Corporation shall be determined by the Board of Directors.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2. Seal. The Board of Directors shall have power to adopt and alter the seal of the Corporation.</w:t>
      </w:r>
    </w:p>
    <w:p>
      <w:pPr>
        <w:spacing w:after="0" w:line="22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SECTION 3. Execution of Instruments. All deeds, leases, transfers, contracts, bonds, notes and other obligations to be entered into by the Corporation in the ordinary course of its business without director action may be executed on behalf of the Corporation by the Chairman of the Board, if one is elected, the President or the Treasurer or any other officer, employee or agent of the Corporation as the Board of Directors may authorize.</w:t>
      </w:r>
    </w:p>
    <w:p>
      <w:pPr>
        <w:spacing w:after="0" w:line="1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SECTION 4. Voting of Securities. Unless the Board of Directors otherwise provides, the Chairman of the Board, if one is elected, the President or the Treasurer may waive notice of and act on behalf of the Corporation (including with regard to voting and actions by written consent),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180"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SECTION 5. Resident Agent. The Board of Directors may appoint a resident agent upon whom legal process may be served in any action or proceeding against the Corporation.</w:t>
      </w:r>
    </w:p>
    <w:p>
      <w:pPr>
        <w:spacing w:after="0" w:line="16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SECTION 6. Corporate Records.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18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SECTION 7. Certificate. All references in these By-laws to the Certificate shall be deemed to refer to the Amended and Restated Certificate of Incorporation of the Corporation, as amended and/or restated and in effect from time to time.</w:t>
      </w:r>
    </w:p>
    <w:p>
      <w:pPr>
        <w:spacing w:after="0" w:line="162"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8. Exclusive Jurisdiction. Unless the Corporation consents in writing to the selection of an alternative forum, the Court of Chancery of the State of Delaware shall be the sole and exclusive forum for state law claims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the Certificate or By-laws, (iv) any action to interpret, apply, enforce or determine the validity of the Certificate or By-laws, or (v) any action asserting a claim against the Corporation governed by the internal affairs doctrine.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not apply to any claims arising under the Exchange Act or the Securities Act of 1933, as amended. In addition, unless the Corporation consents in writing to the selection of an alternative forum, the United States District Court for the District of Massachusetts shall be the sole and exclusive forum for resolving any action asserting a claim arising under the Securities Act. Any person or entity purchasing or otherwise acquiring any interest in shares of capital stock of the Corporation shall be deemed to have notice of and consented to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9. Amendment of By-laws.</w:t>
      </w:r>
    </w:p>
    <w:p>
      <w:pPr>
        <w:spacing w:after="0" w:line="225" w:lineRule="exact"/>
        <w:rPr>
          <w:sz w:val="20"/>
          <w:szCs w:val="20"/>
          <w:color w:val="auto"/>
        </w:rPr>
      </w:pPr>
    </w:p>
    <w:p>
      <w:pPr>
        <w:ind w:right="20" w:firstLine="440"/>
        <w:spacing w:after="0" w:line="282" w:lineRule="auto"/>
        <w:tabs>
          <w:tab w:leader="none" w:pos="74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provided otherwise by law, any section or portion of these By-laws may be amended or repealed by the Board of Directors by the affirmative vote of a majority of the directors then in office.</w:t>
      </w:r>
    </w:p>
    <w:p>
      <w:pPr>
        <w:spacing w:after="0" w:line="161" w:lineRule="exact"/>
        <w:rPr>
          <w:rFonts w:ascii="Times New Roman" w:cs="Times New Roman" w:eastAsia="Times New Roman" w:hAnsi="Times New Roman"/>
          <w:sz w:val="18"/>
          <w:szCs w:val="18"/>
          <w:color w:val="auto"/>
        </w:rPr>
      </w:pPr>
    </w:p>
    <w:p>
      <w:pPr>
        <w:jc w:val="both"/>
        <w:ind w:firstLine="440"/>
        <w:spacing w:after="0" w:line="261" w:lineRule="auto"/>
        <w:tabs>
          <w:tab w:leader="none" w:pos="68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Except as otherwise required by these By-laws or by law, these By-laws may be amended or repealed at any Annual Meeting, or special meeting of stockholders called for such purpose in accordance with these By-Laws, by the affirmative vote of a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18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SECTION 10. Notices.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SECTION 11. Waivers.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3" w:name="page104"/>
    <w:bookmarkEnd w:id="103"/>
    <w:p>
      <w:pPr>
        <w:ind w:left="10240"/>
        <w:spacing w:after="0"/>
        <w:rPr>
          <w:sz w:val="20"/>
          <w:szCs w:val="20"/>
          <w:color w:val="auto"/>
        </w:rPr>
      </w:pPr>
      <w:r>
        <w:rPr>
          <w:rFonts w:ascii="Times New Roman" w:cs="Times New Roman" w:eastAsia="Times New Roman" w:hAnsi="Times New Roman"/>
          <w:sz w:val="21"/>
          <w:szCs w:val="21"/>
          <w:b w:val="1"/>
          <w:bCs w:val="1"/>
          <w:color w:val="auto"/>
        </w:rPr>
        <w:t>Exhibit 4.1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REVERSE FOR CERTAIN DEFINITIONS</w:t>
      </w:r>
    </w:p>
    <w:p>
      <w:pPr>
        <w:spacing w:after="0" w:line="221" w:lineRule="exact"/>
        <w:rPr>
          <w:sz w:val="20"/>
          <w:szCs w:val="20"/>
          <w:color w:val="auto"/>
        </w:rPr>
      </w:pPr>
    </w:p>
    <w:p>
      <w:pPr>
        <w:ind w:left="10020"/>
        <w:spacing w:after="0"/>
        <w:rPr>
          <w:sz w:val="20"/>
          <w:szCs w:val="20"/>
          <w:color w:val="auto"/>
        </w:rPr>
      </w:pPr>
      <w:r>
        <w:rPr>
          <w:rFonts w:ascii="Times New Roman" w:cs="Times New Roman" w:eastAsia="Times New Roman" w:hAnsi="Times New Roman"/>
          <w:sz w:val="18"/>
          <w:szCs w:val="18"/>
          <w:b w:val="1"/>
          <w:bCs w:val="1"/>
          <w:color w:val="auto"/>
        </w:rPr>
        <w:t xml:space="preserve">CUSIP </w:t>
      </w:r>
      <w:r>
        <w:rPr>
          <w:rFonts w:ascii="Times New Roman" w:cs="Times New Roman" w:eastAsia="Times New Roman" w:hAnsi="Times New Roman"/>
          <w:sz w:val="18"/>
          <w:szCs w:val="18"/>
          <w:color w:val="auto"/>
        </w:rPr>
        <w:t>_______</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CERTIFIES THAT _______________________ is the owner of _______________________ fully paid and non-assessable shares of common stock,</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Gemini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transferable on the books of the Company in person or by duly authorized attorney upon surrender of this certificate properly endorsed.</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certificate is not valid unless countersigned by the Transfer Agent and registered by the Registrar of the Company. Witness the facsimile signature of a duly authorized signatory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Authorized Signatory</w:t>
      </w:r>
      <w:r>
        <w:rPr>
          <w:sz w:val="20"/>
          <w:szCs w:val="20"/>
          <w:color w:val="auto"/>
        </w:rPr>
        <w:tab/>
      </w:r>
      <w:r>
        <w:rPr>
          <w:rFonts w:ascii="Times New Roman" w:cs="Times New Roman" w:eastAsia="Times New Roman" w:hAnsi="Times New Roman"/>
          <w:sz w:val="17"/>
          <w:szCs w:val="17"/>
          <w:color w:val="auto"/>
        </w:rPr>
        <w:t>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Company will furnish without charge to each stockholder who so requests, a statement of the powers, designations, preferences and relative, participating, optional or other special rights of each class of equity or series thereof of the Company and the qualifications, limitations, or restrictions of such preferences and/or rights. This certificate and the shares represented thereby are issued and shall be held subject to all the provisions of the Company’s Second Amended and Restated Certificate of Incorporation and all amendments thereto and resolutions of the Board of Directors providing for the issue of securities (copies of which may be obtained from the secretary of the Company), to all of which the holder of this certificate by acceptance hereof assents.</w:t>
      </w:r>
    </w:p>
    <w:p>
      <w:pPr>
        <w:spacing w:after="0" w:line="1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on the face of this certificate, shall be construed as though they were written out in full according to applicable laws or regulations: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TEN COM — as tenants in common</w:t>
            </w:r>
          </w:p>
        </w:tc>
        <w:tc>
          <w:tcPr>
            <w:tcW w:w="5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9"/>
              </w:rPr>
              <w:t>UNIF GIFT MIN ACT — ________ Custodian ____________</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41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(Cust)</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(Minor)</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TEN ENT — as tenants by the entireties</w:t>
            </w:r>
          </w:p>
        </w:tc>
        <w:tc>
          <w:tcPr>
            <w:tcW w:w="41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under Uniform Gifts to Minors Act ___________</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JT TEN — as joint tenants with right of survivorship and not as</w:t>
            </w:r>
          </w:p>
        </w:tc>
        <w:tc>
          <w:tcPr>
            <w:tcW w:w="410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100" w:type="dxa"/>
            <w:vAlign w:val="bottom"/>
            <w:vMerge w:val="continue"/>
          </w:tcPr>
          <w:p>
            <w:pPr>
              <w:spacing w:after="0"/>
              <w:rPr>
                <w:sz w:val="17"/>
                <w:szCs w:val="17"/>
                <w:color w:val="auto"/>
              </w:rPr>
            </w:pPr>
          </w:p>
        </w:tc>
        <w:tc>
          <w:tcPr>
            <w:tcW w:w="4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tenants in common</w:t>
            </w:r>
          </w:p>
        </w:tc>
        <w:tc>
          <w:tcPr>
            <w:tcW w:w="4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Additional abbreviations may also be used though not in the above list.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value received, ___________ hereby sells, assigns and transfers unto___________________</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(PLEASE INSERT SOCIAL SECURITY OR OTHER IDENTIFYING NUMBER(S) OF ASSIGNEE(S))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(PLEASE PRINT OR TYPEWRITE NAME(S) AND ADDRESS(ES), INCLUDING ZIP CODE, OF ASSIGNEE(S))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___________ shares of Common Stock represented by the within Certificate, and hereby irrevocably constitutes and appoints ___________ </w:t>
      </w:r>
      <w:r>
        <w:rPr>
          <w:rFonts w:ascii="Times New Roman" w:cs="Times New Roman" w:eastAsia="Times New Roman" w:hAnsi="Times New Roman"/>
          <w:sz w:val="18"/>
          <w:szCs w:val="18"/>
          <w:color w:val="auto"/>
        </w:rPr>
        <w:t>Attorney to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the said shares of Common Stock on the books of the within named Company with full power of substitution in the premises.</w:t>
      </w:r>
    </w:p>
    <w:p>
      <w:pPr>
        <w:sectPr>
          <w:pgSz w:w="11900" w:h="16838" w:orient="portrait"/>
          <w:cols w:equalWidth="0" w:num="1">
            <w:col w:w="11240"/>
          </w:cols>
          <w:pgMar w:left="320" w:top="792" w:right="339" w:bottom="1440" w:gutter="0" w:footer="0" w:header="0"/>
        </w:sect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Dated 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85432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36" w:lineRule="exact"/>
        <w:rPr>
          <w:sz w:val="20"/>
          <w:szCs w:val="20"/>
          <w:color w:val="auto"/>
        </w:rPr>
      </w:pPr>
    </w:p>
    <w:p>
      <w:pPr>
        <w:ind w:right="1560"/>
        <w:spacing w:after="0" w:line="254" w:lineRule="auto"/>
        <w:rPr>
          <w:sz w:val="20"/>
          <w:szCs w:val="20"/>
          <w:color w:val="auto"/>
        </w:rPr>
      </w:pPr>
      <w:r>
        <w:rPr>
          <w:rFonts w:ascii="Times New Roman" w:cs="Times New Roman" w:eastAsia="Times New Roman" w:hAnsi="Times New Roman"/>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 UNDER THE SECURITIES EXCHANGE ACT OF 1934, AS AMENDED (OR ANY SUCCESSOR RULE).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Notice: </w:t>
      </w:r>
      <w:r>
        <w:rPr>
          <w:rFonts w:ascii="Times New Roman" w:cs="Times New Roman" w:eastAsia="Times New Roman" w:hAnsi="Times New Roman"/>
          <w:sz w:val="18"/>
          <w:szCs w:val="18"/>
          <w:color w:val="auto"/>
        </w:rPr>
        <w:t>The signature(s) to this assignment must correspond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name as written upon the face of the certificate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-575945</wp:posOffset>
            </wp:positionV>
            <wp:extent cx="284607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1926590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6040" w:space="720"/>
            <w:col w:w="4480"/>
          </w:cols>
          <w:pgMar w:left="320" w:top="792" w:right="339" w:bottom="1440" w:gutter="0" w:footer="0" w:header="0"/>
          <w:type w:val="continuous"/>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VOTING AGREEMENT dated as of February 5, 2021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between FS Development Holdings, LLC, a Delaware limited liability company (“</w:t>
      </w:r>
      <w:r>
        <w:rPr>
          <w:rFonts w:ascii="Times New Roman" w:cs="Times New Roman" w:eastAsia="Times New Roman" w:hAnsi="Times New Roman"/>
          <w:sz w:val="18"/>
          <w:szCs w:val="18"/>
          <w:u w:val="single" w:color="auto"/>
          <w:color w:val="auto"/>
        </w:rPr>
        <w:t>FS Sponsor</w:t>
      </w:r>
      <w:r>
        <w:rPr>
          <w:rFonts w:ascii="Times New Roman" w:cs="Times New Roman" w:eastAsia="Times New Roman" w:hAnsi="Times New Roman"/>
          <w:sz w:val="18"/>
          <w:szCs w:val="18"/>
          <w:color w:val="auto"/>
        </w:rPr>
        <w:t>”), Gemini Therapeutics, Inc., a Delaware corporation formerly known as FS Development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individuals and entities executing a counterpart signature page to this Agreement (each, a “</w:t>
      </w:r>
      <w:r>
        <w:rPr>
          <w:rFonts w:ascii="Times New Roman" w:cs="Times New Roman" w:eastAsia="Times New Roman" w:hAnsi="Times New Roman"/>
          <w:sz w:val="18"/>
          <w:szCs w:val="18"/>
          <w:u w:val="single" w:color="auto"/>
          <w:color w:val="auto"/>
        </w:rPr>
        <w:t>Voting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reference is made to that certain Agreement and Plan of Merger, dated as of October 15, 2020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Parent, FSG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FS Development Holdings, LLC, a Delaware limited liability company, Shareholder Representative Services LLC, a Colorado limited liability company, as the Stockholders’ Representative, and Gemini Therapeutics, Inc., a Delaware corporation (the “</w:t>
      </w:r>
      <w:r>
        <w:rPr>
          <w:rFonts w:ascii="Times New Roman" w:cs="Times New Roman" w:eastAsia="Times New Roman" w:hAnsi="Times New Roman"/>
          <w:sz w:val="18"/>
          <w:szCs w:val="18"/>
          <w:u w:val="single" w:color="auto"/>
          <w:color w:val="auto"/>
        </w:rPr>
        <w:t>Gemini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WHEREAS, all capitalized terms used, but not otherwise defined herein, shall have the meanings ascribed to such terms in the Merger Agreement;</w:t>
      </w:r>
    </w:p>
    <w:p>
      <w:pPr>
        <w:spacing w:after="0" w:line="23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pursuant to the Merger Agreement and simultaneously with the execution and delivery of this Agreement, Merger Sub is being merged with and into Gemini, with Gemini being the Surviving Corporation, as a result of which Gemini will be the wholly-owned subsidiary of the Company;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execution and delivery of this Agreement is a condition to the closing of the Merger and the other transactions contemplated by the Merger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for and in consideration of the mutual covenants and agreements set forth herein, and other good and valuable consideration, the receipt and sufficiency of which are hereby acknowledged, FS Sponsor, the Company and each Voting Party intending to be legally bound, agree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5" w:lineRule="exact"/>
        <w:rPr>
          <w:sz w:val="20"/>
          <w:szCs w:val="20"/>
          <w:color w:val="auto"/>
        </w:rPr>
      </w:pPr>
    </w:p>
    <w:p>
      <w:pPr>
        <w:jc w:val="both"/>
        <w:ind w:firstLine="656"/>
        <w:spacing w:after="0" w:line="268" w:lineRule="auto"/>
        <w:tabs>
          <w:tab w:leader="none" w:pos="841"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Agreement to Vote</w:t>
      </w:r>
      <w:r>
        <w:rPr>
          <w:rFonts w:ascii="Times New Roman" w:cs="Times New Roman" w:eastAsia="Times New Roman" w:hAnsi="Times New Roman"/>
          <w:sz w:val="18"/>
          <w:szCs w:val="18"/>
          <w:color w:val="auto"/>
        </w:rPr>
        <w:t>. During the Term (as defined below), each Voting Party agrees to vote all voting securities of the Company that it owns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and may vote in the election of the Company’s directors (collectively, “</w:t>
      </w:r>
      <w:r>
        <w:rPr>
          <w:rFonts w:ascii="Times New Roman" w:cs="Times New Roman" w:eastAsia="Times New Roman" w:hAnsi="Times New Roman"/>
          <w:sz w:val="18"/>
          <w:szCs w:val="18"/>
          <w:u w:val="single" w:color="auto"/>
          <w:color w:val="auto"/>
        </w:rPr>
        <w:t>Voting Shares</w:t>
      </w:r>
      <w:r>
        <w:rPr>
          <w:rFonts w:ascii="Times New Roman" w:cs="Times New Roman" w:eastAsia="Times New Roman" w:hAnsi="Times New Roman"/>
          <w:sz w:val="18"/>
          <w:szCs w:val="18"/>
          <w:color w:val="auto"/>
        </w:rPr>
        <w:t>”) in accordance with the provisions of this Agreement, whether at a regular or special meeting of stockholders or by written consent.</w:t>
      </w:r>
    </w:p>
    <w:p>
      <w:pPr>
        <w:spacing w:after="0" w:line="170" w:lineRule="exact"/>
        <w:rPr>
          <w:rFonts w:ascii="Times New Roman" w:cs="Times New Roman" w:eastAsia="Times New Roman" w:hAnsi="Times New Roman"/>
          <w:sz w:val="18"/>
          <w:szCs w:val="18"/>
          <w:b w:val="1"/>
          <w:bCs w:val="1"/>
          <w:color w:val="auto"/>
        </w:rPr>
      </w:pPr>
    </w:p>
    <w:p>
      <w:pPr>
        <w:ind w:left="840" w:hanging="184"/>
        <w:spacing w:after="0"/>
        <w:tabs>
          <w:tab w:leader="none" w:pos="8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color w:val="auto"/>
        </w:rPr>
        <w:t>Immediately following the consummation of the Merger, or as soon as practicable thereafter, the Company board of directors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will be comprised of seven (7) directors, which shall be divided into three (3) classes, designated Class I, II and III, with Class I consisting of 2 Directors, Class II consisting of 3 Directors and Class III consisting of 2 Directors. Jean George and Dr. Carl Gordon shall constitute the initial members of Class I and shall be nominated in Class I, the members of which shall have an initial term that expires at the annual meeting of stockholders of the Company held in 2021; David Lubner, Dr. Tuyen Ong and Jason Rhodes shall constitute the initial members of Class II and shall be nominated in Class II, the members of which shall have an initial term that expires at the annual meeting of stockholders of the Company held in 2022; and Jason Meyenburg and Dr. Jim Tananbaum shall constitute the initial members of Class III and shall be nominated in Class III, the members of which shall have an initial term that expires at the annual meeting of stockholders held in 2023. The full seven (7) member Board will be comprised of Jason Meyenburg, Jim Tananbaum, Carl Gordon and four (4) other members of the Gemini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jc w:val="both"/>
        <w:ind w:firstLine="1296"/>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color w:val="auto"/>
        </w:rPr>
        <w:t>Until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date of this Agreement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at each annual or special meeting of stockholders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FS Sponsor shall have the right to designate for election as a member of the Board, and the Board (including any committee thereof) shall nominate (and recommend for election and include such recommendation in a timely manner in any proxy statement, consent solicitation or other applicable announcement to the Company’s stockholders), one (1) individual to serve as a Class III Director; provided, however, if at any time during such five-year period the FS Sponsor owns less than 1,217,563 shares of Class A Common Stock of the Company (as adjusted for any share split, share dividend or other share recapitalization, share exchange or other event), the rights of the FS Sponsor and obligations of the Board under this Section 2.2 shall automatically terminate.</w:t>
      </w:r>
    </w:p>
    <w:p>
      <w:pPr>
        <w:spacing w:after="0" w:line="199"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color w:val="auto"/>
        </w:rPr>
        <w:t>Provisions relating to authority to appoint four (4) of the Gemini directors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determined by Gemini’s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board of directors at its sole discretion.</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color w:val="auto"/>
        </w:rPr>
        <w:t>If FS Sponsor cease to be entitled to nominate any Directors in accordance with Section 2.2 or Section 2.3, then such Directors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nominated by the Board and approved by the holders of the outstanding shares of Common Stock. All Directors shall hold office, subject to their earlier death, resignation or removal in accordance with this Agreement and applicable law, until their respective successors shall have been elected and qualified.</w:t>
      </w:r>
    </w:p>
    <w:p>
      <w:pPr>
        <w:spacing w:after="0" w:line="17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color w:val="auto"/>
        </w:rPr>
        <w:t>All Directors elected in accordance with Section 2.2 or Section 2.3, as applicable, shall be removed from the Board only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or written consent of the Voting Party that is entitled to nominate, appoint or elect such Director under Section 2.2 or Section 2.3, as applicable. Upon any decrease in the rights of any such Voting Party to nominate, appoint or elect any Director pursuant to Section 2.2 or Section 2.3, as applicable, the applicable Voting Party shall promptly cause the removal or resignation of an applicable number of Directors if requested by the Board. Upon any individual elected as provided in Section 2.2 or Section 2.3, as applicable, ceasing to be a member of the Board, whether by death, resignation or removal or otherwise, only the Voting Party that was entitled to nominate, appoint or elect such individual under Section 2.2 or Section 2.3, as applicable, shall have the right to fill any resulting vacancy in the Board; provided that such Voting Party still has the right to nominate, appoint or elect the applicable Director pursuant to Section 2.2 or Section 2.3, as applicable. If the Company has reduced the size of the Board following such death, resignation or removal or other departure of such individual from the Board, then if requested by any Voting Party entitled to designate a Director pursuant to Section 2.2 or Section 2.3, as applicable, who is not currently serving on the Board, the Company and the Voting Party shall take all actions necessary to increase the size of the Board and nominate, appoint or elect to the resulting vacancy the applicable Director entitled to be designated by such Voting Party pursuant to Section 2.2 or Section 2.3, as applicable.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7" w:name="page108"/>
    <w:bookmarkEnd w:id="107"/>
    <w:p>
      <w:pPr>
        <w:jc w:val="both"/>
        <w:ind w:firstLine="656"/>
        <w:spacing w:after="0" w:line="268" w:lineRule="auto"/>
        <w:tabs>
          <w:tab w:leader="none" w:pos="841"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Successors in Interest of the Voting Parties and the Company</w:t>
      </w:r>
      <w:r>
        <w:rPr>
          <w:rFonts w:ascii="Times New Roman" w:cs="Times New Roman" w:eastAsia="Times New Roman" w:hAnsi="Times New Roman"/>
          <w:sz w:val="18"/>
          <w:szCs w:val="18"/>
          <w:color w:val="auto"/>
        </w:rPr>
        <w:t>. The provisions of this Agreement shall be binding upon the successors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of any Voting Party with respect to any of such Voting Party’s Voting Shares or any voting rights therein, unless the Voting Shares are sold on a national securities exchange on which the Company common stock is listed for trading on the date in question (the “</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828"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Proxy</w:t>
      </w:r>
      <w:r>
        <w:rPr>
          <w:rFonts w:ascii="Times New Roman" w:cs="Times New Roman" w:eastAsia="Times New Roman" w:hAnsi="Times New Roman"/>
          <w:sz w:val="18"/>
          <w:szCs w:val="18"/>
          <w:color w:val="auto"/>
        </w:rPr>
        <w:t>. The parties agree that this Agreement does not constitute the granting of a proxy to any party or any other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should the provisions of this Agreement be construed to constitute the granting of proxies, such proxies shall be deemed coupled with an interest and are irrevocable for the term of this Agreement.</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828"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Specific Enforcement</w:t>
      </w:r>
      <w:r>
        <w:rPr>
          <w:rFonts w:ascii="Times New Roman" w:cs="Times New Roman" w:eastAsia="Times New Roman" w:hAnsi="Times New Roman"/>
          <w:sz w:val="18"/>
          <w:szCs w:val="18"/>
          <w:color w:val="auto"/>
        </w:rPr>
        <w:t>. It is agreed and understood that (a) monetary damages would not adequately compensate an injured party for the breach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by any party hereto, (b) this Agreement shall be specifically enforceable and (c) any breach of this Agreement shall be the proper subject of a temporary or permanent injunction or restraining order. Further, each party hereto waives any claim or defense that there is an adequate remedy at law for such breach or threatened breach and agrees that a party’s rights would be materially and adversely affected if the obligations of the other parties under this Agreement were not carried out in accordance with the terms and conditions hereof.</w:t>
      </w:r>
    </w:p>
    <w:p>
      <w:pPr>
        <w:spacing w:after="0" w:line="179" w:lineRule="exact"/>
        <w:rPr>
          <w:rFonts w:ascii="Times New Roman" w:cs="Times New Roman" w:eastAsia="Times New Roman" w:hAnsi="Times New Roman"/>
          <w:sz w:val="18"/>
          <w:szCs w:val="18"/>
          <w:b w:val="1"/>
          <w:bCs w:val="1"/>
          <w:color w:val="auto"/>
        </w:rPr>
      </w:pPr>
    </w:p>
    <w:p>
      <w:pPr>
        <w:ind w:right="20" w:firstLine="656"/>
        <w:spacing w:after="0" w:line="286" w:lineRule="auto"/>
        <w:tabs>
          <w:tab w:leader="none" w:pos="828"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Manner of Voting</w:t>
      </w:r>
      <w:r>
        <w:rPr>
          <w:rFonts w:ascii="Times New Roman" w:cs="Times New Roman" w:eastAsia="Times New Roman" w:hAnsi="Times New Roman"/>
          <w:sz w:val="18"/>
          <w:szCs w:val="18"/>
          <w:color w:val="auto"/>
        </w:rPr>
        <w:t>. The voting of the Voting Shares pursuant to this Agreement may be effected in person, by proxy, by written consent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manner permitted by applicable law.</w:t>
      </w:r>
    </w:p>
    <w:p>
      <w:pPr>
        <w:spacing w:after="0" w:line="154" w:lineRule="exact"/>
        <w:rPr>
          <w:rFonts w:ascii="Times New Roman" w:cs="Times New Roman" w:eastAsia="Times New Roman" w:hAnsi="Times New Roman"/>
          <w:sz w:val="18"/>
          <w:szCs w:val="18"/>
          <w:b w:val="1"/>
          <w:bCs w:val="1"/>
          <w:color w:val="auto"/>
        </w:rPr>
      </w:pPr>
    </w:p>
    <w:p>
      <w:pPr>
        <w:ind w:left="840" w:hanging="184"/>
        <w:spacing w:after="0"/>
        <w:tabs>
          <w:tab w:leader="none" w:pos="84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This Agreement shall terminate on the last day of the Term.</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828"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and Waivers</w:t>
      </w:r>
      <w:r>
        <w:rPr>
          <w:rFonts w:ascii="Times New Roman" w:cs="Times New Roman" w:eastAsia="Times New Roman" w:hAnsi="Times New Roman"/>
          <w:sz w:val="18"/>
          <w:szCs w:val="18"/>
          <w:color w:val="auto"/>
        </w:rPr>
        <w:t>. Except as otherwise provided herein, any provision of this Agreement may be amended, or the observance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waived (either generally or in a particular instance and either retroactively or prospectively) only with the written consent of the Company and FS Sponsor.</w:t>
      </w:r>
    </w:p>
    <w:p>
      <w:pPr>
        <w:spacing w:after="0" w:line="170"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841"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 Splits, Stock Dividends, etc. </w:t>
      </w:r>
      <w:r>
        <w:rPr>
          <w:rFonts w:ascii="Times New Roman" w:cs="Times New Roman" w:eastAsia="Times New Roman" w:hAnsi="Times New Roman"/>
          <w:sz w:val="18"/>
          <w:szCs w:val="18"/>
          <w:color w:val="auto"/>
        </w:rPr>
        <w:t>In the event of any stock split, stock dividend, recapitalization, reorganization or the like, any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with respect to Voting Shares held by the Voting Parties shall become Voting Shares for purposes of this Agreement.</w:t>
      </w:r>
    </w:p>
    <w:p>
      <w:pPr>
        <w:spacing w:after="0" w:line="154" w:lineRule="exact"/>
        <w:rPr>
          <w:rFonts w:ascii="Times New Roman" w:cs="Times New Roman" w:eastAsia="Times New Roman" w:hAnsi="Times New Roman"/>
          <w:sz w:val="18"/>
          <w:szCs w:val="18"/>
          <w:b w:val="1"/>
          <w:bCs w:val="1"/>
          <w:color w:val="auto"/>
        </w:rPr>
      </w:pPr>
    </w:p>
    <w:p>
      <w:pPr>
        <w:ind w:right="20" w:firstLine="656"/>
        <w:spacing w:after="0" w:line="286" w:lineRule="auto"/>
        <w:tabs>
          <w:tab w:leader="none" w:pos="958"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In the event that any provision of the Agreement shall be invalid, illegal or unenforceable, the validity, legality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enforceability of the remaining provisions shall not in any way be affected or impaired thereby.</w:t>
      </w:r>
    </w:p>
    <w:p>
      <w:pPr>
        <w:spacing w:after="0" w:line="154"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935"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and the legal relations between the parties arising hereunder shall be governed by and interpreted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laws of the State of Delaware without reference to its conflicts of law provisions.</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931"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 Electronic Execution or Delivery</w:t>
      </w:r>
      <w:r>
        <w:rPr>
          <w:rFonts w:ascii="Times New Roman" w:cs="Times New Roman" w:eastAsia="Times New Roman" w:hAnsi="Times New Roman"/>
          <w:sz w:val="18"/>
          <w:szCs w:val="18"/>
          <w:color w:val="auto"/>
        </w:rPr>
        <w:t>. This Agreement may be executed in two or more counterparts, each of which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an original and all of which together shall constitute one instrument. This Agreement may be executed electronically; any executed counterpart of this Agreement may be delivered by facsimile or electronic mail; and any such electronically executed or delivered copy of a counterpart signature page shall have the same force and effect as an originally executed copy hereof.</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8" w:name="page109"/>
    <w:bookmarkEnd w:id="108"/>
    <w:p>
      <w:pPr>
        <w:ind w:left="-20" w:firstLine="656"/>
        <w:spacing w:after="0" w:line="286" w:lineRule="auto"/>
        <w:tabs>
          <w:tab w:leader="none" w:pos="898"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 Except as otherwise expressly provided in this Agreement, the provisions hereof shall inure to the benefit of, and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binding upon, the successors and assigns of the parties hereto.</w:t>
      </w:r>
    </w:p>
    <w:p>
      <w:pPr>
        <w:spacing w:after="0" w:line="154" w:lineRule="exact"/>
        <w:rPr>
          <w:rFonts w:ascii="Times New Roman" w:cs="Times New Roman" w:eastAsia="Times New Roman" w:hAnsi="Times New Roman"/>
          <w:sz w:val="18"/>
          <w:szCs w:val="18"/>
          <w:b w:val="1"/>
          <w:bCs w:val="1"/>
          <w:color w:val="auto"/>
        </w:rPr>
      </w:pPr>
    </w:p>
    <w:p>
      <w:pPr>
        <w:jc w:val="both"/>
        <w:ind w:left="-20" w:right="20" w:firstLine="656"/>
        <w:spacing w:after="0" w:line="268" w:lineRule="auto"/>
        <w:tabs>
          <w:tab w:leader="none" w:pos="898"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This Agreement constitutes the full and entire understanding and agreement among the parties, and supersedes any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understanding among the parties, with regard to the subject hereof, and no party shall be liable or bound to any other party in any manner by any warranties, representations or covenants except as specifically set forth herein or therein.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0"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auto"/>
        </w:rPr>
        <w:t>IN WITNESS WHEREOF, this Voting Agreement is hereby executed effective as of the date first set forth above.</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FS Development Holdings, LLC</w:t>
      </w:r>
    </w:p>
    <w:p>
      <w:pPr>
        <w:spacing w:after="0" w:line="3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Dennis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Dennis Ryan</w:t>
      </w:r>
    </w:p>
    <w:p>
      <w:pPr>
        <w:spacing w:after="0" w:line="23"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 Delaware corporation f/k/a FS Development Corp.</w:t>
      </w:r>
    </w:p>
    <w:p>
      <w:pPr>
        <w:spacing w:after="0" w:line="207"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Jason Meyenburg</w:t>
      </w:r>
    </w:p>
    <w:p>
      <w:pPr>
        <w:spacing w:after="0" w:line="23"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417195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80"/>
          </w:cols>
          <w:pgMar w:left="980" w:top="904" w:right="1039" w:bottom="1440" w:gutter="0" w:footer="0" w:header="0"/>
        </w:sectPr>
      </w:pPr>
    </w:p>
    <w:bookmarkStart w:id="110" w:name="page111"/>
    <w:bookmarkEnd w:id="110"/>
    <w:p>
      <w:pPr>
        <w:ind w:left="5640"/>
        <w:spacing w:after="0"/>
        <w:rPr>
          <w:sz w:val="20"/>
          <w:szCs w:val="20"/>
          <w:color w:val="auto"/>
        </w:rPr>
      </w:pPr>
      <w:r>
        <w:rPr>
          <w:rFonts w:ascii="Times New Roman" w:cs="Times New Roman" w:eastAsia="Times New Roman" w:hAnsi="Times New Roman"/>
          <w:sz w:val="18"/>
          <w:szCs w:val="18"/>
          <w:b w:val="1"/>
          <w:bCs w:val="1"/>
          <w:color w:val="auto"/>
        </w:rPr>
        <w:t>VOTING PARTIES: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LIGHTSTONE VENTURES,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Jean M.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5628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Jean M. George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LIGHTSTONE VENTURES (A), L.P.</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By:LSV Associates,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Jean M.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5628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Jean M. George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LIGHTSTONE SINGAPORE,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By:LSV Associates,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Jean M.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5628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Jean M. George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417195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11" w:name="page112"/>
    <w:bookmarkEnd w:id="111"/>
    <w:p>
      <w:pPr>
        <w:ind w:left="5600"/>
        <w:spacing w:after="0"/>
        <w:rPr>
          <w:sz w:val="20"/>
          <w:szCs w:val="20"/>
          <w:color w:val="auto"/>
        </w:rPr>
      </w:pPr>
      <w:r>
        <w:rPr>
          <w:rFonts w:ascii="Times New Roman" w:cs="Times New Roman" w:eastAsia="Times New Roman" w:hAnsi="Times New Roman"/>
          <w:sz w:val="17"/>
          <w:szCs w:val="17"/>
          <w:color w:val="auto"/>
        </w:rPr>
        <w:t>O</w:t>
      </w:r>
      <w:r>
        <w:rPr>
          <w:rFonts w:ascii="Times New Roman" w:cs="Times New Roman" w:eastAsia="Times New Roman" w:hAnsi="Times New Roman"/>
          <w:sz w:val="17"/>
          <w:szCs w:val="17"/>
          <w:b w:val="1"/>
          <w:bCs w:val="1"/>
          <w:color w:val="auto"/>
        </w:rPr>
        <w:t>RBIMED PRIVATE INVESTMENTS VI, L.P.</w:t>
      </w:r>
    </w:p>
    <w:p>
      <w:pPr>
        <w:spacing w:after="0" w:line="24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OrbiMed Capital GP VI LLC,</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OrbiMed Advisors LLC,</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its Managing Partner</w:t>
      </w:r>
    </w:p>
    <w:p>
      <w:pPr>
        <w:spacing w:after="0" w:line="207" w:lineRule="exact"/>
        <w:rPr>
          <w:sz w:val="20"/>
          <w:szCs w:val="20"/>
          <w:color w:val="auto"/>
        </w:rPr>
      </w:pPr>
    </w:p>
    <w:p>
      <w:pPr>
        <w:ind w:left="560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Carl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5628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Name:Carl Gordon</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Member</w:t>
      </w:r>
    </w:p>
    <w:p>
      <w:pPr>
        <w:spacing w:after="0" w:line="20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ATLAS VENTURE FUND X, L.P.</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Atlas Venture Associates X, L.P.</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Atlas Venture Associates X, LLC</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0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5628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Name:Ommer Chohan</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WU CAPITAL INVESTMENT LLC</w:t>
      </w:r>
    </w:p>
    <w:p>
      <w:pPr>
        <w:spacing w:after="0" w:line="3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Wu Capital Investment LLC</w:t>
      </w:r>
    </w:p>
    <w:p>
      <w:pPr>
        <w:spacing w:after="0" w:line="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Its: Director</w:t>
      </w:r>
    </w:p>
    <w:p>
      <w:pPr>
        <w:spacing w:after="0" w:line="207" w:lineRule="exact"/>
        <w:rPr>
          <w:sz w:val="20"/>
          <w:szCs w:val="20"/>
          <w:color w:val="auto"/>
        </w:rPr>
      </w:pPr>
    </w:p>
    <w:p>
      <w:pPr>
        <w:ind w:left="560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Yajun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5628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Name:Yajun Wu</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417195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280"/>
          </w:cols>
          <w:pgMar w:left="1440" w:top="900" w:right="1179" w:bottom="1440" w:gutter="0" w:footer="0" w:header="0"/>
        </w:sectPr>
      </w:pPr>
    </w:p>
    <w:bookmarkStart w:id="112" w:name="page113"/>
    <w:bookmarkEnd w:id="112"/>
    <w:p>
      <w:pPr>
        <w:ind w:left="10120"/>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LOCKUP AGREEMENT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Lockup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is dated as of February 5, 2021 and is between FS Development Corp., a Delaware corporation (“</w:t>
      </w:r>
      <w:r>
        <w:rPr>
          <w:rFonts w:ascii="Times New Roman" w:cs="Times New Roman" w:eastAsia="Times New Roman" w:hAnsi="Times New Roman"/>
          <w:sz w:val="18"/>
          <w:szCs w:val="18"/>
          <w:b w:val="1"/>
          <w:bCs w:val="1"/>
          <w:u w:val="single" w:color="auto"/>
          <w:color w:val="auto"/>
        </w:rPr>
        <w:t>FSD</w:t>
      </w:r>
      <w:r>
        <w:rPr>
          <w:rFonts w:ascii="Times New Roman" w:cs="Times New Roman" w:eastAsia="Times New Roman" w:hAnsi="Times New Roman"/>
          <w:sz w:val="18"/>
          <w:szCs w:val="18"/>
          <w:color w:val="auto"/>
        </w:rPr>
        <w:t xml:space="preserve">”), and each of the stockholder parties identified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the other persons who enter into a joinder to this Agreement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with FSD in order to become a “Stockholder Party” for purposes of this Agreement (collectively, the “</w:t>
      </w:r>
      <w:r>
        <w:rPr>
          <w:rFonts w:ascii="Times New Roman" w:cs="Times New Roman" w:eastAsia="Times New Roman" w:hAnsi="Times New Roman"/>
          <w:sz w:val="18"/>
          <w:szCs w:val="18"/>
          <w:b w:val="1"/>
          <w:bCs w:val="1"/>
          <w:u w:val="single" w:color="auto"/>
          <w:color w:val="auto"/>
        </w:rPr>
        <w:t>Stockholder Parties</w:t>
      </w:r>
      <w:r>
        <w:rPr>
          <w:rFonts w:ascii="Times New Roman" w:cs="Times New Roman" w:eastAsia="Times New Roman" w:hAnsi="Times New Roman"/>
          <w:sz w:val="18"/>
          <w:szCs w:val="18"/>
          <w:color w:val="auto"/>
        </w:rPr>
        <w:t>”). Capitalized terms used but not defined herein shall have the meanings assigned to them in the Merger Agreement (as defined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that certain Agreement and Plan of Merger, dated as of October 15, 2020 (the “</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 FSG Merger Sub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 Delaware corporation and a direct, wholly owned subsidiary of FSD, will merge (the “</w:t>
      </w:r>
      <w:r>
        <w:rPr>
          <w:rFonts w:ascii="Times New Roman" w:cs="Times New Roman" w:eastAsia="Times New Roman" w:hAnsi="Times New Roman"/>
          <w:sz w:val="18"/>
          <w:szCs w:val="18"/>
          <w:b w:val="1"/>
          <w:bCs w:val="1"/>
          <w:u w:val="single" w:color="auto"/>
          <w:color w:val="auto"/>
        </w:rPr>
        <w:t>Merger</w:t>
      </w:r>
      <w:r>
        <w:rPr>
          <w:rFonts w:ascii="Times New Roman" w:cs="Times New Roman" w:eastAsia="Times New Roman" w:hAnsi="Times New Roman"/>
          <w:sz w:val="18"/>
          <w:szCs w:val="18"/>
          <w:color w:val="auto"/>
        </w:rPr>
        <w:t>”) with and into Gemini Therapeutics, Inc., a Delaware corporation (“</w:t>
      </w:r>
      <w:r>
        <w:rPr>
          <w:rFonts w:ascii="Times New Roman" w:cs="Times New Roman" w:eastAsia="Times New Roman" w:hAnsi="Times New Roman"/>
          <w:sz w:val="18"/>
          <w:szCs w:val="18"/>
          <w:b w:val="1"/>
          <w:bCs w:val="1"/>
          <w:u w:val="single" w:color="auto"/>
          <w:color w:val="auto"/>
        </w:rPr>
        <w:t>Gemini</w:t>
      </w:r>
      <w:r>
        <w:rPr>
          <w:rFonts w:ascii="Times New Roman" w:cs="Times New Roman" w:eastAsia="Times New Roman" w:hAnsi="Times New Roman"/>
          <w:sz w:val="18"/>
          <w:szCs w:val="18"/>
          <w:color w:val="auto"/>
        </w:rPr>
        <w:t>”), with Gemini surviving the Merger as a wholly owned subsidiary of FSD;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of the Stockholder Parties owns the number and type of Equity Interest in Gemini set forth opposite of such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Party’s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(such Equity Interests, the “</w:t>
      </w:r>
      <w:r>
        <w:rPr>
          <w:rFonts w:ascii="Times New Roman" w:cs="Times New Roman" w:eastAsia="Times New Roman" w:hAnsi="Times New Roman"/>
          <w:sz w:val="18"/>
          <w:szCs w:val="18"/>
          <w:b w:val="1"/>
          <w:bCs w:val="1"/>
          <w:u w:val="single" w:color="auto"/>
          <w:color w:val="auto"/>
        </w:rPr>
        <w:t>Gemini Equity Interests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of the Stockholder Parties will receive a certain number of shares of Class A common stock, $0.0001 par value per share,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FSD and/or options to purchase such shares of Class A common stock (the “</w:t>
      </w:r>
      <w:r>
        <w:rPr>
          <w:rFonts w:ascii="Times New Roman" w:cs="Times New Roman" w:eastAsia="Times New Roman" w:hAnsi="Times New Roman"/>
          <w:sz w:val="18"/>
          <w:szCs w:val="18"/>
          <w:b w:val="1"/>
          <w:bCs w:val="1"/>
          <w:u w:val="single" w:color="auto"/>
          <w:color w:val="auto"/>
        </w:rPr>
        <w:t>FSD Equity Interests</w:t>
      </w:r>
      <w:r>
        <w:rPr>
          <w:rFonts w:ascii="Times New Roman" w:cs="Times New Roman" w:eastAsia="Times New Roman" w:hAnsi="Times New Roman"/>
          <w:sz w:val="18"/>
          <w:szCs w:val="18"/>
          <w:color w:val="auto"/>
        </w:rPr>
        <w:t>”, together with the Gemini Equity Interests, and together with any of the foregoing acquired after the date hereof, the “</w:t>
      </w:r>
      <w:r>
        <w:rPr>
          <w:rFonts w:ascii="Times New Roman" w:cs="Times New Roman" w:eastAsia="Times New Roman" w:hAnsi="Times New Roman"/>
          <w:sz w:val="18"/>
          <w:szCs w:val="18"/>
          <w:b w:val="1"/>
          <w:bCs w:val="1"/>
          <w:u w:val="single" w:color="auto"/>
          <w:color w:val="auto"/>
        </w:rPr>
        <w:t>Covered Equity Interest</w:t>
      </w:r>
      <w:r>
        <w:rPr>
          <w:rFonts w:ascii="Times New Roman" w:cs="Times New Roman" w:eastAsia="Times New Roman" w:hAnsi="Times New Roman"/>
          <w:sz w:val="18"/>
          <w:szCs w:val="18"/>
          <w:color w:val="auto"/>
        </w:rPr>
        <w:t>”), pursuant to the terms of the Merger Agreement;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consideration for the benefits to be received by each Stockholder Party under the terms of the Merger Agreement and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inducement to FSD and the other Parent Parties agreeing to enter into and consummate the transactions contemplated by the Merger Agreement, each Stockholder Party agrees to enter into this Agreement and to be bound by the agreements, covenants and obligations contained in this Agreement; and</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hereto acknowledge and agree that FSD would not have entered into and agreed to consummate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by the Merger Agreement without each Stockholder Party entering into this Agreement and agreeing to be bound by the agreements, covenants and obligations contained in this Agreement;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FSD entering into the Merger Agreement, the parties hereto wish to set forth herein certain understandings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such parties with respect to restrictions on transfer of the Covered Equity Interest.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premises and the mutual promises set forth herein and for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the parties hereto, each intending to be legally bound, hereby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INTRODUCTORY MATTERS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u w:val="single" w:color="auto"/>
          <w:color w:val="auto"/>
        </w:rPr>
        <w:t>Defined Terms</w:t>
      </w:r>
      <w:r>
        <w:rPr>
          <w:rFonts w:ascii="Times New Roman" w:cs="Times New Roman" w:eastAsia="Times New Roman" w:hAnsi="Times New Roman"/>
          <w:sz w:val="18"/>
          <w:szCs w:val="18"/>
          <w:color w:val="auto"/>
        </w:rPr>
        <w:t>. In addition to the terms defined elsewhere herein, the following terms have the following meanings when used herein with initial capital letters: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means this Lockup Agreement, as the same may be amended, supplemented, restated or otherwise modified from time to time in accordance with the terms hereof.</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 as the same may be amended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Lock-Up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 has the meaning set forth in the Recitals.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3" w:name="page114"/>
    <w:bookmarkEnd w:id="11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Non-Recourse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Stockholder Parties</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 intent, and no rule of strict construction will be applied against any party. Unless the context otherwise requires: (a) “or” is disjunctive but not exclusive, (b) words in the singular include the plural, and in the plural include the singular, and (c) the words “hereof’, “herein”, and “hereunder” and words of similar import when used in this Agreement refer to this Agreement as a whole and not to any particular provision of this Agreement, and Section references are to sections of this Agreement unless otherwise specified.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u w:val="single" w:color="auto"/>
          <w:color w:val="auto"/>
        </w:rPr>
        <w:t>Lockup</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left="980" w:hanging="648"/>
        <w:spacing w:after="0" w:line="251" w:lineRule="auto"/>
        <w:tabs>
          <w:tab w:leader="none" w:pos="9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Party agrees that such Stockholder Party shall not Transfer any Covered Equity Interest or any securities convertible into or exercisable or exchangeable (directly or indirectly) for any Covered Equity Interest (whether such Covered Equity Interest or any such securities are held by such Stockholder Party as of the date hereof or are thereafter acquired) from the date hereof and ending one-hundred eighty (180) days following the Closing Date (the “</w:t>
      </w:r>
      <w:r>
        <w:rPr>
          <w:rFonts w:ascii="Times New Roman" w:cs="Times New Roman" w:eastAsia="Times New Roman" w:hAnsi="Times New Roman"/>
          <w:sz w:val="18"/>
          <w:szCs w:val="18"/>
          <w:b w:val="1"/>
          <w:bCs w:val="1"/>
          <w:u w:val="single" w:color="auto"/>
          <w:color w:val="auto"/>
        </w:rPr>
        <w:t>Lock-Up Period</w:t>
      </w:r>
      <w:r>
        <w:rPr>
          <w:rFonts w:ascii="Times New Roman" w:cs="Times New Roman" w:eastAsia="Times New Roman" w:hAnsi="Times New Roman"/>
          <w:sz w:val="18"/>
          <w:szCs w:val="18"/>
          <w:color w:val="auto"/>
        </w:rPr>
        <w:t>”). The foregoing restriction is expressly agreed to preclude each Stockholder Party during the Lock-up Period from engaging in any hedging or other transaction which is designed to or which reasonably could be expected to lead to or result in a sale or disposition of such Stockholder Party’s Covered Equity Interest even if such Covered Equity Interest would be disposed of by someone other than the undersigned. Such prohibited hedging or other transactions during the Lock-up Period would include without limitation any short sale or any purchase, sale or grant of any right (including, without limitation, any put or call option) with respect to any of the Stockholder Party’s Covered Equity Interest or with respect to any security that includes, relates to, or derives any significant part of its value from such Covered Equity Interest. The foregoing notwithstanding, each executive officer and director of FSD shall be permitted to establish a plan to acquire and sell Covered Equity Interest pursuant to Rule 10b5-1 under the Exchange Act; provided, however, no sale of any Covered Equity Interest under any such plan shall be made prior to the expiration of the Lock-Up Period. For purposes of this agreement, “</w:t>
      </w: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color w:val="auto"/>
        </w:rPr>
        <w:t>” means to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and the rules and regulations of the Commission promulgated thereunder, with respect to any Covered Equity Interest, (ii) enter into any swap or other arrangement that transfers to another, in whole or in part, any of the economic consequences of ownership of any Covered Equity Interest, whether any such transaction is to be settled by delivery of such securities, in cash or otherwise, or (iii) publicly announce any intention to effect any transaction, including the filing of a registration statement specified in clause (i) or (ii). Notwithstanding the foregoing, a Transfer shall not be deemed to include any transfer for no consideration if the donee, trustee, heir or other transferee has agreed in writing to be bound by the same terms under this Agreement to the extent and for the duration that such terms remain in effect at the time of the Transfer, by executing and delivering the Form of Joinder Agreement set forth on Exhibit B to the FSD.</w:t>
      </w:r>
    </w:p>
    <w:p>
      <w:pPr>
        <w:spacing w:after="0" w:line="20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Party also agrees and consents to the entry of stop transfer instructions with FSD’s transfer agent and registrar against the transfer of any Covered Equity Interest except in compliance with the foregoing restrictions and to the addition of a legend to such Stockholder Party’s Covered Equity Interest describing the foregoing restrictions.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STOCKHOLDER PARTIES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u w:val="single" w:color="auto"/>
          <w:color w:val="auto"/>
        </w:rPr>
        <w:t>Stockholder Representations and Warranties</w:t>
      </w:r>
      <w:r>
        <w:rPr>
          <w:rFonts w:ascii="Times New Roman" w:cs="Times New Roman" w:eastAsia="Times New Roman" w:hAnsi="Times New Roman"/>
          <w:sz w:val="18"/>
          <w:szCs w:val="18"/>
          <w:color w:val="auto"/>
        </w:rPr>
        <w:t>. Each Stockholder Party represents and warrants to FSD as follows:</w:t>
      </w:r>
    </w:p>
    <w:p>
      <w:pPr>
        <w:spacing w:after="0" w:line="229" w:lineRule="exact"/>
        <w:rPr>
          <w:sz w:val="20"/>
          <w:szCs w:val="20"/>
          <w:color w:val="auto"/>
        </w:rPr>
      </w:pPr>
    </w:p>
    <w:p>
      <w:pPr>
        <w:jc w:val="both"/>
        <w:ind w:left="980" w:hanging="648"/>
        <w:spacing w:after="0" w:line="261" w:lineRule="auto"/>
        <w:tabs>
          <w:tab w:leader="none" w:pos="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Stockholder Party is not an individual, the Stockholder Party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spacing w:after="0" w:line="179" w:lineRule="exact"/>
        <w:rPr>
          <w:rFonts w:ascii="Times New Roman" w:cs="Times New Roman" w:eastAsia="Times New Roman" w:hAnsi="Times New Roman"/>
          <w:sz w:val="18"/>
          <w:szCs w:val="18"/>
          <w:color w:val="auto"/>
        </w:rPr>
      </w:pPr>
    </w:p>
    <w:p>
      <w:pPr>
        <w:jc w:val="both"/>
        <w:ind w:left="980" w:hanging="648"/>
        <w:spacing w:after="0" w:line="254" w:lineRule="auto"/>
        <w:tabs>
          <w:tab w:leader="none" w:pos="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Stockholder Party is not an individual, the Stockholder Party has the requisite corporate, limited liability company or other similar power and authority to execute and deliver this Agreement, to perform its covenants, agreements and obligations hereunder (including, for the avoidance of doubt, those covenants, agreements and obligations hereunder that relate to the provisions of the Merger Agreement), and to consummate the transactions contemplated hereby. The execution and delivery of this Agreement has been duly authorized by all necessary corporate (or other similar) action on the part of such Stockholder Party. This Agreement has been duly and validly executed and delivered by such Stockholder Party and constitutes a valid, legal and binding agreement of each Stockholder Party (assuming that this Agreement is duly authorized, executed and delivered by FSD), enforceable against each such Stockholder Party in accordance with its terms (subject to applicable bankruptcy, insolvency, reorganization, moratorium or other Laws affecting generally the enforcement of creditors’ rights and subject to general principles of equity).</w:t>
      </w:r>
    </w:p>
    <w:p>
      <w:pPr>
        <w:spacing w:after="0" w:line="188" w:lineRule="exact"/>
        <w:rPr>
          <w:rFonts w:ascii="Times New Roman" w:cs="Times New Roman" w:eastAsia="Times New Roman" w:hAnsi="Times New Roman"/>
          <w:sz w:val="18"/>
          <w:szCs w:val="18"/>
          <w:color w:val="auto"/>
        </w:rPr>
      </w:pPr>
    </w:p>
    <w:p>
      <w:pPr>
        <w:jc w:val="both"/>
        <w:ind w:left="980" w:hanging="648"/>
        <w:spacing w:after="0" w:line="256" w:lineRule="auto"/>
        <w:tabs>
          <w:tab w:leader="none" w:pos="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Stockholder Party is the record and beneficial owner of the Gemini Equity Interests set forth opposite such Stockholder Party’s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has valid, good and marketable title to the Gemini Equity Interests, free and clear of all Liens (other than transfer restrictions under applicable Securities Law). Each Stockholder Party is not party to or bound by (i) any option, warrant, purchase right, or other Contract that would (either alone or in connection with one or more events, developments (including the satisfaction or waiver of any conditions precedent)) require such Stockholder Party to Transfer any of the Covered Equity Interests or (ii) any voting trust, proxy or other Contract with respect to the voting or Transfer of any of the Covered Equity Interests.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This Agreement and the obligations of each Stockholder Party hereunder shall automatically terminate upon the termination of the Merger Agreement in accordance with its terms. Upon termination or expiration of this Agreement, no party shall have any further obligations or liabilities under this Agreement; provided, however, that such termination or expiration shall not relieve any party from liability for any willful breach of this Agreement occurring prior to its termination.</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requests, claims, demands and other communications hereunder shall be in writing and shall be given (and shall be deemed to have been duly given) by delivery in person, by facsimile (having obtained electronic delivery confirmation thereof) if applicable,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auto"/>
        </w:rPr>
        <w:t>FSD’s address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Dennis Ryan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docs-Investments@foresitecapital.com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Joel L. Rubinstein, Esq.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joel.rubinstein@whitecase.com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address as such Stockholder Party shall furnish to FSD in writing.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u w:val="single" w:color="auto"/>
          <w:color w:val="auto"/>
        </w:rPr>
        <w:t>Amendment; Waiver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980" w:hanging="648"/>
        <w:spacing w:after="0" w:line="261" w:lineRule="auto"/>
        <w:tabs>
          <w:tab w:leader="none" w:pos="9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terms and provisions of this Agreement may be modified or amended only with the written approval of the FSD (including from and after the Effective Time, the approval of the member of the board of directors of FSD nominated by the Sponsor) and Stockholder Parties holding a majority of the Covered Equity Interests then held by the Stockholder Parties in the aggregate as to which this Agreement has not been terminated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980" w:hanging="648"/>
        <w:spacing w:after="0" w:line="258" w:lineRule="auto"/>
        <w:tabs>
          <w:tab w:leader="none" w:pos="9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in this Agreement, neither the failure nor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w:t>
      </w:r>
    </w:p>
    <w:p>
      <w:pPr>
        <w:spacing w:after="0" w:line="183" w:lineRule="exact"/>
        <w:rPr>
          <w:rFonts w:ascii="Times New Roman" w:cs="Times New Roman" w:eastAsia="Times New Roman" w:hAnsi="Times New Roman"/>
          <w:sz w:val="18"/>
          <w:szCs w:val="18"/>
          <w:color w:val="auto"/>
        </w:rPr>
      </w:pPr>
    </w:p>
    <w:p>
      <w:pPr>
        <w:jc w:val="both"/>
        <w:ind w:left="980" w:hanging="648"/>
        <w:spacing w:after="0" w:line="261" w:lineRule="auto"/>
        <w:tabs>
          <w:tab w:leader="none" w:pos="9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be deemed to have waived any claim arising out of this Agreement, or any right, remedy, power or privilege under this Agreement, unless the waiver of such claim, right, remedy, power or privilege is expressly set forth in a written instrument duly executed and delivered on behalf of such party; and any such waiver shall not be applicable or have any effect except in the specific instance in which it is given.</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The parties hereto will sign such further documents, cause such meetings to be held, resolutions passed, exercise their votes and do and perform and cause to be done such further acts and things necessary, proper or advisable in order to give full effect to this Agreement and every provision hereof.</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 This Agreement may not be assigned without the express prior written consent of the other parties hereto, and any attempted assignment, without such consents, will be null and void. This Agreement will inure to the benefit of and be binding on the parties hereto and their respective successors and permitted assigns.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b w:val="1"/>
          <w:bCs w:val="1"/>
          <w:u w:val="single" w:color="auto"/>
          <w:color w:val="auto"/>
        </w:rPr>
        <w:t>Third Parties</w:t>
      </w:r>
      <w:r>
        <w:rPr>
          <w:rFonts w:ascii="Times New Roman" w:cs="Times New Roman" w:eastAsia="Times New Roman" w:hAnsi="Times New Roman"/>
          <w:sz w:val="18"/>
          <w:szCs w:val="18"/>
          <w:color w:val="auto"/>
        </w:rPr>
        <w:t>. Except with respect to any Non-Recourse Party, this Agreement does not create any rights, claims or benefits inuring to any person that is not a party hereto nor create or establish any third party beneficiary hereto.</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AND THE LEGAL RELATIONS BETWEEN THE PARTIES ARISING HEREUNDER SHALL BE GOVERNED BY AND INTERPRETED IN ACCORDANCE WITH THE LAWS OF THE STATE OF DELAWARE WITHOUT REFERENCE TO ITS CONFLICTS OF LAW PROVISIONS.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b w:val="1"/>
          <w:bCs w:val="1"/>
          <w:u w:val="single" w:color="auto"/>
          <w:color w:val="auto"/>
        </w:rPr>
        <w:t>Jurisdiction; Waiver of Jury Trial</w:t>
      </w:r>
      <w:r>
        <w:rPr>
          <w:rFonts w:ascii="Times New Roman" w:cs="Times New Roman" w:eastAsia="Times New Roman" w:hAnsi="Times New Roman"/>
          <w:sz w:val="18"/>
          <w:szCs w:val="18"/>
          <w:color w:val="auto"/>
        </w:rPr>
        <w:t>. All Actions arising out of or relating to this Agreement shall be heard and determined exclusively in any Delaware Chancery Court. The parties hereto hereby (i) submit to the exclusive jurisdiction of the Delaware Chancery Court for the purpose of any Action arising out of or relating to this Agreement brought by any party hereto, and (ii)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hereunder may not be enforced in or by any of the above-named courts.</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b w:val="1"/>
          <w:bCs w:val="1"/>
          <w:u w:val="single" w:color="auto"/>
          <w:color w:val="auto"/>
        </w:rPr>
        <w:t>Specific Performance</w:t>
      </w:r>
      <w:r>
        <w:rPr>
          <w:rFonts w:ascii="Times New Roman" w:cs="Times New Roman" w:eastAsia="Times New Roman" w:hAnsi="Times New Roman"/>
          <w:sz w:val="18"/>
          <w:szCs w:val="18"/>
          <w:color w:val="auto"/>
        </w:rPr>
        <w:t>. Each party hereto acknowledges and agrees that in the event of any breach of this Agreement by any of them, the other parties hereto would be irreparably harmed and could not be made whole by monetary damages. Each party accordingly agrees to waive the defense in any action for specific performance that a remedy at law would be adequate and that the parties, in addition to any other remedy to which they may be entitled at law or in equity, shall be entitled to specific performance of this Agreement without the posting of a bond.</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sets forth the entire understanding of the parties hereto with respect to the subject matter hereof. There are no agreements, representations, warranties, covenants or understandings with respect to the subject matter hereof other than those expressly set forth herein. This Agreement supersedes all other prior agreements and understandings between the parties with respect to such subject matter.</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provision of this Agreement, or the application of such provision to any Person 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b w:val="1"/>
          <w:bCs w:val="1"/>
          <w:u w:val="single" w:color="auto"/>
          <w:color w:val="auto"/>
        </w:rPr>
        <w:t>Table of Contents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Headings and Captions</w:t>
      </w:r>
      <w:r>
        <w:rPr>
          <w:rFonts w:ascii="Times New Roman" w:cs="Times New Roman" w:eastAsia="Times New Roman" w:hAnsi="Times New Roman"/>
          <w:sz w:val="18"/>
          <w:szCs w:val="18"/>
          <w:color w:val="auto"/>
        </w:rPr>
        <w:t>. The table of contents, headings, subheadings and captions contained in this Agreement are included for convenience of reference only, and in no way define, limit or describe the scope of this Agreement or the intent of any provision hereof.</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and any amendment hereto may be signed in any number of separate counterparts, each of which shall be deemed an original, but all of which taken together shall constitute one agreement (or amendment, as applicable).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b w:val="1"/>
          <w:bCs w:val="1"/>
          <w:u w:val="single" w:color="auto"/>
          <w:color w:val="auto"/>
        </w:rPr>
        <w:t>Effectiveness</w:t>
      </w:r>
      <w:r>
        <w:rPr>
          <w:rFonts w:ascii="Times New Roman" w:cs="Times New Roman" w:eastAsia="Times New Roman" w:hAnsi="Times New Roman"/>
          <w:sz w:val="18"/>
          <w:szCs w:val="18"/>
          <w:color w:val="auto"/>
        </w:rPr>
        <w:t>. This Agreement shall be valid and enforceable as of the date of this Agreement and may not be revoked by any party hereto.</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b w:val="1"/>
          <w:bCs w:val="1"/>
          <w:u w:val="single" w:color="auto"/>
          <w:color w:val="auto"/>
        </w:rPr>
        <w:t>No Recourse</w:t>
      </w:r>
      <w:r>
        <w:rPr>
          <w:rFonts w:ascii="Times New Roman" w:cs="Times New Roman" w:eastAsia="Times New Roman" w:hAnsi="Times New Roman"/>
          <w:sz w:val="18"/>
          <w:szCs w:val="18"/>
          <w:color w:val="auto"/>
        </w:rPr>
        <w:t>. This Agreement may only be enforced against, and any claim or cause of action that may be based upon, arise out of or relate to this Agreement, or the negotiation, execution or performance of this Agreement, the transactions contemplated hereby or the subject matter hereof may only be made against the parties hereto and no past, present or future Affiliate, director, officer, employee, incorporator, member, manager, partner, shareholder, agent, attorney or representative of any party hereto or any past, present or future Affiliate, director, officer, employee, incorporator, member, manager, partner, stockholder, agent, attorney or representative of any of the foregoing (each, a “</w:t>
      </w:r>
      <w:r>
        <w:rPr>
          <w:rFonts w:ascii="Times New Roman" w:cs="Times New Roman" w:eastAsia="Times New Roman" w:hAnsi="Times New Roman"/>
          <w:sz w:val="18"/>
          <w:szCs w:val="18"/>
          <w:b w:val="1"/>
          <w:bCs w:val="1"/>
          <w:u w:val="single" w:color="auto"/>
          <w:color w:val="auto"/>
        </w:rPr>
        <w:t>Non-Recourse Party</w:t>
      </w:r>
      <w:r>
        <w:rPr>
          <w:rFonts w:ascii="Times New Roman" w:cs="Times New Roman" w:eastAsia="Times New Roman" w:hAnsi="Times New Roman"/>
          <w:sz w:val="18"/>
          <w:szCs w:val="18"/>
          <w:color w:val="auto"/>
        </w:rPr>
        <w:t>”) shall have any liability for any obligations or liabilities of the parties to this Agreement or for any claim based on, in respect of, or by reason of, the transactions contemplated hereby.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Lockup Agreement on the day and year first above written.</w:t>
      </w:r>
    </w:p>
    <w:p>
      <w:pPr>
        <w:spacing w:after="0" w:line="23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FS DEVELOPMENT CORP</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Jim Tananbaum</w:t>
      </w:r>
    </w:p>
    <w:p>
      <w:pPr>
        <w:spacing w:after="0" w:line="36"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1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337" w:right="1440" w:bottom="1440" w:gutter="0" w:footer="0" w:header="0"/>
        </w:sectPr>
      </w:pPr>
    </w:p>
    <w:bookmarkStart w:id="118" w:name="page119"/>
    <w:bookmarkEnd w:id="118"/>
    <w:p>
      <w:pPr>
        <w:ind w:left="5640"/>
        <w:spacing w:after="0"/>
        <w:rPr>
          <w:sz w:val="20"/>
          <w:szCs w:val="20"/>
          <w:color w:val="auto"/>
        </w:rPr>
      </w:pPr>
      <w:r>
        <w:rPr>
          <w:rFonts w:ascii="Times New Roman" w:cs="Times New Roman" w:eastAsia="Times New Roman" w:hAnsi="Times New Roman"/>
          <w:sz w:val="18"/>
          <w:szCs w:val="18"/>
          <w:b w:val="1"/>
          <w:bCs w:val="1"/>
          <w:color w:val="auto"/>
        </w:rPr>
        <w:t>VOTING PARTIES: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LIGHTSTONE VENTURES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LSV Associates,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 M. George</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Jean M. George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LIGHTSTONE VENTURES (A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LSV Associates,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 M. George</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Jean M. George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LIGHTSTONE SINGAPORE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LSV Associates,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 M. George</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Jean M. George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200" w:lineRule="exact"/>
        <w:rPr>
          <w:sz w:val="20"/>
          <w:szCs w:val="20"/>
          <w:color w:val="auto"/>
        </w:rPr>
      </w:pPr>
    </w:p>
    <w:p>
      <w:pPr>
        <w:spacing w:after="0" w:line="20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119" w:name="page120"/>
    <w:bookmarkEnd w:id="119"/>
    <w:p>
      <w:pPr>
        <w:ind w:left="5640"/>
        <w:spacing w:after="0"/>
        <w:rPr>
          <w:sz w:val="20"/>
          <w:szCs w:val="20"/>
          <w:color w:val="auto"/>
        </w:rPr>
      </w:pPr>
      <w:r>
        <w:rPr>
          <w:rFonts w:ascii="Times New Roman" w:cs="Times New Roman" w:eastAsia="Times New Roman" w:hAnsi="Times New Roman"/>
          <w:sz w:val="18"/>
          <w:szCs w:val="18"/>
          <w:b w:val="1"/>
          <w:bCs w:val="1"/>
          <w:color w:val="auto"/>
        </w:rPr>
        <w:t>STOCKHOLDER PARTY: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ORBIMED PRIVATE INVESTMENTS VI, L.P.</w:t>
      </w:r>
    </w:p>
    <w:p>
      <w:pPr>
        <w:spacing w:after="0" w:line="241"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OrbiMed Capital GP VI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OrbiMed Advisors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Carl Gordon</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Member</w:t>
      </w:r>
    </w:p>
    <w:p>
      <w:pPr>
        <w:spacing w:after="0" w:line="200" w:lineRule="exact"/>
        <w:rPr>
          <w:sz w:val="20"/>
          <w:szCs w:val="20"/>
          <w:color w:val="auto"/>
        </w:rPr>
      </w:pPr>
    </w:p>
    <w:p>
      <w:pPr>
        <w:spacing w:after="0" w:line="21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33020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20"/>
          </w:cols>
          <w:pgMar w:left="1440" w:top="333" w:right="1139" w:bottom="1440" w:gutter="0" w:footer="0" w:header="0"/>
        </w:sectPr>
      </w:pPr>
    </w:p>
    <w:bookmarkStart w:id="120" w:name="page121"/>
    <w:bookmarkEnd w:id="120"/>
    <w:p>
      <w:pPr>
        <w:ind w:left="5640"/>
        <w:spacing w:after="0"/>
        <w:rPr>
          <w:sz w:val="20"/>
          <w:szCs w:val="20"/>
          <w:color w:val="auto"/>
        </w:rPr>
      </w:pPr>
      <w:r>
        <w:rPr>
          <w:rFonts w:ascii="Times New Roman" w:cs="Times New Roman" w:eastAsia="Times New Roman" w:hAnsi="Times New Roman"/>
          <w:sz w:val="18"/>
          <w:szCs w:val="18"/>
          <w:b w:val="1"/>
          <w:bCs w:val="1"/>
          <w:color w:val="auto"/>
        </w:rPr>
        <w:t>STOCKHOLDER PARTY: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ATLAS VENTURE FUND X</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Atlas Venture Associates X, L.P.</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Atlas Venture Associates X,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Ommer Chohan</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33020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1" w:name="page122"/>
    <w:bookmarkEnd w:id="121"/>
    <w:p>
      <w:pPr>
        <w:ind w:left="5640"/>
        <w:spacing w:after="0"/>
        <w:rPr>
          <w:sz w:val="20"/>
          <w:szCs w:val="20"/>
          <w:color w:val="auto"/>
        </w:rPr>
      </w:pPr>
      <w:r>
        <w:rPr>
          <w:rFonts w:ascii="Times New Roman" w:cs="Times New Roman" w:eastAsia="Times New Roman" w:hAnsi="Times New Roman"/>
          <w:sz w:val="18"/>
          <w:szCs w:val="18"/>
          <w:b w:val="1"/>
          <w:bCs w:val="1"/>
          <w:color w:val="auto"/>
        </w:rPr>
        <w:t>STOCKHOLDER PARTY: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WU CAPITAL INVESTMENT LLC</w:t>
      </w:r>
    </w:p>
    <w:p>
      <w:pPr>
        <w:spacing w:after="0" w:line="241"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Wu Capital Investment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Director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Yajun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Yajun Wu</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2" w:name="page123"/>
    <w:bookmarkEnd w:id="122"/>
    <w:p>
      <w:pPr>
        <w:ind w:left="564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24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Gregg Beloff</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33020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3" w:name="page124"/>
    <w:bookmarkEnd w:id="123"/>
    <w:p>
      <w:pPr>
        <w:ind w:left="564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241" w:lineRule="exact"/>
        <w:rPr>
          <w:sz w:val="20"/>
          <w:szCs w:val="20"/>
          <w:color w:val="auto"/>
        </w:rPr>
      </w:pPr>
    </w:p>
    <w:p>
      <w:pPr>
        <w:ind w:left="564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Lauder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Scott Lauder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4" w:name="page125"/>
    <w:bookmarkEnd w:id="124"/>
    <w:p>
      <w:pPr>
        <w:ind w:left="564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24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Suresh Katti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Suresh Katti</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5" w:name="page126"/>
    <w:bookmarkEnd w:id="125"/>
    <w:p>
      <w:pPr>
        <w:ind w:left="564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24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Walter Strapps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Walter Strapps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6" w:name="page127"/>
    <w:bookmarkEnd w:id="126"/>
    <w:p>
      <w:pPr>
        <w:jc w:val="right"/>
        <w:ind w:right="1279"/>
        <w:spacing w:after="0"/>
        <w:rPr>
          <w:sz w:val="20"/>
          <w:szCs w:val="20"/>
          <w:color w:val="auto"/>
        </w:rPr>
      </w:pPr>
      <w:r>
        <w:rPr>
          <w:rFonts w:ascii="Times New Roman" w:cs="Times New Roman" w:eastAsia="Times New Roman" w:hAnsi="Times New Roman"/>
          <w:sz w:val="18"/>
          <w:szCs w:val="18"/>
          <w:b w:val="1"/>
          <w:bCs w:val="1"/>
          <w:color w:val="auto"/>
        </w:rPr>
        <w:t>STOCKHOLDER PARTY:</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Jason Meyenburg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7" w:name="page128"/>
    <w:bookmarkEnd w:id="127"/>
    <w:p>
      <w:pPr>
        <w:ind w:left="564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24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Marc Uknis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Marc Uknis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8" w:name="page129"/>
    <w:bookmarkEnd w:id="128"/>
    <w:p>
      <w:pPr>
        <w:ind w:left="5640"/>
        <w:spacing w:after="0"/>
        <w:rPr>
          <w:sz w:val="20"/>
          <w:szCs w:val="20"/>
          <w:color w:val="auto"/>
        </w:rPr>
      </w:pPr>
      <w:r>
        <w:rPr>
          <w:rFonts w:ascii="Times New Roman" w:cs="Times New Roman" w:eastAsia="Times New Roman" w:hAnsi="Times New Roman"/>
          <w:sz w:val="18"/>
          <w:szCs w:val="18"/>
          <w:b w:val="1"/>
          <w:bCs w:val="1"/>
          <w:color w:val="auto"/>
        </w:rPr>
        <w:t>STOCKHOLDER PARTY:</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James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24765</wp:posOffset>
            </wp:positionV>
            <wp:extent cx="249428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James McLaughlin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9" w:name="page130"/>
    <w:bookmarkEnd w:id="129"/>
    <w:p>
      <w:pPr>
        <w:ind w:left="564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24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Philip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Philip Reilly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0" w:name="page131"/>
    <w:bookmarkEnd w:id="130"/>
    <w:p>
      <w:pPr>
        <w:ind w:left="564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24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Squinto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Stephen Squinto</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1" w:name="page132"/>
    <w:bookmarkEnd w:id="131"/>
    <w:p>
      <w:pPr>
        <w:ind w:left="564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24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Tuyen 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Tuyen Ong</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2" w:name="page133"/>
    <w:bookmarkEnd w:id="132"/>
    <w:p>
      <w:pPr>
        <w:ind w:left="564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24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Lubner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David Lubner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38"/>
        </w:trPr>
        <w:tc>
          <w:tcPr>
            <w:tcW w:w="7360" w:type="dxa"/>
            <w:vAlign w:val="bottom"/>
            <w:gridSpan w:val="3"/>
          </w:tcPr>
          <w:p>
            <w:pPr>
              <w:ind w:left="5160"/>
              <w:spacing w:after="0"/>
              <w:rPr>
                <w:sz w:val="20"/>
                <w:szCs w:val="20"/>
                <w:color w:val="auto"/>
              </w:rPr>
            </w:pPr>
            <w:r>
              <w:rPr>
                <w:rFonts w:ascii="Times New Roman" w:cs="Times New Roman" w:eastAsia="Times New Roman" w:hAnsi="Times New Roman"/>
                <w:sz w:val="18"/>
                <w:szCs w:val="18"/>
                <w:b w:val="1"/>
                <w:bCs w:val="1"/>
                <w:color w:val="auto"/>
              </w:rPr>
              <w:t>EXHIBIT A</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60" w:type="dxa"/>
            <w:vAlign w:val="bottom"/>
            <w:gridSpan w:val="3"/>
          </w:tcPr>
          <w:p>
            <w:pPr>
              <w:ind w:left="4520"/>
              <w:spacing w:after="0"/>
              <w:rPr>
                <w:sz w:val="20"/>
                <w:szCs w:val="20"/>
                <w:color w:val="auto"/>
              </w:rPr>
            </w:pPr>
            <w:r>
              <w:rPr>
                <w:rFonts w:ascii="Times New Roman" w:cs="Times New Roman" w:eastAsia="Times New Roman" w:hAnsi="Times New Roman"/>
                <w:sz w:val="18"/>
                <w:szCs w:val="18"/>
                <w:b w:val="1"/>
                <w:bCs w:val="1"/>
                <w:color w:val="auto"/>
              </w:rPr>
              <w:t>STOCKHOLDER PARTIES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980" w:type="dxa"/>
            <w:vAlign w:val="bottom"/>
          </w:tcPr>
          <w:p>
            <w:pPr>
              <w:spacing w:after="0"/>
              <w:rPr>
                <w:sz w:val="24"/>
                <w:szCs w:val="24"/>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Series B</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Options</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Lightstone Ventures, L.P.</w:t>
            </w: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11,653,137</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976,931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Lightstone Ventures (A), L.P.</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1,587,559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133,112</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Lightstone Singapore L.P.</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3,700,139</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OrbiMed Private Investments VI, L.P.</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13,240,696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7,400,280</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Fund X, L.P.</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13,240,696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5,180,196</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Wu Capital</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7,400,280</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Lauder</w:t>
            </w:r>
          </w:p>
        </w:tc>
        <w:tc>
          <w:tcPr>
            <w:tcW w:w="4880" w:type="dxa"/>
            <w:vAlign w:val="bottom"/>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rPr>
              <w:t>480,000</w:t>
            </w:r>
          </w:p>
        </w:tc>
        <w:tc>
          <w:tcPr>
            <w:tcW w:w="2480" w:type="dxa"/>
            <w:vAlign w:val="bottom"/>
            <w:shd w:val="clear" w:color="auto" w:fill="CCEEFF"/>
          </w:tcPr>
          <w:p>
            <w:pPr>
              <w:spacing w:after="0"/>
              <w:rPr>
                <w:sz w:val="17"/>
                <w:szCs w:val="17"/>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James McLaughlin</w:t>
            </w:r>
          </w:p>
        </w:tc>
        <w:tc>
          <w:tcPr>
            <w:tcW w:w="488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4,500,000</w:t>
            </w:r>
          </w:p>
        </w:tc>
        <w:tc>
          <w:tcPr>
            <w:tcW w:w="248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 Reilly</w:t>
            </w:r>
          </w:p>
        </w:tc>
        <w:tc>
          <w:tcPr>
            <w:tcW w:w="4880" w:type="dxa"/>
            <w:vAlign w:val="bottom"/>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rPr>
              <w:t>185,175</w:t>
            </w:r>
          </w:p>
        </w:tc>
        <w:tc>
          <w:tcPr>
            <w:tcW w:w="248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Steve Squinto</w:t>
            </w:r>
          </w:p>
        </w:tc>
        <w:tc>
          <w:tcPr>
            <w:tcW w:w="488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396,803</w:t>
            </w:r>
          </w:p>
        </w:tc>
        <w:tc>
          <w:tcPr>
            <w:tcW w:w="248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Meyenburg</w:t>
            </w:r>
          </w:p>
        </w:tc>
        <w:tc>
          <w:tcPr>
            <w:tcW w:w="4880" w:type="dxa"/>
            <w:vAlign w:val="bottom"/>
            <w:shd w:val="clear" w:color="auto" w:fill="CCEEFF"/>
          </w:tcPr>
          <w:p>
            <w:pPr>
              <w:spacing w:after="0"/>
              <w:rPr>
                <w:sz w:val="18"/>
                <w:szCs w:val="18"/>
                <w:color w:val="auto"/>
              </w:rPr>
            </w:pPr>
          </w:p>
        </w:tc>
        <w:tc>
          <w:tcPr>
            <w:tcW w:w="2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3,285,939</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Gregg Beloff</w:t>
            </w:r>
          </w:p>
        </w:tc>
        <w:tc>
          <w:tcPr>
            <w:tcW w:w="488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Uknis</w:t>
            </w:r>
          </w:p>
        </w:tc>
        <w:tc>
          <w:tcPr>
            <w:tcW w:w="48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Suresh Katti</w:t>
            </w:r>
          </w:p>
        </w:tc>
        <w:tc>
          <w:tcPr>
            <w:tcW w:w="4880" w:type="dxa"/>
            <w:vAlign w:val="bottom"/>
          </w:tcPr>
          <w:p>
            <w:pPr>
              <w:spacing w:after="0"/>
              <w:rPr>
                <w:sz w:val="18"/>
                <w:szCs w:val="18"/>
                <w:color w:val="auto"/>
              </w:rPr>
            </w:pPr>
          </w:p>
        </w:tc>
        <w:tc>
          <w:tcPr>
            <w:tcW w:w="2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319,535</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Walter Strapps</w:t>
            </w:r>
          </w:p>
        </w:tc>
        <w:tc>
          <w:tcPr>
            <w:tcW w:w="4880" w:type="dxa"/>
            <w:vAlign w:val="bottom"/>
            <w:shd w:val="clear" w:color="auto" w:fill="CCEEFF"/>
          </w:tcPr>
          <w:p>
            <w:pPr>
              <w:spacing w:after="0"/>
              <w:rPr>
                <w:sz w:val="18"/>
                <w:szCs w:val="18"/>
                <w:color w:val="auto"/>
              </w:rPr>
            </w:pPr>
          </w:p>
        </w:tc>
        <w:tc>
          <w:tcPr>
            <w:tcW w:w="2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319,535</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David Lubner</w:t>
            </w:r>
          </w:p>
        </w:tc>
        <w:tc>
          <w:tcPr>
            <w:tcW w:w="488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Tuyen Ong</w:t>
            </w:r>
          </w:p>
        </w:tc>
        <w:tc>
          <w:tcPr>
            <w:tcW w:w="48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Phil Reilly</w:t>
            </w:r>
          </w:p>
        </w:tc>
        <w:tc>
          <w:tcPr>
            <w:tcW w:w="488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185,175</w:t>
            </w:r>
          </w:p>
        </w:tc>
        <w:tc>
          <w:tcPr>
            <w:tcW w:w="2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15,000</w:t>
            </w:r>
          </w:p>
        </w:tc>
      </w:tr>
      <w:tr>
        <w:trPr>
          <w:trHeight w:val="421"/>
        </w:trPr>
        <w:tc>
          <w:tcPr>
            <w:tcW w:w="388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34" w:name="page135"/>
    <w:bookmarkEnd w:id="1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JOINDER TO LOCKUP AGREEMENT</w:t>
      </w:r>
    </w:p>
    <w:p>
      <w:pPr>
        <w:spacing w:after="0" w:line="225" w:lineRule="exact"/>
        <w:rPr>
          <w:sz w:val="20"/>
          <w:szCs w:val="20"/>
          <w:color w:val="auto"/>
        </w:rPr>
      </w:pPr>
    </w:p>
    <w:p>
      <w:pPr>
        <w:ind w:left="5600" w:hanging="373"/>
        <w:spacing w:after="0"/>
        <w:tabs>
          <w:tab w:leader="none" w:pos="560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202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Reference is made to the Lockup Agreement, dated as of February 5, 2021, by and between FSD Development Corp. and the Stockholder Parties (as defined therein) from time to time party thereto (as amended from time to time, the “</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Capitalized terms used but not otherwise defined herein shall have the meanings ascribed to such terms in the Lockup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of FSD and each undersigned holder of shares of FSD (each, a “</w:t>
      </w:r>
      <w:r>
        <w:rPr>
          <w:rFonts w:ascii="Times New Roman" w:cs="Times New Roman" w:eastAsia="Times New Roman" w:hAnsi="Times New Roman"/>
          <w:sz w:val="18"/>
          <w:szCs w:val="18"/>
          <w:u w:val="single" w:color="auto"/>
          <w:color w:val="auto"/>
        </w:rPr>
        <w:t>New Stockholder Party</w:t>
      </w:r>
      <w:r>
        <w:rPr>
          <w:rFonts w:ascii="Times New Roman" w:cs="Times New Roman" w:eastAsia="Times New Roman" w:hAnsi="Times New Roman"/>
          <w:sz w:val="18"/>
          <w:szCs w:val="18"/>
          <w:color w:val="auto"/>
        </w:rPr>
        <w:t>”) agrees that this Joinder to the Lockup Agreement (this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is being executed and delivered for good and valuable consideration.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undersigned New Stockholder Party hereby agrees to and does become party to the Lockup Agreement as a Stockholder Party. This Joinder shall serve as a counterpart signature page to the Lockup Agreement and by executing below each undersigned New Stockholder Party is deemed to have executed the Lockup Agreement with the same force and effect as if originally named a party thereto.</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Joinder may be executed in multiple counterparts, including by means of facsimile or electronic signature, each of which shall be deemed an original, but all of which together shall constitute the same instrument.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color w:val="auto"/>
        </w:rPr>
        <w:t>IN WITNESS WHEREOF, the undersigned have duly executed this joinder as of the date first set forth above.</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b w:val="1"/>
          <w:bCs w:val="1"/>
          <w:color w:val="auto"/>
        </w:rPr>
        <w:t>[NEW STOCKHOLDER PARTY]</w:t>
      </w:r>
    </w:p>
    <w:p>
      <w:pPr>
        <w:spacing w:after="0" w:line="24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417195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337" w:right="1440"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2021 STOCK OPTION AND INCENTIVE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 PURPOSE OF THE PLAN; DEFINITIONS</w:t>
      </w:r>
    </w:p>
    <w:p>
      <w:pPr>
        <w:spacing w:after="0" w:line="22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name of the plan is the Gemini Therapeutics, Inc. 2021 Stock Option and Incentive Plan (the “Plan”). The purpose of the Plan is to encourage and enable the officers, employees, Non-Employee Directors and Consultants of Gemini Therapeutics,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terms shall be defined as set forth below:</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means the Securities Act of 1933, as amended, and the rules and regulations thereunder.</w:t>
      </w:r>
    </w:p>
    <w:p>
      <w:pPr>
        <w:spacing w:after="0" w:line="225"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“Administrator” </w:t>
      </w:r>
      <w:r>
        <w:rPr>
          <w:rFonts w:ascii="Times New Roman" w:cs="Times New Roman" w:eastAsia="Times New Roman" w:hAnsi="Times New Roman"/>
          <w:sz w:val="18"/>
          <w:szCs w:val="18"/>
          <w:color w:val="auto"/>
        </w:rPr>
        <w:t>means either the Board or the compensation committee of the Board or a similar committee performing the functions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and which is comprised of not less than two Non Employee Directors who are independent.</w:t>
      </w:r>
    </w:p>
    <w:p>
      <w:pPr>
        <w:spacing w:after="0" w:line="158"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374"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“Awards,” </w:t>
      </w:r>
      <w:r>
        <w:rPr>
          <w:rFonts w:ascii="Times New Roman" w:cs="Times New Roman" w:eastAsia="Times New Roman" w:hAnsi="Times New Roman"/>
          <w:sz w:val="18"/>
          <w:szCs w:val="18"/>
          <w:color w:val="auto"/>
        </w:rPr>
        <w:t>except where referring to a particular category of grant under the Plan, shall include Incentive Stock Options, Non-Qualified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Options, Stock Appreciation Rights, Restricted Stock Units, Restricted Stock Awards, Unrestricted Stock Awards, Cash-Based Awards, and Dividend Equivalent Rights.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“Award Certificate” </w:t>
      </w:r>
      <w:r>
        <w:rPr>
          <w:rFonts w:ascii="Times New Roman" w:cs="Times New Roman" w:eastAsia="Times New Roman" w:hAnsi="Times New Roman"/>
          <w:sz w:val="18"/>
          <w:szCs w:val="18"/>
          <w:color w:val="auto"/>
        </w:rPr>
        <w:t>means a written or electronic document setting forth the terms and provisions applicable to an Award granted under the Plan.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Award Certificate is subject to the terms and conditions of the Plan.</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“Board” </w:t>
      </w:r>
      <w:r>
        <w:rPr>
          <w:rFonts w:ascii="Times New Roman" w:cs="Times New Roman" w:eastAsia="Times New Roman" w:hAnsi="Times New Roman"/>
          <w:sz w:val="18"/>
          <w:szCs w:val="18"/>
          <w:color w:val="auto"/>
        </w:rPr>
        <w:t>means the Board of Directors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“Cash-Based Award” </w:t>
      </w:r>
      <w:r>
        <w:rPr>
          <w:rFonts w:ascii="Times New Roman" w:cs="Times New Roman" w:eastAsia="Times New Roman" w:hAnsi="Times New Roman"/>
          <w:sz w:val="18"/>
          <w:szCs w:val="18"/>
          <w:color w:val="auto"/>
        </w:rPr>
        <w:t>means an Award entitling the recipient to receive a cash-denominated payment.</w:t>
      </w:r>
    </w:p>
    <w:p>
      <w:pPr>
        <w:spacing w:after="0" w:line="225" w:lineRule="exact"/>
        <w:rPr>
          <w:sz w:val="20"/>
          <w:szCs w:val="20"/>
          <w:color w:val="auto"/>
        </w:rPr>
      </w:pPr>
    </w:p>
    <w:p>
      <w:pPr>
        <w:jc w:val="both"/>
        <w:ind w:right="20" w:firstLine="432"/>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means the date of the closing of the transactions contemplated by that certain Merger Agreement, dated as of October 15, 2020, by and among the Company and the other parties thereto.</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“Code” </w:t>
      </w:r>
      <w:r>
        <w:rPr>
          <w:rFonts w:ascii="Times New Roman" w:cs="Times New Roman" w:eastAsia="Times New Roman" w:hAnsi="Times New Roman"/>
          <w:sz w:val="18"/>
          <w:szCs w:val="18"/>
          <w:color w:val="auto"/>
        </w:rPr>
        <w:t>means the Internal Revenue Code of 1986, as amended, and any successor Code, and related rules, regulations and interpretations.</w:t>
      </w:r>
    </w:p>
    <w:p>
      <w:pPr>
        <w:spacing w:after="0" w:line="225"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“Consultant” </w:t>
      </w:r>
      <w:r>
        <w:rPr>
          <w:rFonts w:ascii="Times New Roman" w:cs="Times New Roman" w:eastAsia="Times New Roman" w:hAnsi="Times New Roman"/>
          <w:sz w:val="18"/>
          <w:szCs w:val="18"/>
          <w:color w:val="auto"/>
        </w:rPr>
        <w:t>means a consultant or adviser who provides</w:t>
      </w:r>
      <w:r>
        <w:rPr>
          <w:rFonts w:ascii="Times New Roman" w:cs="Times New Roman" w:eastAsia="Times New Roman" w:hAnsi="Times New Roman"/>
          <w:sz w:val="18"/>
          <w:szCs w:val="18"/>
          <w:i w:val="1"/>
          <w:iCs w:val="1"/>
          <w:color w:val="auto"/>
        </w:rPr>
        <w:t xml:space="preserve"> bona fide </w:t>
      </w:r>
      <w:r>
        <w:rPr>
          <w:rFonts w:ascii="Times New Roman" w:cs="Times New Roman" w:eastAsia="Times New Roman" w:hAnsi="Times New Roman"/>
          <w:sz w:val="18"/>
          <w:szCs w:val="18"/>
          <w:color w:val="auto"/>
        </w:rPr>
        <w:t>services to the Company or an Affiliate as an independent contractor and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qualifies as a consultant or advisor under Instruction A.1.(a)(1) of Form S-8 under the Act.</w:t>
      </w:r>
    </w:p>
    <w:p>
      <w:pPr>
        <w:spacing w:after="0" w:line="158"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 Equivalent Right” </w:t>
      </w:r>
      <w:r>
        <w:rPr>
          <w:rFonts w:ascii="Times New Roman" w:cs="Times New Roman" w:eastAsia="Times New Roman" w:hAnsi="Times New Roman"/>
          <w:sz w:val="18"/>
          <w:szCs w:val="18"/>
          <w:color w:val="auto"/>
        </w:rPr>
        <w:t>means an Award entitling the grantee to receive credits based on cash dividends that would have been paid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Stock specified in the Dividend Equivalent Right (or other award to which it relates) if such shares had been issued to and held by the grantee.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“Effective Date” </w:t>
      </w:r>
      <w:r>
        <w:rPr>
          <w:rFonts w:ascii="Times New Roman" w:cs="Times New Roman" w:eastAsia="Times New Roman" w:hAnsi="Times New Roman"/>
          <w:sz w:val="18"/>
          <w:szCs w:val="18"/>
          <w:color w:val="auto"/>
        </w:rPr>
        <w:t>means the date on which the Plan becomes effective as set forth in Section 19.</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“Exchange Act” </w:t>
      </w:r>
      <w:r>
        <w:rPr>
          <w:rFonts w:ascii="Times New Roman" w:cs="Times New Roman" w:eastAsia="Times New Roman" w:hAnsi="Times New Roman"/>
          <w:sz w:val="18"/>
          <w:szCs w:val="18"/>
          <w:color w:val="auto"/>
        </w:rPr>
        <w:t>means the Securities Exchange Act of 1934, as amended, and the rules and regulations thereunder.</w:t>
      </w:r>
    </w:p>
    <w:p>
      <w:pPr>
        <w:spacing w:after="0" w:line="22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“Fair Market Value” </w:t>
      </w:r>
      <w:r>
        <w:rPr>
          <w:rFonts w:ascii="Times New Roman" w:cs="Times New Roman" w:eastAsia="Times New Roman" w:hAnsi="Times New Roman"/>
          <w:sz w:val="18"/>
          <w:szCs w:val="18"/>
          <w:color w:val="auto"/>
        </w:rPr>
        <w:t>of the Stock on any given date means the fair market value of the Stock determined in good faith by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7" w:name="page138"/>
    <w:bookmarkEnd w:id="137"/>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“Incentive Stock Option” </w:t>
      </w:r>
      <w:r>
        <w:rPr>
          <w:rFonts w:ascii="Times New Roman" w:cs="Times New Roman" w:eastAsia="Times New Roman" w:hAnsi="Times New Roman"/>
          <w:sz w:val="18"/>
          <w:szCs w:val="18"/>
          <w:color w:val="auto"/>
        </w:rPr>
        <w:t>means any Stock Option designated and qualified as an “incentive stock option” as defined in Section 422 of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“Non-Employee Director” </w:t>
      </w:r>
      <w:r>
        <w:rPr>
          <w:rFonts w:ascii="Times New Roman" w:cs="Times New Roman" w:eastAsia="Times New Roman" w:hAnsi="Times New Roman"/>
          <w:sz w:val="18"/>
          <w:szCs w:val="18"/>
          <w:color w:val="auto"/>
        </w:rPr>
        <w:t>means a member of the Board who is not also an employee of the Company or any Subsidiary.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“Non-Qualified Stock Option” </w:t>
      </w:r>
      <w:r>
        <w:rPr>
          <w:rFonts w:ascii="Times New Roman" w:cs="Times New Roman" w:eastAsia="Times New Roman" w:hAnsi="Times New Roman"/>
          <w:sz w:val="18"/>
          <w:szCs w:val="18"/>
          <w:color w:val="auto"/>
        </w:rPr>
        <w:t>means any Stock Option that is not an Incentive Stock Option.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“Option”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“Stock Option” </w:t>
      </w:r>
      <w:r>
        <w:rPr>
          <w:rFonts w:ascii="Times New Roman" w:cs="Times New Roman" w:eastAsia="Times New Roman" w:hAnsi="Times New Roman"/>
          <w:sz w:val="18"/>
          <w:szCs w:val="18"/>
          <w:color w:val="auto"/>
        </w:rPr>
        <w:t>means any option to purchase shares of Stock granted pursuant to Section 5.</w:t>
      </w:r>
    </w:p>
    <w:p>
      <w:pPr>
        <w:spacing w:after="0" w:line="225" w:lineRule="exact"/>
        <w:rPr>
          <w:sz w:val="20"/>
          <w:szCs w:val="20"/>
          <w:color w:val="auto"/>
        </w:rPr>
      </w:pPr>
    </w:p>
    <w:p>
      <w:pPr>
        <w:jc w:val="both"/>
        <w:ind w:right="2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Shares” </w:t>
      </w:r>
      <w:r>
        <w:rPr>
          <w:rFonts w:ascii="Times New Roman" w:cs="Times New Roman" w:eastAsia="Times New Roman" w:hAnsi="Times New Roman"/>
          <w:sz w:val="18"/>
          <w:szCs w:val="18"/>
          <w:color w:val="auto"/>
        </w:rPr>
        <w:t>means the shares of Stock underlying a Restricted Stock Award that remain subject to a risk of forfeiture or the Company’s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repurchase.</w:t>
      </w:r>
    </w:p>
    <w:p>
      <w:pPr>
        <w:spacing w:after="0" w:line="158" w:lineRule="exact"/>
        <w:rPr>
          <w:sz w:val="20"/>
          <w:szCs w:val="20"/>
          <w:color w:val="auto"/>
        </w:rPr>
      </w:pPr>
    </w:p>
    <w:p>
      <w:pPr>
        <w:jc w:val="both"/>
        <w:ind w:right="2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 </w:t>
      </w:r>
      <w:r>
        <w:rPr>
          <w:rFonts w:ascii="Times New Roman" w:cs="Times New Roman" w:eastAsia="Times New Roman" w:hAnsi="Times New Roman"/>
          <w:sz w:val="18"/>
          <w:szCs w:val="18"/>
          <w:color w:val="auto"/>
        </w:rPr>
        <w:t>means an Award of Restricted Shares subject to such restrictions and conditions as the Administrator may determine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of grant.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means an Award of stock units subject to such restrictions and conditions as the Administrator may determine at the time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w:t>
      </w:r>
    </w:p>
    <w:p>
      <w:pPr>
        <w:spacing w:after="0" w:line="20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“Sale Event” </w:t>
      </w:r>
      <w:r>
        <w:rPr>
          <w:rFonts w:ascii="Times New Roman" w:cs="Times New Roman" w:eastAsia="Times New Roman" w:hAnsi="Times New Roman"/>
          <w:sz w:val="18"/>
          <w:szCs w:val="18"/>
          <w:color w:val="auto"/>
        </w:rPr>
        <w:t>means (i) the sale of all or substantially all of the assets of the Company on a consolidated basis to an unrelated person or entity, (ii)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83"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Price</w:t>
      </w:r>
      <w:r>
        <w:rPr>
          <w:rFonts w:ascii="Times New Roman" w:cs="Times New Roman" w:eastAsia="Times New Roman" w:hAnsi="Times New Roman"/>
          <w:sz w:val="18"/>
          <w:szCs w:val="18"/>
          <w:color w:val="auto"/>
        </w:rPr>
        <w:t>” means the value as determined by the Administrator of the consideration payable, or otherwise to be received by stockholders, per share of Stock pursuant to a Sale Event.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“Section 409A” </w:t>
      </w:r>
      <w:r>
        <w:rPr>
          <w:rFonts w:ascii="Times New Roman" w:cs="Times New Roman" w:eastAsia="Times New Roman" w:hAnsi="Times New Roman"/>
          <w:sz w:val="18"/>
          <w:szCs w:val="18"/>
          <w:color w:val="auto"/>
        </w:rPr>
        <w:t>means Section 409A of the Code and the regulations and other guidance promulgated thereunder.</w:t>
      </w:r>
    </w:p>
    <w:p>
      <w:pPr>
        <w:spacing w:after="0" w:line="225" w:lineRule="exact"/>
        <w:rPr>
          <w:sz w:val="20"/>
          <w:szCs w:val="20"/>
          <w:color w:val="auto"/>
        </w:rPr>
      </w:pPr>
    </w:p>
    <w:p>
      <w:pPr>
        <w:jc w:val="both"/>
        <w:ind w:right="2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“Service Relationship” </w:t>
      </w:r>
      <w:r>
        <w:rPr>
          <w:rFonts w:ascii="Times New Roman" w:cs="Times New Roman" w:eastAsia="Times New Roman" w:hAnsi="Times New Roman"/>
          <w:sz w:val="18"/>
          <w:szCs w:val="18"/>
          <w:color w:val="auto"/>
        </w:rPr>
        <w:t>means any relationship as an employee, director or Consultant of the Company or any Affiliate (e.g., a Service Relationship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deemed to continue without interruption in the event an individual’s status changes from full-time employee to part-time employee or Consultant).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“Stock” </w:t>
      </w:r>
      <w:r>
        <w:rPr>
          <w:rFonts w:ascii="Times New Roman" w:cs="Times New Roman" w:eastAsia="Times New Roman" w:hAnsi="Times New Roman"/>
          <w:sz w:val="18"/>
          <w:szCs w:val="18"/>
          <w:color w:val="auto"/>
        </w:rPr>
        <w:t>means the Common Stock, par value $0.0001 per share, of the Company, subject to adjustments pursuant to Section 3.</w:t>
      </w:r>
    </w:p>
    <w:p>
      <w:pPr>
        <w:spacing w:after="0" w:line="225"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 </w:t>
      </w:r>
      <w:r>
        <w:rPr>
          <w:rFonts w:ascii="Times New Roman" w:cs="Times New Roman" w:eastAsia="Times New Roman" w:hAnsi="Times New Roman"/>
          <w:sz w:val="18"/>
          <w:szCs w:val="18"/>
          <w:color w:val="auto"/>
        </w:rPr>
        <w:t>means an Award entitling the recipient to receive shares of Stock (or cash, to the extent explicitly provided for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73"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any corporation or other entity (other than the Company) in which the Company has at least a 50 percent interest, either 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indirectly.</w:t>
      </w:r>
    </w:p>
    <w:p>
      <w:pPr>
        <w:spacing w:after="0" w:line="158"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“Ten Percent Owner” </w:t>
      </w:r>
      <w:r>
        <w:rPr>
          <w:rFonts w:ascii="Times New Roman" w:cs="Times New Roman" w:eastAsia="Times New Roman" w:hAnsi="Times New Roman"/>
          <w:sz w:val="18"/>
          <w:szCs w:val="18"/>
          <w:color w:val="auto"/>
        </w:rPr>
        <w:t>means an employee who owns or is deemed to own (by reason of the attribution rules of Section 424(d) of the Code) more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 percent of the combined voting power of all classes of stock of the Company or any parent or subsidiary corporation.</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“Unrestricted Stock Award” </w:t>
      </w:r>
      <w:r>
        <w:rPr>
          <w:rFonts w:ascii="Times New Roman" w:cs="Times New Roman" w:eastAsia="Times New Roman" w:hAnsi="Times New Roman"/>
          <w:sz w:val="18"/>
          <w:szCs w:val="18"/>
          <w:color w:val="auto"/>
        </w:rPr>
        <w:t>means an Award of shares of Stock free of any restrictions.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ADMINISTRATION OF PLAN; ADMINISTRATOR AUTHORITY TO SELECT GRANTEES AND DETERMINE AWARDS</w:t>
      </w:r>
    </w:p>
    <w:p>
      <w:pPr>
        <w:spacing w:after="0" w:line="225" w:lineRule="exact"/>
        <w:rPr>
          <w:sz w:val="20"/>
          <w:szCs w:val="20"/>
          <w:color w:val="auto"/>
        </w:rPr>
      </w:pPr>
    </w:p>
    <w:p>
      <w:pPr>
        <w:ind w:left="680" w:hanging="240"/>
        <w:spacing w:after="0"/>
        <w:tabs>
          <w:tab w:leader="none" w:pos="6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Plan</w:t>
      </w:r>
      <w:r>
        <w:rPr>
          <w:rFonts w:ascii="Times New Roman" w:cs="Times New Roman" w:eastAsia="Times New Roman" w:hAnsi="Times New Roman"/>
          <w:sz w:val="18"/>
          <w:szCs w:val="18"/>
          <w:color w:val="auto"/>
        </w:rPr>
        <w:t>. The Plan shall be administered by the Administrator.</w:t>
      </w:r>
    </w:p>
    <w:p>
      <w:pPr>
        <w:spacing w:after="0" w:line="225" w:lineRule="exact"/>
        <w:rPr>
          <w:rFonts w:ascii="Times New Roman" w:cs="Times New Roman" w:eastAsia="Times New Roman" w:hAnsi="Times New Roman"/>
          <w:sz w:val="18"/>
          <w:szCs w:val="18"/>
          <w:color w:val="auto"/>
        </w:rPr>
      </w:pPr>
    </w:p>
    <w:p>
      <w:pPr>
        <w:ind w:firstLine="440"/>
        <w:spacing w:after="0" w:line="282" w:lineRule="auto"/>
        <w:tabs>
          <w:tab w:leader="none" w:pos="68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Administrator</w:t>
      </w:r>
      <w:r>
        <w:rPr>
          <w:rFonts w:ascii="Times New Roman" w:cs="Times New Roman" w:eastAsia="Times New Roman" w:hAnsi="Times New Roman"/>
          <w:sz w:val="18"/>
          <w:szCs w:val="18"/>
          <w:color w:val="auto"/>
        </w:rPr>
        <w:t>. The Administrator shall have the power and authority to grant Awards consistent with the terms of the Plan, including the power and authority:</w:t>
      </w:r>
    </w:p>
    <w:p>
      <w:pPr>
        <w:spacing w:after="0" w:line="161" w:lineRule="exact"/>
        <w:rPr>
          <w:rFonts w:ascii="Times New Roman" w:cs="Times New Roman" w:eastAsia="Times New Roman" w:hAnsi="Times New Roman"/>
          <w:sz w:val="18"/>
          <w:szCs w:val="18"/>
          <w:color w:val="auto"/>
        </w:rPr>
      </w:pPr>
    </w:p>
    <w:p>
      <w:pPr>
        <w:ind w:left="1080" w:hanging="208"/>
        <w:spacing w:after="0"/>
        <w:tabs>
          <w:tab w:leader="none" w:pos="108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individuals to whom Awards may from time to time be granted;</w:t>
      </w:r>
    </w:p>
    <w:p>
      <w:pPr>
        <w:spacing w:after="0" w:line="225" w:lineRule="exact"/>
        <w:rPr>
          <w:rFonts w:ascii="Times New Roman" w:cs="Times New Roman" w:eastAsia="Times New Roman" w:hAnsi="Times New Roman"/>
          <w:sz w:val="18"/>
          <w:szCs w:val="18"/>
          <w:color w:val="auto"/>
        </w:rPr>
      </w:pPr>
    </w:p>
    <w:p>
      <w:pPr>
        <w:jc w:val="both"/>
        <w:ind w:firstLine="872"/>
        <w:spacing w:after="0" w:line="266" w:lineRule="auto"/>
        <w:tabs>
          <w:tab w:leader="none" w:pos="1129"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175" w:lineRule="exact"/>
        <w:rPr>
          <w:rFonts w:ascii="Times New Roman" w:cs="Times New Roman" w:eastAsia="Times New Roman" w:hAnsi="Times New Roman"/>
          <w:sz w:val="18"/>
          <w:szCs w:val="18"/>
          <w:color w:val="auto"/>
        </w:rPr>
      </w:pPr>
    </w:p>
    <w:p>
      <w:pPr>
        <w:ind w:left="1180" w:hanging="308"/>
        <w:spacing w:after="0"/>
        <w:tabs>
          <w:tab w:leader="none" w:pos="118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of Stock to be covered by any Award;</w:t>
      </w:r>
    </w:p>
    <w:p>
      <w:pPr>
        <w:spacing w:after="0" w:line="225" w:lineRule="exact"/>
        <w:rPr>
          <w:rFonts w:ascii="Times New Roman" w:cs="Times New Roman" w:eastAsia="Times New Roman" w:hAnsi="Times New Roman"/>
          <w:sz w:val="18"/>
          <w:szCs w:val="18"/>
          <w:color w:val="auto"/>
        </w:rPr>
      </w:pPr>
    </w:p>
    <w:p>
      <w:pPr>
        <w:ind w:firstLine="872"/>
        <w:spacing w:after="0" w:line="282" w:lineRule="auto"/>
        <w:tabs>
          <w:tab w:leader="none" w:pos="1177"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61" w:lineRule="exact"/>
        <w:rPr>
          <w:rFonts w:ascii="Times New Roman" w:cs="Times New Roman" w:eastAsia="Times New Roman" w:hAnsi="Times New Roman"/>
          <w:sz w:val="18"/>
          <w:szCs w:val="18"/>
          <w:color w:val="auto"/>
        </w:rPr>
      </w:pPr>
    </w:p>
    <w:p>
      <w:pPr>
        <w:ind w:left="1120" w:hanging="248"/>
        <w:spacing w:after="0"/>
        <w:tabs>
          <w:tab w:leader="none" w:pos="112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at any time the exercisability or vesting of all or any portion of any Award;</w:t>
      </w:r>
    </w:p>
    <w:p>
      <w:pPr>
        <w:spacing w:after="0" w:line="225" w:lineRule="exact"/>
        <w:rPr>
          <w:rFonts w:ascii="Times New Roman" w:cs="Times New Roman" w:eastAsia="Times New Roman" w:hAnsi="Times New Roman"/>
          <w:sz w:val="18"/>
          <w:szCs w:val="18"/>
          <w:color w:val="auto"/>
        </w:rPr>
      </w:pPr>
    </w:p>
    <w:p>
      <w:pPr>
        <w:ind w:left="1180" w:hanging="308"/>
        <w:spacing w:after="0"/>
        <w:tabs>
          <w:tab w:leader="none" w:pos="118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5(c), to extend at any time the period in which Stock Options may be exercised; and</w:t>
      </w:r>
    </w:p>
    <w:p>
      <w:pPr>
        <w:spacing w:after="0" w:line="225" w:lineRule="exact"/>
        <w:rPr>
          <w:rFonts w:ascii="Times New Roman" w:cs="Times New Roman" w:eastAsia="Times New Roman" w:hAnsi="Times New Roman"/>
          <w:sz w:val="18"/>
          <w:szCs w:val="18"/>
          <w:color w:val="auto"/>
        </w:rPr>
      </w:pPr>
    </w:p>
    <w:p>
      <w:pPr>
        <w:jc w:val="both"/>
        <w:ind w:firstLine="872"/>
        <w:spacing w:after="0" w:line="261" w:lineRule="auto"/>
        <w:tabs>
          <w:tab w:leader="none" w:pos="1255"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decisions and interpretations of the Administrator shall be binding on all persons, including the Company and Plan grantees.</w:t>
      </w:r>
    </w:p>
    <w:p>
      <w:pPr>
        <w:spacing w:after="0" w:line="225" w:lineRule="exact"/>
        <w:rPr>
          <w:sz w:val="20"/>
          <w:szCs w:val="20"/>
          <w:color w:val="auto"/>
        </w:rPr>
      </w:pPr>
    </w:p>
    <w:p>
      <w:pPr>
        <w:jc w:val="both"/>
        <w:ind w:firstLine="440"/>
        <w:spacing w:after="0" w:line="255" w:lineRule="auto"/>
        <w:tabs>
          <w:tab w:leader="none" w:pos="67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Authority to Grant Awards</w:t>
      </w:r>
      <w:r>
        <w:rPr>
          <w:rFonts w:ascii="Times New Roman" w:cs="Times New Roman" w:eastAsia="Times New Roman" w:hAnsi="Times New Roman"/>
          <w:sz w:val="18"/>
          <w:szCs w:val="18"/>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88" w:lineRule="exact"/>
        <w:rPr>
          <w:rFonts w:ascii="Times New Roman" w:cs="Times New Roman" w:eastAsia="Times New Roman" w:hAnsi="Times New Roman"/>
          <w:sz w:val="18"/>
          <w:szCs w:val="18"/>
          <w:color w:val="auto"/>
        </w:rPr>
      </w:pPr>
    </w:p>
    <w:p>
      <w:pPr>
        <w:ind w:right="20" w:firstLine="440"/>
        <w:spacing w:after="0" w:line="282" w:lineRule="auto"/>
        <w:tabs>
          <w:tab w:leader="none" w:pos="7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Certificate</w:t>
      </w:r>
      <w:r>
        <w:rPr>
          <w:rFonts w:ascii="Times New Roman" w:cs="Times New Roman" w:eastAsia="Times New Roman" w:hAnsi="Times New Roman"/>
          <w:sz w:val="18"/>
          <w:szCs w:val="18"/>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61" w:lineRule="exact"/>
        <w:rPr>
          <w:rFonts w:ascii="Times New Roman" w:cs="Times New Roman" w:eastAsia="Times New Roman" w:hAnsi="Times New Roman"/>
          <w:sz w:val="18"/>
          <w:szCs w:val="18"/>
          <w:color w:val="auto"/>
        </w:rPr>
      </w:pPr>
    </w:p>
    <w:p>
      <w:pPr>
        <w:jc w:val="both"/>
        <w:ind w:firstLine="440"/>
        <w:spacing w:after="0" w:line="256" w:lineRule="auto"/>
        <w:tabs>
          <w:tab w:leader="none" w:pos="67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87" w:lineRule="exact"/>
        <w:rPr>
          <w:rFonts w:ascii="Times New Roman" w:cs="Times New Roman" w:eastAsia="Times New Roman" w:hAnsi="Times New Roman"/>
          <w:sz w:val="18"/>
          <w:szCs w:val="18"/>
          <w:color w:val="auto"/>
        </w:rPr>
      </w:pPr>
    </w:p>
    <w:p>
      <w:pPr>
        <w:jc w:val="both"/>
        <w:ind w:firstLine="440"/>
        <w:spacing w:after="0" w:line="253" w:lineRule="auto"/>
        <w:tabs>
          <w:tab w:leader="none" w:pos="65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Award Recipients</w:t>
      </w:r>
      <w:r>
        <w:rPr>
          <w:rFonts w:ascii="Times New Roman" w:cs="Times New Roman" w:eastAsia="Times New Roman" w:hAnsi="Times New Roman"/>
          <w:sz w:val="18"/>
          <w:szCs w:val="18"/>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STOCK ISSUABLE UNDER THE PLAN; MERGERS; SUBSTITUTION</w:t>
      </w:r>
    </w:p>
    <w:p>
      <w:pPr>
        <w:spacing w:after="0" w:line="225" w:lineRule="exact"/>
        <w:rPr>
          <w:sz w:val="20"/>
          <w:szCs w:val="20"/>
          <w:color w:val="auto"/>
        </w:rPr>
      </w:pPr>
    </w:p>
    <w:p>
      <w:pPr>
        <w:jc w:val="both"/>
        <w:ind w:firstLine="440"/>
        <w:spacing w:after="0" w:line="253" w:lineRule="auto"/>
        <w:tabs>
          <w:tab w:leader="none" w:pos="69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Issuable</w:t>
      </w:r>
      <w:r>
        <w:rPr>
          <w:rFonts w:ascii="Times New Roman" w:cs="Times New Roman" w:eastAsia="Times New Roman" w:hAnsi="Times New Roman"/>
          <w:sz w:val="18"/>
          <w:szCs w:val="18"/>
          <w:color w:val="auto"/>
        </w:rPr>
        <w:t>. The maximum number of shares of Stock reserved and available for issuance under the Plan shall be _____ shares (the “Initial Limit”), subject to adjustment as provided in this Section 3, plus on January 1, 2022 and each January 1 thereafter, the number of shares of Stock reserved and available for issuance under the Plan shall be cumulatively increased by (i) four (4%) percent of the number of shares of Stock issued and outstanding on the immediately preceding December 31 or (ii) such lesser number of shares as determined by the Administrator (the “Annual Increase”). Subject to such overall limitation, the maximum aggregate number of shares of Stock that may be issued in the form of Incentive Stock Options shall not exceed the Initial Limit subject to adjustment as provided in Section 3(b). For purposes of this limitation, the shares of Stock underlying any awards under the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187" w:lineRule="exact"/>
        <w:rPr>
          <w:rFonts w:ascii="Times New Roman" w:cs="Times New Roman" w:eastAsia="Times New Roman" w:hAnsi="Times New Roman"/>
          <w:sz w:val="18"/>
          <w:szCs w:val="18"/>
          <w:color w:val="auto"/>
        </w:rPr>
      </w:pPr>
    </w:p>
    <w:p>
      <w:pPr>
        <w:jc w:val="both"/>
        <w:ind w:firstLine="440"/>
        <w:spacing w:after="0" w:line="252" w:lineRule="auto"/>
        <w:tabs>
          <w:tab w:leader="none" w:pos="68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Stock</w:t>
      </w:r>
      <w:r>
        <w:rPr>
          <w:rFonts w:ascii="Times New Roman" w:cs="Times New Roman" w:eastAsia="Times New Roman" w:hAnsi="Times New Roman"/>
          <w:sz w:val="18"/>
          <w:szCs w:val="18"/>
          <w:color w:val="auto"/>
        </w:rPr>
        <w:t>. Subject to Section 3(c)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jc w:val="both"/>
        <w:ind w:firstLine="440"/>
        <w:spacing w:after="0" w:line="252" w:lineRule="auto"/>
        <w:tabs>
          <w:tab w:leader="none" w:pos="67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Mergers and Other Transactions</w:t>
      </w:r>
      <w:r>
        <w:rPr>
          <w:rFonts w:ascii="Times New Roman" w:cs="Times New Roman" w:eastAsia="Times New Roman" w:hAnsi="Times New Roman"/>
          <w:sz w:val="18"/>
          <w:szCs w:val="18"/>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193" w:lineRule="exact"/>
        <w:rPr>
          <w:rFonts w:ascii="Times New Roman" w:cs="Times New Roman" w:eastAsia="Times New Roman" w:hAnsi="Times New Roman"/>
          <w:sz w:val="18"/>
          <w:szCs w:val="18"/>
          <w:color w:val="auto"/>
        </w:rPr>
      </w:pPr>
    </w:p>
    <w:p>
      <w:pPr>
        <w:jc w:val="both"/>
        <w:ind w:firstLine="440"/>
        <w:spacing w:after="0" w:line="258" w:lineRule="auto"/>
        <w:tabs>
          <w:tab w:leader="none" w:pos="68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Awards to Non-Employee Directors</w:t>
      </w:r>
      <w:r>
        <w:rPr>
          <w:rFonts w:ascii="Times New Roman" w:cs="Times New Roman" w:eastAsia="Times New Roman" w:hAnsi="Times New Roman"/>
          <w:sz w:val="18"/>
          <w:szCs w:val="18"/>
          <w:color w:val="auto"/>
        </w:rPr>
        <w:t>. Notwithstanding anything to the contrary in this Plan, the value of all Awards awarded under this Plan and all other cash compensation paid by the Company to any Non-Employee Director in any calendar year for service as a Non-Employee Director shall not exceed $750,000, provided, however that such amount shall be $1,000,000 for the calendar year in which the applicable Non-Employee Director is initially elected or appointed to the Board. For the purpose of this limitation, the value of any Award shall be its grant date fair value, as determined in accordance with FASB ASC 718 or successor provision but excluding the impact of estimated forfeitures related to service-based vesting provisions.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ELIGIBILITY</w:t>
      </w:r>
    </w:p>
    <w:p>
      <w:pPr>
        <w:spacing w:after="0" w:line="22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Grantees under the Plan will be such employees, Non-Employee Directors and Consultants of the Company and its Affiliates as are selected from time to time by the Administrator in its sole discretion; provided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in consultation with its legal counsel, has determined that such Awards are exempt from or otherwise comply with Section 409A.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ind w:firstLine="440"/>
        <w:spacing w:after="0" w:line="282" w:lineRule="auto"/>
        <w:tabs>
          <w:tab w:leader="none" w:pos="67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Options</w:t>
      </w:r>
      <w:r>
        <w:rPr>
          <w:rFonts w:ascii="Times New Roman" w:cs="Times New Roman" w:eastAsia="Times New Roman" w:hAnsi="Times New Roman"/>
          <w:sz w:val="18"/>
          <w:szCs w:val="18"/>
          <w:color w:val="auto"/>
        </w:rPr>
        <w:t>. The Administrator may grant Stock Options under the Plan. Any Stock Option granted under the Plan shall be in such form as the Administrator may from time to time approve.</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76" w:lineRule="exact"/>
        <w:rPr>
          <w:sz w:val="20"/>
          <w:szCs w:val="20"/>
          <w:color w:val="auto"/>
        </w:rPr>
      </w:pPr>
    </w:p>
    <w:p>
      <w:pPr>
        <w:jc w:val="both"/>
        <w:ind w:firstLine="440"/>
        <w:spacing w:after="0" w:line="256" w:lineRule="auto"/>
        <w:tabs>
          <w:tab w:leader="none" w:pos="687"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Option is otherwise compliant with Section 409A.</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jc w:val="both"/>
        <w:ind w:firstLine="440"/>
        <w:spacing w:after="0" w:line="266" w:lineRule="auto"/>
        <w:tabs>
          <w:tab w:leader="none" w:pos="67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75" w:lineRule="exact"/>
        <w:rPr>
          <w:rFonts w:ascii="Times New Roman" w:cs="Times New Roman" w:eastAsia="Times New Roman" w:hAnsi="Times New Roman"/>
          <w:sz w:val="18"/>
          <w:szCs w:val="18"/>
          <w:color w:val="auto"/>
        </w:rPr>
      </w:pPr>
    </w:p>
    <w:p>
      <w:pPr>
        <w:jc w:val="both"/>
        <w:ind w:firstLine="440"/>
        <w:spacing w:after="0" w:line="261" w:lineRule="auto"/>
        <w:tabs>
          <w:tab w:leader="none" w:pos="68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Rights of a Stockholder</w:t>
      </w:r>
      <w:r>
        <w:rPr>
          <w:rFonts w:ascii="Times New Roman" w:cs="Times New Roman" w:eastAsia="Times New Roman" w:hAnsi="Times New Roman"/>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79" w:lineRule="exact"/>
        <w:rPr>
          <w:rFonts w:ascii="Times New Roman" w:cs="Times New Roman" w:eastAsia="Times New Roman" w:hAnsi="Times New Roman"/>
          <w:sz w:val="18"/>
          <w:szCs w:val="18"/>
          <w:color w:val="auto"/>
        </w:rPr>
      </w:pPr>
    </w:p>
    <w:p>
      <w:pPr>
        <w:jc w:val="both"/>
        <w:ind w:firstLine="440"/>
        <w:spacing w:after="0" w:line="266" w:lineRule="auto"/>
        <w:tabs>
          <w:tab w:leader="none" w:pos="69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Certificate:</w:t>
      </w:r>
    </w:p>
    <w:p>
      <w:pPr>
        <w:spacing w:after="0" w:line="175" w:lineRule="exact"/>
        <w:rPr>
          <w:rFonts w:ascii="Times New Roman" w:cs="Times New Roman" w:eastAsia="Times New Roman" w:hAnsi="Times New Roman"/>
          <w:sz w:val="18"/>
          <w:szCs w:val="18"/>
          <w:color w:val="auto"/>
        </w:rPr>
      </w:pPr>
    </w:p>
    <w:p>
      <w:pPr>
        <w:ind w:left="1080" w:hanging="208"/>
        <w:spacing w:after="0"/>
        <w:tabs>
          <w:tab w:leader="none" w:pos="108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by certified or bank check or other instrument acceptable to the Administrator;</w:t>
      </w:r>
    </w:p>
    <w:p>
      <w:pPr>
        <w:spacing w:after="0" w:line="225" w:lineRule="exact"/>
        <w:rPr>
          <w:rFonts w:ascii="Times New Roman" w:cs="Times New Roman" w:eastAsia="Times New Roman" w:hAnsi="Times New Roman"/>
          <w:sz w:val="18"/>
          <w:szCs w:val="18"/>
          <w:color w:val="auto"/>
        </w:rPr>
      </w:pPr>
    </w:p>
    <w:p>
      <w:pPr>
        <w:ind w:right="20" w:firstLine="872"/>
        <w:spacing w:after="0" w:line="282" w:lineRule="auto"/>
        <w:tabs>
          <w:tab w:leader="none" w:pos="1133"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161" w:lineRule="exact"/>
        <w:rPr>
          <w:rFonts w:ascii="Times New Roman" w:cs="Times New Roman" w:eastAsia="Times New Roman" w:hAnsi="Times New Roman"/>
          <w:sz w:val="18"/>
          <w:szCs w:val="18"/>
          <w:color w:val="auto"/>
        </w:rPr>
      </w:pPr>
    </w:p>
    <w:p>
      <w:pPr>
        <w:jc w:val="both"/>
        <w:ind w:firstLine="872"/>
        <w:spacing w:after="0" w:line="261" w:lineRule="auto"/>
        <w:tabs>
          <w:tab w:leader="none" w:pos="1209"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79" w:lineRule="exact"/>
        <w:rPr>
          <w:rFonts w:ascii="Times New Roman" w:cs="Times New Roman" w:eastAsia="Times New Roman" w:hAnsi="Times New Roman"/>
          <w:sz w:val="18"/>
          <w:szCs w:val="18"/>
          <w:color w:val="auto"/>
        </w:rPr>
      </w:pPr>
    </w:p>
    <w:p>
      <w:pPr>
        <w:jc w:val="both"/>
        <w:ind w:firstLine="872"/>
        <w:spacing w:after="0" w:line="266" w:lineRule="auto"/>
        <w:tabs>
          <w:tab w:leader="none" w:pos="1177"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88" w:lineRule="exact"/>
        <w:rPr>
          <w:sz w:val="20"/>
          <w:szCs w:val="20"/>
          <w:color w:val="auto"/>
        </w:rPr>
      </w:pPr>
    </w:p>
    <w:p>
      <w:pPr>
        <w:jc w:val="both"/>
        <w:ind w:firstLine="440"/>
        <w:spacing w:after="0" w:line="261" w:lineRule="auto"/>
        <w:tabs>
          <w:tab w:leader="none" w:pos="68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Limit on Incentive Stock Options</w:t>
      </w:r>
      <w:r>
        <w:rPr>
          <w:rFonts w:ascii="Times New Roman" w:cs="Times New Roman" w:eastAsia="Times New Roman" w:hAnsi="Times New Roman"/>
          <w:sz w:val="18"/>
          <w:szCs w:val="18"/>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STOCK APPRECIATION RIGHTS</w:t>
      </w:r>
    </w:p>
    <w:p>
      <w:pPr>
        <w:spacing w:after="0" w:line="225" w:lineRule="exact"/>
        <w:rPr>
          <w:sz w:val="20"/>
          <w:szCs w:val="20"/>
          <w:color w:val="auto"/>
        </w:rPr>
      </w:pPr>
    </w:p>
    <w:p>
      <w:pPr>
        <w:jc w:val="both"/>
        <w:ind w:firstLine="440"/>
        <w:spacing w:after="0" w:line="261" w:lineRule="auto"/>
        <w:tabs>
          <w:tab w:leader="none" w:pos="67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Appreciation Rights</w:t>
      </w:r>
      <w:r>
        <w:rPr>
          <w:rFonts w:ascii="Times New Roman" w:cs="Times New Roman" w:eastAsia="Times New Roman" w:hAnsi="Times New Roman"/>
          <w:sz w:val="18"/>
          <w:szCs w:val="18"/>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79" w:lineRule="exact"/>
        <w:rPr>
          <w:rFonts w:ascii="Times New Roman" w:cs="Times New Roman" w:eastAsia="Times New Roman" w:hAnsi="Times New Roman"/>
          <w:sz w:val="18"/>
          <w:szCs w:val="18"/>
          <w:color w:val="auto"/>
        </w:rPr>
      </w:pPr>
    </w:p>
    <w:p>
      <w:pPr>
        <w:ind w:firstLine="440"/>
        <w:spacing w:after="0" w:line="282" w:lineRule="auto"/>
        <w:tabs>
          <w:tab w:leader="none" w:pos="7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of Stock Appreciation Rights</w:t>
      </w:r>
      <w:r>
        <w:rPr>
          <w:rFonts w:ascii="Times New Roman" w:cs="Times New Roman" w:eastAsia="Times New Roman" w:hAnsi="Times New Roman"/>
          <w:sz w:val="18"/>
          <w:szCs w:val="18"/>
          <w:color w:val="auto"/>
        </w:rPr>
        <w:t>. The exercise price of a Stock Appreciation Right shall not be less than 100 percent of the Fair Market Value of the Stock on the date of grant.</w:t>
      </w:r>
    </w:p>
    <w:p>
      <w:pPr>
        <w:spacing w:after="0" w:line="161" w:lineRule="exact"/>
        <w:rPr>
          <w:rFonts w:ascii="Times New Roman" w:cs="Times New Roman" w:eastAsia="Times New Roman" w:hAnsi="Times New Roman"/>
          <w:sz w:val="18"/>
          <w:szCs w:val="18"/>
          <w:color w:val="auto"/>
        </w:rPr>
      </w:pPr>
    </w:p>
    <w:p>
      <w:pPr>
        <w:ind w:firstLine="440"/>
        <w:spacing w:after="0" w:line="282" w:lineRule="auto"/>
        <w:tabs>
          <w:tab w:leader="none" w:pos="69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and Exercise of Stock Appreciation Rights</w:t>
      </w:r>
      <w:r>
        <w:rPr>
          <w:rFonts w:ascii="Times New Roman" w:cs="Times New Roman" w:eastAsia="Times New Roman" w:hAnsi="Times New Roman"/>
          <w:sz w:val="18"/>
          <w:szCs w:val="18"/>
          <w:color w:val="auto"/>
        </w:rPr>
        <w:t>. Stock Appreciation Rights may be granted by the Administrator independently of any Stock Option granted pursuant to Section 5 of the Plan.</w:t>
      </w:r>
    </w:p>
    <w:p>
      <w:pPr>
        <w:spacing w:after="0" w:line="161" w:lineRule="exact"/>
        <w:rPr>
          <w:rFonts w:ascii="Times New Roman" w:cs="Times New Roman" w:eastAsia="Times New Roman" w:hAnsi="Times New Roman"/>
          <w:sz w:val="18"/>
          <w:szCs w:val="18"/>
          <w:color w:val="auto"/>
        </w:rPr>
      </w:pPr>
    </w:p>
    <w:p>
      <w:pPr>
        <w:jc w:val="both"/>
        <w:ind w:firstLine="440"/>
        <w:spacing w:after="0" w:line="266" w:lineRule="auto"/>
        <w:tabs>
          <w:tab w:leader="none" w:pos="71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Stock Appreciation Rights</w:t>
      </w:r>
      <w:r>
        <w:rPr>
          <w:rFonts w:ascii="Times New Roman" w:cs="Times New Roman" w:eastAsia="Times New Roman" w:hAnsi="Times New Roman"/>
          <w:sz w:val="18"/>
          <w:szCs w:val="18"/>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RESTRICTED STOCK AWARDS</w:t>
      </w:r>
    </w:p>
    <w:p>
      <w:pPr>
        <w:spacing w:after="0" w:line="225" w:lineRule="exact"/>
        <w:rPr>
          <w:sz w:val="20"/>
          <w:szCs w:val="20"/>
          <w:color w:val="auto"/>
        </w:rPr>
      </w:pPr>
    </w:p>
    <w:p>
      <w:pPr>
        <w:jc w:val="both"/>
        <w:ind w:firstLine="440"/>
        <w:spacing w:after="0" w:line="266" w:lineRule="auto"/>
        <w:tabs>
          <w:tab w:leader="none" w:pos="67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Awards</w:t>
      </w:r>
      <w:r>
        <w:rPr>
          <w:rFonts w:ascii="Times New Roman" w:cs="Times New Roman" w:eastAsia="Times New Roman" w:hAnsi="Times New Roman"/>
          <w:sz w:val="18"/>
          <w:szCs w:val="18"/>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175" w:lineRule="exact"/>
        <w:rPr>
          <w:rFonts w:ascii="Times New Roman" w:cs="Times New Roman" w:eastAsia="Times New Roman" w:hAnsi="Times New Roman"/>
          <w:sz w:val="18"/>
          <w:szCs w:val="18"/>
          <w:color w:val="auto"/>
        </w:rPr>
      </w:pPr>
    </w:p>
    <w:p>
      <w:pPr>
        <w:jc w:val="both"/>
        <w:ind w:firstLine="440"/>
        <w:spacing w:after="0" w:line="254" w:lineRule="auto"/>
        <w:tabs>
          <w:tab w:leader="none" w:pos="7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91" w:lineRule="exact"/>
        <w:rPr>
          <w:rFonts w:ascii="Times New Roman" w:cs="Times New Roman" w:eastAsia="Times New Roman" w:hAnsi="Times New Roman"/>
          <w:sz w:val="18"/>
          <w:szCs w:val="18"/>
          <w:color w:val="auto"/>
        </w:rPr>
      </w:pPr>
    </w:p>
    <w:p>
      <w:pPr>
        <w:jc w:val="both"/>
        <w:ind w:firstLine="440"/>
        <w:spacing w:after="0" w:line="254" w:lineRule="auto"/>
        <w:tabs>
          <w:tab w:leader="none" w:pos="69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88" w:lineRule="exact"/>
        <w:rPr>
          <w:rFonts w:ascii="Times New Roman" w:cs="Times New Roman" w:eastAsia="Times New Roman" w:hAnsi="Times New Roman"/>
          <w:sz w:val="18"/>
          <w:szCs w:val="18"/>
          <w:color w:val="auto"/>
        </w:rPr>
      </w:pPr>
    </w:p>
    <w:p>
      <w:pPr>
        <w:jc w:val="both"/>
        <w:ind w:firstLine="440"/>
        <w:spacing w:after="0" w:line="261" w:lineRule="auto"/>
        <w:tabs>
          <w:tab w:leader="none" w:pos="71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Shares</w:t>
      </w:r>
      <w:r>
        <w:rPr>
          <w:rFonts w:ascii="Times New Roman" w:cs="Times New Roman" w:eastAsia="Times New Roman" w:hAnsi="Times New Roman"/>
          <w:sz w:val="18"/>
          <w:szCs w:val="18"/>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RESTRICTED STOCK UNITS</w:t>
      </w:r>
    </w:p>
    <w:p>
      <w:pPr>
        <w:spacing w:after="0" w:line="225" w:lineRule="exact"/>
        <w:rPr>
          <w:sz w:val="20"/>
          <w:szCs w:val="20"/>
          <w:color w:val="auto"/>
        </w:rPr>
      </w:pPr>
    </w:p>
    <w:p>
      <w:pPr>
        <w:jc w:val="both"/>
        <w:ind w:firstLine="440"/>
        <w:spacing w:after="0" w:line="254" w:lineRule="auto"/>
        <w:tabs>
          <w:tab w:leader="none" w:pos="69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Units</w:t>
      </w:r>
      <w:r>
        <w:rPr>
          <w:rFonts w:ascii="Times New Roman" w:cs="Times New Roman" w:eastAsia="Times New Roman" w:hAnsi="Times New Roman"/>
          <w:sz w:val="18"/>
          <w:szCs w:val="18"/>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91" w:lineRule="exact"/>
        <w:rPr>
          <w:rFonts w:ascii="Times New Roman" w:cs="Times New Roman" w:eastAsia="Times New Roman" w:hAnsi="Times New Roman"/>
          <w:sz w:val="18"/>
          <w:szCs w:val="18"/>
          <w:color w:val="auto"/>
        </w:rPr>
      </w:pPr>
    </w:p>
    <w:p>
      <w:pPr>
        <w:jc w:val="both"/>
        <w:ind w:firstLine="440"/>
        <w:spacing w:after="0" w:line="254" w:lineRule="auto"/>
        <w:tabs>
          <w:tab w:leader="none" w:pos="7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to Receive Restricted Stock Units in Lieu of Compensation</w:t>
      </w:r>
      <w:r>
        <w:rPr>
          <w:rFonts w:ascii="Times New Roman" w:cs="Times New Roman" w:eastAsia="Times New Roman" w:hAnsi="Times New Roman"/>
          <w:sz w:val="18"/>
          <w:szCs w:val="18"/>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191" w:lineRule="exact"/>
        <w:rPr>
          <w:rFonts w:ascii="Times New Roman" w:cs="Times New Roman" w:eastAsia="Times New Roman" w:hAnsi="Times New Roman"/>
          <w:sz w:val="18"/>
          <w:szCs w:val="18"/>
          <w:color w:val="auto"/>
        </w:rPr>
      </w:pPr>
    </w:p>
    <w:p>
      <w:pPr>
        <w:jc w:val="both"/>
        <w:ind w:firstLine="440"/>
        <w:spacing w:after="0" w:line="266" w:lineRule="auto"/>
        <w:tabs>
          <w:tab w:leader="none" w:pos="69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spacing w:after="0" w:line="175" w:lineRule="exact"/>
        <w:rPr>
          <w:rFonts w:ascii="Times New Roman" w:cs="Times New Roman" w:eastAsia="Times New Roman" w:hAnsi="Times New Roman"/>
          <w:sz w:val="18"/>
          <w:szCs w:val="18"/>
          <w:color w:val="auto"/>
        </w:rPr>
      </w:pPr>
    </w:p>
    <w:p>
      <w:pPr>
        <w:jc w:val="both"/>
        <w:ind w:firstLine="440"/>
        <w:spacing w:after="0" w:line="266" w:lineRule="auto"/>
        <w:tabs>
          <w:tab w:leader="none" w:pos="687"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UNRESTRICTED STOCK AWARDS</w:t>
      </w:r>
    </w:p>
    <w:p>
      <w:pPr>
        <w:spacing w:after="0" w:line="22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u w:val="single" w:color="auto"/>
          <w:color w:val="auto"/>
        </w:rPr>
        <w:t>Grant or Sale of Unrestricted Stock</w:t>
      </w:r>
      <w:r>
        <w:rPr>
          <w:rFonts w:ascii="Times New Roman" w:cs="Times New Roman" w:eastAsia="Times New Roman" w:hAnsi="Times New Roman"/>
          <w:sz w:val="18"/>
          <w:szCs w:val="18"/>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w:t>
      </w:r>
      <w:r>
        <w:rPr>
          <w:rFonts w:ascii="Times New Roman" w:cs="Times New Roman" w:eastAsia="Times New Roman" w:hAnsi="Times New Roman"/>
          <w:sz w:val="18"/>
          <w:szCs w:val="18"/>
          <w:u w:val="single" w:color="auto"/>
          <w:color w:val="auto"/>
        </w:rPr>
        <w:t>CASH-BASED AWARDS</w:t>
      </w:r>
    </w:p>
    <w:p>
      <w:pPr>
        <w:spacing w:after="0" w:line="22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u w:val="single" w:color="auto"/>
          <w:color w:val="auto"/>
        </w:rPr>
        <w:t>Grant of Cash-Based Awards</w:t>
      </w:r>
      <w:r>
        <w:rPr>
          <w:rFonts w:ascii="Times New Roman" w:cs="Times New Roman" w:eastAsia="Times New Roman" w:hAnsi="Times New Roman"/>
          <w:sz w:val="18"/>
          <w:szCs w:val="18"/>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w:t>
      </w:r>
      <w:r>
        <w:rPr>
          <w:rFonts w:ascii="Times New Roman" w:cs="Times New Roman" w:eastAsia="Times New Roman" w:hAnsi="Times New Roman"/>
          <w:sz w:val="18"/>
          <w:szCs w:val="18"/>
          <w:u w:val="single" w:color="auto"/>
          <w:color w:val="auto"/>
        </w:rPr>
        <w:t>DIVIDEND EQUIVALENT RIGHTS</w:t>
      </w:r>
    </w:p>
    <w:p>
      <w:pPr>
        <w:spacing w:after="0" w:line="225" w:lineRule="exact"/>
        <w:rPr>
          <w:sz w:val="20"/>
          <w:szCs w:val="20"/>
          <w:color w:val="auto"/>
        </w:rPr>
      </w:pPr>
    </w:p>
    <w:p>
      <w:pPr>
        <w:jc w:val="both"/>
        <w:ind w:firstLine="440"/>
        <w:spacing w:after="0" w:line="253" w:lineRule="auto"/>
        <w:tabs>
          <w:tab w:leader="none" w:pos="67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 Rights</w:t>
      </w:r>
      <w:r>
        <w:rPr>
          <w:rFonts w:ascii="Times New Roman" w:cs="Times New Roman" w:eastAsia="Times New Roman" w:hAnsi="Times New Roman"/>
          <w:sz w:val="18"/>
          <w:szCs w:val="18"/>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jc w:val="both"/>
        <w:ind w:firstLine="440"/>
        <w:spacing w:after="0" w:line="266" w:lineRule="auto"/>
        <w:tabs>
          <w:tab w:leader="none" w:pos="68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w:t>
      </w:r>
      <w:r>
        <w:rPr>
          <w:rFonts w:ascii="Times New Roman" w:cs="Times New Roman" w:eastAsia="Times New Roman" w:hAnsi="Times New Roman"/>
          <w:sz w:val="18"/>
          <w:szCs w:val="18"/>
          <w:u w:val="single" w:color="auto"/>
          <w:color w:val="auto"/>
        </w:rPr>
        <w:t>TRANSFERABILITY OF AWARDS</w:t>
      </w:r>
    </w:p>
    <w:p>
      <w:pPr>
        <w:spacing w:after="0" w:line="225" w:lineRule="exact"/>
        <w:rPr>
          <w:sz w:val="20"/>
          <w:szCs w:val="20"/>
          <w:color w:val="auto"/>
        </w:rPr>
      </w:pPr>
    </w:p>
    <w:p>
      <w:pPr>
        <w:jc w:val="both"/>
        <w:ind w:firstLine="440"/>
        <w:spacing w:after="0" w:line="261" w:lineRule="auto"/>
        <w:tabs>
          <w:tab w:leader="none" w:pos="67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79" w:lineRule="exact"/>
        <w:rPr>
          <w:rFonts w:ascii="Times New Roman" w:cs="Times New Roman" w:eastAsia="Times New Roman" w:hAnsi="Times New Roman"/>
          <w:sz w:val="18"/>
          <w:szCs w:val="18"/>
          <w:color w:val="auto"/>
        </w:rPr>
      </w:pPr>
    </w:p>
    <w:p>
      <w:pPr>
        <w:jc w:val="both"/>
        <w:ind w:firstLine="440"/>
        <w:spacing w:after="0" w:line="258" w:lineRule="auto"/>
        <w:tabs>
          <w:tab w:leader="none" w:pos="68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Action</w:t>
      </w:r>
      <w:r>
        <w:rPr>
          <w:rFonts w:ascii="Times New Roman" w:cs="Times New Roman" w:eastAsia="Times New Roman" w:hAnsi="Times New Roman"/>
          <w:sz w:val="18"/>
          <w:szCs w:val="18"/>
          <w:color w:val="auto"/>
        </w:rPr>
        <w:t>.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83" w:lineRule="exact"/>
        <w:rPr>
          <w:rFonts w:ascii="Times New Roman" w:cs="Times New Roman" w:eastAsia="Times New Roman" w:hAnsi="Times New Roman"/>
          <w:sz w:val="18"/>
          <w:szCs w:val="18"/>
          <w:color w:val="auto"/>
        </w:rPr>
      </w:pPr>
    </w:p>
    <w:p>
      <w:pPr>
        <w:jc w:val="both"/>
        <w:ind w:firstLine="440"/>
        <w:spacing w:after="0" w:line="258" w:lineRule="auto"/>
        <w:tabs>
          <w:tab w:leader="none" w:pos="71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83" w:lineRule="exact"/>
        <w:rPr>
          <w:rFonts w:ascii="Times New Roman" w:cs="Times New Roman" w:eastAsia="Times New Roman" w:hAnsi="Times New Roman"/>
          <w:sz w:val="18"/>
          <w:szCs w:val="18"/>
          <w:color w:val="auto"/>
        </w:rPr>
      </w:pPr>
    </w:p>
    <w:p>
      <w:pPr>
        <w:jc w:val="both"/>
        <w:ind w:firstLine="440"/>
        <w:spacing w:after="0" w:line="258" w:lineRule="auto"/>
        <w:tabs>
          <w:tab w:leader="none" w:pos="71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w:t>
      </w:r>
      <w:r>
        <w:rPr>
          <w:rFonts w:ascii="Times New Roman" w:cs="Times New Roman" w:eastAsia="Times New Roman" w:hAnsi="Times New Roman"/>
          <w:sz w:val="18"/>
          <w:szCs w:val="18"/>
          <w:u w:val="single" w:color="auto"/>
          <w:color w:val="auto"/>
        </w:rPr>
        <w:t>TAX WITHHOLDING</w:t>
      </w:r>
    </w:p>
    <w:p>
      <w:pPr>
        <w:spacing w:after="0" w:line="225" w:lineRule="exact"/>
        <w:rPr>
          <w:sz w:val="20"/>
          <w:szCs w:val="20"/>
          <w:color w:val="auto"/>
        </w:rPr>
      </w:pPr>
    </w:p>
    <w:p>
      <w:pPr>
        <w:jc w:val="both"/>
        <w:ind w:firstLine="440"/>
        <w:spacing w:after="0" w:line="256" w:lineRule="auto"/>
        <w:tabs>
          <w:tab w:leader="none" w:pos="69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by Grantee</w:t>
      </w:r>
      <w:r>
        <w:rPr>
          <w:rFonts w:ascii="Times New Roman" w:cs="Times New Roman" w:eastAsia="Times New Roman" w:hAnsi="Times New Roman"/>
          <w:sz w:val="18"/>
          <w:szCs w:val="18"/>
          <w:color w:val="auto"/>
        </w:rPr>
        <w:t>. Each grantee shall, no later than the date as of which the value of an Award or of any Stock or other amount received thereunder first becomes includable in the gross income of the grantee for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45" w:name="page146"/>
    <w:bookmarkEnd w:id="145"/>
    <w:p>
      <w:pPr>
        <w:jc w:val="both"/>
        <w:ind w:firstLine="440"/>
        <w:spacing w:after="0" w:line="255" w:lineRule="auto"/>
        <w:tabs>
          <w:tab w:leader="none" w:pos="687"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in Stock</w:t>
      </w:r>
      <w:r>
        <w:rPr>
          <w:rFonts w:ascii="Times New Roman" w:cs="Times New Roman" w:eastAsia="Times New Roman" w:hAnsi="Times New Roman"/>
          <w:sz w:val="18"/>
          <w:szCs w:val="18"/>
          <w:color w:val="auto"/>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14.</w:t>
      </w:r>
      <w:r>
        <w:rPr>
          <w:rFonts w:ascii="Times New Roman" w:cs="Times New Roman" w:eastAsia="Times New Roman" w:hAnsi="Times New Roman"/>
          <w:sz w:val="18"/>
          <w:szCs w:val="18"/>
          <w:u w:val="single" w:color="auto"/>
          <w:color w:val="auto"/>
        </w:rPr>
        <w:t>SECTION 409A AWARDS</w:t>
      </w:r>
    </w:p>
    <w:p>
      <w:pPr>
        <w:spacing w:after="0" w:line="22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15.</w:t>
      </w:r>
      <w:r>
        <w:rPr>
          <w:rFonts w:ascii="Times New Roman" w:cs="Times New Roman" w:eastAsia="Times New Roman" w:hAnsi="Times New Roman"/>
          <w:sz w:val="18"/>
          <w:szCs w:val="18"/>
          <w:u w:val="single" w:color="auto"/>
          <w:color w:val="auto"/>
        </w:rPr>
        <w:t>TERMINATION OF SERVICE RELATIONSHIP, TRANSFER, LEAVE OF ABSENCE, ETC.</w:t>
      </w:r>
    </w:p>
    <w:p>
      <w:pPr>
        <w:spacing w:after="0" w:line="225" w:lineRule="exact"/>
        <w:rPr>
          <w:sz w:val="20"/>
          <w:szCs w:val="20"/>
          <w:color w:val="auto"/>
        </w:rPr>
      </w:pPr>
    </w:p>
    <w:p>
      <w:pPr>
        <w:ind w:firstLine="440"/>
        <w:spacing w:after="0" w:line="261" w:lineRule="auto"/>
        <w:tabs>
          <w:tab w:leader="none" w:pos="69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grantee’s Service Relationship is with an Affiliate and such Affiliate ceases to be an Affiliate, the grantee shall be deemed to have terminated his or her Service Relationship for purposes of the Plan.</w:t>
      </w:r>
    </w:p>
    <w:p>
      <w:pPr>
        <w:ind w:left="700" w:hanging="260"/>
        <w:spacing w:after="0"/>
        <w:tabs>
          <w:tab w:leader="none" w:pos="7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Plan, the following events shall not be deemed a termination of a Service Relationship:</w:t>
      </w:r>
    </w:p>
    <w:p>
      <w:pPr>
        <w:spacing w:after="0" w:line="206" w:lineRule="exact"/>
        <w:rPr>
          <w:rFonts w:ascii="Times New Roman" w:cs="Times New Roman" w:eastAsia="Times New Roman" w:hAnsi="Times New Roman"/>
          <w:sz w:val="18"/>
          <w:szCs w:val="18"/>
          <w:color w:val="auto"/>
        </w:rPr>
      </w:pPr>
    </w:p>
    <w:p>
      <w:pPr>
        <w:ind w:left="1080" w:hanging="208"/>
        <w:spacing w:after="0"/>
        <w:tabs>
          <w:tab w:leader="none" w:pos="108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to the employment of the Company from an Affiliate or from the Company to an Affiliate, or from one Affiliate to another; or</w:t>
      </w:r>
    </w:p>
    <w:p>
      <w:pPr>
        <w:spacing w:after="0" w:line="225" w:lineRule="exact"/>
        <w:rPr>
          <w:rFonts w:ascii="Times New Roman" w:cs="Times New Roman" w:eastAsia="Times New Roman" w:hAnsi="Times New Roman"/>
          <w:sz w:val="18"/>
          <w:szCs w:val="18"/>
          <w:color w:val="auto"/>
        </w:rPr>
      </w:pPr>
    </w:p>
    <w:p>
      <w:pPr>
        <w:jc w:val="both"/>
        <w:ind w:firstLine="872"/>
        <w:spacing w:after="0" w:line="266" w:lineRule="auto"/>
        <w:tabs>
          <w:tab w:leader="none" w:pos="1131"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16.</w:t>
      </w:r>
      <w:r>
        <w:rPr>
          <w:rFonts w:ascii="Times New Roman" w:cs="Times New Roman" w:eastAsia="Times New Roman" w:hAnsi="Times New Roman"/>
          <w:sz w:val="18"/>
          <w:szCs w:val="18"/>
          <w:u w:val="single" w:color="auto"/>
          <w:color w:val="auto"/>
        </w:rPr>
        <w:t>AMENDMENTS AND TERMINATION</w:t>
      </w:r>
    </w:p>
    <w:p>
      <w:pPr>
        <w:spacing w:after="0" w:line="22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Section 3(b) or 3(c),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or other Awards.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color w:val="auto"/>
        </w:rPr>
        <w:t>SECTION 17.</w:t>
      </w:r>
      <w:r>
        <w:rPr>
          <w:rFonts w:ascii="Times New Roman" w:cs="Times New Roman" w:eastAsia="Times New Roman" w:hAnsi="Times New Roman"/>
          <w:sz w:val="18"/>
          <w:szCs w:val="18"/>
          <w:u w:val="single" w:color="auto"/>
          <w:color w:val="auto"/>
        </w:rPr>
        <w:t>STATUS OF PLAN</w:t>
      </w:r>
    </w:p>
    <w:p>
      <w:pPr>
        <w:spacing w:after="0" w:line="22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18.</w:t>
      </w:r>
      <w:r>
        <w:rPr>
          <w:rFonts w:ascii="Times New Roman" w:cs="Times New Roman" w:eastAsia="Times New Roman" w:hAnsi="Times New Roman"/>
          <w:sz w:val="18"/>
          <w:szCs w:val="18"/>
          <w:u w:val="single" w:color="auto"/>
          <w:color w:val="auto"/>
        </w:rPr>
        <w:t>GENERAL PROVISIONS</w:t>
      </w:r>
    </w:p>
    <w:p>
      <w:pPr>
        <w:spacing w:after="0" w:line="225" w:lineRule="exact"/>
        <w:rPr>
          <w:sz w:val="20"/>
          <w:szCs w:val="20"/>
          <w:color w:val="auto"/>
        </w:rPr>
      </w:pPr>
    </w:p>
    <w:p>
      <w:pPr>
        <w:ind w:firstLine="440"/>
        <w:spacing w:after="0" w:line="282" w:lineRule="auto"/>
        <w:tabs>
          <w:tab w:leader="none" w:pos="67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Distribution</w:t>
      </w:r>
      <w:r>
        <w:rPr>
          <w:rFonts w:ascii="Times New Roman" w:cs="Times New Roman" w:eastAsia="Times New Roman" w:hAnsi="Times New Roman"/>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161" w:lineRule="exact"/>
        <w:rPr>
          <w:rFonts w:ascii="Times New Roman" w:cs="Times New Roman" w:eastAsia="Times New Roman" w:hAnsi="Times New Roman"/>
          <w:sz w:val="18"/>
          <w:szCs w:val="18"/>
          <w:color w:val="auto"/>
        </w:rPr>
      </w:pPr>
    </w:p>
    <w:p>
      <w:pPr>
        <w:jc w:val="both"/>
        <w:ind w:firstLine="440"/>
        <w:spacing w:after="0" w:line="252" w:lineRule="auto"/>
        <w:tabs>
          <w:tab w:leader="none" w:pos="7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Stock</w:t>
      </w:r>
      <w:r>
        <w:rPr>
          <w:rFonts w:ascii="Times New Roman" w:cs="Times New Roman" w:eastAsia="Times New Roman" w:hAnsi="Times New Roman"/>
          <w:sz w:val="18"/>
          <w:szCs w:val="18"/>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94" w:lineRule="exact"/>
        <w:rPr>
          <w:rFonts w:ascii="Times New Roman" w:cs="Times New Roman" w:eastAsia="Times New Roman" w:hAnsi="Times New Roman"/>
          <w:sz w:val="18"/>
          <w:szCs w:val="18"/>
          <w:color w:val="auto"/>
        </w:rPr>
      </w:pPr>
    </w:p>
    <w:p>
      <w:pPr>
        <w:jc w:val="both"/>
        <w:ind w:firstLine="440"/>
        <w:spacing w:after="0" w:line="266" w:lineRule="auto"/>
        <w:tabs>
          <w:tab w:leader="none" w:pos="67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75" w:lineRule="exact"/>
        <w:rPr>
          <w:rFonts w:ascii="Times New Roman" w:cs="Times New Roman" w:eastAsia="Times New Roman" w:hAnsi="Times New Roman"/>
          <w:sz w:val="18"/>
          <w:szCs w:val="18"/>
          <w:color w:val="auto"/>
        </w:rPr>
      </w:pPr>
    </w:p>
    <w:p>
      <w:pPr>
        <w:jc w:val="both"/>
        <w:ind w:firstLine="440"/>
        <w:spacing w:after="0" w:line="266" w:lineRule="auto"/>
        <w:tabs>
          <w:tab w:leader="none" w:pos="7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Compensation Arrangements; No Employment Rights</w:t>
      </w:r>
      <w:r>
        <w:rPr>
          <w:rFonts w:ascii="Times New Roman" w:cs="Times New Roman" w:eastAsia="Times New Roman" w:hAnsi="Times New Roman"/>
          <w:sz w:val="18"/>
          <w:szCs w:val="18"/>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75" w:lineRule="exact"/>
        <w:rPr>
          <w:rFonts w:ascii="Times New Roman" w:cs="Times New Roman" w:eastAsia="Times New Roman" w:hAnsi="Times New Roman"/>
          <w:sz w:val="18"/>
          <w:szCs w:val="18"/>
          <w:color w:val="auto"/>
        </w:rPr>
      </w:pPr>
    </w:p>
    <w:p>
      <w:pPr>
        <w:ind w:right="20" w:firstLine="440"/>
        <w:spacing w:after="0" w:line="282" w:lineRule="auto"/>
        <w:tabs>
          <w:tab w:leader="none" w:pos="69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Policy Restrictions</w:t>
      </w:r>
      <w:r>
        <w:rPr>
          <w:rFonts w:ascii="Times New Roman" w:cs="Times New Roman" w:eastAsia="Times New Roman" w:hAnsi="Times New Roman"/>
          <w:sz w:val="18"/>
          <w:szCs w:val="18"/>
          <w:color w:val="auto"/>
        </w:rPr>
        <w:t>. Option exercises and other Awards under the Plan shall be subject to the Company’s insider trading policies and procedures, as in effect from time to time.</w:t>
      </w:r>
    </w:p>
    <w:p>
      <w:pPr>
        <w:spacing w:after="0" w:line="161" w:lineRule="exact"/>
        <w:rPr>
          <w:rFonts w:ascii="Times New Roman" w:cs="Times New Roman" w:eastAsia="Times New Roman" w:hAnsi="Times New Roman"/>
          <w:sz w:val="18"/>
          <w:szCs w:val="18"/>
          <w:color w:val="auto"/>
        </w:rPr>
      </w:pPr>
    </w:p>
    <w:p>
      <w:pPr>
        <w:ind w:left="660" w:hanging="220"/>
        <w:spacing w:after="0"/>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Awards under the Plan shall be subject to the Company’s clawback policy, as in effect from time to time.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color w:val="auto"/>
        </w:rPr>
        <w:t>SECTION 19.</w:t>
      </w:r>
      <w:r>
        <w:rPr>
          <w:rFonts w:ascii="Times New Roman" w:cs="Times New Roman" w:eastAsia="Times New Roman" w:hAnsi="Times New Roman"/>
          <w:sz w:val="18"/>
          <w:szCs w:val="18"/>
          <w:u w:val="single" w:color="auto"/>
          <w:color w:val="auto"/>
        </w:rPr>
        <w:t>EFFECTIVE DATE OF PLAN</w:t>
      </w:r>
    </w:p>
    <w:p>
      <w:pPr>
        <w:spacing w:after="0" w:line="22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This Plan shall become effective upon the date immediately preceding the Closing Date, subject to prior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w:t>
      </w:r>
      <w:r>
        <w:rPr>
          <w:rFonts w:ascii="Times New Roman" w:cs="Times New Roman" w:eastAsia="Times New Roman" w:hAnsi="Times New Roman"/>
          <w:sz w:val="18"/>
          <w:szCs w:val="18"/>
          <w:u w:val="single" w:color="auto"/>
          <w:color w:val="auto"/>
        </w:rPr>
        <w:t>GOVERNING LAW</w:t>
      </w:r>
    </w:p>
    <w:p>
      <w:pPr>
        <w:spacing w:after="0" w:line="225"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APPROVED BY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APPROVED BY STOCKHOLDERS: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INCENTIVE STOCK OPTION AGREEMENT</w:t>
      </w:r>
    </w:p>
    <w:p>
      <w:pPr>
        <w:spacing w:after="0" w:line="3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UNDER THE GEMINI THERAPEUTICS, INC.</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2021 STOCK OPTION AND INCENTIVE PLAN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17145</wp:posOffset>
            </wp:positionV>
            <wp:extent cx="320611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17145</wp:posOffset>
            </wp:positionV>
            <wp:extent cx="163703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63703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4600" w:val="left"/>
        </w:tabs>
        <w:rPr>
          <w:sz w:val="20"/>
          <w:szCs w:val="20"/>
          <w:color w:val="auto"/>
        </w:rPr>
      </w:pPr>
      <w:r>
        <w:rPr>
          <w:rFonts w:ascii="Times New Roman" w:cs="Times New Roman" w:eastAsia="Times New Roman" w:hAnsi="Times New Roman"/>
          <w:sz w:val="18"/>
          <w:szCs w:val="18"/>
          <w:color w:val="auto"/>
        </w:rPr>
        <w:t>Option Exercise Price per Share:</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17145</wp:posOffset>
            </wp:positionV>
            <wp:extent cx="420052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1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[FMV on Grant Date (110% of FMV if a 10% owner)]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17145</wp:posOffset>
            </wp:positionV>
            <wp:extent cx="163703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63703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17145</wp:posOffset>
            </wp:positionV>
            <wp:extent cx="420052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1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[No more than 10 years (5 years if a 10% owner)]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Gemini Therapeutics, Inc. 2021 Stock Option and Incentive Plan, as amended through the date hereof (the “Plan”), Gemini Therapeutics, Inc.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w:t>
      </w:r>
    </w:p>
    <w:p>
      <w:pPr>
        <w:spacing w:after="0" w:line="180" w:lineRule="exact"/>
        <w:rPr>
          <w:sz w:val="20"/>
          <w:szCs w:val="20"/>
          <w:color w:val="auto"/>
        </w:rPr>
      </w:pPr>
    </w:p>
    <w:p>
      <w:pPr>
        <w:jc w:val="both"/>
        <w:ind w:firstLine="656"/>
        <w:spacing w:after="0" w:line="261" w:lineRule="auto"/>
        <w:tabs>
          <w:tab w:leader="none" w:pos="82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Schedule</w:t>
      </w:r>
      <w:r>
        <w:rPr>
          <w:rFonts w:ascii="Times New Roman" w:cs="Times New Roman" w:eastAsia="Times New Roman" w:hAnsi="Times New Roman"/>
          <w:sz w:val="18"/>
          <w:szCs w:val="18"/>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the Optionee remains an employee of the Company or a Subsidiary on such dates: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Incremental Number of</w:t>
            </w:r>
          </w:p>
        </w:tc>
        <w:tc>
          <w:tcPr>
            <w:tcW w:w="5500" w:type="dxa"/>
            <w:vAlign w:val="bottom"/>
          </w:tcPr>
          <w:p>
            <w:pPr>
              <w:spacing w:after="0"/>
              <w:rPr>
                <w:sz w:val="18"/>
                <w:szCs w:val="18"/>
                <w:color w:val="auto"/>
              </w:rPr>
            </w:pPr>
          </w:p>
        </w:tc>
      </w:tr>
      <w:tr>
        <w:trPr>
          <w:trHeight w:val="241"/>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Option Shares Exercisable*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Exercisability Date</w:t>
            </w:r>
          </w:p>
        </w:tc>
      </w:tr>
      <w:tr>
        <w:trPr>
          <w:trHeight w:val="41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_____________ (___%)</w:t>
            </w:r>
          </w:p>
        </w:tc>
        <w:tc>
          <w:tcPr>
            <w:tcW w:w="220" w:type="dxa"/>
            <w:vAlign w:val="bottom"/>
          </w:tcPr>
          <w:p>
            <w:pPr>
              <w:spacing w:after="0"/>
              <w:rPr>
                <w:sz w:val="24"/>
                <w:szCs w:val="24"/>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____________</w:t>
            </w:r>
          </w:p>
        </w:tc>
      </w:tr>
      <w:tr>
        <w:trPr>
          <w:trHeight w:val="216"/>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_____________ (___%)</w:t>
            </w: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____________</w:t>
            </w:r>
          </w:p>
        </w:tc>
      </w:tr>
      <w:tr>
        <w:trPr>
          <w:trHeight w:val="216"/>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_____________ (___%)</w:t>
            </w: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____________</w:t>
            </w:r>
          </w:p>
        </w:tc>
      </w:tr>
      <w:tr>
        <w:trPr>
          <w:trHeight w:val="216"/>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_____________ (___%)</w:t>
            </w: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____________</w:t>
            </w:r>
          </w:p>
        </w:tc>
      </w:tr>
      <w:tr>
        <w:trPr>
          <w:trHeight w:val="23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_____________ (___%)</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____________</w:t>
            </w:r>
          </w:p>
        </w:tc>
      </w:tr>
      <w:tr>
        <w:trPr>
          <w:trHeight w:val="459"/>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Max. of $100,000 per yr.</w:t>
            </w:r>
          </w:p>
        </w:tc>
        <w:tc>
          <w:tcPr>
            <w:tcW w:w="5500" w:type="dxa"/>
            <w:vAlign w:val="bottom"/>
          </w:tcPr>
          <w:p>
            <w:pPr>
              <w:spacing w:after="0"/>
              <w:rPr>
                <w:sz w:val="24"/>
                <w:szCs w:val="24"/>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Once exercisable, this Stock Option shall continue to be exercisable at any time or times prior to the close of business on the Expiration Date, subject to the provisions hereof and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9" w:name="page150"/>
    <w:bookmarkEnd w:id="149"/>
    <w:p>
      <w:pPr>
        <w:ind w:left="840" w:hanging="184"/>
        <w:spacing w:after="0"/>
        <w:tabs>
          <w:tab w:leader="none" w:pos="8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or (iv) a combination of (i), (ii) and (iii) above. Payment instruments will be received subject to collection.</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89" w:lineRule="exact"/>
        <w:rPr>
          <w:sz w:val="20"/>
          <w:szCs w:val="20"/>
          <w:color w:val="auto"/>
        </w:rPr>
      </w:pPr>
    </w:p>
    <w:p>
      <w:pPr>
        <w:jc w:val="both"/>
        <w:ind w:firstLine="1304"/>
        <w:spacing w:after="0" w:line="255" w:lineRule="auto"/>
        <w:tabs>
          <w:tab w:leader="none" w:pos="155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0" w:name="page151"/>
    <w:bookmarkEnd w:id="150"/>
    <w:p>
      <w:pPr>
        <w:jc w:val="both"/>
        <w:ind w:firstLine="1304"/>
        <w:spacing w:after="0" w:line="266" w:lineRule="auto"/>
        <w:tabs>
          <w:tab w:leader="none" w:pos="1545"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7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hereof or of the Plan, no portion of this Stock Option shall be exercisable after the Expiration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hereof.</w:t>
      </w:r>
    </w:p>
    <w:p>
      <w:pPr>
        <w:spacing w:after="0" w:line="206" w:lineRule="exact"/>
        <w:rPr>
          <w:rFonts w:ascii="Times New Roman" w:cs="Times New Roman" w:eastAsia="Times New Roman" w:hAnsi="Times New Roman"/>
          <w:sz w:val="18"/>
          <w:szCs w:val="18"/>
          <w:color w:val="auto"/>
        </w:rPr>
      </w:pPr>
    </w:p>
    <w:p>
      <w:pPr>
        <w:ind w:right="20" w:firstLine="656"/>
        <w:spacing w:after="0" w:line="282" w:lineRule="auto"/>
        <w:tabs>
          <w:tab w:leader="none" w:pos="82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If the Optionee’s employment with the Company or a Subsidiary (as defined in the Plan) terminates, the period within which to exercise the Stock Option may be subject to earlier termination as set forth below.</w:t>
      </w:r>
    </w:p>
    <w:p>
      <w:pPr>
        <w:spacing w:after="0" w:line="161" w:lineRule="exact"/>
        <w:rPr>
          <w:rFonts w:ascii="Times New Roman" w:cs="Times New Roman" w:eastAsia="Times New Roman" w:hAnsi="Times New Roman"/>
          <w:sz w:val="18"/>
          <w:szCs w:val="18"/>
          <w:color w:val="auto"/>
        </w:rPr>
      </w:pPr>
    </w:p>
    <w:p>
      <w:pPr>
        <w:jc w:val="both"/>
        <w:ind w:right="20" w:firstLine="1304"/>
        <w:spacing w:after="0" w:line="261" w:lineRule="auto"/>
        <w:tabs>
          <w:tab w:leader="none" w:pos="154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Death</w:t>
      </w:r>
      <w:r>
        <w:rPr>
          <w:rFonts w:ascii="Times New Roman" w:cs="Times New Roman" w:eastAsia="Times New Roman" w:hAnsi="Times New Roman"/>
          <w:sz w:val="18"/>
          <w:szCs w:val="18"/>
          <w:color w:val="auto"/>
        </w:rPr>
        <w:t>. If the Optionee’s employment with the Company or a Subsidiary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91"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Disability</w:t>
      </w:r>
      <w:r>
        <w:rPr>
          <w:rFonts w:ascii="Times New Roman" w:cs="Times New Roman" w:eastAsia="Times New Roman" w:hAnsi="Times New Roman"/>
          <w:sz w:val="18"/>
          <w:szCs w:val="18"/>
          <w:color w:val="auto"/>
        </w:rPr>
        <w:t>. If the Optionee’s employment with the Company or a Subsidiary terminates by reason of the Optionee’s disability (as determined by the Administrator), any portion of this Stock Option outstanding on such date, to the extent exercisable on the date of such termination,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4"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If the Optionee’s employment with the Company or a Subsidiary terminates for Cause, any portion of this Stock Option outstanding on such date shall terminate immediately and be of no further force and effect. For purposes hereof, “Cause” shall mean, unless otherwise provided in an employment or other service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8"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w:t>
      </w:r>
      <w:r>
        <w:rPr>
          <w:rFonts w:ascii="Times New Roman" w:cs="Times New Roman" w:eastAsia="Times New Roman" w:hAnsi="Times New Roman"/>
          <w:sz w:val="18"/>
          <w:szCs w:val="18"/>
          <w:color w:val="auto"/>
        </w:rPr>
        <w:t>. If the Optionee’s employment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1" w:name="page152"/>
    <w:bookmarkEnd w:id="151"/>
    <w:p>
      <w:pPr>
        <w:ind w:firstLine="648"/>
        <w:spacing w:after="0" w:line="282" w:lineRule="auto"/>
        <w:rPr>
          <w:sz w:val="20"/>
          <w:szCs w:val="20"/>
          <w:color w:val="auto"/>
        </w:rPr>
      </w:pPr>
      <w:r>
        <w:rPr>
          <w:rFonts w:ascii="Times New Roman" w:cs="Times New Roman" w:eastAsia="Times New Roman" w:hAnsi="Times New Roman"/>
          <w:sz w:val="18"/>
          <w:szCs w:val="18"/>
          <w:color w:val="auto"/>
        </w:rPr>
        <w:t>The Administrator’s determination of the reason for termination of the Optionee’s employment with the Company or a Subsidiary shall be conclusive and binding on the Optionee and his or her representatives or legatees.</w:t>
      </w:r>
    </w:p>
    <w:p>
      <w:pPr>
        <w:spacing w:after="0" w:line="162" w:lineRule="exact"/>
        <w:rPr>
          <w:sz w:val="20"/>
          <w:szCs w:val="20"/>
          <w:color w:val="auto"/>
        </w:rPr>
      </w:pPr>
    </w:p>
    <w:p>
      <w:pPr>
        <w:jc w:val="both"/>
        <w:ind w:firstLine="656"/>
        <w:spacing w:after="0" w:line="266" w:lineRule="auto"/>
        <w:tabs>
          <w:tab w:leader="none" w:pos="82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41"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82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the Stock Option</w:t>
      </w:r>
      <w:r>
        <w:rPr>
          <w:rFonts w:ascii="Times New Roman" w:cs="Times New Roman" w:eastAsia="Times New Roman" w:hAnsi="Times New Roman"/>
          <w:sz w:val="18"/>
          <w:szCs w:val="18"/>
          <w:color w:val="auto"/>
        </w:rPr>
        <w:t xml:space="preserve">. This Stock Option is intended to qualify as an “incentive stock option” under Section 422 of the Internal Revenue Code of 1986, as amended (the “Code”), but the Company does not represent or warrant that this Stock Option qualifies as such. The Optionee should consult with his or her own tax advisors regarding the tax effects of this Stock Option and the requirements necessary to obtain favorable income tax treatment under Section 422 of the Code, including, but not limited to, holding period requirements and that </w:t>
      </w:r>
      <w:r>
        <w:rPr>
          <w:rFonts w:ascii="Times New Roman" w:cs="Times New Roman" w:eastAsia="Times New Roman" w:hAnsi="Times New Roman"/>
          <w:sz w:val="18"/>
          <w:szCs w:val="18"/>
          <w:b w:val="1"/>
          <w:bCs w:val="1"/>
          <w:i w:val="1"/>
          <w:iCs w:val="1"/>
          <w:color w:val="auto"/>
        </w:rPr>
        <w:t>this Stock Option must be exercised within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three months after termination of employment as an employee (or 12 months in the case of death or disability) to qualify as an “incentive stock option.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extent any portion of this Stock Option does not so qualify as an “incentive stock option,” such portion shall be deemed to be a non-qualified stock option. If the Optionee intends to dispose or does dispose (whether by sale, gift, transfer or otherwise) of any Option Shares within the one-year period beginning on the date after the transfer of such shares to him or her, or within the two-year period beginning on the day after the grant of this Stock Option, he or she will so notify the Company within 30 days after such disposition.</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82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Federal, state and local taxes required by law to be withheld from the Optionee on account of such transfer.</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82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Continue Employment</w:t>
      </w:r>
      <w:r>
        <w:rPr>
          <w:rFonts w:ascii="Times New Roman" w:cs="Times New Roman" w:eastAsia="Times New Roman" w:hAnsi="Times New Roman"/>
          <w:sz w:val="18"/>
          <w:szCs w:val="18"/>
          <w:color w:val="auto"/>
        </w:rPr>
        <w:t>. Neither the Company nor any Subsidiary is obligated by or as a result of the Plan or this Agreement to continue the Optionee’s employment with the Company or a Subsidiary and neither the Plan nor this Agreement shall interfere in any way with the right of the Company or any Subsidiary to terminate the Optionee’s employment with the Company or a Subsidiary at any time.</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2" w:name="page153"/>
    <w:bookmarkEnd w:id="152"/>
    <w:p>
      <w:pPr>
        <w:ind w:right="20" w:firstLine="656"/>
        <w:spacing w:after="0" w:line="282" w:lineRule="auto"/>
        <w:tabs>
          <w:tab w:leader="none" w:pos="84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1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3" w:name="page154"/>
    <w:bookmarkEnd w:id="153"/>
    <w:p>
      <w:pPr>
        <w:jc w:val="both"/>
        <w:ind w:firstLine="656"/>
        <w:spacing w:after="0" w:line="266" w:lineRule="auto"/>
        <w:tabs>
          <w:tab w:leader="none" w:pos="911"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17145</wp:posOffset>
            </wp:positionV>
            <wp:extent cx="178308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Optionee’s Signature</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462915</wp:posOffset>
            </wp:positionV>
            <wp:extent cx="284607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308610</wp:posOffset>
            </wp:positionV>
            <wp:extent cx="284607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154305</wp:posOffset>
            </wp:positionV>
            <wp:extent cx="284607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t>NON-QUALIFIED STOCK OPTION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NON-EMPLOYEE DIRECTORS</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UNDER THE GEMINI THERAPEUTICS, INC.</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2021 STOCK OPTION AND INCENTIVE PLAN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17145</wp:posOffset>
            </wp:positionV>
            <wp:extent cx="285432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17145</wp:posOffset>
            </wp:positionV>
            <wp:extent cx="143192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color w:val="auto"/>
        </w:rPr>
        <w:t>Option Exercise Price per Share:</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17145</wp:posOffset>
            </wp:positionV>
            <wp:extent cx="143192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1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[FMV on Grant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17145</wp:posOffset>
            </wp:positionV>
            <wp:extent cx="143192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17145</wp:posOffset>
            </wp:positionV>
            <wp:extent cx="143192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1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 more than 10 years]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Gemini Therapeutics, Inc. 2021 Stock Option and Incentive Plan, as amended through the date hereof (the “Plan”), Gemini Therapeutics, Inc. (the “Company”) hereby grants to the Optionee named above, who is a Non-Employee Director of the Company but is not an employee of the Company,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187" w:lineRule="exact"/>
        <w:rPr>
          <w:sz w:val="20"/>
          <w:szCs w:val="20"/>
          <w:color w:val="auto"/>
        </w:rPr>
      </w:pPr>
    </w:p>
    <w:p>
      <w:pPr>
        <w:jc w:val="both"/>
        <w:ind w:firstLine="656"/>
        <w:spacing w:after="0" w:line="261" w:lineRule="auto"/>
        <w:tabs>
          <w:tab w:leader="none" w:pos="82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Schedule</w:t>
      </w:r>
      <w:r>
        <w:rPr>
          <w:rFonts w:ascii="Times New Roman" w:cs="Times New Roman" w:eastAsia="Times New Roman" w:hAnsi="Times New Roman"/>
          <w:sz w:val="18"/>
          <w:szCs w:val="18"/>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the Optionee remains in service as a member of the Board on such dates: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Incremental Number of</w:t>
            </w:r>
          </w:p>
        </w:tc>
        <w:tc>
          <w:tcPr>
            <w:tcW w:w="5380" w:type="dxa"/>
            <w:vAlign w:val="bottom"/>
          </w:tcPr>
          <w:p>
            <w:pPr>
              <w:spacing w:after="0"/>
              <w:rPr>
                <w:sz w:val="18"/>
                <w:szCs w:val="18"/>
                <w:color w:val="auto"/>
              </w:rPr>
            </w:pPr>
          </w:p>
        </w:tc>
      </w:tr>
      <w:tr>
        <w:trPr>
          <w:trHeight w:val="241"/>
        </w:trPr>
        <w:tc>
          <w:tcPr>
            <w:tcW w:w="58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Option Shares Exercisable</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Exercisability Date</w:t>
            </w:r>
          </w:p>
        </w:tc>
      </w:tr>
      <w:tr>
        <w:trPr>
          <w:trHeight w:val="198"/>
        </w:trPr>
        <w:tc>
          <w:tcPr>
            <w:tcW w:w="54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_____________ (___%)</w:t>
            </w:r>
          </w:p>
        </w:tc>
        <w:tc>
          <w:tcPr>
            <w:tcW w:w="460" w:type="dxa"/>
            <w:vAlign w:val="bottom"/>
          </w:tcPr>
          <w:p>
            <w:pPr>
              <w:spacing w:after="0"/>
              <w:rPr>
                <w:sz w:val="17"/>
                <w:szCs w:val="17"/>
                <w:color w:val="auto"/>
              </w:rPr>
            </w:pPr>
          </w:p>
        </w:tc>
        <w:tc>
          <w:tcPr>
            <w:tcW w:w="53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____________</w:t>
            </w:r>
          </w:p>
        </w:tc>
      </w:tr>
      <w:tr>
        <w:trPr>
          <w:trHeight w:val="216"/>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_____________ (___%)</w:t>
            </w:r>
          </w:p>
        </w:tc>
        <w:tc>
          <w:tcPr>
            <w:tcW w:w="46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____________</w:t>
            </w:r>
          </w:p>
        </w:tc>
      </w:tr>
      <w:tr>
        <w:trPr>
          <w:trHeight w:val="216"/>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_____________ (___%)</w:t>
            </w:r>
          </w:p>
        </w:tc>
        <w:tc>
          <w:tcPr>
            <w:tcW w:w="46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____________</w:t>
            </w:r>
          </w:p>
        </w:tc>
      </w:tr>
      <w:tr>
        <w:trPr>
          <w:trHeight w:val="234"/>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_____________ (___%)</w:t>
            </w:r>
          </w:p>
        </w:tc>
        <w:tc>
          <w:tcPr>
            <w:tcW w:w="46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____________</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herein or in the Plan, all outstanding Option Shares shall become fully exercisable upon a Sale Event. Once exercisable, this Stock Option shall continue to be exercisable at any time or times prior to the close of business on the Expiration Date, subject to the provisions hereof and of the Plan.</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5" w:name="page156"/>
    <w:bookmarkEnd w:id="155"/>
    <w:p>
      <w:pPr>
        <w:ind w:left="840" w:hanging="184"/>
        <w:spacing w:after="0"/>
        <w:tabs>
          <w:tab w:leader="none" w:pos="8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0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89" w:lineRule="exact"/>
        <w:rPr>
          <w:sz w:val="20"/>
          <w:szCs w:val="20"/>
          <w:color w:val="auto"/>
        </w:rPr>
      </w:pPr>
    </w:p>
    <w:p>
      <w:pPr>
        <w:jc w:val="both"/>
        <w:ind w:firstLine="1304"/>
        <w:spacing w:after="0" w:line="255" w:lineRule="auto"/>
        <w:tabs>
          <w:tab w:leader="none" w:pos="1597"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6" w:name="page157"/>
    <w:bookmarkEnd w:id="156"/>
    <w:p>
      <w:pPr>
        <w:jc w:val="both"/>
        <w:ind w:firstLine="1304"/>
        <w:spacing w:after="0" w:line="266" w:lineRule="auto"/>
        <w:tabs>
          <w:tab w:leader="none" w:pos="1587"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7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hereof or of the Plan, no portion of this Stock Option shall be exercisable after the Expiration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hereof.</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84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as Non-Employee Director</w:t>
      </w:r>
      <w:r>
        <w:rPr>
          <w:rFonts w:ascii="Times New Roman" w:cs="Times New Roman" w:eastAsia="Times New Roman" w:hAnsi="Times New Roman"/>
          <w:sz w:val="18"/>
          <w:szCs w:val="18"/>
          <w:color w:val="auto"/>
        </w:rPr>
        <w:t>. If the Optionee ceases to be a Non-Employee Director of the Company, the period within which to exercise the Stock Option may be subject to earlier termination as set forth below.</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Death</w:t>
      </w:r>
      <w:r>
        <w:rPr>
          <w:rFonts w:ascii="Times New Roman" w:cs="Times New Roman" w:eastAsia="Times New Roman" w:hAnsi="Times New Roman"/>
          <w:sz w:val="18"/>
          <w:szCs w:val="18"/>
          <w:color w:val="auto"/>
        </w:rPr>
        <w:t>. If the Optionee’s service as a Non-Employee Director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w:t>
      </w:r>
      <w:r>
        <w:rPr>
          <w:rFonts w:ascii="Times New Roman" w:cs="Times New Roman" w:eastAsia="Times New Roman" w:hAnsi="Times New Roman"/>
          <w:sz w:val="18"/>
          <w:szCs w:val="18"/>
          <w:color w:val="auto"/>
        </w:rPr>
        <w:t>. If the Optionee ceases to be a Non-Employee Director for any reason other than the Optionee’s death, any portion of this Stock Option outstanding on such date may be exercised, to the extent exercisable on the date the Optionee ceased to be a Non-Employee Director, for a period of six months from the date the Optionee ceased to be a Non-Employee Director or until the Expiration Date, if earlier. Any portion of this Stock Option that is not exercisable on the date the Optionee ceases to be a Non-Employee Director shall terminate immediately and be of no further force or effect.</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82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4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4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Continue as a Non-Employee Director</w:t>
      </w:r>
      <w:r>
        <w:rPr>
          <w:rFonts w:ascii="Times New Roman" w:cs="Times New Roman" w:eastAsia="Times New Roman" w:hAnsi="Times New Roman"/>
          <w:sz w:val="18"/>
          <w:szCs w:val="18"/>
          <w:color w:val="auto"/>
        </w:rPr>
        <w:t>. Neither the Plan nor this Stock Option confers upon the Optionee any rights with respect to continuance as a Non-Employee Director.</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7" w:name="page158"/>
    <w:bookmarkEnd w:id="157"/>
    <w:p>
      <w:pPr>
        <w:ind w:right="20" w:firstLine="656"/>
        <w:spacing w:after="0" w:line="282" w:lineRule="auto"/>
        <w:tabs>
          <w:tab w:leader="none" w:pos="84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828"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8" w:name="page159"/>
    <w:bookmarkEnd w:id="158"/>
    <w:p>
      <w:pPr>
        <w:jc w:val="both"/>
        <w:ind w:firstLine="656"/>
        <w:spacing w:after="0" w:line="266" w:lineRule="auto"/>
        <w:tabs>
          <w:tab w:leader="none" w:pos="82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17145</wp:posOffset>
            </wp:positionV>
            <wp:extent cx="179133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Optionee’s Signature</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874395</wp:posOffset>
            </wp:positionV>
            <wp:extent cx="284607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582930</wp:posOffset>
            </wp:positionV>
            <wp:extent cx="284607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8"/>
          <w:szCs w:val="18"/>
          <w:b w:val="1"/>
          <w:bCs w:val="1"/>
          <w:color w:val="auto"/>
        </w:rPr>
        <w:t>NON-QUALIFIED STOCK OPTION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COMPANY EMPLOYEES</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UNDER THE GEMINI THERAPEUTICS, INC.</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2021 STOCK OPTION AND INCENTIVE PLAN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17145</wp:posOffset>
            </wp:positionV>
            <wp:extent cx="527177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527177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17145</wp:posOffset>
            </wp:positionV>
            <wp:extent cx="527177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527177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color w:val="auto"/>
        </w:rPr>
        <w:t>Option Exercise Price per Share:</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8890</wp:posOffset>
            </wp:positionV>
            <wp:extent cx="527177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5271770" cy="17145"/>
                    </a:xfrm>
                    <a:prstGeom prst="rect">
                      <a:avLst/>
                    </a:prstGeom>
                    <a:noFill/>
                  </pic:spPr>
                </pic:pic>
              </a:graphicData>
            </a:graphic>
          </wp:anchor>
        </w:drawing>
      </w:r>
    </w:p>
    <w:p>
      <w:pPr>
        <w:spacing w:after="0" w:line="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[FMV on Grant Date]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17145</wp:posOffset>
            </wp:positionV>
            <wp:extent cx="527177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527177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17145</wp:posOffset>
            </wp:positionV>
            <wp:extent cx="527177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5271770" cy="17145"/>
                    </a:xfrm>
                    <a:prstGeom prst="rect">
                      <a:avLst/>
                    </a:prstGeom>
                    <a:noFill/>
                  </pic:spPr>
                </pic:pic>
              </a:graphicData>
            </a:graphic>
          </wp:anchor>
        </w:drawing>
      </w:r>
    </w:p>
    <w:p>
      <w:pPr>
        <w:spacing w:after="0" w:line="1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 more than 10 years]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Gemini Therapeutics, Inc. 2021 Stock Option and Incentive Plan, as amended through the date hereof (the “Plan”), Gemini Therapeutics, Inc.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183" w:lineRule="exact"/>
        <w:rPr>
          <w:sz w:val="20"/>
          <w:szCs w:val="20"/>
          <w:color w:val="auto"/>
        </w:rPr>
      </w:pPr>
    </w:p>
    <w:p>
      <w:pPr>
        <w:jc w:val="both"/>
        <w:ind w:firstLine="656"/>
        <w:spacing w:after="0" w:line="261" w:lineRule="auto"/>
        <w:tabs>
          <w:tab w:leader="none" w:pos="82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Schedule</w:t>
      </w:r>
      <w:r>
        <w:rPr>
          <w:rFonts w:ascii="Times New Roman" w:cs="Times New Roman" w:eastAsia="Times New Roman" w:hAnsi="Times New Roman"/>
          <w:sz w:val="18"/>
          <w:szCs w:val="18"/>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the Optionee remains an employee of the Company or a Subsidiary on such dates: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Incremental Number of</w:t>
            </w:r>
          </w:p>
        </w:tc>
        <w:tc>
          <w:tcPr>
            <w:tcW w:w="5500" w:type="dxa"/>
            <w:vAlign w:val="bottom"/>
          </w:tcPr>
          <w:p>
            <w:pPr>
              <w:spacing w:after="0"/>
              <w:rPr>
                <w:sz w:val="18"/>
                <w:szCs w:val="18"/>
                <w:color w:val="auto"/>
              </w:rPr>
            </w:pPr>
          </w:p>
        </w:tc>
      </w:tr>
      <w:tr>
        <w:trPr>
          <w:trHeight w:val="241"/>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Option Shares Exercisable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Exercisability Date</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_____________ (___%)</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____________</w:t>
            </w:r>
          </w:p>
        </w:tc>
      </w:tr>
      <w:tr>
        <w:trPr>
          <w:trHeight w:val="216"/>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_____________ (___%)</w:t>
            </w: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____________</w:t>
            </w:r>
          </w:p>
        </w:tc>
      </w:tr>
      <w:tr>
        <w:trPr>
          <w:trHeight w:val="216"/>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_____________ (___%)</w:t>
            </w: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____________</w:t>
            </w:r>
          </w:p>
        </w:tc>
      </w:tr>
      <w:tr>
        <w:trPr>
          <w:trHeight w:val="23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_____________ (___%)</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____________</w:t>
            </w: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Once exercisable, this Stock Option shall continue to be exercisable at any time or times prior to the close of business on the Expiration Date, subject to the provisions hereof and of the Plan.</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0" w:name="page161"/>
    <w:bookmarkEnd w:id="160"/>
    <w:p>
      <w:pPr>
        <w:ind w:left="840" w:hanging="184"/>
        <w:spacing w:after="0"/>
        <w:tabs>
          <w:tab w:leader="none" w:pos="8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89" w:lineRule="exact"/>
        <w:rPr>
          <w:sz w:val="20"/>
          <w:szCs w:val="20"/>
          <w:color w:val="auto"/>
        </w:rPr>
      </w:pPr>
    </w:p>
    <w:p>
      <w:pPr>
        <w:jc w:val="both"/>
        <w:ind w:firstLine="1304"/>
        <w:spacing w:after="0" w:line="255" w:lineRule="auto"/>
        <w:tabs>
          <w:tab w:leader="none" w:pos="155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1" w:name="page162"/>
    <w:bookmarkEnd w:id="161"/>
    <w:p>
      <w:pPr>
        <w:jc w:val="both"/>
        <w:ind w:firstLine="1304"/>
        <w:spacing w:after="0" w:line="266" w:lineRule="auto"/>
        <w:tabs>
          <w:tab w:leader="none" w:pos="1545"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7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hereof or of the Plan, no portion of this Stock Option shall be exercisable after the Expiration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hereof.</w:t>
      </w:r>
    </w:p>
    <w:p>
      <w:pPr>
        <w:spacing w:after="0" w:line="206" w:lineRule="exact"/>
        <w:rPr>
          <w:rFonts w:ascii="Times New Roman" w:cs="Times New Roman" w:eastAsia="Times New Roman" w:hAnsi="Times New Roman"/>
          <w:sz w:val="18"/>
          <w:szCs w:val="18"/>
          <w:color w:val="auto"/>
        </w:rPr>
      </w:pPr>
    </w:p>
    <w:p>
      <w:pPr>
        <w:ind w:right="20" w:firstLine="656"/>
        <w:spacing w:after="0" w:line="282" w:lineRule="auto"/>
        <w:tabs>
          <w:tab w:leader="none" w:pos="82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If the Optionee’s employment with the Company or a Subsidiary (as defined in the Plan) terminates, the period within which to exercise the Stock Option may be subject to earlier termination as set forth below.</w:t>
      </w:r>
    </w:p>
    <w:p>
      <w:pPr>
        <w:spacing w:after="0" w:line="161" w:lineRule="exact"/>
        <w:rPr>
          <w:rFonts w:ascii="Times New Roman" w:cs="Times New Roman" w:eastAsia="Times New Roman" w:hAnsi="Times New Roman"/>
          <w:sz w:val="18"/>
          <w:szCs w:val="18"/>
          <w:color w:val="auto"/>
        </w:rPr>
      </w:pPr>
    </w:p>
    <w:p>
      <w:pPr>
        <w:jc w:val="both"/>
        <w:ind w:right="20" w:firstLine="1304"/>
        <w:spacing w:after="0" w:line="261" w:lineRule="auto"/>
        <w:tabs>
          <w:tab w:leader="none" w:pos="154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Death</w:t>
      </w:r>
      <w:r>
        <w:rPr>
          <w:rFonts w:ascii="Times New Roman" w:cs="Times New Roman" w:eastAsia="Times New Roman" w:hAnsi="Times New Roman"/>
          <w:sz w:val="18"/>
          <w:szCs w:val="18"/>
          <w:color w:val="auto"/>
        </w:rPr>
        <w:t>. If the Optionee’s employment with the Company or a Subsidiary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91"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Disability</w:t>
      </w:r>
      <w:r>
        <w:rPr>
          <w:rFonts w:ascii="Times New Roman" w:cs="Times New Roman" w:eastAsia="Times New Roman" w:hAnsi="Times New Roman"/>
          <w:sz w:val="18"/>
          <w:szCs w:val="18"/>
          <w:color w:val="auto"/>
        </w:rPr>
        <w:t>. If the Optionee’s employment with the Company or a Subsidiary terminates by reason of the Optionee’s disability (as determined by the Administrator), any portion of this Stock Option outstanding on such date, to the extent exercisable on the date of such termination,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4"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If the Optionee’s employment with the Company or a Subsidiary terminates for Cause, any portion of this Stock Option outstanding on such date shall terminate immediately and be of no further force and effect. For purposes hereof, “Cause” shall mean, unless otherwise provided in an employment or other service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8"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w:t>
      </w:r>
      <w:r>
        <w:rPr>
          <w:rFonts w:ascii="Times New Roman" w:cs="Times New Roman" w:eastAsia="Times New Roman" w:hAnsi="Times New Roman"/>
          <w:sz w:val="18"/>
          <w:szCs w:val="18"/>
          <w:color w:val="auto"/>
        </w:rPr>
        <w:t>. If the Optionee’s employment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2" w:name="page163"/>
    <w:bookmarkEnd w:id="162"/>
    <w:p>
      <w:pPr>
        <w:ind w:firstLine="648"/>
        <w:spacing w:after="0" w:line="282" w:lineRule="auto"/>
        <w:rPr>
          <w:sz w:val="20"/>
          <w:szCs w:val="20"/>
          <w:color w:val="auto"/>
        </w:rPr>
      </w:pPr>
      <w:r>
        <w:rPr>
          <w:rFonts w:ascii="Times New Roman" w:cs="Times New Roman" w:eastAsia="Times New Roman" w:hAnsi="Times New Roman"/>
          <w:sz w:val="18"/>
          <w:szCs w:val="18"/>
          <w:color w:val="auto"/>
        </w:rPr>
        <w:t>The Administrator’s determination of the reason for termination of the Optionee’s employment with the Company or a Subsidiary shall be conclusive and binding on the Optionee and his or her representatives or legatees.</w:t>
      </w:r>
    </w:p>
    <w:p>
      <w:pPr>
        <w:spacing w:after="0" w:line="162" w:lineRule="exact"/>
        <w:rPr>
          <w:sz w:val="20"/>
          <w:szCs w:val="20"/>
          <w:color w:val="auto"/>
        </w:rPr>
      </w:pPr>
    </w:p>
    <w:p>
      <w:pPr>
        <w:jc w:val="both"/>
        <w:ind w:firstLine="656"/>
        <w:spacing w:after="0" w:line="266" w:lineRule="auto"/>
        <w:tabs>
          <w:tab w:leader="none" w:pos="82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41"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82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Federal, state and local taxes required by law to be withheld from the Optionee on account of such transfer.</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82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Continue Employment</w:t>
      </w:r>
      <w:r>
        <w:rPr>
          <w:rFonts w:ascii="Times New Roman" w:cs="Times New Roman" w:eastAsia="Times New Roman" w:hAnsi="Times New Roman"/>
          <w:sz w:val="18"/>
          <w:szCs w:val="18"/>
          <w:color w:val="auto"/>
        </w:rPr>
        <w:t>. Neither the Company nor any Subsidiary is obligated by or as a result of the Plan or this Agreement to continue the Optionee’s employment with the Company or a Subsidiary and neither the Plan nor this Agreement shall interfere in any way with the right of the Company or any Subsidiary to terminate the Optionee’s employment with the Company or a Subsidiary at any time.</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41"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82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3" w:name="page164"/>
    <w:bookmarkEnd w:id="163"/>
    <w:p>
      <w:pPr>
        <w:jc w:val="both"/>
        <w:ind w:firstLine="656"/>
        <w:spacing w:after="0" w:line="266" w:lineRule="auto"/>
        <w:tabs>
          <w:tab w:leader="none" w:pos="91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23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8890</wp:posOffset>
            </wp:positionV>
            <wp:extent cx="256286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8890</wp:posOffset>
            </wp:positionV>
            <wp:extent cx="677227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Optionee’s Signature</w:t>
      </w:r>
    </w:p>
    <w:p>
      <w:pPr>
        <w:spacing w:after="0" w:line="22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874395</wp:posOffset>
            </wp:positionV>
            <wp:extent cx="284607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582930</wp:posOffset>
            </wp:positionV>
            <wp:extent cx="284607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4" w:name="page165"/>
    <w:bookmarkEnd w:id="164"/>
    <w:p>
      <w:pPr>
        <w:ind w:left="3500"/>
        <w:spacing w:after="0"/>
        <w:rPr>
          <w:sz w:val="20"/>
          <w:szCs w:val="20"/>
          <w:color w:val="auto"/>
        </w:rPr>
      </w:pPr>
      <w:r>
        <w:rPr>
          <w:rFonts w:ascii="Times New Roman" w:cs="Times New Roman" w:eastAsia="Times New Roman" w:hAnsi="Times New Roman"/>
          <w:sz w:val="17"/>
          <w:szCs w:val="17"/>
          <w:b w:val="1"/>
          <w:bCs w:val="1"/>
          <w:color w:val="auto"/>
        </w:rPr>
        <w:t>RESTRICTED STOCK UNIT AWARD AGREEMENT</w:t>
      </w:r>
    </w:p>
    <w:p>
      <w:pPr>
        <w:spacing w:after="0" w:line="4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FOR NON-EMPLOYEE DIRECTORS</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UNDER THE GEMINI THERAPEUTICS, INC.</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2021 STOCK OPTION AND INCENTIVE PLAN</w:t>
      </w:r>
    </w:p>
    <w:p>
      <w:pPr>
        <w:sectPr>
          <w:pgSz w:w="11900" w:h="16838" w:orient="portrait"/>
          <w:cols w:equalWidth="0" w:num="1">
            <w:col w:w="11240"/>
          </w:cols>
          <w:pgMar w:left="320" w:top="792"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Grantee: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200" w:lineRule="exact"/>
        <w:rPr>
          <w:sz w:val="20"/>
          <w:szCs w:val="20"/>
          <w:color w:val="auto"/>
        </w:rPr>
      </w:pPr>
    </w:p>
    <w:p>
      <w:pPr>
        <w:sectPr>
          <w:pgSz w:w="11900" w:h="16838" w:orient="portrait"/>
          <w:cols w:equalWidth="0" w:num="2">
            <w:col w:w="3780" w:space="720"/>
            <w:col w:w="6740"/>
          </w:cols>
          <w:pgMar w:left="320" w:top="792"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of Restricted Stock Units: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00" w:lineRule="exact"/>
        <w:rPr>
          <w:sz w:val="20"/>
          <w:szCs w:val="20"/>
          <w:color w:val="auto"/>
        </w:rPr>
      </w:pPr>
    </w:p>
    <w:p>
      <w:pPr>
        <w:sectPr>
          <w:pgSz w:w="11900" w:h="16838" w:orient="portrait"/>
          <w:cols w:equalWidth="0" w:num="2">
            <w:col w:w="3780" w:space="720"/>
            <w:col w:w="6740"/>
          </w:cols>
          <w:pgMar w:left="320" w:top="792"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Date: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00" w:lineRule="exact"/>
        <w:rPr>
          <w:sz w:val="20"/>
          <w:szCs w:val="20"/>
          <w:color w:val="auto"/>
        </w:rPr>
      </w:pPr>
    </w:p>
    <w:p>
      <w:pPr>
        <w:sectPr>
          <w:pgSz w:w="11900" w:h="16838" w:orient="portrait"/>
          <w:cols w:equalWidth="0" w:num="2">
            <w:col w:w="3780" w:space="720"/>
            <w:col w:w="6740"/>
          </w:cols>
          <w:pgMar w:left="320" w:top="792" w:right="339" w:bottom="1440" w:gutter="0" w:footer="0" w:header="0"/>
          <w:type w:val="continuous"/>
        </w:sectPr>
      </w:pPr>
    </w:p>
    <w:p>
      <w:pPr>
        <w:spacing w:after="0" w:line="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Gemini Therapeutics, Inc. 2021 Stock Option and Incentive Plan, as amended through the date hereof (the “Plan”), Gemini Therapeutics, Inc. (the “Company”) hereby grants an award of the number of Restricted Stock Units listed above (an “Award”) to the Grantee named above. Each Restricted Stock Unit shall relate to one share of Common Stock, par value $0.001 per share (the “Stock”), of the Company.</w:t>
      </w:r>
    </w:p>
    <w:p>
      <w:pPr>
        <w:spacing w:after="0" w:line="176" w:lineRule="exact"/>
        <w:rPr>
          <w:sz w:val="20"/>
          <w:szCs w:val="20"/>
          <w:color w:val="auto"/>
        </w:rPr>
      </w:pPr>
    </w:p>
    <w:p>
      <w:pPr>
        <w:jc w:val="both"/>
        <w:ind w:firstLine="656"/>
        <w:spacing w:after="0" w:line="261" w:lineRule="auto"/>
        <w:tabs>
          <w:tab w:leader="none" w:pos="82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 of Award</w:t>
      </w:r>
      <w:r>
        <w:rPr>
          <w:rFonts w:ascii="Times New Roman" w:cs="Times New Roman" w:eastAsia="Times New Roman" w:hAnsi="Times New Roman"/>
          <w:sz w:val="18"/>
          <w:szCs w:val="18"/>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841"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Stock Units</w:t>
      </w:r>
      <w:r>
        <w:rPr>
          <w:rFonts w:ascii="Times New Roman" w:cs="Times New Roman" w:eastAsia="Times New Roman" w:hAnsi="Times New Roman"/>
          <w:sz w:val="18"/>
          <w:szCs w:val="18"/>
          <w:color w:val="auto"/>
        </w:rPr>
        <w:t>. The restrictions and conditions of Paragraph 1 of this Agreement shall lapse on the Vesting Date or Dates specified in the following schedule so long as the Grantee remains in service as a member of the Board on such Vesting Dates. If a series of Vesting Dates is specified, then the restrictions and conditions in Paragraph 1 shall lapse only with respect to the number of Restricted Stock Units specified as vested on such date.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Incremental Number of</w:t>
            </w:r>
          </w:p>
        </w:tc>
        <w:tc>
          <w:tcPr>
            <w:tcW w:w="5500" w:type="dxa"/>
            <w:vAlign w:val="bottom"/>
          </w:tcPr>
          <w:p>
            <w:pPr>
              <w:spacing w:after="0"/>
              <w:rPr>
                <w:sz w:val="18"/>
                <w:szCs w:val="18"/>
                <w:color w:val="auto"/>
              </w:rPr>
            </w:pPr>
          </w:p>
        </w:tc>
      </w:tr>
      <w:tr>
        <w:trPr>
          <w:trHeight w:val="241"/>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Restricted Stock Units Vested</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Vesting Date</w:t>
            </w:r>
          </w:p>
        </w:tc>
      </w:tr>
      <w:tr>
        <w:trPr>
          <w:trHeight w:val="410"/>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_____________ (___%)</w:t>
            </w:r>
          </w:p>
        </w:tc>
        <w:tc>
          <w:tcPr>
            <w:tcW w:w="220" w:type="dxa"/>
            <w:vAlign w:val="bottom"/>
          </w:tcPr>
          <w:p>
            <w:pPr>
              <w:spacing w:after="0"/>
              <w:rPr>
                <w:sz w:val="24"/>
                <w:szCs w:val="24"/>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_______________</w:t>
            </w:r>
          </w:p>
        </w:tc>
      </w:tr>
      <w:tr>
        <w:trPr>
          <w:trHeight w:val="216"/>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_____________ (___%)</w:t>
            </w: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_______________</w:t>
            </w:r>
          </w:p>
        </w:tc>
      </w:tr>
      <w:tr>
        <w:trPr>
          <w:trHeight w:val="216"/>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_____________ (___%)</w:t>
            </w: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_______________</w:t>
            </w:r>
          </w:p>
        </w:tc>
      </w:tr>
      <w:tr>
        <w:trPr>
          <w:trHeight w:val="23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_____________ (___%)</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_______________</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anything to the contrary herein or in the Plan, all outstanding Restricted Stock Units shall become fully vested upon a Sale Event.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Administrator may at any time accelerate the vesting schedule specified in this Paragraph 2.</w:t>
      </w:r>
    </w:p>
    <w:p>
      <w:pPr>
        <w:spacing w:after="0" w:line="207" w:lineRule="exact"/>
        <w:rPr>
          <w:sz w:val="20"/>
          <w:szCs w:val="20"/>
          <w:color w:val="auto"/>
        </w:rPr>
      </w:pPr>
    </w:p>
    <w:p>
      <w:pPr>
        <w:jc w:val="both"/>
        <w:ind w:firstLine="656"/>
        <w:spacing w:after="0" w:line="261" w:lineRule="auto"/>
        <w:tabs>
          <w:tab w:leader="none" w:pos="82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as a Non-Employee Director</w:t>
      </w:r>
      <w:r>
        <w:rPr>
          <w:rFonts w:ascii="Times New Roman" w:cs="Times New Roman" w:eastAsia="Times New Roman" w:hAnsi="Times New Roman"/>
          <w:sz w:val="18"/>
          <w:szCs w:val="18"/>
          <w:color w:val="auto"/>
        </w:rPr>
        <w:t>. If the Grantee’s service with the Company as a member of the Board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65" w:name="page166"/>
    <w:bookmarkEnd w:id="165"/>
    <w:p>
      <w:pPr>
        <w:jc w:val="both"/>
        <w:ind w:firstLine="656"/>
        <w:spacing w:after="0" w:line="261" w:lineRule="auto"/>
        <w:tabs>
          <w:tab w:leader="none" w:pos="82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 of Stock</w:t>
      </w:r>
      <w:r>
        <w:rPr>
          <w:rFonts w:ascii="Times New Roman" w:cs="Times New Roman" w:eastAsia="Times New Roman" w:hAnsi="Times New Roman"/>
          <w:sz w:val="18"/>
          <w:szCs w:val="18"/>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84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2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2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Continue as a Non-Employee Director</w:t>
      </w:r>
      <w:r>
        <w:rPr>
          <w:rFonts w:ascii="Times New Roman" w:cs="Times New Roman" w:eastAsia="Times New Roman" w:hAnsi="Times New Roman"/>
          <w:sz w:val="18"/>
          <w:szCs w:val="18"/>
          <w:color w:val="auto"/>
        </w:rPr>
        <w:t>. Neither the Plan nor this Award confers upon the Grantee any rights with respect to continuance as a Non-Employee Director.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2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82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6" w:name="page167"/>
    <w:bookmarkEnd w:id="166"/>
    <w:p>
      <w:pPr>
        <w:jc w:val="both"/>
        <w:ind w:firstLine="656"/>
        <w:spacing w:after="0" w:line="266" w:lineRule="auto"/>
        <w:tabs>
          <w:tab w:leader="none" w:pos="91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w:t>
      </w:r>
    </w:p>
    <w:p>
      <w:pPr>
        <w:spacing w:after="0" w:line="200" w:lineRule="exact"/>
        <w:rPr>
          <w:sz w:val="20"/>
          <w:szCs w:val="20"/>
          <w:color w:val="auto"/>
        </w:rPr>
      </w:pP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391" w:lineRule="exact"/>
        <w:rPr>
          <w:sz w:val="20"/>
          <w:szCs w:val="20"/>
          <w:color w:val="auto"/>
        </w:rPr>
      </w:pPr>
    </w:p>
    <w:p>
      <w:pPr>
        <w:spacing w:after="0"/>
        <w:tabs>
          <w:tab w:leader="none" w:pos="660" w:val="left"/>
          <w:tab w:leader="none" w:pos="6740" w:val="left"/>
        </w:tabs>
        <w:rPr>
          <w:sz w:val="20"/>
          <w:szCs w:val="20"/>
          <w:color w:val="auto"/>
        </w:rPr>
      </w:pPr>
      <w:r>
        <w:rPr>
          <w:rFonts w:ascii="Times New Roman" w:cs="Times New Roman" w:eastAsia="Times New Roman" w:hAnsi="Times New Roman"/>
          <w:sz w:val="18"/>
          <w:szCs w:val="18"/>
          <w:color w:val="auto"/>
        </w:rPr>
        <w:t>Dated:</w:t>
        <w:tab/>
        <w:t>_____________________________________</w:t>
      </w:r>
      <w:r>
        <w:rPr>
          <w:sz w:val="20"/>
          <w:szCs w:val="20"/>
          <w:color w:val="auto"/>
        </w:rPr>
        <w:tab/>
      </w:r>
      <w:r>
        <w:rPr>
          <w:rFonts w:ascii="Times New Roman" w:cs="Times New Roman" w:eastAsia="Times New Roman" w:hAnsi="Times New Roman"/>
          <w:sz w:val="17"/>
          <w:szCs w:val="17"/>
          <w:color w:val="auto"/>
        </w:rPr>
        <w:t>Grantee’s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462915</wp:posOffset>
            </wp:positionV>
            <wp:extent cx="284607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308610</wp:posOffset>
            </wp:positionV>
            <wp:extent cx="284607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154305</wp:posOffset>
            </wp:positionV>
            <wp:extent cx="284607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AWARD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COMPANY EMPLOYEES</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UNDER THE GEMINI THERAPEUTICS, INC.</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2021 STOCK OPTION AND INCENTIVE PLAN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249428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178308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284607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Gemini Therapeutics, Inc. 2021 Stock Option and Incentive Plan, as amended through the date hereof (the “Plan”), Gemini Therapeutics, Inc. (the “Company”) hereby grants an award of the number of Restricted Stock Units listed above (an “Award”) to the Grantee named above. Each Restricted Stock Unit shall relate to one share of Common Stock, par value $0.001 per share (the “Stock”), of the Company.</w:t>
      </w:r>
    </w:p>
    <w:p>
      <w:pPr>
        <w:spacing w:after="0" w:line="176" w:lineRule="exact"/>
        <w:rPr>
          <w:sz w:val="20"/>
          <w:szCs w:val="20"/>
          <w:color w:val="auto"/>
        </w:rPr>
      </w:pPr>
    </w:p>
    <w:p>
      <w:pPr>
        <w:jc w:val="both"/>
        <w:ind w:firstLine="656"/>
        <w:spacing w:after="0" w:line="261" w:lineRule="auto"/>
        <w:tabs>
          <w:tab w:leader="none" w:pos="82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 of Award</w:t>
      </w:r>
      <w:r>
        <w:rPr>
          <w:rFonts w:ascii="Times New Roman" w:cs="Times New Roman" w:eastAsia="Times New Roman" w:hAnsi="Times New Roman"/>
          <w:sz w:val="18"/>
          <w:szCs w:val="18"/>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841"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Stock Units</w:t>
      </w:r>
      <w:r>
        <w:rPr>
          <w:rFonts w:ascii="Times New Roman" w:cs="Times New Roman" w:eastAsia="Times New Roman" w:hAnsi="Times New Roman"/>
          <w:sz w:val="18"/>
          <w:szCs w:val="18"/>
          <w:color w:val="auto"/>
        </w:rPr>
        <w:t>. The restrictions and conditions of Paragraph 1 of this Agreement shall lapse on the Vesting Date or Dates specified in the following schedule so long as the Grantee remains an employee of the Company or a Subsidiary on such Vesting Dates. If a series of Vesting Dates is specified, then the restrictions and conditions in Paragraph 1 shall lapse only with respect to the number of Restricted Stock Units specified as vested on such date.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gridSpan w:val="3"/>
          </w:tcPr>
          <w:p>
            <w:pPr>
              <w:jc w:val="center"/>
              <w:ind w:right="2180"/>
              <w:spacing w:after="0"/>
              <w:rPr>
                <w:sz w:val="20"/>
                <w:szCs w:val="20"/>
                <w:color w:val="auto"/>
              </w:rPr>
            </w:pPr>
            <w:r>
              <w:rPr>
                <w:rFonts w:ascii="Times New Roman" w:cs="Times New Roman" w:eastAsia="Times New Roman" w:hAnsi="Times New Roman"/>
                <w:sz w:val="18"/>
                <w:szCs w:val="18"/>
                <w:color w:val="auto"/>
                <w:w w:val="99"/>
              </w:rPr>
              <w:t>Incremental Number of</w:t>
            </w:r>
          </w:p>
        </w:tc>
        <w:tc>
          <w:tcPr>
            <w:tcW w:w="3540" w:type="dxa"/>
            <w:vAlign w:val="bottom"/>
          </w:tcPr>
          <w:p>
            <w:pPr>
              <w:spacing w:after="0"/>
              <w:rPr>
                <w:sz w:val="18"/>
                <w:szCs w:val="18"/>
                <w:color w:val="auto"/>
              </w:rPr>
            </w:pPr>
          </w:p>
        </w:tc>
      </w:tr>
      <w:tr>
        <w:trPr>
          <w:trHeight w:val="241"/>
        </w:trPr>
        <w:tc>
          <w:tcPr>
            <w:tcW w:w="770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color w:val="auto"/>
                <w:w w:val="98"/>
              </w:rPr>
              <w:t>Restricted Stock Units Vested</w:t>
            </w:r>
          </w:p>
        </w:tc>
        <w:tc>
          <w:tcPr>
            <w:tcW w:w="354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7"/>
              </w:rPr>
              <w:t>Vesting Date</w:t>
            </w:r>
          </w:p>
        </w:tc>
      </w:tr>
      <w:tr>
        <w:trPr>
          <w:trHeight w:val="194"/>
        </w:trPr>
        <w:tc>
          <w:tcPr>
            <w:tcW w:w="55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_____________ (__%)</w:t>
            </w:r>
          </w:p>
        </w:tc>
        <w:tc>
          <w:tcPr>
            <w:tcW w:w="220" w:type="dxa"/>
            <w:vAlign w:val="bottom"/>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3540" w:type="dxa"/>
            <w:vAlign w:val="bottom"/>
            <w:tcBorders>
              <w:top w:val="single" w:sz="8" w:color="auto"/>
            </w:tcBorders>
          </w:tcPr>
          <w:p>
            <w:pPr>
              <w:jc w:val="center"/>
              <w:ind w:right="18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_______________</w:t>
            </w:r>
          </w:p>
        </w:tc>
      </w:tr>
      <w:tr>
        <w:trPr>
          <w:trHeight w:val="216"/>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_____________ (__%)</w:t>
            </w: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540" w:type="dxa"/>
            <w:vAlign w:val="bottom"/>
          </w:tcPr>
          <w:p>
            <w:pPr>
              <w:jc w:val="center"/>
              <w:ind w:right="1870"/>
              <w:spacing w:after="0"/>
              <w:rPr>
                <w:sz w:val="20"/>
                <w:szCs w:val="20"/>
                <w:color w:val="auto"/>
              </w:rPr>
            </w:pPr>
            <w:r>
              <w:rPr>
                <w:rFonts w:ascii="Times New Roman" w:cs="Times New Roman" w:eastAsia="Times New Roman" w:hAnsi="Times New Roman"/>
                <w:sz w:val="18"/>
                <w:szCs w:val="18"/>
                <w:b w:val="1"/>
                <w:bCs w:val="1"/>
                <w:color w:val="auto"/>
                <w:w w:val="99"/>
              </w:rPr>
              <w:t>_______________</w:t>
            </w:r>
          </w:p>
        </w:tc>
      </w:tr>
      <w:tr>
        <w:trPr>
          <w:trHeight w:val="216"/>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_____________ (__%)</w:t>
            </w: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540" w:type="dxa"/>
            <w:vAlign w:val="bottom"/>
          </w:tcPr>
          <w:p>
            <w:pPr>
              <w:jc w:val="center"/>
              <w:ind w:right="1870"/>
              <w:spacing w:after="0"/>
              <w:rPr>
                <w:sz w:val="20"/>
                <w:szCs w:val="20"/>
                <w:color w:val="auto"/>
              </w:rPr>
            </w:pPr>
            <w:r>
              <w:rPr>
                <w:rFonts w:ascii="Times New Roman" w:cs="Times New Roman" w:eastAsia="Times New Roman" w:hAnsi="Times New Roman"/>
                <w:sz w:val="18"/>
                <w:szCs w:val="18"/>
                <w:b w:val="1"/>
                <w:bCs w:val="1"/>
                <w:color w:val="auto"/>
                <w:w w:val="99"/>
              </w:rPr>
              <w:t>_______________</w:t>
            </w:r>
          </w:p>
        </w:tc>
      </w:tr>
      <w:tr>
        <w:trPr>
          <w:trHeight w:val="23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_____________ (__%)</w:t>
            </w: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540" w:type="dxa"/>
            <w:vAlign w:val="bottom"/>
          </w:tcPr>
          <w:p>
            <w:pPr>
              <w:jc w:val="center"/>
              <w:ind w:right="1870"/>
              <w:spacing w:after="0"/>
              <w:rPr>
                <w:sz w:val="20"/>
                <w:szCs w:val="20"/>
                <w:color w:val="auto"/>
              </w:rPr>
            </w:pPr>
            <w:r>
              <w:rPr>
                <w:rFonts w:ascii="Times New Roman" w:cs="Times New Roman" w:eastAsia="Times New Roman" w:hAnsi="Times New Roman"/>
                <w:sz w:val="18"/>
                <w:szCs w:val="18"/>
                <w:b w:val="1"/>
                <w:bCs w:val="1"/>
                <w:color w:val="auto"/>
                <w:w w:val="99"/>
              </w:rPr>
              <w:t>_______________</w:t>
            </w:r>
          </w:p>
        </w:tc>
      </w:tr>
      <w:tr>
        <w:trPr>
          <w:trHeight w:val="432"/>
        </w:trPr>
        <w:tc>
          <w:tcPr>
            <w:tcW w:w="77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Administrator may at any time accelerate the vesting schedule specified in this Paragraph 2.</w:t>
            </w:r>
          </w:p>
        </w:tc>
        <w:tc>
          <w:tcPr>
            <w:tcW w:w="3540" w:type="dxa"/>
            <w:vAlign w:val="bottom"/>
          </w:tcPr>
          <w:p>
            <w:pPr>
              <w:spacing w:after="0"/>
              <w:rPr>
                <w:sz w:val="24"/>
                <w:szCs w:val="24"/>
                <w:color w:val="auto"/>
              </w:rPr>
            </w:pPr>
          </w:p>
        </w:tc>
      </w:tr>
    </w:tbl>
    <w:p>
      <w:pPr>
        <w:spacing w:after="0" w:line="198" w:lineRule="exact"/>
        <w:rPr>
          <w:sz w:val="20"/>
          <w:szCs w:val="20"/>
          <w:color w:val="auto"/>
        </w:rPr>
      </w:pPr>
    </w:p>
    <w:p>
      <w:pPr>
        <w:jc w:val="both"/>
        <w:ind w:firstLine="656"/>
        <w:spacing w:after="0" w:line="261" w:lineRule="auto"/>
        <w:tabs>
          <w:tab w:leader="none" w:pos="841"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If the Grantee’s employment with the Company or a Subsidiary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8" w:name="page169"/>
    <w:bookmarkEnd w:id="168"/>
    <w:p>
      <w:pPr>
        <w:jc w:val="both"/>
        <w:ind w:firstLine="656"/>
        <w:spacing w:after="0" w:line="261" w:lineRule="auto"/>
        <w:tabs>
          <w:tab w:leader="none" w:pos="82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 of Stock</w:t>
      </w:r>
      <w:r>
        <w:rPr>
          <w:rFonts w:ascii="Times New Roman" w:cs="Times New Roman" w:eastAsia="Times New Roman" w:hAnsi="Times New Roman"/>
          <w:sz w:val="18"/>
          <w:szCs w:val="18"/>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84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82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Grantee a number of shares of Stock with an aggregate Fair Market Value that would satisfy the withholding amount due; or (ii) causing its transfer agent to sell from the number of shares of Stock to be issued to the Grantee, the number of shares of Stock necessary to satisfy the Federal, state and local taxes required by law to be withheld from the Grantee on account of such transfer.</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82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2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Continue Employment</w:t>
      </w:r>
      <w:r>
        <w:rPr>
          <w:rFonts w:ascii="Times New Roman" w:cs="Times New Roman" w:eastAsia="Times New Roman" w:hAnsi="Times New Roman"/>
          <w:sz w:val="18"/>
          <w:szCs w:val="18"/>
          <w:color w:val="auto"/>
        </w:rPr>
        <w:t>. Neither the Company nor any Subsidiary is obligated by or as a result of the Plan or this Agreement to continue the Grantee’s employment with the Company or a Subsidiary and neither the Plan nor this Agreement shall interfere in any way with the right of the Company or any Subsidiary to terminate the Grantee’s employment with the Company or a Subsidiary at any time.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2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1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9" w:name="page170"/>
    <w:bookmarkEnd w:id="169"/>
    <w:p>
      <w:pPr>
        <w:jc w:val="both"/>
        <w:ind w:firstLine="656"/>
        <w:spacing w:after="0" w:line="266" w:lineRule="auto"/>
        <w:tabs>
          <w:tab w:leader="none" w:pos="911"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670369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6703695"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Grantee’s Signature</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874395</wp:posOffset>
            </wp:positionV>
            <wp:extent cx="284607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582930</wp:posOffset>
            </wp:positionV>
            <wp:extent cx="284607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INDEMNIFICATION 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Indemnification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February 5, 2021 by and between Gemini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[Director]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desires to attract and retain the services of highly qualified individuals, such as Indemnitee, to serve the Company;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in order to induce Indemnitee to provide or continue to provide services to the Company, the Company wishes to provide for the indemnification of, and advancement of expenses to, Indemnitee to the maximum extent permitted by law;</w:t>
      </w: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the Amended and Restated Certificate of Incorporation (as amended and in effect from time to time,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and the Amended and Restated Bylaws (as amended and in effect from time to time,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of the Company require indemnification of the officers and directors of the Company, and Indemnitee may also be entitled to indemnification pursuant to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Charter,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has determined that the increased difficulty in attracting and retaining highly qualified persons such as Indemnitee is detrimental to the best interests of the Company’s stockholders;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it is reasonable and prudent for the Company contractually to obligate itself to indemnify, and to advance expenses on behalf of, such persons to the fullest extent permitted by applicable law, regardless of any amendment or revocation of the Charter or the Bylaws, so that they will serve or continue to serve the Company free from undue concern that they will not be so indemnified;</w:t>
      </w:r>
    </w:p>
    <w:p>
      <w:pPr>
        <w:spacing w:after="0" w:line="176" w:lineRule="exact"/>
        <w:rPr>
          <w:sz w:val="20"/>
          <w:szCs w:val="20"/>
          <w:color w:val="auto"/>
        </w:rPr>
      </w:pPr>
    </w:p>
    <w:p>
      <w:pPr>
        <w:jc w:val="both"/>
        <w:ind w:right="20" w:firstLine="583"/>
        <w:spacing w:after="0" w:line="282" w:lineRule="auto"/>
        <w:rPr>
          <w:sz w:val="20"/>
          <w:szCs w:val="20"/>
          <w:color w:val="auto"/>
        </w:rPr>
      </w:pPr>
      <w:r>
        <w:rPr>
          <w:rFonts w:ascii="Times New Roman" w:cs="Times New Roman" w:eastAsia="Times New Roman" w:hAnsi="Times New Roman"/>
          <w:sz w:val="18"/>
          <w:szCs w:val="18"/>
          <w:color w:val="auto"/>
        </w:rPr>
        <w:t>WHEREAS, this Agreement is a supplement to and in furtherance of the indemnification provided in the Charter, the Bylaws and any resolutions adopted pursuant thereto, and shall not be deemed a substitute therefor, nor to diminish or abrogate any rights of Indemnitee thereunder; and</w:t>
      </w:r>
    </w:p>
    <w:p>
      <w:pPr>
        <w:spacing w:after="0" w:line="162" w:lineRule="exact"/>
        <w:rPr>
          <w:sz w:val="20"/>
          <w:szCs w:val="20"/>
          <w:color w:val="auto"/>
        </w:rPr>
      </w:pPr>
    </w:p>
    <w:p>
      <w:pPr>
        <w:jc w:val="both"/>
        <w:ind w:firstLine="583"/>
        <w:spacing w:after="0" w:line="261" w:lineRule="auto"/>
        <w:rPr>
          <w:sz w:val="20"/>
          <w:szCs w:val="20"/>
          <w:color w:val="auto"/>
        </w:rPr>
      </w:pPr>
      <w:r>
        <w:rPr>
          <w:rFonts w:ascii="Times New Roman" w:cs="Times New Roman" w:eastAsia="Times New Roman" w:hAnsi="Times New Roman"/>
          <w:sz w:val="18"/>
          <w:szCs w:val="18"/>
          <w:color w:val="auto"/>
        </w:rPr>
        <w:t>[WHEREAS, Indemnitee has certain rights to indemnification and/or insurance provided by [Affiliated Entity] (“[Affiliated Entity]”) which Indemnitee and [Affiliated Entity ] intend to be secondary to the primary obligation of the Company to indemnify Indemnitee as provided in this Agreement, with the Company’s acknowledgment and agreement to the foregoing being a material condition to Indemnitee’s willingness to serve or continue to serve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1" w:name="page172"/>
    <w:bookmarkEnd w:id="171"/>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covenants contained herein, the Company and Indemnitee do hereby covenant and agree as follows: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Services to the Company</w:t>
      </w:r>
      <w:r>
        <w:rPr>
          <w:rFonts w:ascii="Times New Roman" w:cs="Times New Roman" w:eastAsia="Times New Roman" w:hAnsi="Times New Roman"/>
          <w:sz w:val="18"/>
          <w:szCs w:val="18"/>
          <w:color w:val="auto"/>
        </w:rPr>
        <w:t>. Indemnitee agrees to [continue to] serve as a director of the Company. Indemnitee may at any time and for any reason resign from such position (subject to any other contractual obligation or any obligation imposed by law), in which event the Company shall have no obligation under this Agreement to continue Indemnitee in such position. This Agreement shall not be deemed an employment contract between the Company (or any of its subsidiaries or any Enterprise) and Indemnitee.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Agreement:</w:t>
      </w:r>
    </w:p>
    <w:p>
      <w:pPr>
        <w:spacing w:after="0" w:line="225" w:lineRule="exact"/>
        <w:rPr>
          <w:sz w:val="20"/>
          <w:szCs w:val="20"/>
          <w:color w:val="auto"/>
        </w:rPr>
      </w:pPr>
    </w:p>
    <w:p>
      <w:pPr>
        <w:jc w:val="both"/>
        <w:ind w:firstLine="1304"/>
        <w:spacing w:after="0" w:line="255" w:lineRule="auto"/>
        <w:tabs>
          <w:tab w:leader="none" w:pos="155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mean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Status</w:t>
      </w:r>
      <w:r>
        <w:rPr>
          <w:rFonts w:ascii="Times New Roman" w:cs="Times New Roman" w:eastAsia="Times New Roman" w:hAnsi="Times New Roman"/>
          <w:sz w:val="18"/>
          <w:szCs w:val="18"/>
          <w:color w:val="auto"/>
        </w:rPr>
        <w:t>” describes the status of a person as a current or former director of the Company or current or former director, manager, partner, officer, employee, agent or trustee of any other Enterprise which such person is or was serving at the request of the Company.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Enforcement Expenses</w:t>
      </w:r>
      <w:r>
        <w:rPr>
          <w:rFonts w:ascii="Times New Roman" w:cs="Times New Roman" w:eastAsia="Times New Roman" w:hAnsi="Times New Roman"/>
          <w:sz w:val="18"/>
          <w:szCs w:val="18"/>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an action to enforce indemnification or advancement rights, or an appeal from such action. Expenses, however, shall not include fees, salaries, wages or benefits owed to Indemnitee.</w:t>
      </w:r>
    </w:p>
    <w:p>
      <w:pPr>
        <w:spacing w:after="0" w:line="179"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6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Enterprise</w:t>
      </w:r>
      <w:r>
        <w:rPr>
          <w:rFonts w:ascii="Times New Roman" w:cs="Times New Roman" w:eastAsia="Times New Roman" w:hAnsi="Times New Roman"/>
          <w:sz w:val="18"/>
          <w:szCs w:val="18"/>
          <w:color w:val="auto"/>
        </w:rPr>
        <w:t>” shall mean any corporation (other than the Company), partnership, joint venture, trust, employee benefit plan, limited liability company, or other legal entity of which Indemnitee is or was serving at the request of the Company as a director, manager, partner, officer, employee, agent or trustee.</w:t>
      </w:r>
    </w:p>
    <w:p>
      <w:pPr>
        <w:spacing w:after="0" w:line="3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2" w:name="page173"/>
    <w:bookmarkEnd w:id="172"/>
    <w:p>
      <w:pPr>
        <w:jc w:val="both"/>
        <w:ind w:firstLine="1304"/>
        <w:spacing w:after="0" w:line="258" w:lineRule="auto"/>
        <w:tabs>
          <w:tab w:leader="none" w:pos="1541"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prosecuting, defending, preparing to prosecute or defend, investigating, being or preparing to be a witness in, or otherwise participating in, a Proceeding or an appeal resulting from a Proceeding. Expenses, however, shall not include amounts paid in settlement by Indemnitee, the amount of judgments or fines against Indemnitee or fees, salaries, wages or benefits owed to Indemnitee.</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Counsel</w:t>
      </w:r>
      <w:r>
        <w:rPr>
          <w:rFonts w:ascii="Times New Roman" w:cs="Times New Roman" w:eastAsia="Times New Roman" w:hAnsi="Times New Roman"/>
          <w:sz w:val="18"/>
          <w:szCs w:val="18"/>
          <w:color w:val="auto"/>
        </w:rPr>
        <w:t>” means a law firm, or a partner (or, if applicable, member or shareholder) of such a law firm, that is experienced in matters of Delaware corporation law and neither presently is, nor in the past five (5) years has been, retained to represent: (i) the Company, any subsidiary of the Company, any Enterprise or Indemnitee in any matter material to any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87"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xml:space="preserve">” shall include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regulatory or investigative nature, and whether formal or informal, in which Indemnitee was, is or will be involved as a party or otherwise by reason of the fact that Indemnitee is or was a director of the Company or is or was serving at the request of the Company as a director, manager, partner, officer, employee, agent or trustee of any Enterprise or by reason of any action taken by Indemnitee or of any action taken on his or her part while acting as a director of the Company or while serving at the request of the Company as a director, manager, partner, officer, employee, agent or trustee of any Enterprise, in each case whether or not serving in such capacity at the time any liability or expense is incurred for which indemnification, reimbursement or advancement of expenses can be provided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 “Proceeding” shall not include any action, suit or arbitration, or part thereof, initiated by Indemnitee to enforce Indemnitee’s rights under this Agreement as provided for in Section 12(a) of this Agreement.</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Indemnity in Third-Party Proceedings</w:t>
      </w:r>
      <w:r>
        <w:rPr>
          <w:rFonts w:ascii="Times New Roman" w:cs="Times New Roman" w:eastAsia="Times New Roman" w:hAnsi="Times New Roman"/>
          <w:sz w:val="18"/>
          <w:szCs w:val="18"/>
          <w:color w:val="auto"/>
        </w:rPr>
        <w:t>. The Company shall indemnify Indemnitee to the extent set forth in this Section 3 if Indemnitee is, or is threatened to be made, a party to or a participant in any Proceeding, other than a Proceeding by or in the right of the Company to procure a judgment in its favor. Pursuant to this Section 3, Indemnitee shall be indemnified against all Expenses, judgments, fines, penalties, excise taxes,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3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3" w:name="page174"/>
    <w:bookmarkEnd w:id="17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Indemnity in Proceedings by or in the Right of the Company</w:t>
      </w:r>
      <w:r>
        <w:rPr>
          <w:rFonts w:ascii="Times New Roman" w:cs="Times New Roman" w:eastAsia="Times New Roman" w:hAnsi="Times New Roman"/>
          <w:sz w:val="18"/>
          <w:szCs w:val="18"/>
          <w:color w:val="auto"/>
        </w:rPr>
        <w:t>. The Company shall indemnify Indemnitee to the extent set forth in this Section 4 if Indemnitee is, or is threatened to be made, a party to or a participant in any Proceeding by or in the right of the Company to procure a judgment in its favor. Pursuant to this Section 4, Indemnitee shall be indemnified against all Expenses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Delaware Court of Chancery (the “</w:t>
      </w:r>
      <w:r>
        <w:rPr>
          <w:rFonts w:ascii="Times New Roman" w:cs="Times New Roman" w:eastAsia="Times New Roman" w:hAnsi="Times New Roman"/>
          <w:sz w:val="18"/>
          <w:szCs w:val="18"/>
          <w:u w:val="single" w:color="auto"/>
          <w:color w:val="auto"/>
        </w:rPr>
        <w:t>Delaware Court</w:t>
      </w:r>
      <w:r>
        <w:rPr>
          <w:rFonts w:ascii="Times New Roman" w:cs="Times New Roman" w:eastAsia="Times New Roman" w:hAnsi="Times New Roman"/>
          <w:sz w:val="18"/>
          <w:szCs w:val="18"/>
          <w:color w:val="auto"/>
        </w:rPr>
        <w:t>”) shall determine upon application that, despite the adjudication of liability but in view of all the circumstances of the case, Indemnitee is fairly and reasonably entitled to indemnification for such expenses as the Delaware Court shall deem proper.</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 provisions of this Agreement and except as provided in Section 7, to the extent that Indemnitee is a party to or a participant in any Proceeding and is successful in such Proceeding or in defense of any claim, issue or matter therein, the Company shall indemnify Indemnitee against all Expenses actually and reasonably incurred by him or her in connection therewith. If Indemnitee is not wholly successful in such Proceeding but is successful as to one or more but less than all claims, issues or matters in such Proceeding, the Company shall indemnify Indemnitee against all Expenses actually and reasonably incurred by Indemnitee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Reimbursement for Expenses of a Witness or in Response to a Subpoena</w:t>
      </w:r>
      <w:r>
        <w:rPr>
          <w:rFonts w:ascii="Times New Roman" w:cs="Times New Roman" w:eastAsia="Times New Roman" w:hAnsi="Times New Roman"/>
          <w:sz w:val="18"/>
          <w:szCs w:val="18"/>
          <w:color w:val="auto"/>
        </w:rPr>
        <w:t>. Notwithstanding any other provision of this Agreement, to the extent that Indemnitee, by reason of his or her Corporate Status, (i) is a witness in any Proceeding to which Indemnitee is not a party and is not threatened to be made a party or (ii) receives a subpoena with respect to any Proceeding to which Indemnitee is not a party and is not threatened to be made a party, the Company shall reimburse Indemnitee for all Expenses actually and reasonably incurred by him or her or on his or her behalf in connection therewith.</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Exclusions</w:t>
      </w:r>
      <w:r>
        <w:rPr>
          <w:rFonts w:ascii="Times New Roman" w:cs="Times New Roman" w:eastAsia="Times New Roman" w:hAnsi="Times New Roman"/>
          <w:sz w:val="18"/>
          <w:szCs w:val="18"/>
          <w:color w:val="auto"/>
        </w:rPr>
        <w:t>. Notwithstanding any provision in this Agreement to the contrary, the Company shall not be obligated under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jc w:val="both"/>
        <w:ind w:firstLine="1304"/>
        <w:spacing w:after="0" w:line="266" w:lineRule="auto"/>
        <w:tabs>
          <w:tab w:leader="none" w:pos="155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indemnify for amounts otherwise indemnifiable hereunder (or for which advancement is provided hereunder) if and to the extent that Indemnitee has otherwise actually received such amounts under any insurance policy, contract, agreement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affect the rights of Indemnitee or the Secondary Indemnitors as set forth in Section 13(c);</w:t>
      </w:r>
    </w:p>
    <w:p>
      <w:pPr>
        <w:spacing w:after="0" w:line="3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4" w:name="page175"/>
    <w:bookmarkEnd w:id="174"/>
    <w:p>
      <w:pPr>
        <w:ind w:right="80" w:firstLine="1304"/>
        <w:spacing w:after="0" w:line="266" w:lineRule="auto"/>
        <w:tabs>
          <w:tab w:leader="none" w:pos="1551"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for an accounting of profits made from the purchase and sale (or sale and purchase) by Indemnitee of securities of the Company within the meaning of Section 16(b) of the Securities Exchange Act of 1934, as amended, or similar provisions of state statutory law or common law, or from the purchase or sale by Indemnitee of such securities in violation of Section 306 of the Sarbanes Oxley Act of 2002, as amended (“</w:t>
      </w:r>
      <w:r>
        <w:rPr>
          <w:rFonts w:ascii="Times New Roman" w:cs="Times New Roman" w:eastAsia="Times New Roman" w:hAnsi="Times New Roman"/>
          <w:sz w:val="18"/>
          <w:szCs w:val="18"/>
          <w:u w:val="single" w:color="auto"/>
          <w:color w:val="auto"/>
        </w:rPr>
        <w:t>SOX</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right="120" w:firstLine="644"/>
        <w:spacing w:after="0" w:line="255" w:lineRule="auto"/>
        <w:tabs>
          <w:tab w:leader="none" w:pos="1553"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indemnify with respect to any Proceeding, or part thereof, brought by Indemnitee against the Company, any legal entity which it controls, any director or officer thereof or any third party, unless (i) the Board has consented to the initiation of such Proceeding or part thereof and (ii) the Company provides the indemnification, in its sole discretion, pursuant to the powers vested in the Company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Section 7(c) shall not apply to (A) counterclaims or affirmative defenses asserted by Indemnitee in an action brought against Indemnitee or (B) any action brought by Indemnitee for indemnification or advancement from the Company under this Agreement or under any directors’ and officers’ liability insurance policies maintained by the Company in the suit for which indemnification or advancement is being sought as described in Section 12; or</w:t>
      </w:r>
    </w:p>
    <w:p>
      <w:pPr>
        <w:spacing w:after="0" w:line="188" w:lineRule="exact"/>
        <w:rPr>
          <w:rFonts w:ascii="Times New Roman" w:cs="Times New Roman" w:eastAsia="Times New Roman" w:hAnsi="Times New Roman"/>
          <w:sz w:val="18"/>
          <w:szCs w:val="18"/>
          <w:color w:val="auto"/>
        </w:rPr>
      </w:pPr>
    </w:p>
    <w:p>
      <w:pPr>
        <w:ind w:right="600" w:firstLine="1304"/>
        <w:spacing w:after="0" w:line="282" w:lineRule="auto"/>
        <w:tabs>
          <w:tab w:leader="none" w:pos="1551"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any indemnification or advancement of expenses that is prohibited by applicable law (as such law exists at the time payment would otherwise be required pursuant to this Agreement).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Subject to Section 9(b), the Company shall advance, to the extent not prohibited by law, the Expenses incurred by Indemnitee in connection with any Proceeding, and such advancement shall be made as incurred, and such advancement shall be made within thirty (30) days after the receipt by the Company of a statement or statements requesting such advances (including any invoices received by Indemnitee, which such invoices may be redacted as necessary to avoid the waiver of any privilege accorded by applicable law) from time to time, whether prior to or after final disposition of any Proceeding. Advances shall be unsecured and interest free. Advances shall be made without regard to Indemnitee’s (i) ability to repay the expenses, (ii) ultimate entitlement to indemnification under the other provisions of this Agreement, and (iii) entitlement to and availability of insurance coverage, including advancement, payment or reimbursement of defense costs, expenses of covered loss under the provisions of any applicable insurance policy (including, without limitation, whether such advancement, payment or reimbursement is withheld, conditioned or delayed by the insurer(s)). Indemnitee shall qualify for advances upon the execution and delivery to the Company of this Agreement which shall constitute an undertaking providing that Indemnitee undertakes to the fullest extent required by law to repay the advance if and to the extent that it is ultimately determined by a court of competent jurisdiction in a final judgment, not subject to appeal, that Indemnitee is not entitled to be indemnified by the Company. The right to advances under this paragraph shall in all events continue until final disposition of any Proceeding, including any appeal therein. Nothing in this Section 8 shall limit Indemnitee’s right to advancement pursuant to Section 12(e) of this Agreement.</w:t>
      </w:r>
    </w:p>
    <w:p>
      <w:pPr>
        <w:spacing w:after="0" w:line="3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5" w:name="page176"/>
    <w:bookmarkEnd w:id="175"/>
    <w:p>
      <w:pPr>
        <w:ind w:left="68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Procedure for Notification and Defense of Claim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5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indemnification under this Agreement, Indemnitee shall submit to the Company a written request therefor specifying the basis for the claim, the amounts for which Indemnitee is seeking payment under this Agreement, and all documentation related thereto as reasonably requested by the Company.</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Company shall be obligated hereunder to provide indemnification for or make any advancement of Expenses with respect to any Proceeding, the Company shall be entitled to assume the defense of such Proceeding, or any claim, issue or matter therein, with counsel approved by Indemnitee (which approval shall not be unreasonably withheld or delayed) upon the delivery to Indemnitee of written notice of the Company’s election to do so. After delivery of such notice, approval of such counsel by Indemnitee and the retention of such counsel by the Company, the Company will not be liable to Indemnitee under this Agreement for any fees or expenses of separate counsel subsequently employed by or on behalf of Indemnitee with respect to the same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Indemnitee shall have the right to employ separate counsel in any such Proceeding at Indemnitee’s expense and (ii) if (A) the employment of separate counsel by Indemnitee has been previously authorized by the Company, (B) Indemnitee shall have reasonably concluded that there may be a conflict of interest between the Company and Indemnitee in the conduct of such defense, or (C) the Company shall not continue to retain such counsel to defend such Proceeding, then the fees and expenses actually and reasonably incurred by Indemnitee with respect to his or her separate counsel shall be Expenses hereunder.</w:t>
      </w:r>
    </w:p>
    <w:p>
      <w:pPr>
        <w:spacing w:after="0" w:line="194" w:lineRule="exact"/>
        <w:rPr>
          <w:rFonts w:ascii="Times New Roman" w:cs="Times New Roman" w:eastAsia="Times New Roman" w:hAnsi="Times New Roman"/>
          <w:sz w:val="18"/>
          <w:szCs w:val="18"/>
          <w:color w:val="auto"/>
        </w:rPr>
      </w:pPr>
    </w:p>
    <w:p>
      <w:pPr>
        <w:ind w:firstLine="1304"/>
        <w:spacing w:after="0" w:line="282" w:lineRule="auto"/>
        <w:tabs>
          <w:tab w:leader="none" w:pos="15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does not assume the defense in a Proceeding pursuant to paragraph (b) above, then the Company will be entitled to participate in the Proceeding at its own expense.</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liable to indemnify Indemnitee under this Agreement for any amounts paid in settlement of any Proceeding effected without its prior written consent (which consent shall not be unreasonably withheld or delayed). The Company shall not, without the prior written consent of Indemnitee (which consent shall not be unreasonably withheld or delayed), enter into any settlement which (i) includes an admission of fault of Indemnitee, any non-monetary remedy imposed on Indemnitee or any monetary damages for which Indemnitee is not wholly and actually indemnified hereunder or (ii) with respect to any Proceeding with respect to which Indemnitee may be or is made a party or may be otherwise entitled to seek indemnification hereunder, does not include the full release of Indemnitee from all liability in respect of such Proceeding.</w:t>
      </w:r>
    </w:p>
    <w:p>
      <w:pPr>
        <w:spacing w:after="0" w:line="3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6" w:name="page177"/>
    <w:bookmarkEnd w:id="176"/>
    <w:p>
      <w:pPr>
        <w:ind w:left="660"/>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Procedure Upon Application for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41"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request by Indemnitee for indemnification pursuant to Section 9(a), a determination, if such determination is required by applicable law, with respect to Indemnitee’s entitlement to indemnification hereunder shall be made in the specific case by one of the following methods:</w:t>
      </w:r>
    </w:p>
    <w:p>
      <w:pPr>
        <w:jc w:val="both"/>
        <w:ind w:firstLine="8"/>
        <w:spacing w:after="0" w:line="251" w:lineRule="auto"/>
        <w:tabs>
          <w:tab w:leader="none" w:pos="272"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in Control shall have occurred, by Independent Counsel in a written opinion to the Board; or (y) if a Change in Control shall not have occurred: (i) by a majority vote of the disinterested directors, even though less than a quorum; (ii) by a committee of disinterested directors designated by a majority vote of the disinterested directors, even though less than a quorum; or (iii) if there are no disinterested directors or if the disinterested directors so direct, by Independent Counsel in a written opinion to the Board. For purposes hereof, disinterested directors are those members of the Board who are not parties to the action, suit or proceeding in respect of which indemnification is sought. In the case that such determination is made by Independent Counsel, a copy of Independent Counsel’s written opinion shall be delivered to Indemnitee and, if it is so determined that Indemnitee is entitled to indemnification, payment to Indemnitee shall be made within thirty (30) days after such determination. Indemnitee shall cooperate with the Independent Counsel or the Company, as applicable, in making such determination with respect to Indemnitee’s entitlement to indemnification, including providing to such counsel or the Company, upon reasonable advance request, any documentation or information which is not privileged or otherwise protected from disclosure and which is reasonably available to Indemnitee and reasonably necessary to such determination. Any out-of-pocket costs or expenses (including reasonable attorneys’ fees and disbursements) actually and reasonably incurred by Indemnitee in so cooperating with the Independent Counsel or the Company shall be borne by the Company (irrespective of the determination as to Indemnitee’s entitlement to indemnification) and the Company hereby indemnifies and agrees to hold Indemnitee harmless therefrom.</w:t>
      </w:r>
    </w:p>
    <w:p>
      <w:pPr>
        <w:spacing w:after="0" w:line="19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96"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determination of entitlement to indemnification is to be made by Independent Counsel pursuant to Section 10(a), the Independent Counsel shall be selected by the Board if a Change in Control shall not have occurred or, if a Change in Control shall have occurred, by Indemnitee. Indemnitee or the Company, as the case may be, may, within ten (10) days after written notice of such selection, deliver to the Company or Indemnitee, as the case may be, a written objection to such selection;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 (i) submission by Indemnitee of a written request for indemnification pursuant to Section 9(a), and (ii) the final disposition of the Proceeding, including any appeal therein, no Independent Counsel shall have been selected without objection, either Indemnitee or the Company may petition the Delaware Court for resolution of any objection which shall have been made by Indemnitee or the Company to the selection of Independent Counsel and/or for the appointment as Independent Counsel of a person selected by the court or by such other person as the court shall designate. The person with respect to whom all objections are so resolved or the person so appointed shall act as Independent Counsel under Section 10(a) hereof. Upon the due commencement of any judicial proceeding or arbitration pursuant to Section 12(a) of this Agreement, Independent Counsel shall be discharged and relieved of any further responsibility in such capacity (subject to the applicable standards of professional conduct then prevailing).</w:t>
      </w: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7" w:name="page178"/>
    <w:bookmarkEnd w:id="177"/>
    <w:p>
      <w:pPr>
        <w:ind w:left="68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Presumptions and Effect of Certain Proceedings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4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in making a determination with respect to entitlement to indemnification hereunder, it shall be presumed that Indemnitee is entitled to indemnification under this Agreement if Indemnitee has submitted a request for indemnification in accordance with Section 9(a) of this Agreement, and the Company shall have the burden of proof to overcome that presumption in connection with the making of any determination contrary to that presumption. Neither (i) the failure of the Company or of Independent Counsel to have made a determination prior to the commencement of any action pursuant to this Agreement that indemnification is proper in the circumstances because Indemnitee has met the applicable standard of conduct, nor (ii) an actual determination by the Company or by Independent Counsel that Indemnitee has not met such applicable standard of conduct, shall be a defense to the action or create a presumption that Indemnitee has not met the applicable standard of conduct.</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termination of any Proceeding or of any claim, issue or matter therein, by judgment, order, settlement or conviction, or upon a plea of guilty, </w:t>
      </w:r>
      <w:r>
        <w:rPr>
          <w:rFonts w:ascii="Times New Roman" w:cs="Times New Roman" w:eastAsia="Times New Roman" w:hAnsi="Times New Roman"/>
          <w:sz w:val="18"/>
          <w:szCs w:val="18"/>
          <w:u w:val="single" w:color="auto"/>
          <w:color w:val="auto"/>
        </w:rPr>
        <w:t>nolo contendere</w:t>
      </w:r>
      <w:r>
        <w:rPr>
          <w:rFonts w:ascii="Times New Roman" w:cs="Times New Roman" w:eastAsia="Times New Roman" w:hAnsi="Times New Roman"/>
          <w:sz w:val="18"/>
          <w:szCs w:val="18"/>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knowledge and/or actions, or failure to act, of any director, manager, partner, officer, employee, agent or trustee of the Company, any subsidiary of the Company, or any Enterprise shall not be imputed to Indemnitee for purposes of determining the right to indemnification under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Remedies of Indemnitee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54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12(f), in the event that (i) a determination is made pursuant to Section 10 of this Agreement that Indemnitee is not entitled to indemnification under this Agreement, (ii) advancement of Expenses is not timely made pursuant to Section 8 of this Agreement, (iii) no determination of entitlement to indemnification shall have been made pursuant to Section 10(a) of this Agreement within sixty (60) days after receipt by the Company of the request for indemnification for which a determination is to be made other than by Independent Counsel, (iv) payment of indemnification or reimbursement of expenses is not made pursuant to Section 5 or 6 or the last sentence of Section 10(a) of this Agreement within thirty (30) days after receipt by the Company of a written request therefor (including any invoices received by Indemnitee, which such invoices may be redacted as necessary to avoid the waiver of any privilege accorded by applicable law) or (v) payment of indemnification pursuant to Section 3 or 4 of this Agreement is not made within thirty (30) days after a determination has been made that Indemnitee is entitled to indemnification, Indemnitee shall be entitled to an adjudication by the Delaware Court of his or her entitlement to such indemnification or advancement. Alternatively, Indemnitee, at his or her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time limitation shall not apply in respect of a proceeding brought by Indemnitee to enforce his or her rights under Section 5 of this Agreement. The Company shall not oppose Indemnitee’s right to seek any such adjudication or award in arbitration.</w:t>
      </w:r>
    </w:p>
    <w:p>
      <w:pPr>
        <w:spacing w:after="0" w:line="200" w:lineRule="exact"/>
        <w:rPr>
          <w:sz w:val="20"/>
          <w:szCs w:val="20"/>
          <w:color w:val="auto"/>
        </w:rPr>
      </w:pPr>
    </w:p>
    <w:p>
      <w:pPr>
        <w:spacing w:after="0" w:line="2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8" w:name="page179"/>
    <w:bookmarkEnd w:id="178"/>
    <w:p>
      <w:pPr>
        <w:jc w:val="both"/>
        <w:ind w:firstLine="1304"/>
        <w:spacing w:after="0" w:line="258" w:lineRule="auto"/>
        <w:tabs>
          <w:tab w:leader="none" w:pos="155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determination shall have been made pursuant to Section 10(a) of this Agreement that Indemnitee is not entitled to indemnification, any judicial proceeding or arbitration commenced pursuant to this Section 12 shall be conducted in all respects as a de novo trial, or arbitration, on the merits and Indemnitee shall not be prejudiced by reason of that adverse determination. In any judicial proceeding or arbitration commenced pursuant to this Section 12, the Company shall have the burden of proving Indemnitee is not entitled to indemnification or advancement, as the case may be.</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Section 10(a)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7"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Indemnitee to the fullest extent permitted by law against any and all Enforcement Expenses and, if requested by Indemnitee, shall (within thirty (30) days after receipt by the Company of a written request therefor) advance, to the extent not prohibited by law, such Enforcement Expenses to Indemnitee, which are incurred by Indemnitee in connection with any action brought by Indemnitee for indemnification or advancement from the Company under this Agreement or under any directors’ and officers’ liability insurance policies maintained by the Company in the suit for which indemnification or advancement is being sought. Such written request for advancement shall include invoices received by Indemnitee in connection with such Enforcement Expenses but, in the case of invoices in connection with legal services, any references to legal work performed or to expenditures made that would cause Indemnitee to waive any privilege accorded by applicable law need not be included with the invoice.</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no determination as to entitlement to indemnification under this Agreement shall be required to be made prior to the final disposition of the Proceeding, including any appeal therein.</w:t>
      </w:r>
    </w:p>
    <w:p>
      <w:pPr>
        <w:spacing w:after="0" w:line="3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9" w:name="page180"/>
    <w:bookmarkEnd w:id="179"/>
    <w:p>
      <w:pPr>
        <w:ind w:left="68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Non-exclusivity; Survival of Rights; Insurance; Primacy of Indemnification; Subrogation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indemnification and to receive advancement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Delaware law, whether by statute or judicial decision, permits greater indemnification or advancement than would be afforded currently under the Charter,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4"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8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maintains an insurance policy or policies providing liability insurance for directors, managers, partners, officers, employees, agents or trustees of the Company or of any other Enterprise, Indemnitee shall be covered by such policy or policies in accordance with its or their terms to the maximum extent of the coverage available for any such director, manager, partner, officer, employee, agent or trustee under such policy or policies. If, at the time of the receipt of a notice of a claim pursuant to the terms hereof, the Company has director and officer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2"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acknowledges that Indemnitee has certain rights to indemnification, advancement of expenses and/or insurance provided by [Affiliated Entity] and certain of its affiliates (collectively, the “</w:t>
      </w:r>
      <w:r>
        <w:rPr>
          <w:rFonts w:ascii="Times New Roman" w:cs="Times New Roman" w:eastAsia="Times New Roman" w:hAnsi="Times New Roman"/>
          <w:sz w:val="18"/>
          <w:szCs w:val="18"/>
          <w:u w:val="single" w:color="auto"/>
          <w:color w:val="auto"/>
        </w:rPr>
        <w:t>Secondary Indemnitors</w:t>
      </w:r>
      <w:r>
        <w:rPr>
          <w:rFonts w:ascii="Times New Roman" w:cs="Times New Roman" w:eastAsia="Times New Roman" w:hAnsi="Times New Roman"/>
          <w:sz w:val="18"/>
          <w:szCs w:val="18"/>
          <w:color w:val="auto"/>
        </w:rPr>
        <w:t>”). The Company hereby agrees (i) that it is the indemnitor of first resort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its obligations to Indemnitee are primary and any obligation of the Secondary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Charter and/or Bylaws (or any other agreement between the Company and Indemnitee), without regard to any rights Indemnitee may have against the Secondary Indemnitors, and (iii) that it irrevocably waives, relinquishes and releases the Secondary Indemnitors from any and all claims against the Secondary Indemnitors for contribution, subrogation or any other recovery of any kind in respect thereof. The Company further agrees that no advancement or payment by the Secondary Indemnitors on behalf of Indemnitee with respect to any claim for which Indemnitee has sought indemnification from the Company shall affect the foregoing and the Secondary Indemnitors shall have a right of contribution and/or be subrogated to the extent of such advancement or payment to all of the rights of recovery of Indemnitee against the Company. The Company and Indemnitee agree that the Secondary Indemnitors are express third party beneficiaries of the terms of this Section 13(c).]</w:t>
      </w:r>
    </w:p>
    <w:p>
      <w:pPr>
        <w:spacing w:after="0" w:line="3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0" w:name="page181"/>
    <w:bookmarkEnd w:id="180"/>
    <w:p>
      <w:pPr>
        <w:jc w:val="both"/>
        <w:ind w:firstLine="1304"/>
        <w:spacing w:after="0" w:line="261" w:lineRule="auto"/>
        <w:tabs>
          <w:tab w:leader="none" w:pos="1557"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paragraph (c) above,] in the event of any payment under this Agreement, the Company shall be subrogated to the extent of such payment to all of the rights of recovery of Indemnitee [(other than against the Secondary Indemnitors)], who shall execute all papers required and take all action necessary to secure such rights, including execution of such documents as are necessary to enable the Company to bring suit to enforce such rights.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paragraph (c) above,] the Company’s obligation to provide indemnification or advancement hereunder to Indemnitee who is or was serving at the request of the Company as a director, manager, partner, officer, employee, agent or trustee of any other Enterprise shall be reduced by any amount Indemnitee has actually received as indemnification or advancement from such other Enterprise.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Duration of Agreement</w:t>
      </w:r>
      <w:r>
        <w:rPr>
          <w:rFonts w:ascii="Times New Roman" w:cs="Times New Roman" w:eastAsia="Times New Roman" w:hAnsi="Times New Roman"/>
          <w:sz w:val="18"/>
          <w:szCs w:val="18"/>
          <w:color w:val="auto"/>
        </w:rPr>
        <w:t>. This Agreement shall continue until and terminate upon the later of: (a) ten (10) years after the date that Indemnitee shall have ceased to serve as a director of the Company or (b) one (1) year after the final termination of any Proceeding, including any appeal, then pending in respect of which Indemnitee is granted rights of indemnification or advancement hereunder and of any proceeding commenced by Indemnitee pursuant to Section 12 of this Agreement relating thereto. This Agreement shall be binding upon the Company and its successors and assigns and shall inure to the benefit of Indemnitee and his or her heirs, executors and administrators.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3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1" w:name="page182"/>
    <w:bookmarkEnd w:id="181"/>
    <w:p>
      <w:pPr>
        <w:ind w:left="660"/>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41"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or continue to serve as a director of the Company, and the Company acknowledges that Indemnitee is relying upon this Agreement in serving as a director of the Company.</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1"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constitutes the entire agreement between the parties hereto with respect to the subject matter hereof and supersedes all prior agreements and understandings, oral, written and implied, between the parties hereto with respect to the subject matter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Agreement is a supplement to and in furtherance of the Charter, the Bylaws and applicable law, and shall not be deemed a substitute therefor, nor to diminish or abrogate any rights of Indemnitee thereunder.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No supplement, modification or amendment, or waiver of any provision, of this Agreement shall be binding unless executed in writing by the parties thereto. No waiver of any of the provisions of this Agreement shall be deemed or shall constitute a waiver of any other provisions of this Agreement nor shall any waiver constitute a continuing waiver. No supplement, modification or amendment of this Agreement or of any provision hereof shall limit or restrict any right of Indemnitee under this Agreement in respect of any action taken or omitted by such Indemnitee prior to such supplement, modification or amendment.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Notice by Indemnitee</w:t>
      </w:r>
      <w:r>
        <w:rPr>
          <w:rFonts w:ascii="Times New Roman" w:cs="Times New Roman" w:eastAsia="Times New Roman" w:hAnsi="Times New Roman"/>
          <w:sz w:val="18"/>
          <w:szCs w:val="18"/>
          <w:color w:val="auto"/>
        </w:rPr>
        <w:t>. Indemnitee agrees promptly to notify the Company in writing upon being served with any summons, citation, subpoena, complaint, indictment, information or other document relating to any Proceeding or matter which may be subject to indemnification, reimbursement or advancement as provided hereunder. The failure of Indemnitee to so notify the Company shall not relieve the Company of any obligation which it may have to Indemnitee under this Agreement or otherwise.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demands and other communications under this Agreement shall be in writing and shall be deemed to have been duly given if (i) delivered by hand and receipted for by the party to whom said notice or other communication shall have been directed, (ii) mailed by certified or registered mail with postage prepaid, on the third business day after the date on which it is so mailed, (iii) mailed by reputable overnight courier and receipted for by the party to whom said notice or other communication shall have been directed or (iv) sent by facsimile transmission, with receipt of oral confirmation that such transmission has been received:</w:t>
      </w:r>
    </w:p>
    <w:p>
      <w:pPr>
        <w:spacing w:after="0" w:line="183" w:lineRule="exact"/>
        <w:rPr>
          <w:sz w:val="20"/>
          <w:szCs w:val="20"/>
          <w:color w:val="auto"/>
        </w:rPr>
      </w:pPr>
    </w:p>
    <w:p>
      <w:pPr>
        <w:ind w:left="1540" w:hanging="236"/>
        <w:spacing w:after="0"/>
        <w:tabs>
          <w:tab w:leader="none" w:pos="15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such address as Indemnitee shall provide to the Company.</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One Kendall Square, Building 300</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by the Company.</w:t>
      </w:r>
    </w:p>
    <w:p>
      <w:pPr>
        <w:spacing w:after="0" w:line="200" w:lineRule="exact"/>
        <w:rPr>
          <w:sz w:val="20"/>
          <w:szCs w:val="20"/>
          <w:color w:val="auto"/>
        </w:rPr>
      </w:pPr>
    </w:p>
    <w:p>
      <w:pPr>
        <w:spacing w:after="0" w:line="2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2" w:name="page183"/>
    <w:bookmarkEnd w:id="18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Company and Indemnitee in connection with the event(s) and/or transaction(s) giving rise to such Proceeding; and/or (ii) the relative fault of the Company (and its directors, officers, employees and agents) and Indemnitee in connection with such event(s) and/or transactions.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Internal Revenue Code Section 409A</w:t>
      </w:r>
      <w:r>
        <w:rPr>
          <w:rFonts w:ascii="Times New Roman" w:cs="Times New Roman" w:eastAsia="Times New Roman" w:hAnsi="Times New Roman"/>
          <w:sz w:val="18"/>
          <w:szCs w:val="18"/>
          <w:color w:val="auto"/>
        </w:rPr>
        <w:t>. The Company intends for this Agreement to comply with the Indemnification exception under Section 1.409A-1(b)(10) of the regulations promulgated under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which provides that indemnification of, or the purchase of an insurance policy providing for payments of, all or part of the expenses incurred or damages paid or payable by Indemnitee with respect to a bona fide claim against Indemnitee or the Company do not provide for a deferral of compensation, subject to Section 409A of the Code, where such claim is based on actions or failures to act by Indemnitee in his or her capacity as a service provider of the Company. The parties intend that this Agreement be interpreted and construed with such intent.</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Applicable Law and Consent to Jurisdiction</w:t>
      </w:r>
      <w:r>
        <w:rPr>
          <w:rFonts w:ascii="Times New Roman" w:cs="Times New Roman" w:eastAsia="Times New Roman" w:hAnsi="Times New Roman"/>
          <w:sz w:val="18"/>
          <w:szCs w:val="18"/>
          <w:color w:val="auto"/>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w:t>
      </w:r>
    </w:p>
    <w:p>
      <w:pPr>
        <w:spacing w:after="0" w:line="1" w:lineRule="exact"/>
        <w:rPr>
          <w:sz w:val="20"/>
          <w:szCs w:val="20"/>
          <w:color w:val="auto"/>
        </w:rPr>
      </w:pPr>
    </w:p>
    <w:p>
      <w:pPr>
        <w:jc w:val="both"/>
        <w:ind w:firstLine="8"/>
        <w:spacing w:after="0" w:line="252" w:lineRule="auto"/>
        <w:tabs>
          <w:tab w:leader="none" w:pos="21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consent to service of process at the address set forth in Section 19 of this Agreement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19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paragraphs of this Agreement are inserted for convenience only and shall not be deemed to constitute part of this Agreement or to affect the construction thereof.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Identical Counterparts</w:t>
      </w:r>
      <w:r>
        <w:rPr>
          <w:rFonts w:ascii="Times New Roman" w:cs="Times New Roman" w:eastAsia="Times New Roman" w:hAnsi="Times New Roman"/>
          <w:sz w:val="18"/>
          <w:szCs w:val="18"/>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signed as of the day and year first above written.</w:t>
      </w:r>
    </w:p>
    <w:p>
      <w:pPr>
        <w:spacing w:after="0" w:line="23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2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17145</wp:posOffset>
            </wp:positionV>
            <wp:extent cx="249428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3910330</wp:posOffset>
            </wp:positionH>
            <wp:positionV relativeFrom="paragraph">
              <wp:posOffset>280035</wp:posOffset>
            </wp:positionV>
            <wp:extent cx="284607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[Indemnitee]</w:t>
      </w:r>
    </w:p>
    <w:p>
      <w:pPr>
        <w:spacing w:after="0" w:line="200" w:lineRule="exact"/>
        <w:rPr>
          <w:sz w:val="20"/>
          <w:szCs w:val="20"/>
          <w:color w:val="auto"/>
        </w:rPr>
      </w:pPr>
    </w:p>
    <w:p>
      <w:pPr>
        <w:spacing w:after="0" w:line="24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17145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539"/>
          </w:cols>
          <w:pgMar w:left="920" w:top="337" w:right="1440"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4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[FORM OF] OFFICER INDEMNIFICATION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Indemnification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[________________] by and between Gemini Therapeutics, Inc., a 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[Officer]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desires to attract and retain the services of highly qualified individuals, such as Indemnitee, to serve the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in order to induce Indemnitee to provide or continue to provide services to the Company, the Company wishes to provide for the indemnification of, and advancement of expenses to, Indemnitee to the maximum extent permitted by law;</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Amended and Restated Certificate of Incorporation (as amended and in effect from time to time,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and the Amended and Restated Bylaws (as amended and in effect from time to time,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of the Company require indemnification of the officers and directors of the Company, and Indemnitee may also be entitled to indemnification pursuant to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Charter,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has determined that the increased difficulty in attracting and retaining highly qualified persons such as Indemnitee is detrimental to the best interests of the Company’s stockholders;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it is reasonable and prudent for the Company contractually to obligate itself to indemnify, and to advance expenses on behalf of, such persons to the fullest extent permitted by applicable law, regardless of any amendment or revocation of the Charter or the Bylaws, so that they will serve or continue to serve the Company free from undue concern that they will not be so indemnified; and</w:t>
      </w:r>
    </w:p>
    <w:p>
      <w:pPr>
        <w:spacing w:after="0" w:line="176" w:lineRule="exact"/>
        <w:rPr>
          <w:sz w:val="20"/>
          <w:szCs w:val="20"/>
          <w:color w:val="auto"/>
        </w:rPr>
      </w:pPr>
    </w:p>
    <w:p>
      <w:pPr>
        <w:jc w:val="both"/>
        <w:ind w:right="20" w:firstLine="583"/>
        <w:spacing w:after="0" w:line="282" w:lineRule="auto"/>
        <w:rPr>
          <w:sz w:val="20"/>
          <w:szCs w:val="20"/>
          <w:color w:val="auto"/>
        </w:rPr>
      </w:pPr>
      <w:r>
        <w:rPr>
          <w:rFonts w:ascii="Times New Roman" w:cs="Times New Roman" w:eastAsia="Times New Roman" w:hAnsi="Times New Roman"/>
          <w:sz w:val="18"/>
          <w:szCs w:val="18"/>
          <w:color w:val="auto"/>
        </w:rPr>
        <w:t>WHEREAS, this Agreement is a supplement to and in furtherance of the indemnification provided in the Charter, the Bylaws and any resolutions adopted pursuant thereto, and shall not be deemed a substitute therefor, nor to diminish or abrogate any rights of Indemnitee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5" w:name="page186"/>
    <w:bookmarkEnd w:id="185"/>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covenants contained herein, the Company and Indemnitee do hereby covenant and agree as follows: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Services to the Company</w:t>
      </w:r>
      <w:r>
        <w:rPr>
          <w:rFonts w:ascii="Times New Roman" w:cs="Times New Roman" w:eastAsia="Times New Roman" w:hAnsi="Times New Roman"/>
          <w:sz w:val="18"/>
          <w:szCs w:val="18"/>
          <w:color w:val="auto"/>
        </w:rPr>
        <w:t>. Indemnitee agrees to [continue to] serve as [a director and] an officer of the Company. Indemnitee may at any time and for any reason resign from [any] such position (subject to any other contractual obligation or any obligation imposed by law), in which event the Company shall have no obligation under this Agreement to continue Indemnitee in such position. This Agreement shall not be deemed an employment contract between the Company (or any of its subsidiaries or any Enterprise) and Indemnitee.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Agreement:</w:t>
      </w:r>
    </w:p>
    <w:p>
      <w:pPr>
        <w:spacing w:after="0" w:line="225" w:lineRule="exact"/>
        <w:rPr>
          <w:sz w:val="20"/>
          <w:szCs w:val="20"/>
          <w:color w:val="auto"/>
        </w:rPr>
      </w:pPr>
    </w:p>
    <w:p>
      <w:pPr>
        <w:jc w:val="both"/>
        <w:ind w:firstLine="1304"/>
        <w:spacing w:after="0" w:line="255" w:lineRule="auto"/>
        <w:tabs>
          <w:tab w:leader="none" w:pos="1562"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shall mean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Status</w:t>
      </w:r>
      <w:r>
        <w:rPr>
          <w:rFonts w:ascii="Times New Roman" w:cs="Times New Roman" w:eastAsia="Times New Roman" w:hAnsi="Times New Roman"/>
          <w:sz w:val="18"/>
          <w:szCs w:val="18"/>
          <w:color w:val="auto"/>
        </w:rPr>
        <w:t>” describes the status of a person as a current or former [director or] officer of the Company or current or former director, manager, partner, officer, employee, agent or trustee of any other Enterprise which such person is or was serving at the request of the Company.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Enforcement Expenses</w:t>
      </w:r>
      <w:r>
        <w:rPr>
          <w:rFonts w:ascii="Times New Roman" w:cs="Times New Roman" w:eastAsia="Times New Roman" w:hAnsi="Times New Roman"/>
          <w:sz w:val="18"/>
          <w:szCs w:val="18"/>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an action to enforce indemnification or advancement rights, or an appeal from such action. Expenses, however, shall not include fees, salaries, wages or benefits owed to Indemnitee.</w:t>
      </w:r>
    </w:p>
    <w:p>
      <w:pPr>
        <w:spacing w:after="0" w:line="179"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6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Enterprise</w:t>
      </w:r>
      <w:r>
        <w:rPr>
          <w:rFonts w:ascii="Times New Roman" w:cs="Times New Roman" w:eastAsia="Times New Roman" w:hAnsi="Times New Roman"/>
          <w:sz w:val="18"/>
          <w:szCs w:val="18"/>
          <w:color w:val="auto"/>
        </w:rPr>
        <w:t>” shall mean any corporation (other than the Company), partnership, joint venture, trust, employee benefit plan, limited liability company, or other legal entity of which Indemnitee is or was serving at the request of the Company as a director, manager, partner, officer, employee, agent or trustee.</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prosecuting, defending, preparing to prosecute or defend, investigating, being or preparing to be a witness in, or otherwise participating in, a Proceeding or an appeal resulting from a Proceeding. Expenses, however, shall not include amounts paid in settlement by Indemnitee, the amount of judgments or fines against Indemnitee or fees, salaries, wages or benefits owed to Indemnitee.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6" w:name="page187"/>
    <w:bookmarkEnd w:id="186"/>
    <w:p>
      <w:pPr>
        <w:jc w:val="both"/>
        <w:ind w:firstLine="1304"/>
        <w:spacing w:after="0" w:line="254" w:lineRule="auto"/>
        <w:tabs>
          <w:tab w:leader="none" w:pos="1548"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Counsel</w:t>
      </w:r>
      <w:r>
        <w:rPr>
          <w:rFonts w:ascii="Times New Roman" w:cs="Times New Roman" w:eastAsia="Times New Roman" w:hAnsi="Times New Roman"/>
          <w:sz w:val="18"/>
          <w:szCs w:val="18"/>
          <w:color w:val="auto"/>
        </w:rPr>
        <w:t>” means a law firm, or a partner (or, if applicable, member or shareholder) of such a law firm, that is experienced in matters of Delaware corporation law and neither presently is, nor in the past five (5) years has been, retained to represent: (i) the Company, any subsidiary of the Company, any Enterprise or Indemnitee in any matter material to any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8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xml:space="preserve">” shall include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regulatory or investigative nature, and whether formal or informal, in which Indemnitee was, is or will be involved as a party or otherwise by reason of the fact that Indemnitee is or was [a director or] an officer of the Company or is or was serving at the request of the Company as a director, manager, partner, officer, employee, agent or trustee of any Enterprise or by reason of any action taken by Indemnitee or of any action taken on his or her part while acting as [a director or] an officer of the Company or while serving at the request of the Company as a director, manager, partner, officer, employee, agent or trustee of any Enterprise, in each case whether or not serving in such capacity at the time any liability or expense is incurred for which indemnification, reimbursement or advancement of expenses can be provided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 “Proceeding” shall not include any action, suit or arbitration, or part thereof, initiated by Indemnitee to enforce Indemnitee’s rights under this Agreement as provided for in Section 12(a) of this Agreement.</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Indemnity in Third-Party Proceedings</w:t>
      </w:r>
      <w:r>
        <w:rPr>
          <w:rFonts w:ascii="Times New Roman" w:cs="Times New Roman" w:eastAsia="Times New Roman" w:hAnsi="Times New Roman"/>
          <w:sz w:val="18"/>
          <w:szCs w:val="18"/>
          <w:color w:val="auto"/>
        </w:rPr>
        <w:t>. The Company shall indemnify Indemnitee to the extent set forth in this Section 3 if Indemnitee is, or is threatened to be made, a party to or a participant in any Proceeding, other than a Proceeding by or in the right of the Company to procure a judgment in its favor. Pursuant to this Section 3, Indemnitee shall be indemnified against all Expenses, judgments, fines, penalties, excise taxes,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Indemnity in Proceedings by or in the Right of the Company</w:t>
      </w:r>
      <w:r>
        <w:rPr>
          <w:rFonts w:ascii="Times New Roman" w:cs="Times New Roman" w:eastAsia="Times New Roman" w:hAnsi="Times New Roman"/>
          <w:sz w:val="18"/>
          <w:szCs w:val="18"/>
          <w:color w:val="auto"/>
        </w:rPr>
        <w:t>. The Company shall indemnify Indemnitee to the extent set forth in this Section 4 if Indemnitee is, or is threatened to be made, a party to or a participant in any Proceeding by or in the right of the Company to procure a judgment in its favor. Pursuant to this Section 4, Indemnitee shall be indemnified against all Expenses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Delaware Court of Chancery (the “</w:t>
      </w:r>
      <w:r>
        <w:rPr>
          <w:rFonts w:ascii="Times New Roman" w:cs="Times New Roman" w:eastAsia="Times New Roman" w:hAnsi="Times New Roman"/>
          <w:sz w:val="18"/>
          <w:szCs w:val="18"/>
          <w:u w:val="single" w:color="auto"/>
          <w:color w:val="auto"/>
        </w:rPr>
        <w:t>Delaware Court</w:t>
      </w:r>
      <w:r>
        <w:rPr>
          <w:rFonts w:ascii="Times New Roman" w:cs="Times New Roman" w:eastAsia="Times New Roman" w:hAnsi="Times New Roman"/>
          <w:sz w:val="18"/>
          <w:szCs w:val="18"/>
          <w:color w:val="auto"/>
        </w:rPr>
        <w:t>”) shall determine upon application that, despite the adjudication of liability but in view of all the circumstances of the case, Indemnitee is fairly and reasonably entitled to indemnification for such expenses as the Delaware Court shall deem proper.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7" w:name="page188"/>
    <w:bookmarkEnd w:id="18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 provisions of this Agreement and except as provided in Section 7, to the extent that Indemnitee is a party to or a participant in any Proceeding and is successful in such Proceeding or in defense of any claim, issue or matter therein, the Company shall indemnify Indemnitee against all Expenses actually and reasonably incurred by him or her in connection therewith. If Indemnitee is not wholly successful in such Proceeding but is successful as to one or more but less than all claims, issues or matters in such Proceeding, the Company shall indemnify Indemnitee against all Expenses actually and reasonably incurred by Indemnitee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Reimbursement for Expenses of a Witness or in Response to a Subpoena</w:t>
      </w:r>
      <w:r>
        <w:rPr>
          <w:rFonts w:ascii="Times New Roman" w:cs="Times New Roman" w:eastAsia="Times New Roman" w:hAnsi="Times New Roman"/>
          <w:sz w:val="18"/>
          <w:szCs w:val="18"/>
          <w:color w:val="auto"/>
        </w:rPr>
        <w:t>. Notwithstanding any other provision of this Agreement, to the extent that Indemnitee, by reason of his or her Corporate Status, (i) is a witness in any Proceeding to which Indemnitee is not a party and is not threatened to be made a party or (ii) receives a subpoena with respect to any Proceeding to which Indemnitee is not a party and is not threatened to be made a party, the Company shall reimburse Indemnitee for all Expenses actually and reasonably incurred by him or her or on his or her behalf in connection therewith.</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Exclusions</w:t>
      </w:r>
      <w:r>
        <w:rPr>
          <w:rFonts w:ascii="Times New Roman" w:cs="Times New Roman" w:eastAsia="Times New Roman" w:hAnsi="Times New Roman"/>
          <w:sz w:val="18"/>
          <w:szCs w:val="18"/>
          <w:color w:val="auto"/>
        </w:rPr>
        <w:t>. Notwithstanding any provision in this Agreement to the contrary, the Company shall not be obligated under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firstLine="1304"/>
        <w:spacing w:after="0" w:line="282" w:lineRule="auto"/>
        <w:tabs>
          <w:tab w:leader="none" w:pos="1553"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for amounts otherwise indemnifiable hereunder (or for which advancement is provided hereunder) if and to the extent that Indemnitee has otherwise actually received such amounts under any insurance policy, contract, agreement or otherwise;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for an accounting of profits made from the purchase and sale (or sale and purchase) by Indemnitee of securities of the Company within the meaning of Section 16(b) of the Securities Exchange Act of 1934, as amended, or similar provisions of state statutory law or common law, or from the purchase or sale by Indemnitee of such securities in violation of Section 306 of the Sarbanes-Oxley Act of 2002, as amended (“</w:t>
      </w:r>
      <w:r>
        <w:rPr>
          <w:rFonts w:ascii="Times New Roman" w:cs="Times New Roman" w:eastAsia="Times New Roman" w:hAnsi="Times New Roman"/>
          <w:sz w:val="18"/>
          <w:szCs w:val="18"/>
          <w:u w:val="single" w:color="auto"/>
          <w:color w:val="auto"/>
        </w:rPr>
        <w:t>SOX</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8" w:name="page189"/>
    <w:bookmarkEnd w:id="188"/>
    <w:p>
      <w:pPr>
        <w:jc w:val="both"/>
        <w:ind w:firstLine="1304"/>
        <w:spacing w:after="0" w:line="261" w:lineRule="auto"/>
        <w:tabs>
          <w:tab w:leader="none" w:pos="154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for any reimbursement of, or payment to, the Company by Indemnitee of any bonus or other incentive-based or equity-based compensation or of any profits realized by Indemnitee from the sale of securities of the Company pursuant to Section 304 of SOX or any formal policy of the Company adopted by the Board (or a committee thereof), or any other remuneration paid to Indemnitee if it shall be determined by a final judgment or other final adjudication that such remuneration was in violation of law;</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3"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indemnify with respect to any Proceeding, or part thereof, brought by Indemnitee against the Company, any legal entity which it controls, any director or officer thereof or any third party, unless (i) the Board has consented to the initiation of such Proceeding or part thereof and (ii) the Company provides the indemnification, in its sole discretion, pursuant to the powers vested in the Company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Section 7(d) shall not apply to (A) counterclaims or affirmative defenses asserted by Indemnitee in an action brought against Indemnitee or (B) any action brought by Indemnitee for indemnification or advancement from the Company under this Agreement or under any directors’ and officers’ liability insurance policies maintained by the Company in the suit for which indemnification or advancement is being sought as described in Section 12; or</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57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any indemnification or advancement of expenses that is prohibited by applicable law (as such law exists at the time payment would otherwise be required pursuant to this Agreement).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Subject to Section 9(b), the Company shall advance, to the extent not prohibited by law, the Expenses incurred by Indemnitee in connection with any Proceeding, and such advancement shall be made as incurred, and such advancement shall be made within thirty (30) days after the receipt by the Company of a statement or statements requesting such advances (including any invoices received by Indemnitee, which such invoices may be redacted as necessary to avoid the waiver of any privilege accorded by applicable law) from time to time, whether prior to or after final disposition of any Proceeding. Advances shall be unsecured and interest free. Advances shall be made without regard to Indemnitee’s (i) ability to repay the expenses, (ii) ultimate entitlement to indemnification under the other provisions of this Agreement, and (iii) entitlement to and availability of insurance coverage, including advancement, payment or reimbursement of defense costs, expenses of covered loss under the provisions of any applicable insurance policy (including, without limitation, whether such advancement, payment or reimbursement is withheld, conditioned or delayed by the insurer(s)). Indemnitee shall qualify for advances upon the execution and delivery to the Company of this Agreement which shall constitute an undertaking providing that Indemnitee undertakes to the fullest extent required by law to repay the advance if and to the extent that it is ultimately determined by a court of competent jurisdiction in a final judgment, not subject to appeal, that Indemnitee is not entitled to be indemnified by the Company. The right to advances under this paragraph shall in all events continue until final disposition of any Proceeding, including any appeal therein. Nothing in this Section 8 shall limit Indemnitee’s right to advancement pursuant to Section 12(e) of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9" w:name="page190"/>
    <w:bookmarkEnd w:id="189"/>
    <w:p>
      <w:pPr>
        <w:ind w:left="68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Procedure for Notification and Defense of Claim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53"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indemnification under this Agreement, Indemnitee shall submit to the Company a written request therefor specifying the basis for the claim, the amounts for which Indemnitee is seeking payment under this Agreement, and all documentation related thereto as reasonably requested by the Company.</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Company shall be obligated hereunder to provide indemnification for or make any advancement of Expenses with respect to any Proceeding, the Company shall be entitled to assume the defense of such Proceeding, or any claim, issue or matter therein, with counsel approved by Indemnitee (which approval shall not be unreasonably withheld or delayed) upon the delivery to Indemnitee of written notice of the Company’s election to do so. After delivery of such notice, approval of such counsel by Indemnitee and the retention of such counsel by the Company, the Company will not be liable to Indemnitee under this Agreement for any fees or expenses of separate counsel subsequently employed by or on behalf of Indemnitee with respect to the same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Indemnitee shall have the right to employ separate counsel in any such Proceeding at Indemnitee’s expense and (ii) if (A) the employment of separate counsel by Indemnitee has been previously authorized by the Company, (B) Indemnitee shall have reasonably concluded that there may be a conflict of interest between the Company and Indemnitee in the conduct of such defense, or (C) the Company shall not continue to retain such counsel to defend such Proceeding, then the fees and expenses actually and reasonably incurred by Indemnitee with respect to his or her separate counsel shall be Expenses hereunder.</w:t>
      </w:r>
    </w:p>
    <w:p>
      <w:pPr>
        <w:spacing w:after="0" w:line="194" w:lineRule="exact"/>
        <w:rPr>
          <w:rFonts w:ascii="Times New Roman" w:cs="Times New Roman" w:eastAsia="Times New Roman" w:hAnsi="Times New Roman"/>
          <w:sz w:val="18"/>
          <w:szCs w:val="18"/>
          <w:color w:val="auto"/>
        </w:rPr>
      </w:pPr>
    </w:p>
    <w:p>
      <w:pPr>
        <w:ind w:right="20" w:firstLine="1304"/>
        <w:spacing w:after="0" w:line="282" w:lineRule="auto"/>
        <w:tabs>
          <w:tab w:leader="none" w:pos="1597"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does not assume the defense in a Proceeding pursuant to paragraph (b) above, then the Company will be entitled to participate in the Proceeding at its own expense.</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71"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liable to indemnify Indemnitee under this Agreement for any amounts paid in settlement of any Proceeding effected without its prior written consent (which consent shall not be unreasonably withheld or delayed). The Company shall not, without the prior written consent of Indemnitee (which consent shall not be unreasonably withheld or delayed), enter into any settlement which (i) includes an admission of fault of Indemnitee, any non-monetary remedy imposed on Indemnitee or any monetary damages for which Indemnitee is not wholly and actually indemnified hereunder or (ii) with respect to any Proceeding with respect to which Indemnitee may be or is made a party or may be otherwise entitled to seek indemnification hereunder, does not include the full release of Indemnitee from all liability in respect of such Proceeding.</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Procedure Upon Application for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541"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request by Indemnitee for indemnification pursuant to Section 9(a), a determination, if such determination is required by applicable law, with respect to Indemnitee’s entitlement to indemnification hereunder shall be made in the specific case by one of the following methods: [(x) if a Change in Control shall have occurred and indemnification is being requested by Indemnitee hereunder in his or her capacity as a director of the Company, by Independent Counsel in a written opinion to the Board; or (y) in any other case,] (i) by a majority vote of the disinterested directors, even though less than a quorum; (ii) by a committee of disinterested directors designated by a majority vote of the disinterested directors, even though less than a quorum; or (iii) if there are no disinterested directors or if the disinterested directors so direct, by Independent Counsel in a written opinion to the Board. For purposes hereof, disinterested directors are those members of the Board who are not parties to the action, suit or proceeding in respect of which indemnification is sought. In the case that such determination is made by Independent Counsel, a copy of Independent Counsel’s written opinion shall be delivered to Indemnitee and, if it is so determined that Indemnitee is entitled to indemnification, payment to Indemnitee shall be made within thirty (30) days after such determination. Indemnitee shall cooperate with the Independent Counsel or the Company, as applicable, in making such determination with respect to Indemnitee’s entitlement to indemnification, including providing to such counsel or the Company, upon reasonable advance request, any documentation or information which is not privileged or otherwise protected from disclosure and which is reasonably available to Indemnitee and reasonably necessary to such determination. Any out-of-pocket costs or expenses (including reasonable attorneys’ fees and disbursements) actually and reasonably incurred by Indemnitee in so cooperating with the Independent Counsel or the Company shall be borne by the Company (irrespective of the determination as to Indemnitee’s entitlement to indemnification) and the Company hereby indemnifies and agrees to hold Indemnitee harmless therefrom.</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0" w:name="page191"/>
    <w:bookmarkEnd w:id="190"/>
    <w:p>
      <w:pPr>
        <w:jc w:val="both"/>
        <w:ind w:firstLine="1304"/>
        <w:spacing w:after="0" w:line="252" w:lineRule="auto"/>
        <w:tabs>
          <w:tab w:leader="none" w:pos="159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determination of entitlement to indemnification is to be made by Independent Counsel pursuant to Section 10(a), the Independent Counsel shall be selected by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Change in Control shall have occurred and indemnification is being requested by Indemnitee hereunder in his or her capacity as a director of the Company, the Independent Counsel shall be selected by Indemnitee. Indemnitee or the Company, as the case may be, may, within ten (10) days after written notice of such selection, deliver to the Company or Indemnitee, as the case may be, a written objection to such selection;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 (i) submission by Indemnitee of a written request for indemnification pursuant to Section 9(a), and (ii) the final disposition of the Proceeding, including any appeal therein, no Independent Counsel shall have been selected without objection, either Indemnitee or the Company may petition the Delaware Court for resolution of any objection which shall have been made by Indemnitee or the Company to the selection of Independent Counsel and/or for the appointment as Independent Counsel of a person selected by the court or by such other person as the court shall designate. The person with respect to whom all objections are so resolved or the person so appointed shall act as Independent Counsel under Section 10(a) hereof. Upon the due commencement of any judicial proceeding or arbitration pursuant to Section 12(a) of this Agreement, Independent Counsel shall be discharged and relieved of any further responsibility in such capacity (subject to the applicable standards of professional conduct then prevailing).</w:t>
      </w:r>
    </w:p>
    <w:p>
      <w:pPr>
        <w:spacing w:after="0" w:line="19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Presumptions and Effect of Certain Proceedings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41"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in making a determination with respect to entitlement to indemnification hereunder, it shall be presumed that Indemnitee is entitled to indemnification under this Agreement if Indemnitee has submitted a request for indemnification in accordance with Section 9(a) of this Agreement, and the Company shall have the burden of proof to overcome that presumption in connection with the making of any determination contrary to that presumption. Neither (i) the failure of the Company or of Independent Counsel to have made a determination prior to the commencement of any action pursuant to this Agreement that indemnification is proper in the circumstances because Indemnitee has met the applicable standard of conduct, nor (ii) an actual determination by the Company or by Independent Counsel that Indemnitee has not met such applicable standard of conduct, shall be a defense to the action or create a presumption that Indemnitee has not met the applicable standard of conduct.</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termination of any Proceeding or of any claim, issue or matter therein, by judgment, order, settlement or conviction, or upon a plea of guilty, </w:t>
      </w:r>
      <w:r>
        <w:rPr>
          <w:rFonts w:ascii="Times New Roman" w:cs="Times New Roman" w:eastAsia="Times New Roman" w:hAnsi="Times New Roman"/>
          <w:sz w:val="18"/>
          <w:szCs w:val="18"/>
          <w:u w:val="single" w:color="auto"/>
          <w:color w:val="auto"/>
        </w:rPr>
        <w:t>nolo contendere</w:t>
      </w:r>
      <w:r>
        <w:rPr>
          <w:rFonts w:ascii="Times New Roman" w:cs="Times New Roman" w:eastAsia="Times New Roman" w:hAnsi="Times New Roman"/>
          <w:sz w:val="18"/>
          <w:szCs w:val="18"/>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2"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knowledge and/or actions, or failure to act, of any director, manager, partner, officer, employee, agent or trustee of the Company, any subsidiary of the Company, or any Enterprise shall not be imputed to Indemnitee for purposes of determining the right to indemnification under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1" w:name="page192"/>
    <w:bookmarkEnd w:id="191"/>
    <w:p>
      <w:pPr>
        <w:ind w:left="66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Remedies of Indemnitee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54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12(f), in the event that (i) a determination is made pursuant to Section 10 of this Agreement that Indemnitee is not entitled to indemnification under this Agreement, (ii) advancement of Expenses is not timely made pursuant to Section 8 of this Agreement, (iii) no determination of entitlement to indemnification shall have been made pursuant to Section 10(a) of this Agreement within sixty (60) days after receipt by the Company of the request for indemnification for which a determination is to be made other than by Independent Counsel, (iv) payment of indemnification or reimbursement of expenses is not made pursuant to Section 5 or 6 or the last sentence of Section 10(a) of this Agreement within thirty (30) days after receipt by the Company of a written request therefor (including any invoices received by Indemnitee, which such invoices may be redacted as necessary to avoid the waiver of any privilege accorded by applicable law) or (v) payment of indemnification pursuant to Section 3 or 4 of this Agreement is not made within thirty (30) days after a determination has been made that Indemnitee is entitled to indemnification, Indemnitee shall be entitled to an adjudication by the Delaware Court of his or her entitlement to such indemnification or advancement. Alternatively, Indemnitee, at his or her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time limitation shall not apply in respect of a proceeding brought by Indemnitee to enforce his or her rights under Section 5 of this Agreement. The Company shall not oppose Indemnitee’s right to seek any such adjudication or award in arbitration.</w:t>
      </w:r>
    </w:p>
    <w:p>
      <w:pPr>
        <w:spacing w:after="0" w:line="19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8"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determination shall have been made pursuant to Section 10(a) of this Agreement that Indemnitee is not entitled to indemnification, any judicial proceeding or arbitration commenced pursuant to this Section 12 shall be conducted in all respects as a de novo trial, or arbitration, on the merits and Indemnitee shall not be prejudiced by reason of that adverse determination. In any judicial proceeding or arbitration commenced pursuant to this Section 12, the Company shall have the burden of proving Indemnitee is not entitled to indemnification or advancement, as the case may be.</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08"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Section 10(a)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Indemnitee to the fullest extent permitted by law against any and all Enforcement Expenses and, if requested by Indemnitee, shall (within thirty (30) days after receipt by the Company of a written request therefor) advance, to the extent not prohibited by law, such Enforcement Expenses to Indemnitee, which are incurred by Indemnitee in connection with any action brought by Indemnitee for indemnification or advancement from the Company under this Agreement or under any directors’ and officers’ liability insurance policies maintained by the Company in the suit for which indemnification or advancement is being sought. Such written request for advancement shall include invoices received by Indemnitee in connection with such Enforcement Expenses but, in the case of invoices in connection with legal services, any references to legal work performed or to expenditures made that would cause Indemnitee to waive any privilege accorded by applicable law need not be included with the invoice.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2" w:name="page193"/>
    <w:bookmarkEnd w:id="192"/>
    <w:p>
      <w:pPr>
        <w:ind w:firstLine="1304"/>
        <w:spacing w:after="0" w:line="282" w:lineRule="auto"/>
        <w:tabs>
          <w:tab w:leader="none" w:pos="156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no determination as to entitlement to indemnification under this Agreement shall be required to be made prior to the final disposition of the Proceeding, including any appeal therein.</w:t>
      </w:r>
    </w:p>
    <w:p>
      <w:pPr>
        <w:spacing w:after="0" w:line="16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Non-exclusivity; Survival of Rights; Insurance; Subrogation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indemnification and to receive advancement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Delaware law, whether by statute or judicial decision, permits greater indemnification or advancement than would be afforded currently under the Charter,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4"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81"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maintains an insurance policy or policies providing liability insurance for directors, managers, partners, officers, employees, agents or trustees of the Company or of any other Enterprise, Indemnitee shall be covered by such policy or policies in accordance with its or their terms to the maximum extent of the coverage available for any such director, manager, partner, officer, employee, agent or trustee under such policy or policies. If, at the time of the receipt of a notice of a claim pursuant to the terms hereof, the Company has director and officer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188"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4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7"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provide indemnification or advancement hereunder to Indemnitee who is or was serving at the request of the Company as a director, manager, partner, officer, employee, agent or trustee of any other Enterprise shall be reduced by any amount Indemnitee has actually received as indemnification or advancement from such other Enterprise.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Duration of Agreement</w:t>
      </w:r>
      <w:r>
        <w:rPr>
          <w:rFonts w:ascii="Times New Roman" w:cs="Times New Roman" w:eastAsia="Times New Roman" w:hAnsi="Times New Roman"/>
          <w:sz w:val="18"/>
          <w:szCs w:val="18"/>
          <w:color w:val="auto"/>
        </w:rPr>
        <w:t>. This Agreement shall continue until and terminate upon the later of: (a) ten (10) years after the date that Indemnitee shall have ceased to serve as [both a director and] an officer of the Company or (b) one (1) year after the final termination of any Proceeding, including any appeal, then pending in respect of which Indemnitee is granted rights of indemnification or advancement hereunder and of any proceeding commenced by Indemnitee pursuant to Section 12 of this Agreement relating thereto. This Agreement shall be binding upon the Company and its successors and assigns and shall inure to the benefit of Indemnitee and his or her heirs, executors and administrators.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3" w:name="page194"/>
    <w:bookmarkEnd w:id="19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3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or continue to serve as [a director and] an officer of the Company, and the Company acknowledges that Indemnitee is relying upon this Agreement in serving as [a director and] an officer of the Company.</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constitutes the entire agreement between the parties hereto with respect to the subject matter hereof and supersedes all prior agreements and understandings, oral, written and implied, between the parties hereto with respect to the subject matter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Agreement is a supplement to and in furtherance of the Charter, the Bylaws and applicable law, and shall not be deemed a substitute therefor, nor to diminish or abrogate any rights of Indemnitee thereunder.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No supplement, modification or amendment, or waiver of any provision, of this Agreement shall be binding unless executed in writing by the parties thereto. No waiver of any of the provisions of this Agreement shall be deemed or shall constitute a waiver of any other provisions of this Agreement nor shall any waiver constitute a continuing waiver. No supplement, modification or amendment of this Agreement or of any provision hereof shall limit or restrict any right of Indemnitee under this Agreement in respect of any action taken or omitted by such Indemnitee prior to such supplement, modification or amendment.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Notice by Indemnitee</w:t>
      </w:r>
      <w:r>
        <w:rPr>
          <w:rFonts w:ascii="Times New Roman" w:cs="Times New Roman" w:eastAsia="Times New Roman" w:hAnsi="Times New Roman"/>
          <w:sz w:val="18"/>
          <w:szCs w:val="18"/>
          <w:color w:val="auto"/>
        </w:rPr>
        <w:t>. Indemnitee agrees promptly to notify the Company in writing upon being served with any summons, citation, subpoena, complaint, indictment, information or other document relating to any Proceeding or matter which may be subject to indemnification, reimbursement or advancement as provided hereunder. The failure of Indemnitee to so notify the Company shall not relieve the Company of any obligation which it may have to Indemnitee under this Agreement or otherwise.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demands and other communications under this Agreement shall be in writing and shall be deemed to have been duly given if (i) delivered by hand and receipted for by the party to whom said notice or other communication shall have been directed, (ii) mailed by certified or registered mail with postage prepaid, on the third business day after the date on which it is so mailed, (iii) mailed by reputable overnight courier and receipted for by the party to whom said notice or other communication shall have been directed or (iv) sent by facsimile transmission, with receipt of oral confirmation that such transmission has been received:</w:t>
      </w:r>
    </w:p>
    <w:p>
      <w:pPr>
        <w:spacing w:after="0" w:line="183" w:lineRule="exact"/>
        <w:rPr>
          <w:sz w:val="20"/>
          <w:szCs w:val="20"/>
          <w:color w:val="auto"/>
        </w:rPr>
      </w:pPr>
    </w:p>
    <w:p>
      <w:pPr>
        <w:ind w:left="1540" w:hanging="236"/>
        <w:spacing w:after="0"/>
        <w:tabs>
          <w:tab w:leader="none" w:pos="15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such address as Indemnitee shall provide to the Company.</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One Kendall Square, Building 300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by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4" w:name="page195"/>
    <w:bookmarkEnd w:id="19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Company and Indemnitee in connection with the event(s) and/or transaction(s) giving rise to such Proceeding; and/or (ii) the relative fault of the Company (and its directors, officers, employees and agents) and Indemnitee in connection with such event(s) and/or transactions.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Internal Revenue Code Section 409A</w:t>
      </w:r>
      <w:r>
        <w:rPr>
          <w:rFonts w:ascii="Times New Roman" w:cs="Times New Roman" w:eastAsia="Times New Roman" w:hAnsi="Times New Roman"/>
          <w:sz w:val="18"/>
          <w:szCs w:val="18"/>
          <w:color w:val="auto"/>
        </w:rPr>
        <w:t>. The Company intends for this Agreement to comply with the Indemnification exception under Section 1.409A-1(b)(10) of the regulations promulgated under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which provides that indemnification of, or the purchase of an insurance policy providing for payments of, all or part of the expenses incurred or damages paid or payable by Indemnitee with respect to a bona fide claim against Indemnitee or the Company do not provide for a deferral of compensation, subject to Section 409A of the Code, where such claim is based on actions or failures to act by Indemnitee in his or her capacity as a service provider of the Company. The parties intend that this Agreement be interpreted and construed with such intent.</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Applicable Law and Consent to Jurisdiction</w:t>
      </w:r>
      <w:r>
        <w:rPr>
          <w:rFonts w:ascii="Times New Roman" w:cs="Times New Roman" w:eastAsia="Times New Roman" w:hAnsi="Times New Roman"/>
          <w:sz w:val="18"/>
          <w:szCs w:val="18"/>
          <w:color w:val="auto"/>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w:t>
      </w:r>
    </w:p>
    <w:p>
      <w:pPr>
        <w:spacing w:after="0" w:line="1" w:lineRule="exact"/>
        <w:rPr>
          <w:sz w:val="20"/>
          <w:szCs w:val="20"/>
          <w:color w:val="auto"/>
        </w:rPr>
      </w:pPr>
    </w:p>
    <w:p>
      <w:pPr>
        <w:jc w:val="both"/>
        <w:ind w:firstLine="8"/>
        <w:spacing w:after="0" w:line="252" w:lineRule="auto"/>
        <w:tabs>
          <w:tab w:leader="none" w:pos="21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consent to service of process at the address set forth in Section 19 of this Agreement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19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paragraphs of this Agreement are inserted for convenience only and shall not be deemed to constitute part of this Agreement or to affect the construction thereof.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Identical Counterparts</w:t>
      </w:r>
      <w:r>
        <w:rPr>
          <w:rFonts w:ascii="Times New Roman" w:cs="Times New Roman" w:eastAsia="Times New Roman" w:hAnsi="Times New Roman"/>
          <w:sz w:val="18"/>
          <w:szCs w:val="18"/>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signed as of the day and year first above written.</w:t>
      </w:r>
    </w:p>
    <w:p>
      <w:pPr>
        <w:spacing w:after="0" w:line="23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2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-127635</wp:posOffset>
            </wp:positionV>
            <wp:extent cx="249428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3910330</wp:posOffset>
            </wp:positionH>
            <wp:positionV relativeFrom="paragraph">
              <wp:posOffset>160020</wp:posOffset>
            </wp:positionV>
            <wp:extent cx="284607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4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of Indemnitee]</w:t>
      </w:r>
    </w:p>
    <w:p>
      <w:pPr>
        <w:spacing w:after="0" w:line="200" w:lineRule="exact"/>
        <w:rPr>
          <w:sz w:val="20"/>
          <w:szCs w:val="20"/>
          <w:color w:val="auto"/>
        </w:rPr>
      </w:pPr>
    </w:p>
    <w:p>
      <w:pPr>
        <w:spacing w:after="0" w:line="24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17145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539"/>
          </w:cols>
          <w:pgMar w:left="920" w:top="904" w:right="1440"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22"/>
          <w:szCs w:val="22"/>
          <w:b w:val="1"/>
          <w:bCs w:val="1"/>
          <w:color w:val="auto"/>
        </w:rPr>
        <w:t>Exhbiti 10.8</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07"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In connection with the proposed business combination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between FS Development Corp., a Delaware corporation (“</w:t>
      </w:r>
      <w:r>
        <w:rPr>
          <w:rFonts w:ascii="Times New Roman" w:cs="Times New Roman" w:eastAsia="Times New Roman" w:hAnsi="Times New Roman"/>
          <w:sz w:val="18"/>
          <w:szCs w:val="18"/>
          <w:u w:val="single" w:color="auto"/>
          <w:color w:val="auto"/>
        </w:rPr>
        <w:t>FSD</w:t>
      </w:r>
      <w:r>
        <w:rPr>
          <w:rFonts w:ascii="Times New Roman" w:cs="Times New Roman" w:eastAsia="Times New Roman" w:hAnsi="Times New Roman"/>
          <w:sz w:val="18"/>
          <w:szCs w:val="18"/>
          <w:color w:val="auto"/>
        </w:rPr>
        <w:t>”), and Gemini Therapeutics, Inc., a Delaware corporation (“</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pursuant to a merger agreement to be entered into among FSD, Target, and the other parties thereto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FSD is seeking commitments from interested investors to purchase shares of Class A common stock, par value $0.0001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FSD, for a purchase price of $10.00 per share (the “</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The aggregate purchase price to be paid by the undersigned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for the subscribed Shares (as set forth on the signature page hereto) is referred to herein as the “</w:t>
      </w: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On or about the date of this Subscription Agreement, FSD is entering into subscription agreements (the “</w:t>
      </w:r>
      <w:r>
        <w:rPr>
          <w:rFonts w:ascii="Times New Roman" w:cs="Times New Roman" w:eastAsia="Times New Roman" w:hAnsi="Times New Roman"/>
          <w:sz w:val="18"/>
          <w:szCs w:val="18"/>
          <w:u w:val="single" w:color="auto"/>
          <w:color w:val="auto"/>
        </w:rPr>
        <w:t>Other Subscription Agreements</w:t>
      </w:r>
      <w:r>
        <w:rPr>
          <w:rFonts w:ascii="Times New Roman" w:cs="Times New Roman" w:eastAsia="Times New Roman" w:hAnsi="Times New Roman"/>
          <w:sz w:val="18"/>
          <w:szCs w:val="18"/>
          <w:color w:val="auto"/>
        </w:rPr>
        <w:t>” and together with this Subscription Agreement,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with certain other investors (the “</w:t>
      </w:r>
      <w:r>
        <w:rPr>
          <w:rFonts w:ascii="Times New Roman" w:cs="Times New Roman" w:eastAsia="Times New Roman" w:hAnsi="Times New Roman"/>
          <w:sz w:val="18"/>
          <w:szCs w:val="18"/>
          <w:u w:val="single" w:color="auto"/>
          <w:color w:val="auto"/>
        </w:rPr>
        <w:t>Other Investors</w:t>
      </w:r>
      <w:r>
        <w:rPr>
          <w:rFonts w:ascii="Times New Roman" w:cs="Times New Roman" w:eastAsia="Times New Roman" w:hAnsi="Times New Roman"/>
          <w:sz w:val="18"/>
          <w:szCs w:val="18"/>
          <w:color w:val="auto"/>
        </w:rPr>
        <w:t>” and together with the Investor,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severally and not jointly, pursuant to which the Investors, severally and not jointly, have agreed to purchase on the closing date of the Transaction, inclusive of the Shares subscribed for by the Investor, an aggregate amount of up to 9,500,000 Shares, at a per share price equal to the Per Share Purchase Price.</w:t>
      </w:r>
    </w:p>
    <w:p>
      <w:pPr>
        <w:spacing w:after="0" w:line="19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connection therewith, and in consideration of the foregoing and the mutual representations, warranties and covenants, and subject to the conditions, set forth herein, and intending to be legally bound hereby, the Investor and FSD agree as follows:</w:t>
      </w:r>
    </w:p>
    <w:p>
      <w:pPr>
        <w:spacing w:after="0" w:line="162" w:lineRule="exact"/>
        <w:rPr>
          <w:sz w:val="20"/>
          <w:szCs w:val="20"/>
          <w:color w:val="auto"/>
        </w:rPr>
      </w:pPr>
    </w:p>
    <w:p>
      <w:pPr>
        <w:ind w:firstLine="440"/>
        <w:spacing w:after="0" w:line="282" w:lineRule="auto"/>
        <w:tabs>
          <w:tab w:leader="none" w:pos="612"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The Investor hereby subscribes for and agrees to purchase from FSD at the Closing (as defined herein) the number of Shares set forth on the signature page of this Subscription Agreement on the terms and subject to the conditions provided for herein.</w:t>
      </w:r>
    </w:p>
    <w:p>
      <w:pPr>
        <w:spacing w:after="0" w:line="161" w:lineRule="exact"/>
        <w:rPr>
          <w:rFonts w:ascii="Times New Roman" w:cs="Times New Roman" w:eastAsia="Times New Roman" w:hAnsi="Times New Roman"/>
          <w:sz w:val="18"/>
          <w:szCs w:val="18"/>
          <w:color w:val="auto"/>
        </w:rPr>
      </w:pPr>
    </w:p>
    <w:p>
      <w:pPr>
        <w:jc w:val="both"/>
        <w:ind w:firstLine="440"/>
        <w:spacing w:after="0" w:line="252" w:lineRule="auto"/>
        <w:tabs>
          <w:tab w:leader="none" w:pos="612"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sale of the Shares contemplated hereby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is contingent upon the substantially concurrent consummation of the Transaction. The Closing shall occur on the date of, and substantially concurrently with and conditioned upon the effectiveness of the Transaction and immediately after the Merger (as defined in the Transaction Agreement). Upon (i) satisfaction or waiver of the conditions set forth in this Section 2 and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Subscription Agreement and (ii) delivery of written notice from (or on behalf of) FSD to the Investor (the “</w:t>
      </w:r>
      <w:r>
        <w:rPr>
          <w:rFonts w:ascii="Times New Roman" w:cs="Times New Roman" w:eastAsia="Times New Roman" w:hAnsi="Times New Roman"/>
          <w:sz w:val="18"/>
          <w:szCs w:val="18"/>
          <w:u w:val="single" w:color="auto"/>
          <w:color w:val="auto"/>
        </w:rPr>
        <w:t>Closing Notice</w:t>
      </w:r>
      <w:r>
        <w:rPr>
          <w:rFonts w:ascii="Times New Roman" w:cs="Times New Roman" w:eastAsia="Times New Roman" w:hAnsi="Times New Roman"/>
          <w:sz w:val="18"/>
          <w:szCs w:val="18"/>
          <w:color w:val="auto"/>
        </w:rPr>
        <w:t>”) that FSD reasonably expects all conditions to the closing of the Transaction to be satisfied or waived on a date that is not less than five (5) business days from the date on which the Closing Notice is delivered to the undersigned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Investor shall deliver to FSD on the Closing Date the Subscription Amount by wire transfer of United States dollars in immediately available funds to the account(s) specified by FSD in the Closing Notice (which account shall not be an escrow account) against delivery by FSD to the Investor on the Closing Date (A) the number of Shares set forth on the signature page of this Subscription Agreement in book entry form, free and clear of any liens or other restrictions (other than those arising under applicable securities laws), in the name of the Investor (or its nominee in accordance with its delivery instructions) or to a custodian designated by the Investor, as applicable, and (B) evidence from FSD’s transfer agent evidencing the issuance to the Investor of such Shares on and as of the Closing Date. If the closing of the Transaction does not occur within two (2) Business Days after the Closing Date, FSD shall promptly (but not later than two (2) Business Days after the Closing Date) return the funds so delivered by the Investor to FSD by wire transfer in immediately available funds to the account specified by the Investor. For purposes of this Subscription Agreement, “business day” shall mean any day other than (a) any Saturday or Sunday or (b) any other day on which commercial banks in New York, New York and Boston, Massachusetts are open for the general transaction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7" w:name="page198"/>
    <w:bookmarkEnd w:id="197"/>
    <w:p>
      <w:pPr>
        <w:ind w:left="620" w:hanging="180"/>
        <w:spacing w:after="0"/>
        <w:tabs>
          <w:tab w:leader="none" w:pos="62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872"/>
        <w:spacing w:after="0" w:line="282" w:lineRule="auto"/>
        <w:tabs>
          <w:tab w:leader="none" w:pos="1038"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parties hereto to consummate the purchase and sale of the Shares pursuant to this Subscription Agreement is subject to the following conditions:</w:t>
      </w:r>
    </w:p>
    <w:p>
      <w:pPr>
        <w:spacing w:after="0" w:line="161"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24"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applicable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590"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suspension of the qualification of the Shares for the offering or sale or trading on the Nasdaq Capital Market, or, to FSD’s knowledge, initiation or threatening of any proceedings for any of such purposes, shall have occurred prior to the Closing;</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624"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precedent to the closing of the Transaction shall have been satisfied (as determined by the parties to the Transaction Agreement) or waived (other than those conditions which, by their nature, are to be satisfied at the closing of the Transaction); and</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shall have been approved for listing on the Nasdaq Capital Market.</w:t>
      </w:r>
    </w:p>
    <w:p>
      <w:pPr>
        <w:spacing w:after="0" w:line="225" w:lineRule="exact"/>
        <w:rPr>
          <w:rFonts w:ascii="Times New Roman" w:cs="Times New Roman" w:eastAsia="Times New Roman" w:hAnsi="Times New Roman"/>
          <w:sz w:val="18"/>
          <w:szCs w:val="18"/>
          <w:color w:val="auto"/>
        </w:rPr>
      </w:pPr>
    </w:p>
    <w:p>
      <w:pPr>
        <w:jc w:val="both"/>
        <w:ind w:firstLine="872"/>
        <w:spacing w:after="0" w:line="258" w:lineRule="auto"/>
        <w:tabs>
          <w:tab w:leader="none" w:pos="1058"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FSD to consummate the issuance and sale of the Shares pursuant to this Subscription Agreement shall be subject to the condition that all representations and warranties of the Investor contained in this Subscription Agreement are true and correct in all material respects (other than representations and warranties that are qualified as to materiality or Material Adverse Effect, which representations and warranties shall be true in all respects), at and as of the Closing Date, and consummation of the Closing shall constitute a reaffirmation by the Investor of each of the representations warranties, covenants and agreements of the Investor contained in this Subscription Agreement as of the Closing Date.</w:t>
      </w:r>
    </w:p>
    <w:p>
      <w:pPr>
        <w:spacing w:after="0" w:line="183" w:lineRule="exact"/>
        <w:rPr>
          <w:rFonts w:ascii="Times New Roman" w:cs="Times New Roman" w:eastAsia="Times New Roman" w:hAnsi="Times New Roman"/>
          <w:sz w:val="18"/>
          <w:szCs w:val="18"/>
          <w:color w:val="auto"/>
        </w:rPr>
      </w:pPr>
    </w:p>
    <w:p>
      <w:pPr>
        <w:ind w:firstLine="872"/>
        <w:spacing w:after="0" w:line="282" w:lineRule="auto"/>
        <w:tabs>
          <w:tab w:leader="none" w:pos="1053"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Investor to consummate the purchase of the Shares pursuant to this Subscription Agreement shall be subject to the following conditions: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4"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FSD contained in this Subscription Agreement shall be true and correct in all material respects (other than representations and warranties that are qualified as to materiality or Material Adverse Effect (as defined herein), which representations and warranties shall be true in all respects) at and as of the Closing Date, and consummation of the Closing shall constitute a reaffirmation by FSD of each of the representations and warranties of FSD contained in this Subscription Agreement as of the Closing Date;</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69"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shall have performed, satisfied and complied in all material respects with all covenants, agreements and conditions required by this Subscription Agreement to be performed, satisfied or complied with by it at or prior to the Closing;</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622"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 Agreement shall not have been amended in a manner that would reasonably be expected to materially and adversely affect the economic benefits that the Investor or FSD would reasonably expect to receive under this Subscription Agreement;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24"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amendment, waiver or modification to the Other Subscription Agreements that materially economically benefits the Other Investors thereunder unless the Investor has been offered substantially the same benefits.</w:t>
      </w:r>
    </w:p>
    <w:p>
      <w:pPr>
        <w:spacing w:after="0" w:line="161" w:lineRule="exact"/>
        <w:rPr>
          <w:rFonts w:ascii="Times New Roman" w:cs="Times New Roman" w:eastAsia="Times New Roman" w:hAnsi="Times New Roman"/>
          <w:sz w:val="18"/>
          <w:szCs w:val="18"/>
          <w:color w:val="auto"/>
        </w:rPr>
      </w:pPr>
    </w:p>
    <w:p>
      <w:pPr>
        <w:ind w:firstLine="440"/>
        <w:spacing w:after="0" w:line="282" w:lineRule="auto"/>
        <w:tabs>
          <w:tab w:leader="none" w:pos="612"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spacing w:after="0" w:line="161" w:lineRule="exact"/>
        <w:rPr>
          <w:rFonts w:ascii="Times New Roman" w:cs="Times New Roman" w:eastAsia="Times New Roman" w:hAnsi="Times New Roman"/>
          <w:sz w:val="18"/>
          <w:szCs w:val="18"/>
          <w:color w:val="auto"/>
        </w:rPr>
      </w:pPr>
    </w:p>
    <w:p>
      <w:pPr>
        <w:ind w:left="620" w:hanging="180"/>
        <w:spacing w:after="0"/>
        <w:tabs>
          <w:tab w:leader="none" w:pos="62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FSD Representations and Warranties</w:t>
      </w:r>
      <w:r>
        <w:rPr>
          <w:rFonts w:ascii="Times New Roman" w:cs="Times New Roman" w:eastAsia="Times New Roman" w:hAnsi="Times New Roman"/>
          <w:sz w:val="18"/>
          <w:szCs w:val="18"/>
          <w:color w:val="auto"/>
        </w:rPr>
        <w:t>. FSD represents and warrants to the Investor, as of the date hereof and as of the Closing Date that:</w:t>
      </w:r>
    </w:p>
    <w:p>
      <w:pPr>
        <w:spacing w:after="0" w:line="225" w:lineRule="exact"/>
        <w:rPr>
          <w:rFonts w:ascii="Times New Roman" w:cs="Times New Roman" w:eastAsia="Times New Roman" w:hAnsi="Times New Roman"/>
          <w:sz w:val="18"/>
          <w:szCs w:val="18"/>
          <w:color w:val="auto"/>
        </w:rPr>
      </w:pPr>
    </w:p>
    <w:p>
      <w:pPr>
        <w:jc w:val="both"/>
        <w:ind w:firstLine="872"/>
        <w:spacing w:after="0" w:line="266" w:lineRule="auto"/>
        <w:tabs>
          <w:tab w:leader="none" w:pos="1047"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been duly incorporated, validly existing and in good standing under the laws of the State of Delaware, with corporate power and authority to own, lease and operate its properties and conduct its business as presently conducted and to enter into, deliver and perform its obligations under this Subscription Agreement.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8" w:name="page199"/>
    <w:bookmarkEnd w:id="198"/>
    <w:p>
      <w:pPr>
        <w:jc w:val="both"/>
        <w:ind w:firstLine="864"/>
        <w:spacing w:after="0" w:line="261" w:lineRule="auto"/>
        <w:rPr>
          <w:sz w:val="20"/>
          <w:szCs w:val="20"/>
          <w:color w:val="auto"/>
        </w:rPr>
      </w:pPr>
      <w:r>
        <w:rPr>
          <w:rFonts w:ascii="Times New Roman" w:cs="Times New Roman" w:eastAsia="Times New Roman" w:hAnsi="Times New Roman"/>
          <w:sz w:val="18"/>
          <w:szCs w:val="18"/>
          <w:color w:val="auto"/>
        </w:rPr>
        <w:t>b. As of the Closing Date, the Shares will be duly authorized and, when issued and delivered to the Investor against full payment therefor in accordance with the terms of this Subscription Agreement, the Shares will be validly issued, fully paid and non-assessable and will not have been issued in violation of or subject to any preemptive or similar rights created under FSD’s certificate of incorporation (as amended to the Closing Date) or under the laws of the State of Delaware.</w:t>
      </w:r>
    </w:p>
    <w:p>
      <w:pPr>
        <w:spacing w:after="0" w:line="180" w:lineRule="exact"/>
        <w:rPr>
          <w:sz w:val="20"/>
          <w:szCs w:val="20"/>
          <w:color w:val="auto"/>
        </w:rPr>
      </w:pPr>
    </w:p>
    <w:p>
      <w:pPr>
        <w:jc w:val="both"/>
        <w:ind w:firstLine="864"/>
        <w:spacing w:after="0" w:line="261" w:lineRule="auto"/>
        <w:rPr>
          <w:sz w:val="20"/>
          <w:szCs w:val="20"/>
          <w:color w:val="auto"/>
        </w:rPr>
      </w:pPr>
      <w:r>
        <w:rPr>
          <w:rFonts w:ascii="Times New Roman" w:cs="Times New Roman" w:eastAsia="Times New Roman" w:hAnsi="Times New Roman"/>
          <w:sz w:val="18"/>
          <w:szCs w:val="18"/>
          <w:color w:val="auto"/>
        </w:rPr>
        <w:t>c. This Subscription Agreement has been duly authorized, executed and delivered by FSD and, assuming that this Subscription Agreement constitutes the valid and binding agreement of the Investor, this Subscription Agreement constitutes the valid and binding agreement of FSD and is enforceable against FSD in accordance with its terms, except as may be limited or otherwise affected by bankruptcy, insolvency, fraudulent conveyance, reorganization, moratorium or other similar laws affecting the enforcement of creditors’ rights generally and by general principles of equity.</w:t>
      </w:r>
    </w:p>
    <w:p>
      <w:pPr>
        <w:spacing w:after="0" w:line="180"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8"/>
          <w:szCs w:val="18"/>
          <w:color w:val="auto"/>
        </w:rPr>
        <w:t>d. The execution and delivery of this Subscription Agreement, the issuance and sale of the Shares and the compliance by FSD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FSD or any of its subsidiaries pursuant to the terms of (i) any indenture, mortgage, deed of trust, loan agreement, lease, license or other agreement or instrument to which FSD or any of its subsidiaries is a party or by which FSD or any of its subsidiaries is bound or to which any of the property or assets of FSD is subject that would reasonably be expected to have a material adverse effect on the business, financial condition or results of operations of FSD and its subsidiaries, taken as a whole or materially and adversely affect: (A) the ability of FSD to consummate the Transaction;</w:t>
      </w:r>
    </w:p>
    <w:p>
      <w:pPr>
        <w:spacing w:after="0" w:line="3" w:lineRule="exact"/>
        <w:rPr>
          <w:sz w:val="20"/>
          <w:szCs w:val="20"/>
          <w:color w:val="auto"/>
        </w:rPr>
      </w:pPr>
    </w:p>
    <w:p>
      <w:pPr>
        <w:jc w:val="both"/>
        <w:ind w:firstLine="8"/>
        <w:spacing w:after="0" w:line="253" w:lineRule="auto"/>
        <w:tabs>
          <w:tab w:leader="none" w:pos="311"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of the Shares; or (C) the legal authority of FSD to comply in all material respects with the terms of this Subscription Agreement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(ii) result in any violation of the provisions of the organizational documents of FSD; or (iii) result in any violation of any statute or any judgment, order, rule or regulation of any court or governmental agency or body, domestic or foreign, having jurisdiction over FSD or any of their properties that would reasonably be expected to have a Material Adverse Effect or materially affect the validity of the Shares or the legal authority of FSD to comply in all material respects with this Subscription Agreement.</w:t>
      </w:r>
    </w:p>
    <w:p>
      <w:pPr>
        <w:spacing w:after="0" w:line="186" w:lineRule="exact"/>
        <w:rPr>
          <w:rFonts w:ascii="Times New Roman" w:cs="Times New Roman" w:eastAsia="Times New Roman" w:hAnsi="Times New Roman"/>
          <w:sz w:val="18"/>
          <w:szCs w:val="18"/>
          <w:color w:val="auto"/>
        </w:rPr>
      </w:pPr>
    </w:p>
    <w:p>
      <w:pPr>
        <w:jc w:val="both"/>
        <w:ind w:firstLine="872"/>
        <w:spacing w:after="0" w:line="253" w:lineRule="auto"/>
        <w:tabs>
          <w:tab w:leader="none" w:pos="1047"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made all filings required to be filed by it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As of their respective dates, all reports, the Registration Statement of FSD filed on Form S-1 dated July 24, 2020 (as amended), and the prospectus of FSD dated August 11, 2020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required to be filed or actually filed by FSD with the SEC complied in all material respects with the applicable requirements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FSD included in the SEC Reports comply in all material respects with applicable accounting requirements and the rules and regulations of the SEC with respect thereto as in effect at the time of filing and fairly present in all material respects the financial condition of FSD as of and for the dates thereof and the results of operations and cash flows for the periods then ended, subject, in the case of unaudited statements, to normal, year-end audit adjustments. A copy of each SEC Report is available to the Investor via the SEC’s EDGAR system. There are no outstanding or unresolved comments in comment letters received by FSD from the staff of the Division of Corporation Finance of the SEC with respect to any of the SEC Reports.</w:t>
      </w:r>
    </w:p>
    <w:p>
      <w:pPr>
        <w:spacing w:after="0" w:line="189" w:lineRule="exact"/>
        <w:rPr>
          <w:rFonts w:ascii="Times New Roman" w:cs="Times New Roman" w:eastAsia="Times New Roman" w:hAnsi="Times New Roman"/>
          <w:sz w:val="18"/>
          <w:szCs w:val="18"/>
          <w:color w:val="auto"/>
        </w:rPr>
      </w:pPr>
    </w:p>
    <w:p>
      <w:pPr>
        <w:jc w:val="both"/>
        <w:ind w:firstLine="872"/>
        <w:spacing w:after="0" w:line="261" w:lineRule="auto"/>
        <w:tabs>
          <w:tab w:leader="none" w:pos="1027"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not entered into any side letter or similar agreement with any Other Investor or any other investor in connection with such Other Investor’s or other investor’s direct or indirect investment in FSD other than the Other Subscription Agreement and the Transaction Agreement. No Other Subscription Agreement contains terms (economic or otherwise) more favorable to such Other Investor or investor than as set forth in this Subscription Agreement. The Other Subscription Agreements have not been amended in any material respect following the date of this Subscription Agreement.</w:t>
      </w:r>
    </w:p>
    <w:p>
      <w:pPr>
        <w:spacing w:after="0" w:line="179" w:lineRule="exact"/>
        <w:rPr>
          <w:rFonts w:ascii="Times New Roman" w:cs="Times New Roman" w:eastAsia="Times New Roman" w:hAnsi="Times New Roman"/>
          <w:sz w:val="18"/>
          <w:szCs w:val="18"/>
          <w:color w:val="auto"/>
        </w:rPr>
      </w:pPr>
    </w:p>
    <w:p>
      <w:pPr>
        <w:jc w:val="both"/>
        <w:ind w:firstLine="872"/>
        <w:spacing w:after="0" w:line="256" w:lineRule="auto"/>
        <w:tabs>
          <w:tab w:leader="none" w:pos="1052"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FSD of this Subscription Agreement (including, without limitation, the issuance of the Shares), other than (i) filings with the SEC, (ii) filings required by applicable state securities laws, (iii) filings required by The Nasdaq Capital Market, or such other applicable stock exchange on which FSD’s Class A common stock is then listed (the “</w:t>
      </w:r>
      <w:r>
        <w:rPr>
          <w:rFonts w:ascii="Times New Roman" w:cs="Times New Roman" w:eastAsia="Times New Roman" w:hAnsi="Times New Roman"/>
          <w:sz w:val="18"/>
          <w:szCs w:val="18"/>
          <w:u w:val="single" w:color="auto"/>
          <w:color w:val="auto"/>
        </w:rPr>
        <w:t>Stock Exchange</w:t>
      </w:r>
      <w:r>
        <w:rPr>
          <w:rFonts w:ascii="Times New Roman" w:cs="Times New Roman" w:eastAsia="Times New Roman" w:hAnsi="Times New Roman"/>
          <w:sz w:val="18"/>
          <w:szCs w:val="18"/>
          <w:color w:val="auto"/>
        </w:rPr>
        <w:t>”), and (iv) the failure of which to obtain would not be reasonably likely to have, individually or in the aggregate, a Material Adverse Effect. FSD is in compliance with all applicable laws and rules of The Nasdaq Capital Market.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9" w:name="page200"/>
    <w:bookmarkEnd w:id="199"/>
    <w:p>
      <w:pPr>
        <w:jc w:val="both"/>
        <w:ind w:firstLine="864"/>
        <w:spacing w:after="0" w:line="253" w:lineRule="auto"/>
        <w:rPr>
          <w:sz w:val="20"/>
          <w:szCs w:val="20"/>
          <w:color w:val="auto"/>
        </w:rPr>
      </w:pPr>
      <w:r>
        <w:rPr>
          <w:rFonts w:ascii="Times New Roman" w:cs="Times New Roman" w:eastAsia="Times New Roman" w:hAnsi="Times New Roman"/>
          <w:sz w:val="18"/>
          <w:szCs w:val="18"/>
          <w:color w:val="auto"/>
        </w:rPr>
        <w:t>h. The authorized capital stock of FSD consists of 100,000,000 Shares of which 12,516,500 are outstanding, 10,000,000 shares of Class B common stock, par value $0.0001 per share of which 3,018,750 are issued and outstanding, and 1,000,000 shares of preferred stock, par value $0.0001 per share, none of which are issued and outstanding. No other shares of capital stock or other voting securities of FSD are issued, reserved for issuance or outstanding. All issued and outstanding Shares are duly authorized, validly issued, fully paid and nonassessable and not subject to or issued in violation of any purchase option, right of first refusal, preemptive right, subscription right or any similar right under any provision of the Delaware General Corporation Law, FSD’s organizational documents or any contract to which FSD is a party or by which FSD is bound. Except as set forth in FSD’s organizational documents, there are no outstanding contractual obligations of FSD to repurchase, redeem or otherwise acquire any Shares or any capital equity of FSD. There are no securities or instruments issued by or to which FSD is a party containing anti-dilution or similar provisions that will be triggered by the issuance of (i) the Shares pursuant to this Subscription Agreement or (ii) the shares to be issued pursuant to any Other Subscription Agreement. There are no outstanding contractual obligations of FSD to provide funds to, or make any investment (in the form of a loan, capital contribution or otherwise) in, any other person or entity.</w:t>
      </w:r>
    </w:p>
    <w:p>
      <w:pPr>
        <w:spacing w:after="0" w:line="192" w:lineRule="exact"/>
        <w:rPr>
          <w:sz w:val="20"/>
          <w:szCs w:val="20"/>
          <w:color w:val="auto"/>
        </w:rPr>
      </w:pPr>
    </w:p>
    <w:p>
      <w:pPr>
        <w:jc w:val="both"/>
        <w:ind w:firstLine="864"/>
        <w:spacing w:after="0" w:line="261" w:lineRule="auto"/>
        <w:rPr>
          <w:sz w:val="20"/>
          <w:szCs w:val="20"/>
          <w:color w:val="auto"/>
        </w:rPr>
      </w:pPr>
      <w:r>
        <w:rPr>
          <w:rFonts w:ascii="Times New Roman" w:cs="Times New Roman" w:eastAsia="Times New Roman" w:hAnsi="Times New Roman"/>
          <w:sz w:val="18"/>
          <w:szCs w:val="18"/>
          <w:color w:val="auto"/>
        </w:rPr>
        <w:t>i. The issued and outstanding Shares are registered pursuant to Section 12(b) of the Exchange Act, and are listed for trading on the Stock Exchange. There is no suit, action, proceeding or investigation pending or, to the knowledge of FSD, threatened against FSD by Nasdaq or the SEC to deregister the Shares or prohibit or terminate the listing of the Shares on Nasdaq. FSD has taken no action that is designed to terminate the registration of the Shares under the Exchange Act.</w:t>
      </w:r>
    </w:p>
    <w:p>
      <w:pPr>
        <w:spacing w:after="0" w:line="180" w:lineRule="exact"/>
        <w:rPr>
          <w:sz w:val="20"/>
          <w:szCs w:val="20"/>
          <w:color w:val="auto"/>
        </w:rPr>
      </w:pPr>
    </w:p>
    <w:p>
      <w:pPr>
        <w:jc w:val="both"/>
        <w:ind w:firstLine="864"/>
        <w:spacing w:after="0" w:line="261" w:lineRule="auto"/>
        <w:rPr>
          <w:sz w:val="20"/>
          <w:szCs w:val="20"/>
          <w:color w:val="auto"/>
        </w:rPr>
      </w:pPr>
      <w:r>
        <w:rPr>
          <w:rFonts w:ascii="Times New Roman" w:cs="Times New Roman" w:eastAsia="Times New Roman" w:hAnsi="Times New Roman"/>
          <w:sz w:val="18"/>
          <w:szCs w:val="18"/>
          <w:color w:val="auto"/>
        </w:rPr>
        <w:t xml:space="preserve">j. Assuming the accuracy of the Investor’s representations and warranties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no registration under the Securities Act is required for the offer and sale of the Shares by FSD to the Investor hereunder. The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80" w:lineRule="exact"/>
        <w:rPr>
          <w:sz w:val="20"/>
          <w:szCs w:val="20"/>
          <w:color w:val="auto"/>
        </w:rPr>
      </w:pPr>
    </w:p>
    <w:p>
      <w:pPr>
        <w:jc w:val="both"/>
        <w:ind w:firstLine="864"/>
        <w:spacing w:after="0" w:line="266" w:lineRule="auto"/>
        <w:rPr>
          <w:sz w:val="20"/>
          <w:szCs w:val="20"/>
          <w:color w:val="auto"/>
        </w:rPr>
      </w:pPr>
      <w:r>
        <w:rPr>
          <w:rFonts w:ascii="Times New Roman" w:cs="Times New Roman" w:eastAsia="Times New Roman" w:hAnsi="Times New Roman"/>
          <w:sz w:val="18"/>
          <w:szCs w:val="18"/>
          <w:color w:val="auto"/>
        </w:rPr>
        <w:t>k. Except for such matters as have not had and would not be reasonably likely to have, individually or in the aggregate, a Material Adverse Effect, there is no (i) action, suit, claim or other proceeding, in each case by or before any governmental authority pending, or, to the knowledge of FSD, threatened against FSD or (ii) judgment, decree, injunction, ruling or order of any governmental entity or arbitrator outstanding against FSD.</w:t>
      </w:r>
    </w:p>
    <w:p>
      <w:pPr>
        <w:spacing w:after="0" w:line="176" w:lineRule="exact"/>
        <w:rPr>
          <w:sz w:val="20"/>
          <w:szCs w:val="20"/>
          <w:color w:val="auto"/>
        </w:rPr>
      </w:pPr>
    </w:p>
    <w:p>
      <w:pPr>
        <w:jc w:val="both"/>
        <w:ind w:firstLine="864"/>
        <w:spacing w:after="0" w:line="266" w:lineRule="auto"/>
        <w:rPr>
          <w:sz w:val="20"/>
          <w:szCs w:val="20"/>
          <w:color w:val="auto"/>
        </w:rPr>
      </w:pPr>
      <w:r>
        <w:rPr>
          <w:rFonts w:ascii="Times New Roman" w:cs="Times New Roman" w:eastAsia="Times New Roman" w:hAnsi="Times New Roman"/>
          <w:sz w:val="18"/>
          <w:szCs w:val="18"/>
          <w:color w:val="auto"/>
        </w:rPr>
        <w:t>l. FSD has not received any written communication from a governmental authority that alleges that FSD is not in compliance with or is in default or violation of any applicable law, except where such non-compliance, default or violation would not reasonably be expected to have a Material Adverse Effect.</w:t>
      </w:r>
    </w:p>
    <w:p>
      <w:pPr>
        <w:spacing w:after="0" w:line="176" w:lineRule="exact"/>
        <w:rPr>
          <w:sz w:val="20"/>
          <w:szCs w:val="20"/>
          <w:color w:val="auto"/>
        </w:rPr>
      </w:pPr>
    </w:p>
    <w:p>
      <w:pPr>
        <w:jc w:val="both"/>
        <w:ind w:firstLine="864"/>
        <w:spacing w:after="0" w:line="282" w:lineRule="auto"/>
        <w:rPr>
          <w:sz w:val="20"/>
          <w:szCs w:val="20"/>
          <w:color w:val="auto"/>
        </w:rPr>
      </w:pPr>
      <w:r>
        <w:rPr>
          <w:rFonts w:ascii="Times New Roman" w:cs="Times New Roman" w:eastAsia="Times New Roman" w:hAnsi="Times New Roman"/>
          <w:sz w:val="18"/>
          <w:szCs w:val="18"/>
          <w:color w:val="auto"/>
        </w:rPr>
        <w:t>m. FSD is not under any obligation to pay any broker’s fee or commission in connection with the sale of the Shares hereunder other than to the Placement Agents (as defined herein).</w:t>
      </w:r>
    </w:p>
    <w:p>
      <w:pPr>
        <w:spacing w:after="0" w:line="162"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18"/>
          <w:szCs w:val="18"/>
          <w:color w:val="auto"/>
        </w:rPr>
        <w:t>n. FSD acknowledges and agrees that, notwithstanding anything herein to the contrary, the Shares may be pledged by Investor in connection with a bona fide margin agreement, which shall not be deemed to be a transfer, sale or assignment of the Shares hereunder, and the Investor effecting a pledge of Shares shall not be required to provide FSD with any notice thereof or otherwise make any delivery to the Investor pursuant to this Agreement. The Investor hereby agrees to execute and deliver such documentation as a pledgee of the Shares may reasonably request in connection with a pledge of the Shares to such pledgee by the Investor.</w:t>
      </w:r>
    </w:p>
    <w:p>
      <w:pPr>
        <w:spacing w:after="0" w:line="183" w:lineRule="exact"/>
        <w:rPr>
          <w:sz w:val="20"/>
          <w:szCs w:val="20"/>
          <w:color w:val="auto"/>
        </w:rPr>
      </w:pPr>
    </w:p>
    <w:p>
      <w:pPr>
        <w:ind w:left="620" w:hanging="180"/>
        <w:spacing w:after="0"/>
        <w:tabs>
          <w:tab w:leader="none" w:pos="62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Representations and Warranties</w:t>
      </w:r>
      <w:r>
        <w:rPr>
          <w:rFonts w:ascii="Times New Roman" w:cs="Times New Roman" w:eastAsia="Times New Roman" w:hAnsi="Times New Roman"/>
          <w:sz w:val="18"/>
          <w:szCs w:val="18"/>
          <w:color w:val="auto"/>
        </w:rPr>
        <w:t>. The Investor represents and warrants to FSD that:</w:t>
      </w:r>
    </w:p>
    <w:p>
      <w:pPr>
        <w:spacing w:after="0" w:line="225" w:lineRule="exact"/>
        <w:rPr>
          <w:rFonts w:ascii="Times New Roman" w:cs="Times New Roman" w:eastAsia="Times New Roman" w:hAnsi="Times New Roman"/>
          <w:sz w:val="18"/>
          <w:szCs w:val="18"/>
          <w:color w:val="auto"/>
        </w:rPr>
      </w:pPr>
    </w:p>
    <w:p>
      <w:pPr>
        <w:jc w:val="both"/>
        <w:ind w:firstLine="864"/>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Investor (i) is a “qualified institutional buyer” (as defined in Rule 144A under the Securities Act), an institutional “accredited investor” or an “accredited investor” (within the meaning of Rule 501(a) under the Securities Act), in each case, satisfying the applicable requirements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,(ii) is an “institutional account” (as defined in FINRA Rule 4512(c)), (iii) is not an underwriter (as defined in Section 2(a)(11) of the Securities Act) and is acquiring the Shares only for his, her or its own account and not for the account of others, or if the undersigned is subscribing for the Shares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and (iv) is not acquiring the Shares with a view to, or for offer or sale in connection with, any distribution thereof in violation of the Securities Act (and shall provide the requested information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Investor is not an entity formed for the specific purpose of acquiring the Shares.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0" w:name="page201"/>
    <w:bookmarkEnd w:id="200"/>
    <w:p>
      <w:pPr>
        <w:jc w:val="both"/>
        <w:ind w:firstLine="864"/>
        <w:spacing w:after="0" w:line="253" w:lineRule="auto"/>
        <w:rPr>
          <w:sz w:val="20"/>
          <w:szCs w:val="20"/>
          <w:color w:val="auto"/>
        </w:rPr>
      </w:pPr>
      <w:r>
        <w:rPr>
          <w:rFonts w:ascii="Times New Roman" w:cs="Times New Roman" w:eastAsia="Times New Roman" w:hAnsi="Times New Roman"/>
          <w:sz w:val="18"/>
          <w:szCs w:val="18"/>
          <w:color w:val="auto"/>
        </w:rPr>
        <w:t>b. The Investor understands that the Shares are being offered in a transaction not involving any public offering within the meaning of the Securities Act and that the Shares have not been registered under the Securities Act. The Investor understands that the Shares may not be resold, transferred, pledged or otherwise disposed of by the Investor absent an effective registration statement under the Securities Act except (i) to FSD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cases (i) and (iii) in accordance with any applicable securities laws of the states and other jurisdictions of the United States, and that any certificates representing the Shares shall contain a restrictive legend to such effect. The Investor acknowledges that the Shares will not be eligible for resale pursuant to Rule 144A promulgated under the Securities Act. The Investor acknowledges and agrees that the Shares will not be eligible for offer, resale, transfer, pledge or disposition pursuant to Rule 144 promulgated under the Securities Act until at least one year from the date that FSD files a Current Report on Form 8-K following the Closing Date that includes the “Form 10” information required under applicable SEC rules and regulations. The Investor understands that it has been advised to consult legal counsel prior to making any offer, resale, transfer, pledge or disposition of any of the Shares.</w:t>
      </w:r>
    </w:p>
    <w:p>
      <w:pPr>
        <w:spacing w:after="0" w:line="192" w:lineRule="exact"/>
        <w:rPr>
          <w:sz w:val="20"/>
          <w:szCs w:val="20"/>
          <w:color w:val="auto"/>
        </w:rPr>
      </w:pPr>
    </w:p>
    <w:p>
      <w:pPr>
        <w:jc w:val="both"/>
        <w:ind w:firstLine="864"/>
        <w:spacing w:after="0" w:line="266" w:lineRule="auto"/>
        <w:rPr>
          <w:sz w:val="20"/>
          <w:szCs w:val="20"/>
          <w:color w:val="auto"/>
        </w:rPr>
      </w:pPr>
      <w:r>
        <w:rPr>
          <w:rFonts w:ascii="Times New Roman" w:cs="Times New Roman" w:eastAsia="Times New Roman" w:hAnsi="Times New Roman"/>
          <w:sz w:val="18"/>
          <w:szCs w:val="18"/>
          <w:color w:val="auto"/>
        </w:rPr>
        <w:t>c. The Investor understands and agrees that the Investor is purchasing the Shares from FSD. The Investor further acknowledges that there have been no representations, warranties, covenants and agreements made to the Investor by FSD, Target or their respective officers or directors, expressly or by implication, other than those representations, warranties, covenants and agreements included in this Subscription Agreement.</w:t>
      </w:r>
    </w:p>
    <w:p>
      <w:pPr>
        <w:spacing w:after="0" w:line="176" w:lineRule="exact"/>
        <w:rPr>
          <w:sz w:val="20"/>
          <w:szCs w:val="20"/>
          <w:color w:val="auto"/>
        </w:rPr>
      </w:pPr>
    </w:p>
    <w:p>
      <w:pPr>
        <w:jc w:val="both"/>
        <w:ind w:firstLine="864"/>
        <w:spacing w:after="0" w:line="266" w:lineRule="auto"/>
        <w:rPr>
          <w:sz w:val="20"/>
          <w:szCs w:val="20"/>
          <w:color w:val="auto"/>
        </w:rPr>
      </w:pPr>
      <w:r>
        <w:rPr>
          <w:rFonts w:ascii="Times New Roman" w:cs="Times New Roman" w:eastAsia="Times New Roman" w:hAnsi="Times New Roman"/>
          <w:sz w:val="18"/>
          <w:szCs w:val="18"/>
          <w:color w:val="auto"/>
        </w:rPr>
        <w:t>d. The Investor’s acquisition and holding of the Shares will not constitute or result in a non-exempt prohibited transaction under Section 406 of the Employee Retirement Income Security Act of 1974, as amended, Section 4975 of the Internal Revenue Code of 1986, as amended, or any applicable similar law.</w:t>
      </w:r>
    </w:p>
    <w:p>
      <w:pPr>
        <w:spacing w:after="0" w:line="17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8"/>
          <w:szCs w:val="18"/>
          <w:color w:val="auto"/>
        </w:rPr>
        <w:t>e. The Investor acknowledges and agrees that the Investor has received such information as the Investor deems necessary in order to make an investment decision with respect to the Shares, including with respect to FSD, Target or the Transaction. Without limiting the generality of the foregoing, the Investor acknowledges that he, she or it has carefully reviewed the SEC Reports and any disclosure documents used in the offering of the Shares. The Investor represents and agrees that the Investor and the Investor’s professional advisor(s), if any (i) have had the full opportunity to ask such questions, receive such answers and obtain such information as the Investor and such Investor’s professional advisor(s), if any, have deemed necessary to make an investment decision with respect to the Shares and (ii) have independently made their own analysis and decision to invest in FSD.</w:t>
      </w:r>
    </w:p>
    <w:p>
      <w:pPr>
        <w:spacing w:after="0" w:line="187"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8"/>
          <w:szCs w:val="18"/>
          <w:color w:val="auto"/>
        </w:rPr>
        <w:t>f. The Investor became aware of this offering of the Shares solely by means of direct contact between the Investor and FSD, Target, or a representative of FSD or Target, and the Shares were offered to the Investor solely by direct contact between the Investor and FSD, Target, or a representative of FSD or Target. The Investor did not become aware of this offering of the Shares, nor were the Shares offered to the Investor, by any other means. The Investor acknowledges that the Shares (i) were not offered by any form of general solicitation or general advertising and (ii) are not being offered in a manner involving a public offering under, or in a distribution in violation of, the Securities Act, or any state securities laws. Investor acknowledges that it is not relying upon, and has not relied upon, any statement, representation or warranty made by any person, firm or corporation (including, without limitation, Target, FSD, Jefferies LLC or SVB Leerink LLC (each a “</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Placement Agents</w:t>
      </w:r>
      <w:r>
        <w:rPr>
          <w:rFonts w:ascii="Times New Roman" w:cs="Times New Roman" w:eastAsia="Times New Roman" w:hAnsi="Times New Roman"/>
          <w:sz w:val="18"/>
          <w:szCs w:val="18"/>
          <w:color w:val="auto"/>
        </w:rPr>
        <w:t>”) or their respective affiliates or any of their or their respective affiliates’ control persons, officers, directors, employees or representatives), other than the representations and warranties of FSD contained in Section 5 of this Subscription Agreement, in making its investment or decision to invest in FSD.</w:t>
      </w:r>
    </w:p>
    <w:p>
      <w:pPr>
        <w:spacing w:after="0" w:line="188" w:lineRule="exact"/>
        <w:rPr>
          <w:sz w:val="20"/>
          <w:szCs w:val="20"/>
          <w:color w:val="auto"/>
        </w:rPr>
      </w:pPr>
    </w:p>
    <w:p>
      <w:pPr>
        <w:jc w:val="both"/>
        <w:ind w:firstLine="864"/>
        <w:spacing w:after="0" w:line="261" w:lineRule="auto"/>
        <w:rPr>
          <w:sz w:val="20"/>
          <w:szCs w:val="20"/>
          <w:color w:val="auto"/>
        </w:rPr>
      </w:pPr>
      <w:r>
        <w:rPr>
          <w:rFonts w:ascii="Times New Roman" w:cs="Times New Roman" w:eastAsia="Times New Roman" w:hAnsi="Times New Roman"/>
          <w:sz w:val="18"/>
          <w:szCs w:val="18"/>
          <w:color w:val="auto"/>
        </w:rPr>
        <w:t>g. The Investor acknowledges that it is aware that there are substantial risks incident to the purchase and ownership of the Shares, including those set forth in FSD’s filings with the SEC. The Investor has such knowledge and experience in financial and business matters as to be capable of evaluating the merits and risks of an investment in the Shares, and the Investor has sought such accounting, legal and tax advice as the Investor has considered necessary to make an informed investment decision.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1" w:name="page202"/>
    <w:bookmarkEnd w:id="201"/>
    <w:p>
      <w:pPr>
        <w:jc w:val="both"/>
        <w:ind w:firstLine="864"/>
        <w:spacing w:after="0" w:line="257" w:lineRule="auto"/>
        <w:rPr>
          <w:sz w:val="20"/>
          <w:szCs w:val="20"/>
          <w:color w:val="auto"/>
        </w:rPr>
      </w:pPr>
      <w:r>
        <w:rPr>
          <w:rFonts w:ascii="Times New Roman" w:cs="Times New Roman" w:eastAsia="Times New Roman" w:hAnsi="Times New Roman"/>
          <w:sz w:val="18"/>
          <w:szCs w:val="18"/>
          <w:color w:val="auto"/>
        </w:rPr>
        <w:t>h. Alone, or together with any professional advisor(s), the Investor has adequately analyzed and fully considered the risks of an investment in the Shares and determined that the Shares are a suitable investment for the Investor and that the Investor is able at this time and in the foreseeable future to bear the economic risk of a total loss of the Investor’s investment in FSD.</w:t>
      </w:r>
    </w:p>
    <w:p>
      <w:pPr>
        <w:spacing w:after="0" w:line="1"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8"/>
          <w:szCs w:val="18"/>
          <w:color w:val="auto"/>
        </w:rPr>
        <w:t>i. In making its decision to purchase the Shares, the Investor has relied solely upon independent investigation made by the Investor. Without limiting the generality of the foregoing, the Investor has not relied on any statements or other information provided by or on behalf of the Placement Agents or any of their respective affiliates or any of their or their respective affiliates’ control persons, officers, directors, employees or representatives concerning FSD, Target, the Transaction, the Transaction Agreement, this Subscription Agreement or the transactions contemplated hereby or thereby, the Shares or the offer and sale of the Shares.</w:t>
      </w:r>
    </w:p>
    <w:p>
      <w:pPr>
        <w:spacing w:after="0" w:line="187" w:lineRule="exact"/>
        <w:rPr>
          <w:sz w:val="20"/>
          <w:szCs w:val="20"/>
          <w:color w:val="auto"/>
        </w:rPr>
      </w:pPr>
    </w:p>
    <w:p>
      <w:pPr>
        <w:jc w:val="both"/>
        <w:ind w:right="20" w:firstLine="864"/>
        <w:spacing w:after="0" w:line="282" w:lineRule="auto"/>
        <w:rPr>
          <w:sz w:val="20"/>
          <w:szCs w:val="20"/>
          <w:color w:val="auto"/>
        </w:rPr>
      </w:pPr>
      <w:r>
        <w:rPr>
          <w:rFonts w:ascii="Times New Roman" w:cs="Times New Roman" w:eastAsia="Times New Roman" w:hAnsi="Times New Roman"/>
          <w:sz w:val="18"/>
          <w:szCs w:val="18"/>
          <w:color w:val="auto"/>
        </w:rPr>
        <w:t>j. The Investor understands and agrees that no federal or state agency has passed upon or endorsed the merits of the offering of the Shares or made any findings or determination as to the fairness of this investment.</w:t>
      </w:r>
    </w:p>
    <w:p>
      <w:pPr>
        <w:spacing w:after="0" w:line="162" w:lineRule="exact"/>
        <w:rPr>
          <w:sz w:val="20"/>
          <w:szCs w:val="20"/>
          <w:color w:val="auto"/>
        </w:rPr>
      </w:pPr>
    </w:p>
    <w:p>
      <w:pPr>
        <w:jc w:val="both"/>
        <w:ind w:firstLine="864"/>
        <w:spacing w:after="0" w:line="282" w:lineRule="auto"/>
        <w:rPr>
          <w:sz w:val="20"/>
          <w:szCs w:val="20"/>
          <w:color w:val="auto"/>
        </w:rPr>
      </w:pPr>
      <w:r>
        <w:rPr>
          <w:rFonts w:ascii="Times New Roman" w:cs="Times New Roman" w:eastAsia="Times New Roman" w:hAnsi="Times New Roman"/>
          <w:sz w:val="18"/>
          <w:szCs w:val="18"/>
          <w:color w:val="auto"/>
        </w:rPr>
        <w:t>k. The Investor has been duly formed or incorporated and is validly existing in good standing under the laws of its jurisdiction of incorporation or formation, with power and authority to enter into, deliver and perform its obligations under this Subscription Agreement.</w:t>
      </w:r>
    </w:p>
    <w:p>
      <w:pPr>
        <w:spacing w:after="0" w:line="162"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8"/>
          <w:szCs w:val="18"/>
          <w:color w:val="auto"/>
        </w:rPr>
        <w:t>l. The execution, delivery and performance by the undersigned of this Subscription Agreement are within the powers of the Investor, have been duly authorized and will not constitute or result in a breach or default under or conflict with any order, ruling or regulation of any court or other tribunal or of any governmental commission or agency, or any agreement or other undertaking, to which the undersigned is a party or by which the undersigned is bound, and, if the undersigned is not an individual, will not violate any provisions of the undersigned’s charter documents, including, without limitation, its incorporation or formation papers, bylaws, indenture of trust or partnership or operating agreement, as may be applicable. The signature of the Investor on this Subscription Agreement is genuine, and the signatory, if the Investor is an individual, has legal competence and capacity to execute the same or, if the Investor is not an individual, the signatory has been duly authorized to execute the same, and assuming that this Subscription Agreement constitutes the valid and binding obligation of FSD, this Subscription Agreement constitutes a legal, valid and binding obligation of the Investor, enforceable against the undersigned in accordance with its terms except as may be limited or otherwise affected by bankruptcy, insolvency, reorganization or other similar laws affecting the enforcement of creditors’ rights generally and by general principles of equity.</w:t>
      </w:r>
    </w:p>
    <w:p>
      <w:pPr>
        <w:spacing w:after="0" w:line="194"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8"/>
          <w:szCs w:val="18"/>
          <w:color w:val="auto"/>
        </w:rPr>
        <w:t>m. The undersigned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in any Executive Order issued by the President of the United States and administered by OFAC (“</w:t>
      </w:r>
      <w:r>
        <w:rPr>
          <w:rFonts w:ascii="Times New Roman" w:cs="Times New Roman" w:eastAsia="Times New Roman" w:hAnsi="Times New Roman"/>
          <w:sz w:val="18"/>
          <w:szCs w:val="18"/>
          <w:u w:val="single" w:color="auto"/>
          <w:color w:val="auto"/>
        </w:rPr>
        <w:t>OFAC List</w:t>
      </w:r>
      <w:r>
        <w:rPr>
          <w:rFonts w:ascii="Times New Roman" w:cs="Times New Roman" w:eastAsia="Times New Roman" w:hAnsi="Times New Roman"/>
          <w:sz w:val="18"/>
          <w:szCs w:val="18"/>
          <w:color w:val="auto"/>
        </w:rPr>
        <w:t>”), or a person or entity prohibited by any OFAC sanctions program, (ii) a Designated National as defined in the Cuban Assets Control Regulations, 31 C.F.R. Part 515, or (iii) a non-U.S. shell bank or providing banking services indirectly to a non-U.S. shell bank (collectively, a “</w:t>
      </w:r>
      <w:r>
        <w:rPr>
          <w:rFonts w:ascii="Times New Roman" w:cs="Times New Roman" w:eastAsia="Times New Roman" w:hAnsi="Times New Roman"/>
          <w:sz w:val="18"/>
          <w:szCs w:val="18"/>
          <w:u w:val="single" w:color="auto"/>
          <w:color w:val="auto"/>
        </w:rPr>
        <w:t>Prohibited Investor</w:t>
      </w:r>
      <w:r>
        <w:rPr>
          <w:rFonts w:ascii="Times New Roman" w:cs="Times New Roman" w:eastAsia="Times New Roman" w:hAnsi="Times New Roman"/>
          <w:sz w:val="18"/>
          <w:szCs w:val="18"/>
          <w:color w:val="auto"/>
        </w:rPr>
        <w:t>”). The Investor agrees to provide law enforcement agencies, if requested thereby, such records as required by applicable law, provided that the Investor is permitted to do so under applicable law. If the Investor is a financial institution subject to the Bank Secrecy Act (31 U.S.C. Section 5311 et seq.) (the “BSA”), as amended by the USA PATRIOT Act of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and its implementing regulations (collectively, the “</w:t>
      </w:r>
      <w:r>
        <w:rPr>
          <w:rFonts w:ascii="Times New Roman" w:cs="Times New Roman" w:eastAsia="Times New Roman" w:hAnsi="Times New Roman"/>
          <w:sz w:val="18"/>
          <w:szCs w:val="18"/>
          <w:u w:val="single" w:color="auto"/>
          <w:color w:val="auto"/>
        </w:rPr>
        <w:t>BSA/PATRIOT Act</w:t>
      </w:r>
      <w:r>
        <w:rPr>
          <w:rFonts w:ascii="Times New Roman" w:cs="Times New Roman" w:eastAsia="Times New Roman" w:hAnsi="Times New Roman"/>
          <w:sz w:val="18"/>
          <w:szCs w:val="18"/>
          <w:color w:val="auto"/>
        </w:rPr>
        <w:t>”), the Investor maintains policies and procedures reasonably designed to comply with applicable obligations under the BSA/PATRIOT Act. To the extent required, it maintains policies and procedures reasonably designed for the screening of its investors against the OFAC sanctions programs, including the OFAC List. To the extent required by applicable law, the Investor maintains policies and procedures reasonably designed to ensure that the funds held by the Investor and used to purchase the Shares were legally derived.</w:t>
      </w:r>
    </w:p>
    <w:p>
      <w:pPr>
        <w:spacing w:after="0" w:line="192" w:lineRule="exact"/>
        <w:rPr>
          <w:sz w:val="20"/>
          <w:szCs w:val="20"/>
          <w:color w:val="auto"/>
        </w:rPr>
      </w:pPr>
    </w:p>
    <w:p>
      <w:pPr>
        <w:jc w:val="both"/>
        <w:ind w:firstLine="864"/>
        <w:spacing w:after="0" w:line="282" w:lineRule="auto"/>
        <w:rPr>
          <w:sz w:val="20"/>
          <w:szCs w:val="20"/>
          <w:color w:val="auto"/>
        </w:rPr>
      </w:pPr>
      <w:r>
        <w:rPr>
          <w:rFonts w:ascii="Times New Roman" w:cs="Times New Roman" w:eastAsia="Times New Roman" w:hAnsi="Times New Roman"/>
          <w:sz w:val="18"/>
          <w:szCs w:val="18"/>
          <w:color w:val="auto"/>
        </w:rPr>
        <w:t>n. No disclosure or offering document has been prepared by either of the Placement Agents or any of their respective affiliates in connection with the offer and sale of the Shares.</w:t>
      </w:r>
    </w:p>
    <w:p>
      <w:pPr>
        <w:spacing w:after="0" w:line="162" w:lineRule="exact"/>
        <w:rPr>
          <w:sz w:val="20"/>
          <w:szCs w:val="20"/>
          <w:color w:val="auto"/>
        </w:rPr>
      </w:pPr>
    </w:p>
    <w:p>
      <w:pPr>
        <w:jc w:val="both"/>
        <w:ind w:firstLine="864"/>
        <w:spacing w:after="0" w:line="266" w:lineRule="auto"/>
        <w:rPr>
          <w:sz w:val="20"/>
          <w:szCs w:val="20"/>
          <w:color w:val="auto"/>
        </w:rPr>
      </w:pPr>
      <w:r>
        <w:rPr>
          <w:rFonts w:ascii="Times New Roman" w:cs="Times New Roman" w:eastAsia="Times New Roman" w:hAnsi="Times New Roman"/>
          <w:sz w:val="18"/>
          <w:szCs w:val="18"/>
          <w:color w:val="auto"/>
        </w:rPr>
        <w:t>o. Neither the Placement Agents nor any of their respective directors, officers, employees, representatives and controlling persons have made any independent investigation with respect to FSD or the Shares or the accuracy, completeness or adequacy of any information supplied to the Investor by FSD.</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 In connection with the issue and purchase of the Shares, the Placement Agents have not acted as the Investor’s financial advisor or fiduciary.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2" w:name="page203"/>
    <w:bookmarkEnd w:id="202"/>
    <w:p>
      <w:pPr>
        <w:ind w:firstLine="864"/>
        <w:spacing w:after="0" w:line="282" w:lineRule="auto"/>
        <w:rPr>
          <w:sz w:val="20"/>
          <w:szCs w:val="20"/>
          <w:color w:val="auto"/>
        </w:rPr>
      </w:pPr>
      <w:r>
        <w:rPr>
          <w:rFonts w:ascii="Times New Roman" w:cs="Times New Roman" w:eastAsia="Times New Roman" w:hAnsi="Times New Roman"/>
          <w:sz w:val="18"/>
          <w:szCs w:val="18"/>
          <w:color w:val="auto"/>
        </w:rPr>
        <w:t>q. When required to deliver payment to FSD pursuant to Section 2 above, the Investor will have sufficient funds to pay the Subscription Amount and consummate the purchase and sale of the Shares pursuant to this Subscription Agreement.</w:t>
      </w:r>
    </w:p>
    <w:p>
      <w:pPr>
        <w:spacing w:after="0" w:line="162" w:lineRule="exact"/>
        <w:rPr>
          <w:sz w:val="20"/>
          <w:szCs w:val="20"/>
          <w:color w:val="auto"/>
        </w:rPr>
      </w:pPr>
    </w:p>
    <w:p>
      <w:pPr>
        <w:ind w:firstLine="864"/>
        <w:spacing w:after="0" w:line="282" w:lineRule="auto"/>
        <w:rPr>
          <w:sz w:val="20"/>
          <w:szCs w:val="20"/>
          <w:color w:val="auto"/>
        </w:rPr>
      </w:pPr>
      <w:r>
        <w:rPr>
          <w:rFonts w:ascii="Times New Roman" w:cs="Times New Roman" w:eastAsia="Times New Roman" w:hAnsi="Times New Roman"/>
          <w:sz w:val="18"/>
          <w:szCs w:val="18"/>
          <w:color w:val="auto"/>
        </w:rPr>
        <w:t>r. The Investor acknowledges that it is aware that the Placement Agents are acting as FSD’s placement agents or financial advisors and certain of the Placement Agents are acting as financial advisor to Target in connection with the Transaction.</w:t>
      </w:r>
    </w:p>
    <w:p>
      <w:pPr>
        <w:spacing w:after="0" w:line="162" w:lineRule="exact"/>
        <w:rPr>
          <w:sz w:val="20"/>
          <w:szCs w:val="20"/>
          <w:color w:val="auto"/>
        </w:rPr>
      </w:pPr>
    </w:p>
    <w:p>
      <w:pPr>
        <w:ind w:left="620" w:hanging="180"/>
        <w:spacing w:after="0"/>
        <w:tabs>
          <w:tab w:leader="none" w:pos="62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86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event that the Shares are not registered in connection with the consummation of the Transaction, FSD agrees that, within thirty (30) calendar days after the consummation of the Transaction (the “</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it will file with the SEC (at the its sole cost and expense) a registration statement registering the resale of such Shares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it shall use its commercially reasonable efforts to have the Registration Statement declared effective as soon as practicable after the filing thereof, but no later than the earlier of (1) the 90th calendar day after the consummation</w:t>
      </w:r>
    </w:p>
    <w:p>
      <w:pPr>
        <w:spacing w:after="0" w:line="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of the Transaction (or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if the SEC notifies FSD that it will “review” the Registration Statement) and (2) the fifth business day after the date FSD is notified in writing by the SEC that the Registration Statement will not be “reviewed” or will not be subject to further review (the “</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xml:space="preserve">”). FSD agrees to cause such Registration Statement, or another shelf registration statement that includes the Shares to be sold pursuant to this Subscription Agreement, to remain effective, except for such times as FSD is permitted hereunder to suspend the use of the prospectus forming part of the Registration Statement, until the earliest of (i) the third anniversary of the Closing, (ii) the date on which the Investor ceases to hold any Shares issued pursuant to this Subscription Agreement, or (iii) on the first date on which the Investor can sell all of its Shares issued pursuant to this Subscription Agreement (or shares received in exchange therefor) under Rule 144 of the Securities Act without volume or manner of sale limitations and without the requirement for FSD to be in compliance with the current public information required under Rule 144(c)(2) (or Rule 144(i)(2), if applicable). The Investor agrees to disclose its beneficial ownership as determined in accordance with Rule 13d-3 of the Exchange Act to FSD upon request to assist it in making the determination described above. In no event shall the Investor be identified as a statutory underwriter in the Registration Statement unless requested by the SEC;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SEC requests that the Investor be identified as a statutory underwriter in the Registration Statement, the Investor will have an opportunity to withdraw its Shares from the Registration Statement. Notwithstanding the foregoing, if the SEC prevents FSD from including any or all of the shares proposed to be registered under the Registration Statement due to limitations on the use of Rule 415 of the Securities Act for the resale of the Shares by the applicable shareholders or otherwise, such Registration Statement shall register for resale such number of Shares which is equal to the maximum number of Shares as is permitted by the SEC. In such event, the number of Shares to be registered for each selling shareholder named in the Registration Statement shall be reduced pro rata among all such selling shareholders. FSD’s obligations to include the Shares issued pursuant to this Subscription Agreement (or shares issued in exchange therefor) for resale in the Registration Statement are contingent upon the Investor furnishing in writing to FSD such information regarding the Investor, the securities of FSD held by the Investor and the intended method of disposition of such Shares as shall be reasonably requested by FSD to effect the registration of such Shares, and shall execute such documents in connection with such registration as FSD may reasonably request that are customary of a selling stockholder in similar situations, including providing that FSD shall be entitled to postpone and suspend the effectiveness or use of the Registration Statement during any customary blackout period or similar period or as permitted hereunder. Investor shall not be entitled to use the Registration Statement for an underwritten offering. For purposes of clarification, any failure by FSD to file the Registration Statement by the Filing Deadline or to effect such Registration Statement by the Effectiveness Date shall not otherwise relieve FSD of its obligations to file or effect the Registration Statement set forth in this Section 7. For as long as the Registration Statement shall remain effective pursuant to this Section 7(a), FSD will use commercially reasonable efforts to (1) qualify the Shares for listing on the Stock Exchange, and (2) update or amend the Registration Statement as necessary to include the Shares. For as long as the Investor holds the Shares, FSD will use commercially reasonable efforts to (A) make and keep public information available, as those terms are understood and defined in Rule 144, (B) file in a timely manner all reports and other documents with the SEC required under the Exchange Act, as long as FSD remains subject to such requirements, and (C) provide all customary and reasonable cooperation necessary, in each case, to enable the undersigned to resell the Shares pursuant to the Registration Statement or Rule 144 of the Securities Act (when Rule 144 of the Securities Act becomes available to the Investor), as applicable.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3" w:name="page204"/>
    <w:bookmarkEnd w:id="203"/>
    <w:p>
      <w:pPr>
        <w:jc w:val="both"/>
        <w:ind w:firstLine="864"/>
        <w:spacing w:after="0" w:line="253" w:lineRule="auto"/>
        <w:rPr>
          <w:sz w:val="20"/>
          <w:szCs w:val="20"/>
          <w:color w:val="auto"/>
        </w:rPr>
      </w:pPr>
      <w:r>
        <w:rPr>
          <w:rFonts w:ascii="Times New Roman" w:cs="Times New Roman" w:eastAsia="Times New Roman" w:hAnsi="Times New Roman"/>
          <w:sz w:val="18"/>
          <w:szCs w:val="18"/>
          <w:color w:val="auto"/>
        </w:rPr>
        <w:t>b. Notwithstanding anything to the contrary contained herein, FSD may delay or postpone filing of such Registration Statement, and from time to time require the Investor not to sell under the Registration Statement or suspend the use or effectiveness of any such Registration Statement, if the board of directors of FSD determines in good faith that either in order for the Registration Statement to not contain a material misstatement or omission, an amendment thereto would be needed, or if such filing or use could materially affect a bona fide business or financing transaction of FSD or would require premature disclosure of information that could materially adversely affect FSD (each such circumstance, a “</w:t>
      </w:r>
      <w:r>
        <w:rPr>
          <w:rFonts w:ascii="Times New Roman" w:cs="Times New Roman" w:eastAsia="Times New Roman" w:hAnsi="Times New Roman"/>
          <w:sz w:val="18"/>
          <w:szCs w:val="18"/>
          <w:u w:val="single" w:color="auto"/>
          <w:color w:val="auto"/>
        </w:rPr>
        <w:t>Suspension Event</w:t>
      </w:r>
      <w:r>
        <w:rPr>
          <w:rFonts w:ascii="Times New Roman" w:cs="Times New Roman" w:eastAsia="Times New Roman" w:hAnsi="Times New Roman"/>
          <w:sz w:val="18"/>
          <w:szCs w:val="18"/>
          <w:color w:val="auto"/>
        </w:rPr>
        <w:t xml:space="preserve">”); provided, that, (I) FSD shall not so delay filing or so suspend the use of the Registration Statement on more than two (2) occasions or for a period of more than ninety (90) consecutive days or more than a total of one hundred-twenty (120) calendar days, in each case in any three hundred sixty (360) day period and (II) FSD shall use commercially reasonable efforts to make such Registration Statement available for the sale by the undersigned of such securities as soon as practicable thereafter. If so directed by FSD, the Investor will deliver to FSD or, in the Investor’s sole discretion destroy, all copies of the prospectus covering the Shares in the Investor’s possession;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obligation to deliver or destroy all copies of the prospectus covering the Shares shall not apply (i) to the extent the Investor is required to retain a copy of such prospectus (A) in order to comply with applicable legal or regulatory requirements or (B) in accordance with a bona fide pre-existing document retention policy or (ii) to copies stored electronically on archival servers as a result of automatic data back-up.</w:t>
      </w:r>
    </w:p>
    <w:p>
      <w:pPr>
        <w:spacing w:after="0" w:line="187" w:lineRule="exact"/>
        <w:rPr>
          <w:sz w:val="20"/>
          <w:szCs w:val="20"/>
          <w:color w:val="auto"/>
        </w:rPr>
      </w:pPr>
    </w:p>
    <w:p>
      <w:pPr>
        <w:jc w:val="both"/>
        <w:ind w:firstLine="864"/>
        <w:spacing w:after="0" w:line="251" w:lineRule="auto"/>
        <w:rPr>
          <w:sz w:val="20"/>
          <w:szCs w:val="20"/>
          <w:color w:val="auto"/>
        </w:rPr>
      </w:pPr>
      <w:r>
        <w:rPr>
          <w:rFonts w:ascii="Times New Roman" w:cs="Times New Roman" w:eastAsia="Times New Roman" w:hAnsi="Times New Roman"/>
          <w:sz w:val="18"/>
          <w:szCs w:val="18"/>
          <w:color w:val="auto"/>
        </w:rPr>
        <w:t>c. At its expense FSD shall advise the Investor within two (2) business days: (i) when a Registration Statement or any post-effective amendment thereto has become effective; (ii) of the issuance by the SEC of any stop order suspending the effectiveness of any Registration Statement or the initiation of any proceedings for such purpose; (iii) of the receipt by FSD of any notification with respect to the suspension of the qualification of the Shares included therein for sale in any jurisdiction or the initiation or threatening of any proceeding for such purpose; and (iv) 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Upon receipt of any written notice from FSD (which notice shall not contain any material non-public information regarding FSD) of the happening of any of the foregoing or of a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agrees that (1) it will immediately discontinue offers and sales of the Shares under the Registration Statement (excluding, for the avoidance of doubt, sales conducted pursuant to Rule 144) until the undersigned receives copies of a supplemental or amended prospectus (which FSD agrees to promptly prepare) that corrects the misstatement(s) or omission(s) referred to above and receives notice that any post-effective amendment has become effective or unless otherwise notified by FSD that it may resume such offers and sales, and (2) it will maintain the confidentiality of any information included in such written notice delivered by FSD except (A) for disclosure to the Investor’s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 or subpoena. FSD shall use its commercially reasonable efforts to obtain the withdrawal of any order suspending the effectiveness of any Registration Statement as soon as reasonably practicable. Upon the occurrence of any event contemplated in clauses (i) through (iv) above, except for such times as FSD is permitted hereunder to suspend, and has suspended, the use of a prospectus forming part of a Registration Statement, FSD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205" w:lineRule="exact"/>
        <w:rPr>
          <w:sz w:val="20"/>
          <w:szCs w:val="20"/>
          <w:color w:val="auto"/>
        </w:rPr>
      </w:pPr>
    </w:p>
    <w:p>
      <w:pPr>
        <w:jc w:val="both"/>
        <w:ind w:firstLine="864"/>
        <w:spacing w:after="0" w:line="261" w:lineRule="auto"/>
        <w:rPr>
          <w:sz w:val="20"/>
          <w:szCs w:val="20"/>
          <w:color w:val="auto"/>
        </w:rPr>
      </w:pPr>
      <w:r>
        <w:rPr>
          <w:rFonts w:ascii="Times New Roman" w:cs="Times New Roman" w:eastAsia="Times New Roman" w:hAnsi="Times New Roman"/>
          <w:sz w:val="18"/>
          <w:szCs w:val="18"/>
          <w:color w:val="auto"/>
        </w:rPr>
        <w:t>d. For purposes of this Section 7, “Shares” shall mean, as of any date of determination, the Shares acquired by the Investor pursuant to this Subscription Agreement and any other equity security issued or issuable with respect to such Shares by way of share split, dividend, distribution, recapitalization, merger, exchange, replacement or similar event, and “Investor” shall include any affiliate of the undersigned Investor to which the rights under this Section 7 shall have been duly assigned.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4" w:name="page205"/>
    <w:bookmarkEnd w:id="204"/>
    <w:p>
      <w:pPr>
        <w:jc w:val="both"/>
        <w:ind w:firstLine="864"/>
        <w:spacing w:after="0" w:line="253" w:lineRule="auto"/>
        <w:rPr>
          <w:sz w:val="20"/>
          <w:szCs w:val="20"/>
          <w:color w:val="auto"/>
        </w:rPr>
      </w:pPr>
      <w:r>
        <w:rPr>
          <w:rFonts w:ascii="Times New Roman" w:cs="Times New Roman" w:eastAsia="Times New Roman" w:hAnsi="Times New Roman"/>
          <w:sz w:val="18"/>
          <w:szCs w:val="18"/>
          <w:color w:val="auto"/>
        </w:rPr>
        <w:t>e. FSD shall indemnify the Investor (to the extent a seller under the Registration Statement), its officers, directors, partners, members, managers, stockholders, advisers and agents, and each person who controls the Investor (within the meaning of Section 15 of the Securities Act or Section 20 of the Exchange Act) to the fullest extent permitted by applicable law, from and against any and all losses, claims, damages, liabilities, costs (including reasonable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incurred, that arise out of or are based upon any untrue or alleged untrue statement of a material fact contained in the Registration Statement (or incorporated by reference therein),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except to the extent, that such untrue statements or alleged untrue statements, omissions or alleged omissions are based upon information regarding the Investor furnished in writing to FSD by the Investor expressly for use therein or Investor omitted a material fact from such information.</w:t>
      </w:r>
    </w:p>
    <w:p>
      <w:pPr>
        <w:spacing w:after="0" w:line="194"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8"/>
          <w:szCs w:val="18"/>
          <w:color w:val="auto"/>
        </w:rPr>
        <w:t>f. Investor shall indemnify and hold harmless FSD, its directors, officers, agents and employees, and each person who controls FSD (within the meaning of Section 15 of the Securities Act and Section 20 of the Exchange Act), to the fullest extent permitted by applicable law, from and against all Losses, as incurred, arising out of or are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or omissions are based upon information regarding the Investor furnished in writing to FSD by the Investor expressly for use therein. In no event shall the liability of Investor exceed the net proceeds received by the Investor upon the sale of the Shares giving rise to such indemnification obligation. The Investor shall notify FSD promptly of the institution, threat or assertion of any proceeding arising from or in connection with the transactions contemplated by this Section 7 of which the Investor is aware.</w:t>
      </w:r>
    </w:p>
    <w:p>
      <w:pPr>
        <w:spacing w:after="0" w:line="194" w:lineRule="exact"/>
        <w:rPr>
          <w:sz w:val="20"/>
          <w:szCs w:val="20"/>
          <w:color w:val="auto"/>
        </w:rPr>
      </w:pPr>
    </w:p>
    <w:p>
      <w:pPr>
        <w:jc w:val="both"/>
        <w:ind w:firstLine="864"/>
        <w:spacing w:after="0" w:line="252" w:lineRule="auto"/>
        <w:rPr>
          <w:sz w:val="20"/>
          <w:szCs w:val="20"/>
          <w:color w:val="auto"/>
        </w:rPr>
      </w:pPr>
      <w:r>
        <w:rPr>
          <w:rFonts w:ascii="Times New Roman" w:cs="Times New Roman" w:eastAsia="Times New Roman" w:hAnsi="Times New Roman"/>
          <w:sz w:val="18"/>
          <w:szCs w:val="18"/>
          <w:color w:val="auto"/>
        </w:rPr>
        <w:t>g. If the indemnification provided under this Section 7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subject to the limitations set forth in this Section 7 and deemed to include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7 from any person who was not guilty of such fraudulent misrepresentation. Each indemnifying party’s obligation to make a contribution pursuant to this Section 7(g) shall be individual, not joint and several, and in no event shall the liability of the Investor hereunder exceed the net proceeds received by the Investor upon the sale of the Shares giving rise to such indemnification obligation.</w:t>
      </w:r>
    </w:p>
    <w:p>
      <w:pPr>
        <w:spacing w:after="0" w:line="197" w:lineRule="exact"/>
        <w:rPr>
          <w:sz w:val="20"/>
          <w:szCs w:val="20"/>
          <w:color w:val="auto"/>
        </w:rPr>
      </w:pPr>
    </w:p>
    <w:p>
      <w:pPr>
        <w:jc w:val="both"/>
        <w:ind w:firstLine="872"/>
        <w:spacing w:after="0" w:line="254" w:lineRule="auto"/>
        <w:tabs>
          <w:tab w:leader="none" w:pos="104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Transaction Agreement is terminated in accordance with its terms, (b) upon the mutual written agreement of each of the parties hereto to terminate this Subscription Agreement, (c) if the consummation of the Transaction has not occurred on or before May 15, 2021; or (d) if any of the conditions to Closing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Subscription Agreement are not satisfied or waived, or are not capable of being satisfied, on or prior to the Closing and, as a result thereof, the transactions contemplated by this Subscription Agreement will not be and are not consummated at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will relieve any party from liability for any willful breach hereof prior to the time of termination, and each party will be entitled to any remedies at law or in equity to recover losses, liabilities or damages arising from any such breach. FSD shall notify the Investor of the termination of the Transaction Agreement promptly after the termination of such agreement.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5" w:name="page206"/>
    <w:bookmarkEnd w:id="205"/>
    <w:p>
      <w:pPr>
        <w:jc w:val="both"/>
        <w:ind w:firstLine="872"/>
        <w:spacing w:after="0" w:line="252" w:lineRule="auto"/>
        <w:tabs>
          <w:tab w:leader="none" w:pos="1057"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 The Investor hereby acknowledges that FSD has established a trust account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containing the proceeds of its initial public offering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and from certain private placements occurring simultaneously with the IPO (including interest accrued from time to time thereon) for the benefit of FSD’s public stockholders and certain other parties (including the underwriters of the IPO). For and in consideration of FSD entering into this Subscription Agreement, and for other good and valuable consideration, the receipt and sufficiency of which are hereby acknowledged, the Investor hereby agrees that it does not now and shall not at any time hereafter have any right, title, interest or claim of any kind in or to any assets held in the Trust Account, and shall not make any claim against the Trust Account, regardless of whether such claim arises as a result of, in connection with or relating in any way to this Subscription Agreement or any other matter,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8"/>
          <w:szCs w:val="18"/>
          <w:u w:val="single" w:color="auto"/>
          <w:color w:val="auto"/>
        </w:rPr>
        <w:t>Released Claims</w:t>
      </w:r>
      <w:r>
        <w:rPr>
          <w:rFonts w:ascii="Times New Roman" w:cs="Times New Roman" w:eastAsia="Times New Roman" w:hAnsi="Times New Roman"/>
          <w:sz w:val="18"/>
          <w:szCs w:val="18"/>
          <w:color w:val="auto"/>
        </w:rPr>
        <w:t xml:space="preserve">”). The Investor hereby irrevocably waives any Released Claims that it may have against the Trust Account now or in the future as a result of, or arising out of, any discussions, contracts or agreements with FSD and will not seek recourse against the Trust Account for any reason whatsoever;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this Section 9 shall be deemed to limit the Investor’s right to distributions from the Trust Account in accordance with FSD’s certificate of incorporation in respect of any redemptions by the Investor in respect of Shares acquired by any means other than pursuant to this Subscription Agreement. Nothing in this Section 9 shall be deemed to limit the Investor’s right, title, interest or claim to any monies held in the Trust Account by virtue of its record or beneficial ownership of Shares currently outstanding on the date hereof, pursuant to a validly exercised redemption right with respect to any such Shares, except to the extent that the Investor has otherwise agreed with FSD to not exercise such redemption right.</w:t>
      </w:r>
    </w:p>
    <w:p>
      <w:pPr>
        <w:spacing w:after="0" w:line="195" w:lineRule="exact"/>
        <w:rPr>
          <w:rFonts w:ascii="Times New Roman" w:cs="Times New Roman" w:eastAsia="Times New Roman" w:hAnsi="Times New Roman"/>
          <w:sz w:val="18"/>
          <w:szCs w:val="18"/>
          <w:color w:val="auto"/>
        </w:rPr>
      </w:pPr>
    </w:p>
    <w:p>
      <w:pPr>
        <w:ind w:left="700" w:hanging="260"/>
        <w:spacing w:after="0"/>
        <w:tabs>
          <w:tab w:leader="none" w:pos="7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64"/>
        <w:spacing w:after="0" w:line="266" w:lineRule="auto"/>
        <w:rPr>
          <w:sz w:val="20"/>
          <w:szCs w:val="20"/>
          <w:color w:val="auto"/>
        </w:rPr>
      </w:pPr>
      <w:r>
        <w:rPr>
          <w:rFonts w:ascii="Times New Roman" w:cs="Times New Roman" w:eastAsia="Times New Roman" w:hAnsi="Times New Roman"/>
          <w:sz w:val="18"/>
          <w:szCs w:val="18"/>
          <w:color w:val="auto"/>
        </w:rPr>
        <w:t>a. Neither this Subscription Agreement nor any rights that may accrue to the Investor hereunder (other than the Shares acquired hereunder, if any) may be transferred or assigned other than an assignment to any fund or account managed by the same investment manager as the Investor or an affiliate thereof.</w:t>
      </w:r>
    </w:p>
    <w:p>
      <w:pPr>
        <w:spacing w:after="0" w:line="176"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18"/>
          <w:szCs w:val="18"/>
          <w:color w:val="auto"/>
        </w:rPr>
        <w:t>b. FSD may request from the Investor such additional information as FSD may deem necessary to evaluate the eligibility of the Investor to acquire the Shares, and the Investor shall promptly provide such information as may reasonably be requested to the extent readily available and to the extent consistent with its internal policies and procedures; provided, that, FSD agrees to keep any such information provided by the Investor confidential. The Investor acknowledges that FSD may file a copy of this Subscription Agreement with the SEC as an exhibit to a periodic report of FSD or a registration statement of FSD.</w:t>
      </w:r>
    </w:p>
    <w:p>
      <w:pPr>
        <w:spacing w:after="0" w:line="183"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18"/>
          <w:szCs w:val="18"/>
          <w:color w:val="auto"/>
        </w:rPr>
        <w:t>c. The Investor acknowledges that FSD, the Placement Agents and others will rely on the acknowledgments, understandings, agreements, representations and warranties contained in this Subscription Agreement. Prior to the Closing, the Investor agrees to promptly notify FSD and the Placement Agents if any of the acknowledgments, understandings, agreements, representations and warranties set forth herein are no longer accurate in any material respect (other than those acknowledgments, understandings, agreements, representations and warranties qualified by materiality, in which case the Investor shall notify FSD and the Placement Agents if they are no longer accurate in all respects).</w:t>
      </w:r>
    </w:p>
    <w:p>
      <w:pPr>
        <w:spacing w:after="0" w:line="183" w:lineRule="exact"/>
        <w:rPr>
          <w:sz w:val="20"/>
          <w:szCs w:val="20"/>
          <w:color w:val="auto"/>
        </w:rPr>
      </w:pPr>
    </w:p>
    <w:p>
      <w:pPr>
        <w:jc w:val="both"/>
        <w:ind w:firstLine="864"/>
        <w:spacing w:after="0" w:line="266" w:lineRule="auto"/>
        <w:rPr>
          <w:sz w:val="20"/>
          <w:szCs w:val="20"/>
          <w:color w:val="auto"/>
        </w:rPr>
      </w:pPr>
      <w:r>
        <w:rPr>
          <w:rFonts w:ascii="Times New Roman" w:cs="Times New Roman" w:eastAsia="Times New Roman" w:hAnsi="Times New Roman"/>
          <w:sz w:val="18"/>
          <w:szCs w:val="18"/>
          <w:color w:val="auto"/>
        </w:rPr>
        <w:t>d. FSD, the Investor and the Placement Agents are each entitled to rely upon this Subscription Agreement and each is irrevocably authorized to produce this Subscription Agreement or a copy hereof to any interested party in any administrative or legal proceeding or official inquiry with respect to the matters covered hereby.</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 All of the agreements, representations and warranties made by each party hereto in this Subscription Agreement shall survive the Closing.</w:t>
      </w:r>
    </w:p>
    <w:p>
      <w:pPr>
        <w:spacing w:after="0" w:line="225"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18"/>
          <w:szCs w:val="18"/>
          <w:color w:val="auto"/>
        </w:rPr>
        <w:t>f. This Subscription Agreement may not be modified, waived or terminated except by an instrument in writing, signed by each of the parties hereto.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6" w:name="page207"/>
    <w:bookmarkEnd w:id="206"/>
    <w:p>
      <w:pPr>
        <w:jc w:val="both"/>
        <w:ind w:firstLine="864"/>
        <w:spacing w:after="0" w:line="254" w:lineRule="auto"/>
        <w:rPr>
          <w:sz w:val="20"/>
          <w:szCs w:val="20"/>
          <w:color w:val="auto"/>
        </w:rPr>
      </w:pPr>
      <w:r>
        <w:rPr>
          <w:rFonts w:ascii="Times New Roman" w:cs="Times New Roman" w:eastAsia="Times New Roman" w:hAnsi="Times New Roman"/>
          <w:sz w:val="18"/>
          <w:szCs w:val="18"/>
          <w:color w:val="auto"/>
        </w:rPr>
        <w:t xml:space="preserve">g. This Subscription Agreement (including the schedule hereto) constitutes the entire agreement, and supersedes all other prior agreements, understandings, representations and warranties, both written and oral, among the parties, with respect to the subject matter hereof. This Subscription Agreement shall not confer any rights or remedies upon any person other than the parties hereto, and their respective successor and assigns; provided that, as set forth in </w:t>
      </w:r>
      <w:r>
        <w:rPr>
          <w:rFonts w:ascii="Times New Roman" w:cs="Times New Roman" w:eastAsia="Times New Roman" w:hAnsi="Times New Roman"/>
          <w:sz w:val="18"/>
          <w:szCs w:val="18"/>
          <w:u w:val="single" w:color="auto"/>
          <w:color w:val="auto"/>
        </w:rPr>
        <w:t>Sections 10(c)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10(d)</w:t>
      </w:r>
      <w:r>
        <w:rPr>
          <w:rFonts w:ascii="Times New Roman" w:cs="Times New Roman" w:eastAsia="Times New Roman" w:hAnsi="Times New Roman"/>
          <w:sz w:val="18"/>
          <w:szCs w:val="18"/>
          <w:color w:val="auto"/>
        </w:rPr>
        <w:t xml:space="preserve"> hereto, each Placement Agent shall be a third-party beneficiary to this Subscription Agreement and shall be entitled to the rights and benefits hereunder and may enforce the provisions hereof as if it were a party hereto. h. 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92" w:lineRule="exact"/>
        <w:rPr>
          <w:sz w:val="20"/>
          <w:szCs w:val="20"/>
          <w:color w:val="auto"/>
        </w:rPr>
      </w:pPr>
    </w:p>
    <w:p>
      <w:pPr>
        <w:jc w:val="both"/>
        <w:ind w:firstLine="864"/>
        <w:spacing w:after="0" w:line="266" w:lineRule="auto"/>
        <w:rPr>
          <w:sz w:val="20"/>
          <w:szCs w:val="20"/>
          <w:color w:val="auto"/>
        </w:rPr>
      </w:pPr>
      <w:r>
        <w:rPr>
          <w:rFonts w:ascii="Times New Roman" w:cs="Times New Roman" w:eastAsia="Times New Roman" w:hAnsi="Times New Roman"/>
          <w:sz w:val="18"/>
          <w:szCs w:val="18"/>
          <w:color w:val="auto"/>
        </w:rPr>
        <w:t>i. 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p>
      <w:pPr>
        <w:spacing w:after="0" w:line="176" w:lineRule="exact"/>
        <w:rPr>
          <w:sz w:val="20"/>
          <w:szCs w:val="20"/>
          <w:color w:val="auto"/>
        </w:rPr>
      </w:pPr>
    </w:p>
    <w:p>
      <w:pPr>
        <w:jc w:val="both"/>
        <w:ind w:firstLine="864"/>
        <w:spacing w:after="0" w:line="266" w:lineRule="auto"/>
        <w:rPr>
          <w:sz w:val="20"/>
          <w:szCs w:val="20"/>
          <w:color w:val="auto"/>
        </w:rPr>
      </w:pPr>
      <w:r>
        <w:rPr>
          <w:rFonts w:ascii="Times New Roman" w:cs="Times New Roman" w:eastAsia="Times New Roman" w:hAnsi="Times New Roman"/>
          <w:sz w:val="18"/>
          <w:szCs w:val="18"/>
          <w:color w:val="auto"/>
        </w:rPr>
        <w:t>j. This Subscription Agreement may be executed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76"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18"/>
          <w:szCs w:val="18"/>
          <w:color w:val="auto"/>
        </w:rPr>
        <w:t>k. 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w:t>
      </w:r>
    </w:p>
    <w:p>
      <w:pPr>
        <w:spacing w:after="0" w:line="183" w:lineRule="exact"/>
        <w:rPr>
          <w:sz w:val="20"/>
          <w:szCs w:val="20"/>
          <w:color w:val="auto"/>
        </w:rPr>
      </w:pPr>
    </w:p>
    <w:p>
      <w:pPr>
        <w:jc w:val="both"/>
        <w:ind w:firstLine="864"/>
        <w:spacing w:after="0" w:line="251" w:lineRule="auto"/>
        <w:rPr>
          <w:sz w:val="20"/>
          <w:szCs w:val="20"/>
          <w:color w:val="auto"/>
        </w:rPr>
      </w:pPr>
      <w:r>
        <w:rPr>
          <w:rFonts w:ascii="Times New Roman" w:cs="Times New Roman" w:eastAsia="Times New Roman" w:hAnsi="Times New Roman"/>
          <w:sz w:val="18"/>
          <w:szCs w:val="18"/>
          <w:color w:val="auto"/>
        </w:rPr>
        <w:t xml:space="preserve">l. THE PARTIES HERETO IRREVOCABLY SUBMIT TO THE EXCLUSIVE JURISDICTION OF THE UNITED STATES DISTRICT COURT FOR THE SOUTHERN DISTRICT OF NEW YORK AND THE SUPREME COURT OF THE STATE OF NEW YORK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 xml:space="preserve">OF THIS SUBSCRIPTION AGREEMENT OR IN SUCH OTHER MANNER AS MAY BE PERMITTED BY LAW SHALL BE VALID AND SUFFICIENT SERVICE THEREOF. 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w:t>
      </w:r>
      <w:r>
        <w:rPr>
          <w:rFonts w:ascii="Times New Roman" w:cs="Times New Roman" w:eastAsia="Times New Roman" w:hAnsi="Times New Roman"/>
          <w:sz w:val="18"/>
          <w:szCs w:val="18"/>
          <w:u w:val="single" w:color="auto"/>
          <w:color w:val="auto"/>
        </w:rPr>
        <w:t>SECTION 10(l)</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7" w:name="page208"/>
    <w:bookmarkEnd w:id="207"/>
    <w:p>
      <w:pPr>
        <w:jc w:val="both"/>
        <w:ind w:firstLine="864"/>
        <w:spacing w:after="0" w:line="254" w:lineRule="auto"/>
        <w:rPr>
          <w:sz w:val="20"/>
          <w:szCs w:val="20"/>
          <w:color w:val="auto"/>
        </w:rPr>
      </w:pPr>
      <w:r>
        <w:rPr>
          <w:rFonts w:ascii="Times New Roman" w:cs="Times New Roman" w:eastAsia="Times New Roman" w:hAnsi="Times New Roman"/>
          <w:sz w:val="18"/>
          <w:szCs w:val="18"/>
          <w:color w:val="auto"/>
        </w:rPr>
        <w:t xml:space="preserve">m. All notices, requests, demands, claims, and other communications hereunder shall be in writing. Any notice, request, demand, claim, or other communication hereunder shall be deemed duly given (i) when delivered personally to the recipient, (ii) when sent by electronic mail, on the date of transmission to such recipient;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notice, request, demand, claim or other communication is also sent to the recipient pursuant to clauses (i), (iii) or (iv) of this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 xml:space="preserve">, (iii) one business day after being sent to the recipient by reputable overnight courier service (charges prepaid), or (iv) five (5) business days after being mailed to the recipient by certified or registered mail, return receipt requested and postage prepaid, and, in each case, addressed to the intended recipient at its address specified on the signature page hereof or to such electronic 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 All communications sent to FSD shall be sent to: FS Development Corp., 600 Montgomery Street, Suite 4500, San Francisco, California 94111, Attn: Jim Tananbaum, email: jim@foresitecapital.com, with a copy to: White &amp; Case LLP, 1221 Avenue of the Americas, New York, New York 10020, Attn: Joel L. Rubinstein, Esq., email: joel.rubinstein@whitecase.com.</w:t>
      </w:r>
    </w:p>
    <w:p>
      <w:pPr>
        <w:spacing w:after="0" w:line="188" w:lineRule="exact"/>
        <w:rPr>
          <w:sz w:val="20"/>
          <w:szCs w:val="20"/>
          <w:color w:val="auto"/>
        </w:rPr>
      </w:pPr>
    </w:p>
    <w:p>
      <w:pPr>
        <w:jc w:val="both"/>
        <w:ind w:firstLine="440"/>
        <w:spacing w:after="0" w:line="253" w:lineRule="auto"/>
        <w:tabs>
          <w:tab w:leader="none" w:pos="722"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FSD shall, by 9:00 a.m., New York City time, on the first business day immediately following the date of this Subscription Agreement, issue one or more press releases or furnish or file with the SEC a Current Report on Form 8-K (collectively, the “</w:t>
      </w:r>
      <w:r>
        <w:rPr>
          <w:rFonts w:ascii="Times New Roman" w:cs="Times New Roman" w:eastAsia="Times New Roman" w:hAnsi="Times New Roman"/>
          <w:sz w:val="18"/>
          <w:szCs w:val="18"/>
          <w:u w:val="single" w:color="auto"/>
          <w:color w:val="auto"/>
        </w:rPr>
        <w:t>Disclosure Document</w:t>
      </w:r>
      <w:r>
        <w:rPr>
          <w:rFonts w:ascii="Times New Roman" w:cs="Times New Roman" w:eastAsia="Times New Roman" w:hAnsi="Times New Roman"/>
          <w:sz w:val="18"/>
          <w:szCs w:val="18"/>
          <w:color w:val="auto"/>
        </w:rPr>
        <w:t>”) disclosing, to the extent not previously publicly disclosed, the transactions contemplated hereby, all material terms of the Transaction and any other material, non-public information that FSD has provided to the Investor at any time prior to the filing of the Disclosure Document. From and after the disclosure of the Disclosure Document, to the knowledge of FSD, the Investor shall not be in possession of any material, non-public information received from FSD or any of its officers, directors or employees. Notwithstanding the foregoing, FSD shall not publicly disclose the name of the Investor or any affiliate or investment adviser of the Investor, or include the name of the Investor or any affiliate or investment adviser of the Investor in any press release or in any filing with the SEC or any regulatory agency or trading market, without the prior written consent (including by e-mail) of the Investor, except as required by the federal securities laws, rules or regulations, and to the extent such disclosure is required by other laws, rules or regulations, at the request of the staff of the SEC or regulatory agency or under the NYSE regulations, in which case FSD shall provide the Investor with prior written notice (including by e-mail) of such permitted disclosure, and shall reasonably consult with the Investor regarding such disclosure.</w:t>
      </w:r>
    </w:p>
    <w:p>
      <w:pPr>
        <w:spacing w:after="0" w:line="191" w:lineRule="exact"/>
        <w:rPr>
          <w:rFonts w:ascii="Times New Roman" w:cs="Times New Roman" w:eastAsia="Times New Roman" w:hAnsi="Times New Roman"/>
          <w:sz w:val="18"/>
          <w:szCs w:val="18"/>
          <w:color w:val="auto"/>
        </w:rPr>
      </w:pPr>
    </w:p>
    <w:p>
      <w:pPr>
        <w:jc w:val="both"/>
        <w:ind w:firstLine="440"/>
        <w:spacing w:after="0" w:line="261" w:lineRule="auto"/>
        <w:tabs>
          <w:tab w:leader="none" w:pos="71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Exculpation</w:t>
      </w:r>
      <w:r>
        <w:rPr>
          <w:rFonts w:ascii="Times New Roman" w:cs="Times New Roman" w:eastAsia="Times New Roman" w:hAnsi="Times New Roman"/>
          <w:sz w:val="18"/>
          <w:szCs w:val="18"/>
          <w:color w:val="auto"/>
        </w:rPr>
        <w:t>. The Investor agrees that none of (i) any other investor pursuant to any Other Subscription Agreement (including the respective controlling persons, officers, directors, partners, agents, or employees of any investor) or (ii) the Placement Agents, their respective affiliates or any of their or their respective affiliates’ control persons, officers, directors or employees shall be liable to the Investor for any action heretofore or hereafter taken or omitted to be taken by any of them in connection with the purchase of the Shares.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8" w:name="page209"/>
    <w:bookmarkEnd w:id="208"/>
    <w:p>
      <w:pPr>
        <w:ind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Investor has executed or caused this Subscription Agreement to be executed by its duly authorized representative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date set forth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Name of Investor:</w:t>
            </w: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State/Country of Formation or Domicile:</w:t>
            </w:r>
          </w:p>
        </w:tc>
      </w:tr>
      <w:tr>
        <w:trPr>
          <w:trHeight w:val="479"/>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5820" w:type="dxa"/>
            <w:vAlign w:val="bottom"/>
            <w:tcBorders>
              <w:bottom w:val="single" w:sz="8" w:color="auto"/>
            </w:tcBorders>
            <w:gridSpan w:val="3"/>
          </w:tcPr>
          <w:p>
            <w:pPr>
              <w:spacing w:after="0"/>
              <w:rPr>
                <w:sz w:val="24"/>
                <w:szCs w:val="24"/>
                <w:color w:val="auto"/>
              </w:rPr>
            </w:pPr>
          </w:p>
        </w:tc>
        <w:tc>
          <w:tcPr>
            <w:tcW w:w="6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466"/>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w:t>
            </w:r>
          </w:p>
        </w:tc>
        <w:tc>
          <w:tcPr>
            <w:tcW w:w="5720" w:type="dxa"/>
            <w:vAlign w:val="bottom"/>
            <w:tcBorders>
              <w:bottom w:val="single" w:sz="8" w:color="auto"/>
            </w:tcBorders>
            <w:gridSpan w:val="2"/>
          </w:tcPr>
          <w:p>
            <w:pPr>
              <w:spacing w:after="0"/>
              <w:rPr>
                <w:sz w:val="24"/>
                <w:szCs w:val="24"/>
                <w:color w:val="auto"/>
              </w:rPr>
            </w:pPr>
          </w:p>
        </w:tc>
        <w:tc>
          <w:tcPr>
            <w:tcW w:w="6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466"/>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Title:</w:t>
            </w:r>
          </w:p>
        </w:tc>
        <w:tc>
          <w:tcPr>
            <w:tcW w:w="560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418"/>
        </w:trPr>
        <w:tc>
          <w:tcPr>
            <w:tcW w:w="6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Name in which Shares are to be registered (if different):</w:t>
            </w: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Date: ________, 2020</w:t>
            </w:r>
          </w:p>
        </w:tc>
      </w:tr>
      <w:tr>
        <w:trPr>
          <w:trHeight w:val="432"/>
        </w:trPr>
        <w:tc>
          <w:tcPr>
            <w:tcW w:w="6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Investor’s EIN:</w:t>
            </w:r>
          </w:p>
        </w:tc>
        <w:tc>
          <w:tcPr>
            <w:tcW w:w="6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432"/>
        </w:trPr>
        <w:tc>
          <w:tcPr>
            <w:tcW w:w="6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Business Address-Street:</w:t>
            </w: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Mailing Address-Street (if different):</w:t>
            </w:r>
          </w:p>
        </w:tc>
      </w:tr>
      <w:tr>
        <w:trPr>
          <w:trHeight w:val="432"/>
        </w:trPr>
        <w:tc>
          <w:tcPr>
            <w:tcW w:w="6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City, State, Zip:</w:t>
            </w: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City, State, Zip:</w:t>
            </w:r>
          </w:p>
        </w:tc>
      </w:tr>
      <w:tr>
        <w:trPr>
          <w:trHeight w:val="47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Attn:</w:t>
            </w:r>
          </w:p>
        </w:tc>
        <w:tc>
          <w:tcPr>
            <w:tcW w:w="6060" w:type="dxa"/>
            <w:vAlign w:val="bottom"/>
            <w:tcBorders>
              <w:bottom w:val="single" w:sz="8" w:color="auto"/>
            </w:tcBorders>
            <w:gridSpan w:val="4"/>
          </w:tcPr>
          <w:p>
            <w:pPr>
              <w:spacing w:after="0"/>
              <w:rPr>
                <w:sz w:val="24"/>
                <w:szCs w:val="2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Attn:</w:t>
            </w:r>
          </w:p>
        </w:tc>
        <w:tc>
          <w:tcPr>
            <w:tcW w:w="3920" w:type="dxa"/>
            <w:vAlign w:val="bottom"/>
            <w:tcBorders>
              <w:bottom w:val="single" w:sz="8" w:color="auto"/>
            </w:tcBorders>
          </w:tcPr>
          <w:p>
            <w:pPr>
              <w:spacing w:after="0"/>
              <w:rPr>
                <w:sz w:val="24"/>
                <w:szCs w:val="24"/>
                <w:color w:val="auto"/>
              </w:rPr>
            </w:pPr>
          </w:p>
        </w:tc>
      </w:tr>
      <w:tr>
        <w:trPr>
          <w:trHeight w:val="419"/>
        </w:trPr>
        <w:tc>
          <w:tcPr>
            <w:tcW w:w="6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Telephone No.:</w:t>
            </w: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Telephone No.:</w:t>
            </w:r>
          </w:p>
        </w:tc>
      </w:tr>
      <w:tr>
        <w:trPr>
          <w:trHeight w:val="432"/>
        </w:trPr>
        <w:tc>
          <w:tcPr>
            <w:tcW w:w="6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Facsimile No.:</w:t>
            </w: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Facsimile No.:</w:t>
            </w:r>
          </w:p>
        </w:tc>
      </w:tr>
      <w:tr>
        <w:trPr>
          <w:trHeight w:val="432"/>
        </w:trPr>
        <w:tc>
          <w:tcPr>
            <w:tcW w:w="6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Number of Shares subscribed for:</w:t>
            </w:r>
          </w:p>
        </w:tc>
        <w:tc>
          <w:tcPr>
            <w:tcW w:w="6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432"/>
        </w:trPr>
        <w:tc>
          <w:tcPr>
            <w:tcW w:w="6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Aggregate Subscription Amount:$</w:t>
            </w: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Price Per Share: $10</w:t>
            </w:r>
          </w:p>
        </w:tc>
      </w:tr>
    </w:tbl>
    <w:p>
      <w:pPr>
        <w:spacing w:after="0" w:line="19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You must pay the Subscription Amount by wire transfer of United States dollars in immediately available funds to the account specified by FSD in the Closing Notice.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9" w:name="page210"/>
    <w:bookmarkEnd w:id="209"/>
    <w:p>
      <w:pPr>
        <w:ind w:left="440"/>
        <w:spacing w:after="0"/>
        <w:rPr>
          <w:sz w:val="20"/>
          <w:szCs w:val="20"/>
          <w:color w:val="auto"/>
        </w:rPr>
      </w:pPr>
      <w:r>
        <w:rPr>
          <w:rFonts w:ascii="Times New Roman" w:cs="Times New Roman" w:eastAsia="Times New Roman" w:hAnsi="Times New Roman"/>
          <w:sz w:val="17"/>
          <w:szCs w:val="17"/>
          <w:color w:val="auto"/>
        </w:rPr>
        <w:t>IN WITNESS WHEREOF, FSD has accepted this Subscription Agreement as of the date set forth below.</w:t>
      </w:r>
    </w:p>
    <w:p>
      <w:pPr>
        <w:spacing w:after="0" w:line="2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8890</wp:posOffset>
            </wp:positionV>
            <wp:extent cx="249428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 2020</w:t>
      </w:r>
    </w:p>
    <w:p>
      <w:pPr>
        <w:spacing w:after="0" w:line="200" w:lineRule="exact"/>
        <w:rPr>
          <w:sz w:val="20"/>
          <w:szCs w:val="20"/>
          <w:color w:val="auto"/>
        </w:rPr>
      </w:pPr>
    </w:p>
    <w:p>
      <w:pPr>
        <w:spacing w:after="0" w:line="25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10" w:name="page211"/>
    <w:bookmarkEnd w:id="2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ELIGIBILITY REPRESENTATIONS OF THE INVESTOR</w:t>
      </w:r>
    </w:p>
    <w:p>
      <w:pPr>
        <w:spacing w:after="0" w:line="229" w:lineRule="exact"/>
        <w:rPr>
          <w:sz w:val="20"/>
          <w:szCs w:val="20"/>
          <w:color w:val="auto"/>
        </w:rPr>
      </w:pPr>
    </w:p>
    <w:p>
      <w:pPr>
        <w:ind w:left="340" w:right="7180" w:hanging="332"/>
        <w:spacing w:after="0" w:line="312" w:lineRule="auto"/>
        <w:tabs>
          <w:tab w:leader="none" w:pos="340"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QUALIFIED INSTITUTIONAL BUYER STATUS (Pleasecheck the applicable subparagraphs):</w:t>
      </w:r>
    </w:p>
    <w:p>
      <w:pPr>
        <w:spacing w:after="0" w:line="111" w:lineRule="exact"/>
        <w:rPr>
          <w:rFonts w:ascii="Times New Roman" w:cs="Times New Roman" w:eastAsia="Times New Roman" w:hAnsi="Times New Roman"/>
          <w:sz w:val="17"/>
          <w:szCs w:val="17"/>
          <w:color w:val="auto"/>
        </w:rPr>
      </w:pPr>
    </w:p>
    <w:p>
      <w:pPr>
        <w:ind w:left="340"/>
        <w:spacing w:after="0" w:line="207" w:lineRule="exact"/>
        <w:rPr>
          <w:rFonts w:ascii="Times New Roman" w:cs="Times New Roman" w:eastAsia="Times New Roman" w:hAnsi="Times New Roman"/>
          <w:sz w:val="17"/>
          <w:szCs w:val="17"/>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a “qualified institutional buyer” (as defined in Rule 144A under the Securities Act (a “</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w:t>
      </w:r>
    </w:p>
    <w:p>
      <w:pPr>
        <w:spacing w:after="0" w:line="253" w:lineRule="exact"/>
        <w:rPr>
          <w:rFonts w:ascii="Times New Roman" w:cs="Times New Roman" w:eastAsia="Times New Roman" w:hAnsi="Times New Roman"/>
          <w:sz w:val="17"/>
          <w:szCs w:val="17"/>
          <w:color w:val="auto"/>
        </w:rPr>
      </w:pPr>
    </w:p>
    <w:p>
      <w:pPr>
        <w:ind w:left="340" w:right="6740" w:hanging="332"/>
        <w:spacing w:after="0" w:line="282" w:lineRule="auto"/>
        <w:tabs>
          <w:tab w:leader="none" w:pos="3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ACCREDITED INVESTOR STATUS (Pleasecheck the applicable subparagraphs):</w:t>
      </w:r>
    </w:p>
    <w:p>
      <w:pPr>
        <w:spacing w:after="0" w:line="133" w:lineRule="exact"/>
        <w:rPr>
          <w:sz w:val="20"/>
          <w:szCs w:val="20"/>
          <w:color w:val="auto"/>
        </w:rPr>
      </w:pPr>
    </w:p>
    <w:p>
      <w:pPr>
        <w:jc w:val="both"/>
        <w:ind w:left="660" w:hanging="328"/>
        <w:spacing w:after="0" w:line="232" w:lineRule="exact"/>
        <w:tabs>
          <w:tab w:leader="none" w:pos="660" w:val="left"/>
        </w:tabs>
        <w:numPr>
          <w:ilvl w:val="0"/>
          <w:numId w:val="2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170"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2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not a natural person.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80" w:lineRule="exact"/>
        <w:rPr>
          <w:sz w:val="20"/>
          <w:szCs w:val="20"/>
          <w:color w:val="auto"/>
        </w:rPr>
      </w:pPr>
    </w:p>
    <w:p>
      <w:pPr>
        <w:ind w:left="660" w:hanging="4"/>
        <w:spacing w:after="0" w:line="282" w:lineRule="auto"/>
        <w:tabs>
          <w:tab w:leader="none" w:pos="867" w:val="left"/>
        </w:tabs>
        <w:numPr>
          <w:ilvl w:val="2"/>
          <w:numId w:val="2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bank, registered broker or dealer, insurance company, registered investment company, business development company, or small business investment company;</w:t>
      </w:r>
    </w:p>
    <w:p>
      <w:pPr>
        <w:spacing w:after="0" w:line="161" w:lineRule="exact"/>
        <w:rPr>
          <w:rFonts w:ascii="MS PGothic" w:cs="MS PGothic" w:eastAsia="MS PGothic" w:hAnsi="MS PGothic"/>
          <w:sz w:val="18"/>
          <w:szCs w:val="18"/>
          <w:color w:val="auto"/>
        </w:rPr>
      </w:pPr>
    </w:p>
    <w:p>
      <w:pPr>
        <w:ind w:left="660" w:hanging="4"/>
        <w:spacing w:after="0" w:line="282" w:lineRule="auto"/>
        <w:tabs>
          <w:tab w:leader="none" w:pos="867" w:val="left"/>
        </w:tabs>
        <w:numPr>
          <w:ilvl w:val="2"/>
          <w:numId w:val="2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61" w:lineRule="exact"/>
        <w:rPr>
          <w:rFonts w:ascii="MS PGothic" w:cs="MS PGothic" w:eastAsia="MS PGothic" w:hAnsi="MS PGothic"/>
          <w:sz w:val="18"/>
          <w:szCs w:val="18"/>
          <w:color w:val="auto"/>
        </w:rPr>
      </w:pPr>
    </w:p>
    <w:p>
      <w:pPr>
        <w:ind w:left="660" w:hanging="4"/>
        <w:spacing w:after="0" w:line="282" w:lineRule="auto"/>
        <w:tabs>
          <w:tab w:leader="none" w:pos="880" w:val="left"/>
        </w:tabs>
        <w:numPr>
          <w:ilvl w:val="2"/>
          <w:numId w:val="2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61" w:lineRule="exact"/>
        <w:rPr>
          <w:rFonts w:ascii="MS PGothic" w:cs="MS PGothic" w:eastAsia="MS PGothic" w:hAnsi="MS PGothic"/>
          <w:sz w:val="18"/>
          <w:szCs w:val="18"/>
          <w:color w:val="auto"/>
        </w:rPr>
      </w:pPr>
    </w:p>
    <w:p>
      <w:pPr>
        <w:ind w:left="660" w:right="20" w:hanging="4"/>
        <w:spacing w:after="0" w:line="282" w:lineRule="auto"/>
        <w:tabs>
          <w:tab w:leader="none" w:pos="867" w:val="left"/>
        </w:tabs>
        <w:numPr>
          <w:ilvl w:val="2"/>
          <w:numId w:val="2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organization described in Section 501(c)(3) of the Internal Revenue Code, corporation, similar business trust, or partnership, not formed for the specific purpose of acquiring the securities offered, with total assets in excess of $5,000,000;</w:t>
      </w:r>
    </w:p>
    <w:p>
      <w:pPr>
        <w:spacing w:after="0" w:line="161" w:lineRule="exact"/>
        <w:rPr>
          <w:rFonts w:ascii="MS PGothic" w:cs="MS PGothic" w:eastAsia="MS PGothic" w:hAnsi="MS PGothic"/>
          <w:sz w:val="18"/>
          <w:szCs w:val="18"/>
          <w:color w:val="auto"/>
        </w:rPr>
      </w:pPr>
    </w:p>
    <w:p>
      <w:pPr>
        <w:ind w:left="660" w:hanging="4"/>
        <w:spacing w:after="0" w:line="282" w:lineRule="auto"/>
        <w:tabs>
          <w:tab w:leader="none" w:pos="880" w:val="left"/>
        </w:tabs>
        <w:numPr>
          <w:ilvl w:val="2"/>
          <w:numId w:val="2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trust with assets in excess of $5,000,000, not formed to acquire the securities offered, whose purchase is directed by a sophisticated person; or</w:t>
      </w:r>
    </w:p>
    <w:p>
      <w:pPr>
        <w:spacing w:after="0" w:line="161" w:lineRule="exact"/>
        <w:rPr>
          <w:rFonts w:ascii="MS PGothic" w:cs="MS PGothic" w:eastAsia="MS PGothic" w:hAnsi="MS PGothic"/>
          <w:sz w:val="18"/>
          <w:szCs w:val="18"/>
          <w:color w:val="auto"/>
        </w:rPr>
      </w:pPr>
    </w:p>
    <w:p>
      <w:pPr>
        <w:ind w:left="860" w:hanging="204"/>
        <w:spacing w:after="0"/>
        <w:tabs>
          <w:tab w:leader="none" w:pos="860" w:val="left"/>
        </w:tabs>
        <w:numPr>
          <w:ilvl w:val="2"/>
          <w:numId w:val="2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entity in which all of the equity owners are accredited investors meeting one or more of the above tests.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ACCOUNTS STATUS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2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are an “institutional account” (as defined in FINRA RULE 4512(c)).</w:t>
      </w:r>
    </w:p>
    <w:p>
      <w:pPr>
        <w:spacing w:after="0" w:line="225" w:lineRule="exact"/>
        <w:rPr>
          <w:rFonts w:ascii="MS PGothic" w:cs="MS PGothic" w:eastAsia="MS PGothic" w:hAnsi="MS PGothic"/>
          <w:sz w:val="18"/>
          <w:szCs w:val="18"/>
          <w:color w:val="auto"/>
        </w:rPr>
      </w:pPr>
    </w:p>
    <w:p>
      <w:pPr>
        <w:ind w:left="340" w:right="7720" w:hanging="332"/>
        <w:spacing w:after="0" w:line="512" w:lineRule="auto"/>
        <w:tabs>
          <w:tab w:leader="none" w:pos="340"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ACCREDITED INVESTOR STATUS (Pleasecheck the applicable subparagraphs):</w:t>
      </w:r>
    </w:p>
    <w:p>
      <w:pPr>
        <w:spacing w:after="0" w:line="1" w:lineRule="exact"/>
        <w:rPr>
          <w:rFonts w:ascii="Times New Roman" w:cs="Times New Roman" w:eastAsia="Times New Roman" w:hAnsi="Times New Roman"/>
          <w:sz w:val="17"/>
          <w:szCs w:val="17"/>
          <w:color w:val="auto"/>
        </w:rPr>
      </w:pPr>
    </w:p>
    <w:p>
      <w:pPr>
        <w:jc w:val="both"/>
        <w:ind w:left="660" w:hanging="328"/>
        <w:spacing w:after="0" w:line="232" w:lineRule="exact"/>
        <w:tabs>
          <w:tab w:leader="none" w:pos="660" w:val="left"/>
        </w:tabs>
        <w:numPr>
          <w:ilvl w:val="1"/>
          <w:numId w:val="2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 am an “accredited investor” within the meaning of Rule 501(a) under the Securities Act or an 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170"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1"/>
          <w:numId w:val="2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 am a natural person.</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1" w:name="page212"/>
    <w:bookmarkEnd w:id="211"/>
    <w:p>
      <w:pPr>
        <w:jc w:val="both"/>
        <w:spacing w:after="0" w:line="261"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80" w:lineRule="exact"/>
        <w:rPr>
          <w:sz w:val="20"/>
          <w:szCs w:val="20"/>
          <w:color w:val="auto"/>
        </w:rPr>
      </w:pPr>
    </w:p>
    <w:p>
      <w:pPr>
        <w:ind w:left="660" w:hanging="4"/>
        <w:spacing w:after="0" w:line="282" w:lineRule="auto"/>
        <w:tabs>
          <w:tab w:leader="none" w:pos="878" w:val="left"/>
        </w:tabs>
        <w:numPr>
          <w:ilvl w:val="0"/>
          <w:numId w:val="21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director, executive officer, or general partner of the issuer of the securities being offered or sold, or any director, executive officer, or general partner of a general partner of that issuer;</w:t>
      </w:r>
    </w:p>
    <w:p>
      <w:pPr>
        <w:spacing w:after="0" w:line="161" w:lineRule="exact"/>
        <w:rPr>
          <w:rFonts w:ascii="MS PGothic" w:cs="MS PGothic" w:eastAsia="MS PGothic" w:hAnsi="MS PGothic"/>
          <w:sz w:val="18"/>
          <w:szCs w:val="18"/>
          <w:color w:val="auto"/>
        </w:rPr>
      </w:pPr>
    </w:p>
    <w:p>
      <w:pPr>
        <w:jc w:val="both"/>
        <w:ind w:left="660" w:hanging="4"/>
        <w:spacing w:after="0" w:line="256" w:lineRule="auto"/>
        <w:tabs>
          <w:tab w:leader="none" w:pos="857" w:val="left"/>
        </w:tabs>
        <w:numPr>
          <w:ilvl w:val="0"/>
          <w:numId w:val="21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whose individual net worth, or joint net worth with that person’s spouse, at the time of his purchase exceeds $1,000,000. For purposes of calculating a natural person’s net worth: (a) the person’s primary residence must not be included as an asset; (b)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(c) indebtedness that is secured by the person’s primary residence in excess of the estimated fair market value of the residence must be included as a liability; or</w:t>
      </w:r>
    </w:p>
    <w:p>
      <w:pPr>
        <w:spacing w:after="0" w:line="187" w:lineRule="exact"/>
        <w:rPr>
          <w:rFonts w:ascii="MS PGothic" w:cs="MS PGothic" w:eastAsia="MS PGothic" w:hAnsi="MS PGothic"/>
          <w:sz w:val="18"/>
          <w:szCs w:val="18"/>
          <w:color w:val="auto"/>
        </w:rPr>
      </w:pPr>
    </w:p>
    <w:p>
      <w:pPr>
        <w:ind w:left="660" w:hanging="4"/>
        <w:spacing w:after="0" w:line="282" w:lineRule="auto"/>
        <w:tabs>
          <w:tab w:leader="none" w:pos="859" w:val="left"/>
        </w:tabs>
        <w:numPr>
          <w:ilvl w:val="0"/>
          <w:numId w:val="21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This page should be completed by the Investor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and constitutes a part of the Subscription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33" w:lineRule="exact"/>
        <w:rPr>
          <w:sz w:val="20"/>
          <w:szCs w:val="20"/>
          <w:color w:val="auto"/>
        </w:rPr>
      </w:pPr>
    </w:p>
    <w:p>
      <w:pPr>
        <w:jc w:val="both"/>
        <w:ind w:right="20" w:firstLine="648"/>
        <w:spacing w:after="0" w:line="216" w:lineRule="auto"/>
        <w:rPr>
          <w:sz w:val="20"/>
          <w:szCs w:val="20"/>
          <w:color w:val="auto"/>
        </w:rPr>
      </w:pPr>
      <w:r>
        <w:rPr>
          <w:rFonts w:ascii="Times New Roman" w:cs="Times New Roman" w:eastAsia="Times New Roman" w:hAnsi="Times New Roman"/>
          <w:sz w:val="18"/>
          <w:szCs w:val="18"/>
          <w:color w:val="auto"/>
        </w:rPr>
        <w:t>This Employment Agreement (“Agreement”) is made as of the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January, 2021 between Gemini Therapeutics, Inc., a Delaware corporation (the “Company”), and Jason Meyenburg (the “Executive”).</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 desires to continue to employ the Executive and the Executive desires to continue to be employed by the Company on the terms and conditions contained herein commencing on February 5, 2021, unless another date is agreed to by the parties. The Executive’s first day of employment under this Agreement shall be the “Effective Date” of this Agreement;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provided the Executive with this Agreement, which is its formal offer of employment to the Executive, at least ten (10) business days before the Effective Date. The Executive has the right to consult with counsel prior to signing this Agreement.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62" w:lineRule="exact"/>
        <w:rPr>
          <w:sz w:val="20"/>
          <w:szCs w:val="20"/>
          <w:color w:val="auto"/>
        </w:rPr>
      </w:pPr>
    </w:p>
    <w:p>
      <w:pPr>
        <w:ind w:left="1300" w:hanging="644"/>
        <w:spacing w:after="0"/>
        <w:tabs>
          <w:tab w:leader="none" w:pos="130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Company shall employ the Executive and the Executive shall be employed by the Company pursuant to this Agreement commencing as of the Effective Date and continuing until such employment is terminated in accordance with the provisions hereof (the “Term”). The Executive’s employment with the Company shall be “at will,” meaning that the Executive’s employment may be terminated by the Company or the Executive at any time and for any reason subject to the terms of this Agreement.</w:t>
      </w:r>
    </w:p>
    <w:p>
      <w:pPr>
        <w:spacing w:after="0" w:line="183" w:lineRule="exact"/>
        <w:rPr>
          <w:rFonts w:ascii="Times New Roman" w:cs="Times New Roman" w:eastAsia="Times New Roman" w:hAnsi="Times New Roman"/>
          <w:sz w:val="18"/>
          <w:szCs w:val="18"/>
          <w:color w:val="auto"/>
        </w:rPr>
      </w:pPr>
    </w:p>
    <w:p>
      <w:pPr>
        <w:jc w:val="both"/>
        <w:ind w:left="1960" w:hanging="656"/>
        <w:spacing w:after="0" w:line="253" w:lineRule="auto"/>
        <w:tabs>
          <w:tab w:leader="none" w:pos="196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 During the Term, the Executive shall serve as the President and Chief Executive Officer for the Company and shall have such powers and duties as may from time to time be prescribed by the Board of Directors of the Company (the “Board”). The Executive shall devote his full working time and efforts to the business and affairs of the Company. Notwithstanding the foregoing, the Executive may serve on other boards of directors, with the approval of the Board or a committee of the Board, or engage in religious, charitable or other community activities as long as such services and activities are disclosed to the Board and do not interfere with the Executive’s performance of his duties to the Company. While working as the Company’s Chief Executive Officer, Executive will serve as a member of the Board. In the event Executive is no longer working as the Company’s Chief Executive Officer for any reason, Executive will immediately resign from the Board and any related positions and agree to execute any paperwork that may be reasonably requested by the Company to effectuate such resignation(s).</w:t>
      </w:r>
    </w:p>
    <w:p>
      <w:pPr>
        <w:spacing w:after="0" w:line="19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Related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During the Term, the Executive’s initial annual base salary shall be paid at the rate of $515,000 per year. The Executive’s base salary shall be reviewed annually by the Board or the Compensation Committee of the Board (the “Compensation Committee”). The base salary in effect at any given time is referred to herein as “Base Salary.” The Base Salary shall be payable in a manner that is consistent with the Company’s usual payroll practices for senior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3" w:name="page214"/>
    <w:bookmarkEnd w:id="213"/>
    <w:p>
      <w:pPr>
        <w:jc w:val="both"/>
        <w:ind w:left="840" w:hanging="656"/>
        <w:spacing w:after="0" w:line="261" w:lineRule="auto"/>
        <w:tabs>
          <w:tab w:leader="none" w:pos="8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During the Term, the Executive shall be eligible to receive cash incentive compensation as determined by the Board or the Compensation Committee from time to time. The Executive’s target annual incentive compensation shall be 50% of the Base Salary (the “Target Bonus”). Except as otherwise provided herein, to earn incentive compensation, the Executive must be employed by the Company on the day such incentive compensation is paid.</w:t>
      </w:r>
    </w:p>
    <w:p>
      <w:pPr>
        <w:spacing w:after="0" w:line="179" w:lineRule="exact"/>
        <w:rPr>
          <w:rFonts w:ascii="Times New Roman" w:cs="Times New Roman" w:eastAsia="Times New Roman" w:hAnsi="Times New Roman"/>
          <w:sz w:val="18"/>
          <w:szCs w:val="18"/>
          <w:color w:val="auto"/>
        </w:rPr>
      </w:pPr>
    </w:p>
    <w:p>
      <w:pPr>
        <w:jc w:val="both"/>
        <w:ind w:left="840" w:hanging="656"/>
        <w:spacing w:after="0" w:line="266" w:lineRule="auto"/>
        <w:tabs>
          <w:tab w:leader="none" w:pos="8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Executive shall be entitled to receive prompt reimbursement for all reasonable expenses incurred by them during the Term in performing services hereunder, in accordance with the policies and procedures then in effect and established by the Company for its senior executives.</w:t>
      </w:r>
    </w:p>
    <w:p>
      <w:pPr>
        <w:spacing w:after="0" w:line="175" w:lineRule="exact"/>
        <w:rPr>
          <w:rFonts w:ascii="Times New Roman" w:cs="Times New Roman" w:eastAsia="Times New Roman" w:hAnsi="Times New Roman"/>
          <w:sz w:val="18"/>
          <w:szCs w:val="18"/>
          <w:color w:val="auto"/>
        </w:rPr>
      </w:pPr>
    </w:p>
    <w:p>
      <w:pPr>
        <w:jc w:val="both"/>
        <w:ind w:left="840" w:hanging="656"/>
        <w:spacing w:after="0" w:line="266" w:lineRule="auto"/>
        <w:tabs>
          <w:tab w:leader="none" w:pos="8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Benefits</w:t>
      </w:r>
      <w:r>
        <w:rPr>
          <w:rFonts w:ascii="Times New Roman" w:cs="Times New Roman" w:eastAsia="Times New Roman" w:hAnsi="Times New Roman"/>
          <w:sz w:val="18"/>
          <w:szCs w:val="18"/>
          <w:color w:val="auto"/>
        </w:rPr>
        <w:t>. During the Term, the Executive shall be eligible to participate in or receive benefits under the Company’s policies and employee benefit plans in effect from time to time, subject to the terms of such policies and plans and to the Company’s ability to amend, modify, replace or terminate such policies and plans, including with respect to paid time off.</w:t>
      </w:r>
    </w:p>
    <w:p>
      <w:pPr>
        <w:spacing w:after="0" w:line="175" w:lineRule="exact"/>
        <w:rPr>
          <w:rFonts w:ascii="Times New Roman" w:cs="Times New Roman" w:eastAsia="Times New Roman" w:hAnsi="Times New Roman"/>
          <w:sz w:val="18"/>
          <w:szCs w:val="18"/>
          <w:color w:val="auto"/>
        </w:rPr>
      </w:pPr>
    </w:p>
    <w:p>
      <w:pPr>
        <w:jc w:val="both"/>
        <w:ind w:left="840" w:hanging="656"/>
        <w:spacing w:after="0" w:line="253" w:lineRule="auto"/>
        <w:tabs>
          <w:tab w:leader="none" w:pos="8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Relocation</w:t>
      </w:r>
      <w:r>
        <w:rPr>
          <w:rFonts w:ascii="Times New Roman" w:cs="Times New Roman" w:eastAsia="Times New Roman" w:hAnsi="Times New Roman"/>
          <w:sz w:val="18"/>
          <w:szCs w:val="18"/>
          <w:color w:val="auto"/>
        </w:rPr>
        <w:t>. At such time as requested by the Compensation Committee or the Board, following the ending (or easing) of the COVID-19 pandemic, Executive shall be present in the Company’s offices, currently located in Cambridge, Massachusetts (the “Corporate Office”), for three to four days per week. The Company will continue to provide Executive with a living expense allowance in an amount equal to $4,166 per month (the “Living Expense Allowance”). The Living Expense Allowance shall be paid monthly in arears within the first ten (10) days of each month. No substantiation for the Living Expense Allowance will be required beyond your personal certification that you physically are located and work in the Corporate Office in accordance with this Section 2(e). The Company will comply with any tax reporting obligations and you will be responsible for any tax payment obligations. Notwithstanding the foregoing, the Compensation Committee or the Board will have the right to periodically reassess this requirement, and at any time following the ending (or easing) of the COVID-19 pandemic, the Compensation Committee or the Board may require that Executive relocate his primary residence to the Greater Boston Area.</w:t>
      </w:r>
    </w:p>
    <w:p>
      <w:pPr>
        <w:spacing w:after="0" w:line="194" w:lineRule="exact"/>
        <w:rPr>
          <w:rFonts w:ascii="Times New Roman" w:cs="Times New Roman" w:eastAsia="Times New Roman" w:hAnsi="Times New Roman"/>
          <w:sz w:val="18"/>
          <w:szCs w:val="18"/>
          <w:color w:val="auto"/>
        </w:rPr>
      </w:pPr>
    </w:p>
    <w:p>
      <w:pPr>
        <w:jc w:val="both"/>
        <w:ind w:left="840" w:hanging="656"/>
        <w:spacing w:after="0" w:line="261" w:lineRule="auto"/>
        <w:tabs>
          <w:tab w:leader="none" w:pos="8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 Effect</w:t>
      </w:r>
      <w:r>
        <w:rPr>
          <w:rFonts w:ascii="Times New Roman" w:cs="Times New Roman" w:eastAsia="Times New Roman" w:hAnsi="Times New Roman"/>
          <w:sz w:val="18"/>
          <w:szCs w:val="18"/>
          <w:color w:val="auto"/>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spacing w:after="0" w:line="27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214" w:name="page215"/>
    <w:bookmarkEnd w:id="214"/>
    <w:p>
      <w:pPr>
        <w:ind w:left="644" w:hanging="644"/>
        <w:spacing w:after="0" w:line="282" w:lineRule="auto"/>
        <w:tabs>
          <w:tab w:leader="none" w:pos="64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During the Term, the Executive’s employment hereunder may be terminated without any breach of this Agreement under the following circumstances:</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The Executive’s employment hereunder shall terminate upon his death.</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53" w:lineRule="auto"/>
        <w:tabs>
          <w:tab w:leader="none" w:pos="1304"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xml:space="preserve">. The Company may terminate the Executive’s employment if they are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and the Americans with Disabilities Act, 42 U.S.C. §12101 </w:t>
      </w:r>
      <w:r>
        <w:rPr>
          <w:rFonts w:ascii="Times New Roman" w:cs="Times New Roman" w:eastAsia="Times New Roman" w:hAnsi="Times New Roman"/>
          <w:sz w:val="18"/>
          <w:szCs w:val="18"/>
          <w:i w:val="1"/>
          <w:iCs w:val="1"/>
          <w:color w:val="auto"/>
        </w:rPr>
        <w:t>et seq.</w:t>
      </w:r>
    </w:p>
    <w:p>
      <w:pPr>
        <w:spacing w:after="0" w:line="187" w:lineRule="exact"/>
        <w:rPr>
          <w:rFonts w:ascii="Times New Roman" w:cs="Times New Roman" w:eastAsia="Times New Roman" w:hAnsi="Times New Roman"/>
          <w:sz w:val="18"/>
          <w:szCs w:val="18"/>
          <w:color w:val="auto"/>
        </w:rPr>
      </w:pPr>
    </w:p>
    <w:p>
      <w:pPr>
        <w:jc w:val="both"/>
        <w:ind w:left="1304" w:hanging="656"/>
        <w:spacing w:after="0" w:line="252" w:lineRule="auto"/>
        <w:tabs>
          <w:tab w:leader="none" w:pos="1304"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Company for Cause</w:t>
      </w:r>
      <w:r>
        <w:rPr>
          <w:rFonts w:ascii="Times New Roman" w:cs="Times New Roman" w:eastAsia="Times New Roman" w:hAnsi="Times New Roman"/>
          <w:sz w:val="18"/>
          <w:szCs w:val="18"/>
          <w:color w:val="auto"/>
        </w:rPr>
        <w:t>. The Company may terminate the Executive’s employment hereunder for Cause. For purposes of this Agreement, “Cause” shall mean: (i) conduct by the Executive constituting a material act of misconduct in connection with the performance of his duties, including, without limitation, misappropriation of funds or property of the Company or any of its subsidiaries or affiliates other than the occasional, customary and de minimis use of Company property for personal purposes; (ii) the commission by the Executive of any felony or a misdemeanor involving moral turpitude, deceit, dishonesty or fraud, or any conduct by the Executive that would reasonably be expected to result in material injury or reputational harm to the Company or any of its subsidiaries and affiliates if they were retained in his position; (iii) unsatisfactory performance by the Executive of a material responsibility (other than by reason of the Executive’s physical or mental illness, incapacity or disability) as reasonably determined by the CEO, which has continued for not less than 30 days following written notice from the CEO that identifies the unsatisfactory performance; (iv) a breach by the Executive of any of the provisions contained in Section 8 of this Agreement; (v) a material violation by the Executive of the Company’s written employment policies; or (vi)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95"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w:t>
      </w:r>
      <w:r>
        <w:rPr>
          <w:rFonts w:ascii="Times New Roman" w:cs="Times New Roman" w:eastAsia="Times New Roman" w:hAnsi="Times New Roman"/>
          <w:sz w:val="18"/>
          <w:szCs w:val="18"/>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without Cause.</w:t>
      </w:r>
    </w:p>
    <w:p>
      <w:pPr>
        <w:spacing w:after="0" w:line="27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215" w:name="page216"/>
    <w:bookmarkEnd w:id="215"/>
    <w:p>
      <w:pPr>
        <w:jc w:val="both"/>
        <w:ind w:left="1304" w:hanging="656"/>
        <w:spacing w:after="0" w:line="252" w:lineRule="auto"/>
        <w:tabs>
          <w:tab w:leader="none" w:pos="1304"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Executive</w:t>
      </w:r>
      <w:r>
        <w:rPr>
          <w:rFonts w:ascii="Times New Roman" w:cs="Times New Roman" w:eastAsia="Times New Roman" w:hAnsi="Times New Roman"/>
          <w:sz w:val="18"/>
          <w:szCs w:val="18"/>
          <w:color w:val="auto"/>
        </w:rPr>
        <w:t>. The Executive may terminate his employment hereunder at any time for any reason, including for Good Reason. For purposes of this offer letter, “Good Reason” shall mean that the Executive has complied with the “Good Reason Process” (hereinafter defined) following the occurrence of any of the following events: (i) reduction of the Executive’s Base Salary without the Executive’s prior consent (other than in connection with, and substantially proportionate to, reductions by the Company of the compensation of the Company’s management employees); (ii) material diminution in the Executive’s responsibilities, authority, or duties, without the Executive’s prior consent; (iii) unless the Executive and the Company mutually agree the remote work location for the Executive, relocation of the Company’s offices more than 100 miles away from the current location without the Executive’s prior consent; or (iv) any material breach by the Company or any successor thereto of this Agreement. “Good Reason Process” shall mean that (i) the Executive has reasonably determined in good faith that a “Good Reason” condition has occurred; (ii) the Executive has notified the Company in writing of the first occurrence of the Good Reason condition within 90 days of the first occurrence of such condition; (iii) the Executive has cooperated in good faith with the Company’s efforts, for a period not less than 30 days following such notice (the “Cure Period”), to remedy the condition; (iv) notwithstanding such efforts, the Good Reason condition continues to exist; and (v) the Executive terminates his employment within 30 days after the end of the Cure Period. If the Company cures the Good Reason condition during the Cure Period, Good Reason shall be deemed not to have occurred.</w:t>
      </w:r>
    </w:p>
    <w:p>
      <w:pPr>
        <w:spacing w:after="0" w:line="195"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179" w:lineRule="exact"/>
        <w:rPr>
          <w:rFonts w:ascii="Times New Roman" w:cs="Times New Roman" w:eastAsia="Times New Roman" w:hAnsi="Times New Roman"/>
          <w:sz w:val="18"/>
          <w:szCs w:val="18"/>
          <w:color w:val="auto"/>
        </w:rPr>
      </w:pPr>
    </w:p>
    <w:p>
      <w:pPr>
        <w:jc w:val="both"/>
        <w:ind w:left="1304" w:hanging="656"/>
        <w:spacing w:after="0" w:line="254" w:lineRule="auto"/>
        <w:tabs>
          <w:tab w:leader="none" w:pos="1304"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“Date of Termination” shall mean: (i) if the Executive’s employment is terminated by his death, the date of his death; (ii) if the Executive’s employment is terminated on account of disability under Section 3(b) or by the Company for Cause under Section 3(c), the date on which Notice of Termination is given; (iii) if the Executive’s employment is terminated by the Company under Section 3(d), the date on which a Notice of Termination is given or the date otherwise specified by the Company in the Notice of Termination; and (iv) if the Executive’s employment is terminated by the Executive under Section 3(e), 30 days after the date on which a Notice of Termination is given.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91"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Generally</w:t>
      </w:r>
      <w:r>
        <w:rPr>
          <w:rFonts w:ascii="Times New Roman" w:cs="Times New Roman" w:eastAsia="Times New Roman" w:hAnsi="Times New Roman"/>
          <w:sz w:val="18"/>
          <w:szCs w:val="18"/>
          <w:color w:val="auto"/>
        </w:rPr>
        <w:t>. If the Executive’s employment with the Company is terminated for any reason, the Company shall pay or provide to the Executive (or to his authorized representative or estate) (i) any Base Salary earned through the Date of Termination, unpaid expense reimbursements (subject to, and in accordance with, Section 2(c) of this Agreement) on or before the time required by law but in no event more than 30 days after the Executive’s Date of Termination; and (ii) any vested benefits the Executive may have under any employee benefit plan of the Company through the Date of Termination, which vested benefits shall be paid and/or provided in accordance with the terms of such employee benefit plans (collectively, the “Accrued Benefit”).</w:t>
      </w:r>
    </w:p>
    <w:p>
      <w:pPr>
        <w:spacing w:after="0" w:line="28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216" w:name="page217"/>
    <w:bookmarkEnd w:id="216"/>
    <w:p>
      <w:pPr>
        <w:jc w:val="both"/>
        <w:ind w:left="1300" w:hanging="644"/>
        <w:spacing w:after="0" w:line="254" w:lineRule="auto"/>
        <w:tabs>
          <w:tab w:leader="none" w:pos="13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without Cause or the Executive for Good Reason</w:t>
      </w:r>
      <w:r>
        <w:rPr>
          <w:rFonts w:ascii="Times New Roman" w:cs="Times New Roman" w:eastAsia="Times New Roman" w:hAnsi="Times New Roman"/>
          <w:sz w:val="18"/>
          <w:szCs w:val="18"/>
          <w:color w:val="auto"/>
        </w:rPr>
        <w:t>. During the Term, if the Executive’s employment is terminated by the Company without Cause or by the Executive for Good Reason, then the Company shall pay the Executive his Accrued Benefit. In addition, subject to the Executive (a) signing a separation agreement and release in a form and manner satisfactory to the Company, which shall include, without limitation, a general release of claims in favor of the Company and related persons and entities, a reaffirmation of the Executive’s post-employment obligations, and in the Company’s sole discretion, a one year noncompetition agreement, and shall provide that, if the Executive breaches any of the postemployment obligations, all payment of the Severance Amount shall immediately cease (the “Separation Agreement and Release”), and (b) the Separation Agreement and Release becoming irrevocable, all within 60 days after the Date of Termination (or such period as set forth in the Separation Agreement and Release):</w:t>
      </w:r>
    </w:p>
    <w:p>
      <w:pPr>
        <w:spacing w:after="0" w:line="191" w:lineRule="exact"/>
        <w:rPr>
          <w:rFonts w:ascii="Times New Roman" w:cs="Times New Roman" w:eastAsia="Times New Roman" w:hAnsi="Times New Roman"/>
          <w:sz w:val="18"/>
          <w:szCs w:val="18"/>
          <w:color w:val="auto"/>
        </w:rPr>
      </w:pPr>
    </w:p>
    <w:p>
      <w:pPr>
        <w:jc w:val="both"/>
        <w:ind w:left="2280" w:hanging="652"/>
        <w:spacing w:after="0" w:line="256" w:lineRule="auto"/>
        <w:tabs>
          <w:tab w:leader="none" w:pos="228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the Executive an amount equal to the sum of (i) twelve (12) months of the Executive’s Base Salary and (ii) pro rata portion of the Target Bonus earned by the Executive for the current calendar year measured from the first day of such calendar year through the Date of Termination (the “Severance Amount”), provided in the event the Executive is entitled to any payments pursuant to Section 8(h)(iii) below, the Severance Amount received in any calendar year will be reduced by the amount the Executive is paid in the same such calendar year pursuant to the Section 8(h)(iii) below, (the “Restrictive Covenants Agreement Setoff”); and</w:t>
      </w:r>
    </w:p>
    <w:p>
      <w:pPr>
        <w:spacing w:after="0" w:line="187" w:lineRule="exact"/>
        <w:rPr>
          <w:rFonts w:ascii="Times New Roman" w:cs="Times New Roman" w:eastAsia="Times New Roman" w:hAnsi="Times New Roman"/>
          <w:sz w:val="18"/>
          <w:szCs w:val="18"/>
          <w:color w:val="auto"/>
        </w:rPr>
      </w:pPr>
    </w:p>
    <w:p>
      <w:pPr>
        <w:jc w:val="both"/>
        <w:ind w:left="2280" w:hanging="652"/>
        <w:spacing w:after="0" w:line="253" w:lineRule="auto"/>
        <w:tabs>
          <w:tab w:leader="none" w:pos="228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Executive’s proper election to receive benefits under the Consolidated Omnibus Budget Reconciliation Act of 1985, as amended (“COBRA”), the Company shall pay all amounts necessary to provide health insurance to the Executive if the Executive had remained employed by the Company until the earliest of (A) the twelve (12) month anniversary of the Date of Termination; (B) the Executive’s eligibility for group medical plan benefits under any other employer’s group medical plan; or (C) the cessation of the Executive’s continuation rights under COBRA; provided, however, if the Company determines that it cannot pay such amounts without potentially violating applicable law (including, without limitation, Section 2716 of the Public Health Service Act), then the Company will convert such payments to payroll payments directly to the Executive for the time period specified above. Such payments shall be subject to tax-related deductions and withholdings and paid on the Company’s regular payroll dates. For the avoidance of doubt, the taxable payments described above may be used for any purpose, including, but not limited to, continuation coverage under COBRA.</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amounts payable under this Section 5(i) shall be paid out in substantially equal installments in accordance with the Company’s payroll practice over twelve (12)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7" w:name="page218"/>
    <w:bookmarkEnd w:id="217"/>
    <w:p>
      <w:pPr>
        <w:jc w:val="both"/>
        <w:ind w:left="644" w:hanging="644"/>
        <w:spacing w:after="0" w:line="255" w:lineRule="auto"/>
        <w:tabs>
          <w:tab w:leader="none" w:pos="64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 Payment</w:t>
      </w:r>
      <w:r>
        <w:rPr>
          <w:rFonts w:ascii="Times New Roman" w:cs="Times New Roman" w:eastAsia="Times New Roman" w:hAnsi="Times New Roman"/>
          <w:sz w:val="18"/>
          <w:szCs w:val="18"/>
          <w:color w:val="auto"/>
        </w:rPr>
        <w:t>. The provisions of this Section 6 set forth certain terms of an agreement reached between the Executive and the Company regarding the Executive’s rights and obligations upon the occurrence of a Change in Control of the Company. These provisions are intended to assure and encourage in advance the Executive’s continued attention and dedication to his assigned duties and his objectivity during the pendency and after the occurrence of any such event. These provisions shall apply in lieu of, and expressly supersede, the provisions of Section 5 regarding severance pay and benefits upon a termination of employment, if such termination of employment occurs within 12 months after the occurrence of the first event constituting a Change in Control (the “Change in Control Period”). These provisions shall terminate and be of no further force or effect beginning after the Change in Control Period has ended.</w:t>
      </w:r>
    </w:p>
    <w:p>
      <w:pPr>
        <w:spacing w:after="0" w:line="188"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During the Term, if during the Change in Control Period, the Executive’s employment is terminated by the Company without Cause or by the Executive for Good Reason, then, subject to the signing of the Separation Agreement and Release by the Executive and the Separation Agreement and Release becoming irrevocable, the time frame set forth in the Separation Agreement and Release but in no event more than 60 days after the Date of Termination:</w:t>
      </w:r>
    </w:p>
    <w:p>
      <w:pPr>
        <w:spacing w:after="0" w:line="179" w:lineRule="exact"/>
        <w:rPr>
          <w:rFonts w:ascii="Times New Roman" w:cs="Times New Roman" w:eastAsia="Times New Roman" w:hAnsi="Times New Roman"/>
          <w:sz w:val="18"/>
          <w:szCs w:val="18"/>
          <w:color w:val="auto"/>
        </w:rPr>
      </w:pPr>
    </w:p>
    <w:p>
      <w:pPr>
        <w:jc w:val="both"/>
        <w:ind w:left="1944" w:hanging="648"/>
        <w:spacing w:after="0" w:line="258" w:lineRule="auto"/>
        <w:tabs>
          <w:tab w:leader="none" w:pos="1944" w:val="left"/>
        </w:tabs>
        <w:numPr>
          <w:ilvl w:val="2"/>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the Executive a lump sum in cash in an amount equal the sum of one times the sum of one and a half times (1.5x) (A) the Executive’s then current Base Salary (or the Executive’s Base Salary in effect immediately prior to the Change in Control, if higher) plus (B) the Executive’s Target Bonus for the then-current year (the “Change in Control Payment”), provided the Change in Control Payment shall be reduced by the amount of the Restrictive Covenants Agreement Setoff, if applicable, paid or to be paid in the same calendar year; and</w:t>
      </w:r>
    </w:p>
    <w:p>
      <w:pPr>
        <w:spacing w:after="0" w:line="183" w:lineRule="exact"/>
        <w:rPr>
          <w:rFonts w:ascii="Times New Roman" w:cs="Times New Roman" w:eastAsia="Times New Roman" w:hAnsi="Times New Roman"/>
          <w:sz w:val="18"/>
          <w:szCs w:val="18"/>
          <w:color w:val="auto"/>
        </w:rPr>
      </w:pPr>
    </w:p>
    <w:p>
      <w:pPr>
        <w:jc w:val="both"/>
        <w:ind w:left="1944" w:hanging="648"/>
        <w:spacing w:after="0" w:line="257" w:lineRule="auto"/>
        <w:tabs>
          <w:tab w:leader="none" w:pos="1944" w:val="left"/>
        </w:tabs>
        <w:numPr>
          <w:ilvl w:val="2"/>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any applicable option agreement or other stock-based award agreement, all stock options and other stock-based awards subject to vesting held by the Executive (the “Equity Awards”) shall immediately accelerate and become fully exercisable or nonforfeitable as of the later of (i) the Date of Termination or</w:t>
      </w:r>
    </w:p>
    <w:p>
      <w:pPr>
        <w:spacing w:after="0" w:line="1" w:lineRule="exact"/>
        <w:rPr>
          <w:rFonts w:ascii="Times New Roman" w:cs="Times New Roman" w:eastAsia="Times New Roman" w:hAnsi="Times New Roman"/>
          <w:sz w:val="18"/>
          <w:szCs w:val="18"/>
          <w:color w:val="auto"/>
        </w:rPr>
      </w:pPr>
    </w:p>
    <w:p>
      <w:pPr>
        <w:jc w:val="both"/>
        <w:ind w:left="1944"/>
        <w:spacing w:after="0" w:line="252" w:lineRule="auto"/>
        <w:tabs>
          <w:tab w:leader="none" w:pos="2226" w:val="left"/>
        </w:tabs>
        <w:numPr>
          <w:ilvl w:val="3"/>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Effective Date of the Separation Agreement and Release (the “Accelerated Vesting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termination or forfeiture of the unvested portion of such Equity Awards that would otherwise occur on the Date of Termination in the absence of this Agreement will be delayed until the Effective Date of the Separation Agreement and Release and will only occur if the vesting pursuant to this subsection does not occur due to the absence of the Separation Agreement and Release becoming fully effective within the time period set forth therein. Notwithstanding the foregoing, no additional vesting of the Equity Awards shall occur during the period between the Executive’s Date of Termination and the Accelerated Vesting Date; and</w:t>
      </w:r>
    </w:p>
    <w:p>
      <w:pPr>
        <w:spacing w:after="0" w:line="188" w:lineRule="exact"/>
        <w:rPr>
          <w:rFonts w:ascii="Times New Roman" w:cs="Times New Roman" w:eastAsia="Times New Roman" w:hAnsi="Times New Roman"/>
          <w:sz w:val="18"/>
          <w:szCs w:val="18"/>
          <w:color w:val="auto"/>
        </w:rPr>
      </w:pPr>
    </w:p>
    <w:p>
      <w:pPr>
        <w:jc w:val="both"/>
        <w:ind w:left="1944" w:hanging="648"/>
        <w:spacing w:after="0" w:line="253" w:lineRule="auto"/>
        <w:tabs>
          <w:tab w:leader="none" w:pos="1944" w:val="left"/>
        </w:tabs>
        <w:numPr>
          <w:ilvl w:val="2"/>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Executive’s proper election to receive benefits under COBRA, the Company shall pay all amounts necessary to provide health insurance to the Executive if the Executive had remained employed by the Company until the earliest of (A) the eighteen (18) month anniversary of the Date of Termination; (B) the Executive’s eligibility for group medical plan benefits under any other employer’s group medical plan; or (C) the cessation of the Executive’s continuation rights under COBRA; provided, however, if the Company determines that it cannot pay such amounts without potentially violating applicable law (including, without limitation, Section 2716 of the Public Health Service Act), then the Company will convert such payments to payroll payments directly to the Executive for the time period specified above. Such payments shall be subject to tax-related deductions and withholdings and paid on the Company’s regular payroll dates. For the avoidance of doubt, the taxable payments described above may be used for any purpose, including, but not limited to, continuation coverage under COBRA.</w:t>
      </w:r>
    </w:p>
    <w:p>
      <w:pPr>
        <w:spacing w:after="0" w:line="29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218" w:name="page219"/>
    <w:bookmarkEnd w:id="218"/>
    <w:p>
      <w:pPr>
        <w:jc w:val="both"/>
        <w:spacing w:after="0" w:line="266" w:lineRule="auto"/>
        <w:rPr>
          <w:sz w:val="20"/>
          <w:szCs w:val="20"/>
          <w:color w:val="auto"/>
        </w:rPr>
      </w:pPr>
      <w:r>
        <w:rPr>
          <w:rFonts w:ascii="Times New Roman" w:cs="Times New Roman" w:eastAsia="Times New Roman" w:hAnsi="Times New Roman"/>
          <w:sz w:val="18"/>
          <w:szCs w:val="18"/>
          <w:color w:val="auto"/>
        </w:rPr>
        <w:t>The amounts payable under this Section 6(a)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76" w:lineRule="exact"/>
        <w:rPr>
          <w:sz w:val="20"/>
          <w:szCs w:val="20"/>
          <w:color w:val="auto"/>
        </w:rPr>
      </w:pPr>
    </w:p>
    <w:p>
      <w:pPr>
        <w:ind w:left="1960" w:hanging="656"/>
        <w:spacing w:after="0"/>
        <w:tabs>
          <w:tab w:leader="none" w:pos="19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Limitation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2600" w:hanging="648"/>
        <w:spacing w:after="0" w:line="252" w:lineRule="auto"/>
        <w:tabs>
          <w:tab w:leader="none" w:pos="260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94" w:lineRule="exact"/>
        <w:rPr>
          <w:rFonts w:ascii="Times New Roman" w:cs="Times New Roman" w:eastAsia="Times New Roman" w:hAnsi="Times New Roman"/>
          <w:sz w:val="18"/>
          <w:szCs w:val="18"/>
          <w:color w:val="auto"/>
        </w:rPr>
      </w:pPr>
    </w:p>
    <w:p>
      <w:pPr>
        <w:jc w:val="both"/>
        <w:ind w:left="2600" w:hanging="648"/>
        <w:spacing w:after="0" w:line="255" w:lineRule="auto"/>
        <w:tabs>
          <w:tab w:leader="none" w:pos="260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6(b),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9" w:name="page220"/>
    <w:bookmarkEnd w:id="219"/>
    <w:p>
      <w:pPr>
        <w:jc w:val="both"/>
        <w:ind w:left="2600" w:hanging="648"/>
        <w:spacing w:after="0" w:line="258" w:lineRule="auto"/>
        <w:tabs>
          <w:tab w:leader="none" w:pos="260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as to whether a reduction in the Aggregate Payments shall be made pursuant to Section 6(b)(i) shall be made by a nationally recognized accounting firm selected by the Company (the “Accounting Firm”),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18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Section 6, the following terms shall have the following meanings: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“Change in Control” shall have the meaning of “Sale Event” as defined in the Company’s 2020 Stock Option and Incentive Plan, as amended, or any successor plan.</w:t>
      </w:r>
    </w:p>
    <w:p>
      <w:pPr>
        <w:spacing w:after="0" w:line="162" w:lineRule="exact"/>
        <w:rPr>
          <w:sz w:val="20"/>
          <w:szCs w:val="20"/>
          <w:color w:val="auto"/>
        </w:rPr>
      </w:pPr>
    </w:p>
    <w:p>
      <w:pPr>
        <w:ind w:left="1300" w:hanging="644"/>
        <w:spacing w:after="0"/>
        <w:tabs>
          <w:tab w:leader="none" w:pos="130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3" w:lineRule="auto"/>
        <w:tabs>
          <w:tab w:leader="none" w:pos="196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his original schedule.</w:t>
      </w:r>
    </w:p>
    <w:p>
      <w:pPr>
        <w:spacing w:after="0" w:line="194" w:lineRule="exact"/>
        <w:rPr>
          <w:rFonts w:ascii="Times New Roman" w:cs="Times New Roman" w:eastAsia="Times New Roman" w:hAnsi="Times New Roman"/>
          <w:sz w:val="18"/>
          <w:szCs w:val="18"/>
          <w:color w:val="auto"/>
        </w:rPr>
      </w:pPr>
    </w:p>
    <w:p>
      <w:pPr>
        <w:jc w:val="both"/>
        <w:ind w:left="1960" w:hanging="656"/>
        <w:spacing w:after="0" w:line="255" w:lineRule="auto"/>
        <w:tabs>
          <w:tab w:leader="none" w:pos="196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88"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0" w:name="page221"/>
    <w:bookmarkEnd w:id="220"/>
    <w:p>
      <w:pPr>
        <w:jc w:val="both"/>
        <w:ind w:left="1304" w:hanging="656"/>
        <w:spacing w:after="0" w:line="255" w:lineRule="auto"/>
        <w:tabs>
          <w:tab w:leader="none" w:pos="1304"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88"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7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Assignment, Nonsolicitation and Noncompetition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54" w:lineRule="auto"/>
        <w:tabs>
          <w:tab w:leader="none" w:pos="1304"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Proprietary Information</w:t>
      </w:r>
      <w:r>
        <w:rPr>
          <w:rFonts w:ascii="Times New Roman" w:cs="Times New Roman" w:eastAsia="Times New Roman" w:hAnsi="Times New Roman"/>
          <w:sz w:val="18"/>
          <w:szCs w:val="18"/>
          <w:color w:val="auto"/>
        </w:rPr>
        <w:t>. Executive agrees that all information, whether or not in writing, concerning the Company’s business, technology, business relationships or financial affairs that the Company has not released to the general public (collectively, “</w:t>
      </w:r>
      <w:r>
        <w:rPr>
          <w:rFonts w:ascii="Times New Roman" w:cs="Times New Roman" w:eastAsia="Times New Roman" w:hAnsi="Times New Roman"/>
          <w:sz w:val="18"/>
          <w:szCs w:val="18"/>
          <w:u w:val="single" w:color="auto"/>
          <w:color w:val="auto"/>
        </w:rPr>
        <w:t>Proprietary Information</w:t>
      </w:r>
      <w:r>
        <w:rPr>
          <w:rFonts w:ascii="Times New Roman" w:cs="Times New Roman" w:eastAsia="Times New Roman" w:hAnsi="Times New Roman"/>
          <w:sz w:val="18"/>
          <w:szCs w:val="18"/>
          <w:color w:val="auto"/>
        </w:rPr>
        <w:t xml:space="preserve">”) and all tangible embodiments thereof are and will be the exclusive property of the Company. By way of illustration, Proprietary Information may include information or material that has not been made generally available to the public, such as: (a) </w:t>
      </w:r>
      <w:r>
        <w:rPr>
          <w:rFonts w:ascii="Times New Roman" w:cs="Times New Roman" w:eastAsia="Times New Roman" w:hAnsi="Times New Roman"/>
          <w:sz w:val="18"/>
          <w:szCs w:val="18"/>
          <w:i w:val="1"/>
          <w:iCs w:val="1"/>
          <w:color w:val="auto"/>
        </w:rPr>
        <w:t>corporate information</w:t>
      </w:r>
      <w:r>
        <w:rPr>
          <w:rFonts w:ascii="Times New Roman" w:cs="Times New Roman" w:eastAsia="Times New Roman" w:hAnsi="Times New Roman"/>
          <w:sz w:val="18"/>
          <w:szCs w:val="18"/>
          <w:color w:val="auto"/>
        </w:rPr>
        <w:t>, including plans, strategies, methods, policies, resolutions, negotiations or litigation;</w:t>
      </w:r>
    </w:p>
    <w:p>
      <w:pPr>
        <w:spacing w:after="0" w:line="3" w:lineRule="exact"/>
        <w:rPr>
          <w:rFonts w:ascii="Times New Roman" w:cs="Times New Roman" w:eastAsia="Times New Roman" w:hAnsi="Times New Roman"/>
          <w:sz w:val="18"/>
          <w:szCs w:val="18"/>
          <w:color w:val="auto"/>
        </w:rPr>
      </w:pPr>
    </w:p>
    <w:p>
      <w:pPr>
        <w:jc w:val="both"/>
        <w:ind w:left="1304" w:hanging="8"/>
        <w:spacing w:after="0" w:line="251" w:lineRule="auto"/>
        <w:tabs>
          <w:tab w:leader="none" w:pos="1599" w:val="left"/>
        </w:tabs>
        <w:numPr>
          <w:ilvl w:val="2"/>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marketing information</w:t>
      </w:r>
      <w:r>
        <w:rPr>
          <w:rFonts w:ascii="Times New Roman" w:cs="Times New Roman" w:eastAsia="Times New Roman" w:hAnsi="Times New Roman"/>
          <w:sz w:val="18"/>
          <w:szCs w:val="18"/>
          <w:color w:val="auto"/>
        </w:rPr>
        <w:t>, including strategies, methods, client or business partner identities or other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customers or clients, business partners, prospect identities or other information about prospects, or market analyses or projections; (c) </w:t>
      </w:r>
      <w:r>
        <w:rPr>
          <w:rFonts w:ascii="Times New Roman" w:cs="Times New Roman" w:eastAsia="Times New Roman" w:hAnsi="Times New Roman"/>
          <w:sz w:val="18"/>
          <w:szCs w:val="18"/>
          <w:i w:val="1"/>
          <w:iCs w:val="1"/>
          <w:color w:val="auto"/>
        </w:rPr>
        <w:t>financial information</w:t>
      </w:r>
      <w:r>
        <w:rPr>
          <w:rFonts w:ascii="Times New Roman" w:cs="Times New Roman" w:eastAsia="Times New Roman" w:hAnsi="Times New Roman"/>
          <w:sz w:val="18"/>
          <w:szCs w:val="18"/>
          <w:color w:val="auto"/>
        </w:rPr>
        <w:t xml:space="preserve">, including cost and performance data, debt arrangements, equity structure, investors and holdings, purchasing and sales data and price lists; (d) </w:t>
      </w:r>
      <w:r>
        <w:rPr>
          <w:rFonts w:ascii="Times New Roman" w:cs="Times New Roman" w:eastAsia="Times New Roman" w:hAnsi="Times New Roman"/>
          <w:sz w:val="18"/>
          <w:szCs w:val="18"/>
          <w:i w:val="1"/>
          <w:iCs w:val="1"/>
          <w:color w:val="auto"/>
        </w:rPr>
        <w:t>operational and scientific information</w:t>
      </w:r>
      <w:r>
        <w:rPr>
          <w:rFonts w:ascii="Times New Roman" w:cs="Times New Roman" w:eastAsia="Times New Roman" w:hAnsi="Times New Roman"/>
          <w:sz w:val="18"/>
          <w:szCs w:val="18"/>
          <w:color w:val="auto"/>
        </w:rPr>
        <w:t xml:space="preserve">, including plans, specifications, manuals, forms, templates, software, pre-clinical and clinical testing data and strategies, research and development strategies, designs, methods, procedures, formulae, data, reports, discoveries, inventions, improvements, concepts, ideas, and other Developments (as defined below), know-how and trade secrets; and (e) </w:t>
      </w:r>
      <w:r>
        <w:rPr>
          <w:rFonts w:ascii="Times New Roman" w:cs="Times New Roman" w:eastAsia="Times New Roman" w:hAnsi="Times New Roman"/>
          <w:sz w:val="18"/>
          <w:szCs w:val="18"/>
          <w:i w:val="1"/>
          <w:iCs w:val="1"/>
          <w:color w:val="auto"/>
        </w:rPr>
        <w:t>personnel information</w:t>
      </w:r>
      <w:r>
        <w:rPr>
          <w:rFonts w:ascii="Times New Roman" w:cs="Times New Roman" w:eastAsia="Times New Roman" w:hAnsi="Times New Roman"/>
          <w:sz w:val="18"/>
          <w:szCs w:val="18"/>
          <w:color w:val="auto"/>
        </w:rPr>
        <w:t>, including personnel lists, reporting or organizational structure, resumes, personnel data, performance evaluations and termination arrangements or documents. Proprietary Information also includes information received in confidence by the Company from its customers, suppliers, business partners or other third parties.</w:t>
      </w:r>
    </w:p>
    <w:p>
      <w:pPr>
        <w:spacing w:after="0" w:line="192" w:lineRule="exact"/>
        <w:rPr>
          <w:rFonts w:ascii="Times New Roman" w:cs="Times New Roman" w:eastAsia="Times New Roman" w:hAnsi="Times New Roman"/>
          <w:sz w:val="18"/>
          <w:szCs w:val="18"/>
          <w:color w:val="auto"/>
        </w:rPr>
      </w:pPr>
    </w:p>
    <w:p>
      <w:pPr>
        <w:jc w:val="both"/>
        <w:ind w:left="1304" w:hanging="656"/>
        <w:spacing w:after="0" w:line="255" w:lineRule="auto"/>
        <w:tabs>
          <w:tab w:leader="none" w:pos="1304"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Company’s Rights</w:t>
      </w:r>
      <w:r>
        <w:rPr>
          <w:rFonts w:ascii="Times New Roman" w:cs="Times New Roman" w:eastAsia="Times New Roman" w:hAnsi="Times New Roman"/>
          <w:sz w:val="18"/>
          <w:szCs w:val="18"/>
          <w:color w:val="auto"/>
        </w:rPr>
        <w:t>. Executive will not, at any time, without the Company’s prior written permission, either during or after his employment, disclose any Proprietary Information to anyone outside of the Company, or use or permit to be used any Proprietary Information for any purpose other than the performance of Executive’s duties as an employee of the Company. Executive will cooperate with the Company and use his best efforts to prevent the unauthorized disclosure of all Proprietary Information. Executive will deliver to the Company all copies and other tangible embodiments of Proprietary Information in his possession or control upon the earlier of a request by the Company or termination of Executive’s employment.</w:t>
      </w:r>
    </w:p>
    <w:p>
      <w:pPr>
        <w:spacing w:after="0" w:line="28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221" w:name="page222"/>
    <w:bookmarkEnd w:id="221"/>
    <w:p>
      <w:pPr>
        <w:jc w:val="both"/>
        <w:ind w:left="840" w:hanging="656"/>
        <w:spacing w:after="0" w:line="255" w:lineRule="auto"/>
        <w:tabs>
          <w:tab w:leader="none" w:pos="8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Others</w:t>
      </w:r>
      <w:r>
        <w:rPr>
          <w:rFonts w:ascii="Times New Roman" w:cs="Times New Roman" w:eastAsia="Times New Roman" w:hAnsi="Times New Roman"/>
          <w:sz w:val="18"/>
          <w:szCs w:val="18"/>
          <w:color w:val="auto"/>
        </w:rPr>
        <w:t>. Executive understands that the Company is now and may hereafter be subject to nondisclosure or confidentiality agreements with third persons that require the Company to protect or refrain from use or disclosure of proprietary information. Executive agrees to be bound by the terms of such agreements in the event Executive has access to such proprietary information. Executive understands that the Company strictly prohibits Executive from using or disclosing confidential or proprietary information belonging to any other person or entity (including any employer or former employer), in connection with Executive’s employment. In addition, Executive agrees not to bring any confidential information belonging to any other person or entity onto Company premises or into Company workspaces.</w:t>
      </w:r>
    </w:p>
    <w:p>
      <w:pPr>
        <w:spacing w:after="0" w:line="188" w:lineRule="exact"/>
        <w:rPr>
          <w:rFonts w:ascii="Times New Roman" w:cs="Times New Roman" w:eastAsia="Times New Roman" w:hAnsi="Times New Roman"/>
          <w:sz w:val="18"/>
          <w:szCs w:val="18"/>
          <w:color w:val="auto"/>
        </w:rPr>
      </w:pPr>
    </w:p>
    <w:p>
      <w:pPr>
        <w:jc w:val="both"/>
        <w:ind w:left="840" w:hanging="656"/>
        <w:spacing w:after="0" w:line="255" w:lineRule="auto"/>
        <w:tabs>
          <w:tab w:leader="none" w:pos="8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 to Company; Avoidance of Conflict of Interest</w:t>
      </w:r>
      <w:r>
        <w:rPr>
          <w:rFonts w:ascii="Times New Roman" w:cs="Times New Roman" w:eastAsia="Times New Roman" w:hAnsi="Times New Roman"/>
          <w:sz w:val="18"/>
          <w:szCs w:val="18"/>
          <w:color w:val="auto"/>
        </w:rPr>
        <w:t>. While an employee of the Company, Executive will devote his full-time efforts to the Company’s business and Executive will not, directly or indirectly, engage in any other business activity, except as expressly authorized in writing and in advance by a duly authorized representative of the Company. Executive will advise an authorized officer of the Company or his designee at such time as any activity of either the Company or another business presents Executive with a conflict of interest or the appearance of a conflict of interest as an employee of the Company. Executive will take whatever action is requested of them by the Company to resolve any conflict or appearance of conflict which it finds to exist.</w:t>
      </w:r>
    </w:p>
    <w:p>
      <w:pPr>
        <w:spacing w:after="0" w:line="188" w:lineRule="exact"/>
        <w:rPr>
          <w:rFonts w:ascii="Times New Roman" w:cs="Times New Roman" w:eastAsia="Times New Roman" w:hAnsi="Times New Roman"/>
          <w:sz w:val="18"/>
          <w:szCs w:val="18"/>
          <w:color w:val="auto"/>
        </w:rPr>
      </w:pPr>
    </w:p>
    <w:p>
      <w:pPr>
        <w:jc w:val="both"/>
        <w:ind w:left="840" w:hanging="656"/>
        <w:spacing w:after="0" w:line="252" w:lineRule="auto"/>
        <w:tabs>
          <w:tab w:leader="none" w:pos="8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Developments</w:t>
      </w:r>
      <w:r>
        <w:rPr>
          <w:rFonts w:ascii="Times New Roman" w:cs="Times New Roman" w:eastAsia="Times New Roman" w:hAnsi="Times New Roman"/>
          <w:sz w:val="18"/>
          <w:szCs w:val="18"/>
          <w:color w:val="auto"/>
        </w:rPr>
        <w:t>. Executive will make full and prompt disclosure to the Company of all inventions, discoveries, designs, developments, methods, modifications, improvements, processes, algorithms, data, databases, computer programs, research, formulae, techniques, trade secrets, graphics or images, and audio or visual works and other works of authorship, and other intellectual property, including works-in-process (collectively “</w:t>
      </w:r>
      <w:r>
        <w:rPr>
          <w:rFonts w:ascii="Times New Roman" w:cs="Times New Roman" w:eastAsia="Times New Roman" w:hAnsi="Times New Roman"/>
          <w:sz w:val="18"/>
          <w:szCs w:val="18"/>
          <w:u w:val="single" w:color="auto"/>
          <w:color w:val="auto"/>
        </w:rPr>
        <w:t>Developments</w:t>
      </w:r>
      <w:r>
        <w:rPr>
          <w:rFonts w:ascii="Times New Roman" w:cs="Times New Roman" w:eastAsia="Times New Roman" w:hAnsi="Times New Roman"/>
          <w:sz w:val="18"/>
          <w:szCs w:val="18"/>
          <w:color w:val="auto"/>
        </w:rPr>
        <w:t>”) whether or not patentable or copyrightable, that are created, made, conceived or reduced to practice by Executive (alone or jointly with others) or under my direction during the period of his employment. Executive acknowledges that all work performed by them is on a “work for hire” basis, and Executive hereby does assign and transfer and, to the extent any such assignment cannot be made at present, will assign and transfer, to the Company and its successors and assigns all his right, title and interest in and to all Developments that (a) relate to the business of the Company or any customer of, supplier to or business partner of the Company or any of the products or services being researched, developed, manufactured or sold by the Company or which may be used with such products or services; or (b) result from tasks assigned to them by the Company; or (c) result from the use of premises or personal property (whether tangible or intangible) owned, leased or contracted for by the Company (“</w:t>
      </w:r>
      <w:r>
        <w:rPr>
          <w:rFonts w:ascii="Times New Roman" w:cs="Times New Roman" w:eastAsia="Times New Roman" w:hAnsi="Times New Roman"/>
          <w:sz w:val="18"/>
          <w:szCs w:val="18"/>
          <w:u w:val="single" w:color="auto"/>
          <w:color w:val="auto"/>
        </w:rPr>
        <w:t>Company-Related Developments</w:t>
      </w:r>
      <w:r>
        <w:rPr>
          <w:rFonts w:ascii="Times New Roman" w:cs="Times New Roman" w:eastAsia="Times New Roman" w:hAnsi="Times New Roman"/>
          <w:sz w:val="18"/>
          <w:szCs w:val="18"/>
          <w:color w:val="auto"/>
        </w:rPr>
        <w:t xml:space="preserve">”), and all related patents, patent applications, trademarks and trademark applications, copyrights and copyright applications, </w:t>
      </w:r>
      <w:r>
        <w:rPr>
          <w:rFonts w:ascii="Times New Roman" w:cs="Times New Roman" w:eastAsia="Times New Roman" w:hAnsi="Times New Roman"/>
          <w:sz w:val="18"/>
          <w:szCs w:val="18"/>
          <w:i w:val="1"/>
          <w:iCs w:val="1"/>
          <w:color w:val="auto"/>
        </w:rPr>
        <w:t>sui generis</w:t>
      </w:r>
      <w:r>
        <w:rPr>
          <w:rFonts w:ascii="Times New Roman" w:cs="Times New Roman" w:eastAsia="Times New Roman" w:hAnsi="Times New Roman"/>
          <w:sz w:val="18"/>
          <w:szCs w:val="18"/>
          <w:color w:val="auto"/>
        </w:rPr>
        <w:t xml:space="preserve"> database rights and other intellectual property rights in all countries and territories worldwide and under any international conventions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w:t>
      </w:r>
    </w:p>
    <w:p>
      <w:pPr>
        <w:spacing w:after="0" w:line="29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222" w:name="page223"/>
    <w:bookmarkEnd w:id="222"/>
    <w:p>
      <w:pPr>
        <w:jc w:val="both"/>
        <w:spacing w:after="0" w:line="253" w:lineRule="auto"/>
        <w:rPr>
          <w:sz w:val="20"/>
          <w:szCs w:val="20"/>
          <w:color w:val="auto"/>
        </w:rPr>
      </w:pPr>
      <w:r>
        <w:rPr>
          <w:rFonts w:ascii="Times New Roman" w:cs="Times New Roman" w:eastAsia="Times New Roman" w:hAnsi="Times New Roman"/>
          <w:sz w:val="18"/>
          <w:szCs w:val="18"/>
          <w:color w:val="auto"/>
        </w:rPr>
        <w:t>To preclude any possible uncertainty, if there are any Developments that Executive has, alone or jointly with others, conceived, developed or reduced to practice prior to the commencement of his employment with the Company that Executive considers to be his property or the property of third parties and that Executive wishes to have excluded from the scope of this Agreement (“</w:t>
      </w:r>
      <w:r>
        <w:rPr>
          <w:rFonts w:ascii="Times New Roman" w:cs="Times New Roman" w:eastAsia="Times New Roman" w:hAnsi="Times New Roman"/>
          <w:sz w:val="18"/>
          <w:szCs w:val="18"/>
          <w:u w:val="single" w:color="auto"/>
          <w:color w:val="auto"/>
        </w:rPr>
        <w:t>Prior Inventions</w:t>
      </w:r>
      <w:r>
        <w:rPr>
          <w:rFonts w:ascii="Times New Roman" w:cs="Times New Roman" w:eastAsia="Times New Roman" w:hAnsi="Times New Roman"/>
          <w:sz w:val="18"/>
          <w:szCs w:val="18"/>
          <w:color w:val="auto"/>
        </w:rPr>
        <w:t xml:space="preserve">”), Executive has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 complete list of those Prior Inventions. If disclosure of any such Prior Invention would cause them to violate any prior confidentiality agreement, Executive understands that Executive is not to list such Prior Inventions in Exhibit A but is only to disclose a cursory name for each such invention, a listing of the party(ies) to whom it belongs and the fact that full disclosure as to such inventions has not been made for that reason. If there are any patents or patent applications in which Executive is named as an inventor, other than those that have been assigned to the Company (“</w:t>
      </w:r>
      <w:r>
        <w:rPr>
          <w:rFonts w:ascii="Times New Roman" w:cs="Times New Roman" w:eastAsia="Times New Roman" w:hAnsi="Times New Roman"/>
          <w:sz w:val="18"/>
          <w:szCs w:val="18"/>
          <w:u w:val="single" w:color="auto"/>
          <w:color w:val="auto"/>
        </w:rPr>
        <w:t>Other Patent Rights</w:t>
      </w:r>
      <w:r>
        <w:rPr>
          <w:rFonts w:ascii="Times New Roman" w:cs="Times New Roman" w:eastAsia="Times New Roman" w:hAnsi="Times New Roman"/>
          <w:sz w:val="18"/>
          <w:szCs w:val="18"/>
          <w:color w:val="auto"/>
        </w:rPr>
        <w:t>”), Executive has also listed those Other Patent Rights on Exhibit A. If no such disclosure is attached, Executive represents that there are no Prior Inventions or Other Patent Rights. If, in the course of his employment with the Company, Executive incorporates a Prior Invention into a Company product, process or machine, research or development program, or other work done for the Company, Executive hereby grants to the Company a nonexclusive, royalty-free, fully paid-up, irrevocable, worldwide license (with the full right to sublicense through multiple tiers) to make, have made, modify, use, sell, offer for sale and import such Prior Invention.</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Notwithstanding the foregoing, Executive will not incorporate, or permit to be incorporated, Prior Inventions in any Company-Related Development without the Company’s prior written consent.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Agreement does not obligate Executive to assign to the Company any Development that, in the sole judgment of the Company, reasonably exercised, is developed entirely on Executive’s own time and does not relate to the business efforts or research and development efforts in which, during the period of his employment, the Company actually is engaged or reasonably would be engaged, and does not result from the use of premises or equipment owned or leased by the Company. However, Executive will also promptly disclose to the Company any such Developments for the purpose of determining whether they qualify for such exclusion. Executive understands that to the extent this Agreement is required to be construed in accordance with the laws of any state which precludes a requirement in an employee agreement to assign certain classes of inventions made by an employee, this Section 8(e) will be interpreted not to apply to any invention that a court rules and/or the Company agrees falls within such classes. Executive also hereby waives all claims to any moral rights or other special rights that Executive may have or accrue in any Company-Related Developments.</w:t>
      </w:r>
    </w:p>
    <w:p>
      <w:pPr>
        <w:spacing w:after="0" w:line="192" w:lineRule="exact"/>
        <w:rPr>
          <w:sz w:val="20"/>
          <w:szCs w:val="20"/>
          <w:color w:val="auto"/>
        </w:rPr>
      </w:pPr>
    </w:p>
    <w:p>
      <w:pPr>
        <w:jc w:val="both"/>
        <w:ind w:left="1960" w:hanging="656"/>
        <w:spacing w:after="0" w:line="266" w:lineRule="auto"/>
        <w:tabs>
          <w:tab w:leader="none" w:pos="19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Documents and Other Materials</w:t>
      </w:r>
      <w:r>
        <w:rPr>
          <w:rFonts w:ascii="Times New Roman" w:cs="Times New Roman" w:eastAsia="Times New Roman" w:hAnsi="Times New Roman"/>
          <w:sz w:val="18"/>
          <w:szCs w:val="18"/>
          <w:color w:val="auto"/>
        </w:rPr>
        <w:t>. Executive will keep and maintain adequate and current records of all Proprietary Information and Company-Related Developments developed by them during his employment, which records will be available to and remain the sole property of the Company at all times.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files, letters, notes, memoranda, reports, records, data, sketches, drawings, notebooks, layouts, charts, quotations and proposals, specification sheets, blueprints, models, prototypes, or other written, photographic or other tangible material containing Proprietary Information, whether created by them or others, which come into his custody or possession, are the exclusive property of the Company to be used by them only in the performance of his duties for the Company. Any property situated on the Company’s premises and owned by the Company, including without limitation computers, disks and other storage media, filing cabinets or other work areas, is subject to inspection by the Company at any time with or without notice. In the event of the termination of his employment for any reason, Executive will deliver to the Company all Company property and equipment in his possession, custody or control, including all files, letters, notes, memoranda, reports, records, data, sketches, drawings, notebooks, layouts, charts, quotations and proposals, specification sheets, blueprints, models, prototypes, or other written, photographic or other tangible material containing Proprietary Information, and other materials of any nature pertaining to the Proprietary Information of the Company and to my work, and will not take or keep in his possession any of the foregoing or any copies.</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3" w:name="page224"/>
    <w:bookmarkEnd w:id="223"/>
    <w:p>
      <w:pPr>
        <w:jc w:val="both"/>
        <w:ind w:left="840" w:hanging="656"/>
        <w:spacing w:after="0" w:line="253" w:lineRule="auto"/>
        <w:tabs>
          <w:tab w:leader="none" w:pos="8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 of Intellectual Property Rights</w:t>
      </w:r>
      <w:r>
        <w:rPr>
          <w:rFonts w:ascii="Times New Roman" w:cs="Times New Roman" w:eastAsia="Times New Roman" w:hAnsi="Times New Roman"/>
          <w:sz w:val="18"/>
          <w:szCs w:val="18"/>
          <w:color w:val="auto"/>
        </w:rPr>
        <w:t>. Executive will cooperate fully with the Company, both during and after his employment with the Company, with respect to the procurement, maintenance and enforcement of Intellectual Property Rights in Company- Related Developments. Executive will sign, both during and after his employment, all papers, including without limitation copyright applications, patent applications, declarations, oaths, assignments of priority rights, and powers of attorney, which the Company may deem necessary or desirable in order to protect its rights and interests in any Company-Related Development or Intellectual Property Rights therein. If the Company is unable, after reasonable effort, to secure his signature on any such papers, Executive hereby irrevocably designates and appoints each officer of the Company as his agent and attorney-in-fact to execute any such papers on his behalf, and to take any and all actions as the Company may deem necessary or desirable in order to protect its rights and interests in any Company-Related Development, including any Intellectual Property Rights therein.</w:t>
      </w:r>
    </w:p>
    <w:p>
      <w:pPr>
        <w:spacing w:after="0" w:line="194" w:lineRule="exact"/>
        <w:rPr>
          <w:rFonts w:ascii="Times New Roman" w:cs="Times New Roman" w:eastAsia="Times New Roman" w:hAnsi="Times New Roman"/>
          <w:sz w:val="18"/>
          <w:szCs w:val="18"/>
          <w:color w:val="auto"/>
        </w:rPr>
      </w:pPr>
    </w:p>
    <w:p>
      <w:pPr>
        <w:jc w:val="both"/>
        <w:ind w:left="840" w:hanging="656"/>
        <w:spacing w:after="0" w:line="261" w:lineRule="auto"/>
        <w:tabs>
          <w:tab w:leader="none" w:pos="8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and Noncompetition</w:t>
      </w:r>
      <w:r>
        <w:rPr>
          <w:rFonts w:ascii="Times New Roman" w:cs="Times New Roman" w:eastAsia="Times New Roman" w:hAnsi="Times New Roman"/>
          <w:sz w:val="18"/>
          <w:szCs w:val="18"/>
          <w:color w:val="auto"/>
        </w:rPr>
        <w:t>. In order to protect the Company’s Proprietary Information and goodwill, during his employment and for a period of: (i) one (1) year following the Date of Termination, or (ii) two (2) years following the Date of Termination if Executive breaches his fiduciary duty to the Company or if Executive has unlawfully taken, physically or electronically, property belonging to the Company (in either case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1480" w:hanging="648"/>
        <w:spacing w:after="0" w:line="254" w:lineRule="auto"/>
        <w:tabs>
          <w:tab w:leader="none" w:pos="148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not, directly or indirectly, in any manner, other than for the benefit of the Company, solicit or transact any business with any of the customers or customer prospects of the Company or any of its suppliers. For purposes of this Agreement, (x) business shall include any business that researches, develops, manufactures, markets, sells or distributes a product or service that competes with a product or service of the Company, (y) customers shall include then current customers to which the Company provided products or services during the 12 months prior to the Date of Termination (the “</w:t>
      </w:r>
      <w:r>
        <w:rPr>
          <w:rFonts w:ascii="Times New Roman" w:cs="Times New Roman" w:eastAsia="Times New Roman" w:hAnsi="Times New Roman"/>
          <w:sz w:val="18"/>
          <w:szCs w:val="18"/>
          <w:u w:val="single" w:color="auto"/>
          <w:color w:val="auto"/>
        </w:rPr>
        <w:t>One Year Lookback</w:t>
      </w:r>
      <w:r>
        <w:rPr>
          <w:rFonts w:ascii="Times New Roman" w:cs="Times New Roman" w:eastAsia="Times New Roman" w:hAnsi="Times New Roman"/>
          <w:sz w:val="18"/>
          <w:szCs w:val="18"/>
          <w:color w:val="auto"/>
        </w:rPr>
        <w:t>”) and customer prospects shall include customer prospects that the Company solicited during the One Year Lookback and that Executive had significant contact with or learned confidential information about in the course of his employment, and (z) suppliers shall include then current suppliers and suppliers that provided services to or in connection with the Company during the One Year Lookback.</w:t>
      </w:r>
    </w:p>
    <w:p>
      <w:pPr>
        <w:spacing w:after="0" w:line="28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224" w:name="page225"/>
    <w:bookmarkEnd w:id="224"/>
    <w:p>
      <w:pPr>
        <w:jc w:val="both"/>
        <w:ind w:left="1944" w:hanging="648"/>
        <w:spacing w:after="0" w:line="266" w:lineRule="auto"/>
        <w:tabs>
          <w:tab w:leader="none" w:pos="1944"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not, directly or indirectly, in any manner, solicit, entice or attempt to persuade any employee or consultant of the Company to leave the Company for any reason or otherwise participate in or facilitate the hire, directly or through another entity, of any person who is then employed or engaged by the Company.</w:t>
      </w:r>
    </w:p>
    <w:p>
      <w:pPr>
        <w:spacing w:after="0" w:line="175" w:lineRule="exact"/>
        <w:rPr>
          <w:rFonts w:ascii="Times New Roman" w:cs="Times New Roman" w:eastAsia="Times New Roman" w:hAnsi="Times New Roman"/>
          <w:sz w:val="18"/>
          <w:szCs w:val="18"/>
          <w:color w:val="auto"/>
        </w:rPr>
      </w:pPr>
    </w:p>
    <w:p>
      <w:pPr>
        <w:jc w:val="both"/>
        <w:ind w:left="1944" w:hanging="648"/>
        <w:spacing w:after="0" w:line="252" w:lineRule="auto"/>
        <w:tabs>
          <w:tab w:leader="none" w:pos="1944"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(y) the Company terminates Executive’s employment without Cause (as defined below) or Executive has been laid off; or (z) the Company waives the restrictions upon post-employment activities set forth in this Section 8(h)(iii), then, the Company shall make garden leave payments to Executive for the postemployment portion of the Restricted Period (but for not more than 12 months following the end of Executive’s employment) at the rate of 50% of the highest annualized base salary paid to Executive by the Company within the two-year period preceding the last day of Executive’s employment (“</w:t>
      </w:r>
      <w:r>
        <w:rPr>
          <w:rFonts w:ascii="Times New Roman" w:cs="Times New Roman" w:eastAsia="Times New Roman" w:hAnsi="Times New Roman"/>
          <w:sz w:val="18"/>
          <w:szCs w:val="18"/>
          <w:u w:val="single" w:color="auto"/>
          <w:color w:val="auto"/>
        </w:rPr>
        <w:t>Garden Leave Pay</w:t>
      </w:r>
      <w:r>
        <w:rPr>
          <w:rFonts w:ascii="Times New Roman" w:cs="Times New Roman" w:eastAsia="Times New Roman" w:hAnsi="Times New Roman"/>
          <w:sz w:val="18"/>
          <w:szCs w:val="18"/>
          <w:color w:val="auto"/>
        </w:rPr>
        <w:t>”), and in exchange, Executive shall not directly or indirectly, whether as owner, partner, shareholder, director, manager, consultant, agent, employee, co-venturer or otherwise, anywhere in the world, engage or otherwise participate in any business that develops, manufactures or markets any products, or performs any services, that are competitive with the products or services of the Company, including, without limitation, any products or services that target amino acid homeostasis for therapeutic and health purposes via the use of amino acid modalities; or products or services that the Company or its affiliates, has under development or that are the subject of active planning at any time during his employment. For purposes of this Section 8(h)(iii) only, and notwithstanding anything to the contrary in any other part of this Agreement or any other agreement between the Company and Executive,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a reasonable and good faith basis for the Company to be dissatisfied with Executive job performance, Executive’s conduct or Executive’s behavior. Executive acknowledges that this covenant is necessary because the Company’s legitimate business interests cannot be adequately protected solely by the other covenants in this Agreement. Executive further acknowledges and agrees that any payments Executive receives pursuant to this Section 8(h)(iii) shall reduce (and shall not be in addition to) any severance or separation pay that they are otherwise entitled to receive from the Company pursuant to this Agreement or otherwise.</w:t>
      </w:r>
    </w:p>
    <w:p>
      <w:pPr>
        <w:spacing w:after="0" w:line="190"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 and Regulatory Cooperation</w:t>
      </w:r>
      <w:r>
        <w:rPr>
          <w:rFonts w:ascii="Times New Roman" w:cs="Times New Roman" w:eastAsia="Times New Roman" w:hAnsi="Times New Roman"/>
          <w:sz w:val="18"/>
          <w:szCs w:val="18"/>
          <w:color w:val="auto"/>
        </w:rPr>
        <w:t>. During and after the Executive’s employment, the Executive shall cooperate fully with the Company in the defense or prosecution of any claims or actions now in existence or which may be brought in the future against or on behalf of the Company which relate to events or occurrences that transpired while the Executive was employed by the Company. The Executive’s full cooperation in connection with such claims or actions shall include, but not be limited to, being available to meet with counsel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9.</w:t>
      </w:r>
    </w:p>
    <w:p>
      <w:pPr>
        <w:spacing w:after="0" w:line="287"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225" w:name="page226"/>
    <w:bookmarkEnd w:id="225"/>
    <w:p>
      <w:pPr>
        <w:jc w:val="both"/>
        <w:ind w:left="644" w:hanging="644"/>
        <w:spacing w:after="0" w:line="256" w:lineRule="auto"/>
        <w:tabs>
          <w:tab w:leader="none" w:pos="64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 Contracts</w:t>
      </w:r>
      <w:r>
        <w:rPr>
          <w:rFonts w:ascii="Times New Roman" w:cs="Times New Roman" w:eastAsia="Times New Roman" w:hAnsi="Times New Roman"/>
          <w:sz w:val="18"/>
          <w:szCs w:val="18"/>
          <w:color w:val="auto"/>
        </w:rPr>
        <w:t>. Executive acknowledges that the Company may have from time to time agreements with other persons or with the United States Government or its agencies that impose obligations or restrictions on the Company regarding inventions made during the course of work under such agreements or regarding the confidential nature of such work. Executive agrees to comply with any such obligations or restrictions upon the direction of the Company. In addition to the rights assigned under Section 8(e), Executive also assigns to the Company (or any of its nominees) all rights that Executive has or acquired in any Developments, full title to which is required to be in the United States under any contract between the Company and the United States or any of its agencies.</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 Agreements</w:t>
      </w:r>
      <w:r>
        <w:rPr>
          <w:rFonts w:ascii="Times New Roman" w:cs="Times New Roman" w:eastAsia="Times New Roman" w:hAnsi="Times New Roman"/>
          <w:sz w:val="18"/>
          <w:szCs w:val="18"/>
          <w:color w:val="auto"/>
        </w:rPr>
        <w:t>. Executive hereby represents that, except as Executive has fully disclosed previously in writing to the Company, Executive is not bound by the terms of any agreement with any previous or current employer or other party to refrain from using or disclosing any trade secret or confidential or proprietary information in the course of his employment with the Company or to refrain from competing, directly or indirectly, with the business of such employer or any other party. Executive further represents that his performance of all the terms of this Agreement as an employee of the Company does not and will not breach any agreement to keep in confidence proprietary information, knowledge or data acquired by them in confidence or in trust prior to Executive’s employment with the Company. Executive will not disclose to the Company or induce the Company to use any confidential or proprietary information or material belonging to any previous employer or others.</w:t>
      </w:r>
    </w:p>
    <w:p>
      <w:pPr>
        <w:spacing w:after="0" w:line="191"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Upon Breach</w:t>
      </w:r>
      <w:r>
        <w:rPr>
          <w:rFonts w:ascii="Times New Roman" w:cs="Times New Roman" w:eastAsia="Times New Roman" w:hAnsi="Times New Roman"/>
          <w:sz w:val="18"/>
          <w:szCs w:val="18"/>
          <w:color w:val="auto"/>
        </w:rPr>
        <w:t>. Executive understands that the restrictions contained in Sections 8 and 9 of this Agreement (collectively, the “Continuing Obligations”) are necessary for the protection of the business and goodwill of the Company and Executive considers them to be reasonable for such purpose. Any breach of the Continuing Obligations is likely to cause the Company substantial and irrevocable damage and therefore, in the event of such breach, the Company, in addition to such other remedies which may be available, will be entitled to specific performance and other injunctive relief, without the posting of a bond. Executive further acknowledges that a court may render an award extending the Restricted Period as one of the remedies in the event of his violation of the Continuing Obligations. If Executive violates the Continuing Obligations, in addition to all other remedies available to the Company at law (including, without limitation, the Company’s right to discontinue any payments Executive may receive pursuant to this Agreement), in equity, and under contract, Executive agrees that Executive is obligated to pay all the Company’s costs of enforcement of this Agreement, including reasonable attorneys’ fees and expenses.</w:t>
      </w:r>
    </w:p>
    <w:p>
      <w:pPr>
        <w:spacing w:after="0" w:line="194"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Voice, Image and Likeness</w:t>
      </w:r>
      <w:r>
        <w:rPr>
          <w:rFonts w:ascii="Times New Roman" w:cs="Times New Roman" w:eastAsia="Times New Roman" w:hAnsi="Times New Roman"/>
          <w:sz w:val="18"/>
          <w:szCs w:val="18"/>
          <w:color w:val="auto"/>
        </w:rPr>
        <w:t>. Executive gives the Company permission to use any and all of his voice, image and likeness, with or without using his name, in connection with the products and/or services of the Company, for the purposes of advertising and promoting such products and/or services and/or the Company, and/or for other purposes deemed appropriate by the Company in its reasonable discretion, except to the extent prohibited by law.</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Employment Obligation</w:t>
      </w:r>
      <w:r>
        <w:rPr>
          <w:rFonts w:ascii="Times New Roman" w:cs="Times New Roman" w:eastAsia="Times New Roman" w:hAnsi="Times New Roman"/>
          <w:sz w:val="18"/>
          <w:szCs w:val="18"/>
          <w:color w:val="auto"/>
        </w:rPr>
        <w:t>. Executive understands that this Agreement does not create an obligation on the Company or any other person to continue his employment. Executive acknowledges that, unless otherwise agreed in a formal written employment agreement signed on behalf of the Company by an authorized officer, his employment with the Company is at will and therefore may be terminated by the Company or Executive at any time and for any reason, with or without cause.</w:t>
      </w:r>
    </w:p>
    <w:p>
      <w:pPr>
        <w:spacing w:after="0" w:line="279"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226" w:name="page227"/>
    <w:bookmarkEnd w:id="226"/>
    <w:p>
      <w:pPr>
        <w:jc w:val="both"/>
        <w:ind w:left="644" w:hanging="644"/>
        <w:spacing w:after="0" w:line="255" w:lineRule="auto"/>
        <w:tabs>
          <w:tab w:leader="none" w:pos="64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and Assignment by the Company</w:t>
      </w:r>
      <w:r>
        <w:rPr>
          <w:rFonts w:ascii="Times New Roman" w:cs="Times New Roman" w:eastAsia="Times New Roman" w:hAnsi="Times New Roman"/>
          <w:sz w:val="18"/>
          <w:szCs w:val="18"/>
          <w:color w:val="auto"/>
        </w:rPr>
        <w:t>. Executive understands that the Continuing Obligations will continue in accordance with his express terms regardless of any changes in Executive’s title, position, duties, salary, compensation or benefits or other terms and conditions of employment. Executive further understands that the Continuing Obligations will continue following the termination of his employment regardless of the manner of such termination and will be binding upon his heirs, executors and administrators. The Company will have the right to assign this Agreement to its affiliates, successors and assigns. Executive expressly consents to be bound by the provisions of this Agreement for the benefit of the Company or any parent, subsidiary or affiliate to whose employ Executive may be transferred without the necessity that this Agreement be resigned at the time of such transfer.</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Resignation</w:t>
      </w:r>
      <w:r>
        <w:rPr>
          <w:rFonts w:ascii="Times New Roman" w:cs="Times New Roman" w:eastAsia="Times New Roman" w:hAnsi="Times New Roman"/>
          <w:sz w:val="18"/>
          <w:szCs w:val="18"/>
          <w:color w:val="auto"/>
        </w:rPr>
        <w:t>. If Executive elects to resign from his employment with the Company, Executive agrees to provide the Company with written notification of his resignation at least thirty (30) days prior to his intended resignation date. Such notice shall include information in reasonable detail about his post-employment job duties and other business activities, including the name and address of any subsequent employer and/or person or entity with whom or which Executive intends to engage in business activities during the Restricted Period and the nature of his job duties and other business activities. The Company may elect to waive all or part of the notice period in its sole discretion.</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Post-Employment Notifications</w:t>
      </w:r>
      <w:r>
        <w:rPr>
          <w:rFonts w:ascii="Times New Roman" w:cs="Times New Roman" w:eastAsia="Times New Roman" w:hAnsi="Times New Roman"/>
          <w:sz w:val="18"/>
          <w:szCs w:val="18"/>
          <w:color w:val="auto"/>
        </w:rPr>
        <w:t>. During the Restricted Period, Executive will notify the Company of any change in his address and of each subsequent employment or business activity, including the name and address of his employer or other post-Company employment plans and the nature of his activities.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Disclosures During Restricted Period</w:t>
      </w:r>
      <w:r>
        <w:rPr>
          <w:rFonts w:ascii="Times New Roman" w:cs="Times New Roman" w:eastAsia="Times New Roman" w:hAnsi="Times New Roman"/>
          <w:sz w:val="18"/>
          <w:szCs w:val="18"/>
          <w:color w:val="auto"/>
        </w:rPr>
        <w:t>. Executive will provide a copy of this Agreement with all compensation terms redacted to any person or entity with whom Executive may enter into a business relationship, whether as an employee, consultant, partner, coventurer or otherwise, prior to entering into such business relationship during the Restricted Period only.</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Company and Executive acknowledge and agree that the Company’s election not to provide Executive with Garden Leave Pay as set forth in Section 8(h)(iii) shall be deemed a waiver of Executive’s noncompetition obligations under Section 8(h)(iii). Otherwise, no waiver of any of Executive’s obligations under this Agreement shall be effective unless made in writing by the Company. The failure of the Company to require Executive’s performance of any term or obligation of this Agreement, or the waiver of any breach of this Agreement, shall not prevent the Company’s subsequent enforcement of such term or obligation or be deemed a waiver of any subsequent breach.</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provisions (or portions thereof) contained in this Agreement shall, for any reason, be held invalid, illegal or unenforceable in any respect, such invalidity, illegality or unenforceability shall not affect the other provisions of this Agreement, and this Agreement shall be construed as if such invalid, illegal or unenforceable provision had never been contained herein. If, moreover,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w:t>
      </w:r>
    </w:p>
    <w:p>
      <w:pPr>
        <w:spacing w:after="0" w:line="286"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227" w:name="page228"/>
    <w:bookmarkEnd w:id="227"/>
    <w:p>
      <w:pPr>
        <w:jc w:val="both"/>
        <w:ind w:left="644" w:hanging="644"/>
        <w:spacing w:after="0" w:line="253" w:lineRule="auto"/>
        <w:tabs>
          <w:tab w:leader="none" w:pos="644"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 and Jurisdiction</w:t>
      </w:r>
      <w:r>
        <w:rPr>
          <w:rFonts w:ascii="Times New Roman" w:cs="Times New Roman" w:eastAsia="Times New Roman" w:hAnsi="Times New Roman"/>
          <w:sz w:val="18"/>
          <w:szCs w:val="18"/>
          <w:color w:val="auto"/>
        </w:rPr>
        <w:t xml:space="preserve">. This Agreement will be deemed to be made and entered into in the Commonwealth of Massachusetts, and will in all respects be interpreted, enforced and governed under the laws of the Commonwealth of Massachusetts. Executive hereby consents to personal jurisdiction of the state and federal courts situated within Massachusetts for purposes of enforcing this Agreement, and waive any objection that Executive might have to personal jurisdiction or venue in those courts, provided, however, the Company and Executive agree that all civil actions relating to Section 8 of this Agreement shall be brought in the county of Suffolk and that the superior court or the business litigation session of the superior court shall have exclusive jurisdiction. </w:t>
      </w:r>
      <w:r>
        <w:rPr>
          <w:rFonts w:ascii="Times New Roman" w:cs="Times New Roman" w:eastAsia="Times New Roman" w:hAnsi="Times New Roman"/>
          <w:sz w:val="18"/>
          <w:szCs w:val="18"/>
          <w:b w:val="1"/>
          <w:bCs w:val="1"/>
          <w:color w:val="auto"/>
        </w:rPr>
        <w:t>ANY ACTION, DEMAND,</w:t>
      </w:r>
    </w:p>
    <w:p>
      <w:pPr>
        <w:spacing w:after="0" w:line="5" w:lineRule="exact"/>
        <w:rPr>
          <w:rFonts w:ascii="Times New Roman" w:cs="Times New Roman" w:eastAsia="Times New Roman" w:hAnsi="Times New Roman"/>
          <w:sz w:val="18"/>
          <w:szCs w:val="18"/>
          <w:color w:val="auto"/>
        </w:rPr>
      </w:pPr>
    </w:p>
    <w:p>
      <w:pPr>
        <w:jc w:val="both"/>
        <w:ind w:left="64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CLAIM OR COUNTERCLAIM ARISING UNDER OR RELATING TO THIS AGREEMENT OR THE EXECUTIVE’S EMPLOYMENT WITH THE COMPANY, INCLUDING WITHOUT LIMITATION ANY CLAIMS OF DISCRIMINATION ARISING UNDER STATE OR FEDERAL LAW, WILL BE RESOLVED BY A JUDGE ALONE AND EACH OF THE COMPANY AND THE EXECUTIVE WAIVES ANY RIGHT TO A JURY TRIAL THEREOF</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Independence of Obligations</w:t>
      </w:r>
      <w:r>
        <w:rPr>
          <w:rFonts w:ascii="Times New Roman" w:cs="Times New Roman" w:eastAsia="Times New Roman" w:hAnsi="Times New Roman"/>
          <w:sz w:val="18"/>
          <w:szCs w:val="18"/>
          <w:color w:val="auto"/>
        </w:rPr>
        <w:t>. Executive’s obligations under this Agreement are independent of any obligation, contractual or otherwise, the Company has to Executive. The Company’s breach of any such obligation shall not be a defense against the enforcement of this Agreement or otherwise limit Executive’s obligations under this Agreement.</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Protected Disclosures</w:t>
      </w:r>
      <w:r>
        <w:rPr>
          <w:rFonts w:ascii="Times New Roman" w:cs="Times New Roman" w:eastAsia="Times New Roman" w:hAnsi="Times New Roman"/>
          <w:sz w:val="18"/>
          <w:szCs w:val="18"/>
          <w:color w:val="auto"/>
        </w:rPr>
        <w:t>. Executive understands that nothing contained in this Agreement limits his ability to communicate with any federal, state or local governmental agency or commission, including to provide documents or other information, without notice to the Company. Executive also understands that nothing in this Agreement limits his ability to share compensation information concerning them or others, except that this does not permit Executive to disclose compensation information concerning others that Executive obtains because his job responsibilities require or allow access to such information.</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Defend Trade Secrets Act of 2016</w:t>
      </w:r>
      <w:r>
        <w:rPr>
          <w:rFonts w:ascii="Times New Roman" w:cs="Times New Roman" w:eastAsia="Times New Roman" w:hAnsi="Times New Roman"/>
          <w:sz w:val="18"/>
          <w:szCs w:val="18"/>
          <w:color w:val="auto"/>
        </w:rPr>
        <w:t>. Executive understands that pursuant to the federal Defend Trade Secrets Act of 2016, Executive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 to the Executive</w:t>
      </w:r>
      <w:r>
        <w:rPr>
          <w:rFonts w:ascii="Times New Roman" w:cs="Times New Roman" w:eastAsia="Times New Roman" w:hAnsi="Times New Roman"/>
          <w:sz w:val="18"/>
          <w:szCs w:val="18"/>
          <w:color w:val="auto"/>
        </w:rPr>
        <w:t>. This Agreement shall inure to the benefit of and be enforceable by the Executive’s personal representatives, executors, administrators, heirs, distributees, devisees and legatees. In the event of the Executive’s death after his termination of employment but prior to the completion by the Company of all payments due them under this Agreement, the Company shall continue such payments to the Executive’s beneficiary designated in writing to the Company prior to his death (or to his estate, if the Executive fails to make such designation).</w:t>
      </w:r>
    </w:p>
    <w:p>
      <w:pPr>
        <w:spacing w:after="0" w:line="282"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228" w:name="page229"/>
    <w:bookmarkEnd w:id="228"/>
    <w:p>
      <w:pPr>
        <w:jc w:val="both"/>
        <w:ind w:left="644" w:hanging="644"/>
        <w:spacing w:after="0" w:line="261" w:lineRule="auto"/>
        <w:tabs>
          <w:tab w:leader="none" w:pos="64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 to Company</w:t>
      </w:r>
      <w:r>
        <w:rPr>
          <w:rFonts w:ascii="Times New Roman" w:cs="Times New Roman" w:eastAsia="Times New Roman" w:hAnsi="Times New Roman"/>
          <w:sz w:val="18"/>
          <w:szCs w:val="18"/>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179"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Gender Neutral</w:t>
      </w:r>
      <w:r>
        <w:rPr>
          <w:rFonts w:ascii="Times New Roman" w:cs="Times New Roman" w:eastAsia="Times New Roman" w:hAnsi="Times New Roman"/>
          <w:sz w:val="18"/>
          <w:szCs w:val="18"/>
          <w:color w:val="auto"/>
        </w:rPr>
        <w:t>. Wherever used herein, a pronoun in the masculine gender shall be considered as including the feminine gender unless the context clearly indicates otherwise.</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55" w:lineRule="auto"/>
        <w:tabs>
          <w:tab w:leader="none" w:pos="64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w:t>
      </w:r>
      <w:r>
        <w:rPr>
          <w:rFonts w:ascii="Times New Roman" w:cs="Times New Roman" w:eastAsia="Times New Roman" w:hAnsi="Times New Roman"/>
          <w:sz w:val="18"/>
          <w:szCs w:val="18"/>
          <w:color w:val="auto"/>
        </w:rPr>
        <w:t>. This Agreement constitutes the entire agreement between the Company and Executive with respect to the subject matter hereof, and supersedes all prior agreements or understandings, both written and oral, between the Company and Executive with respect to the subject matter hereof, including without limitation the offer between the Company and Executive, dated as of August 27, 2019, but does not in any way merge with or supersede any other confidentiality, assignment of inventions or other restrictive covenant agreement or obligation entered into by the Company and Executive, which agreements and obligations shall supplement, and shall not limit or be limited by, this Agreement. This Agreement may be amended only in a written agreement executed by a duly authorized officer of the Company and Executive.</w:t>
      </w:r>
    </w:p>
    <w:p>
      <w:pPr>
        <w:spacing w:after="0" w:line="287"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effective on the date and year first above written.</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9"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Stephen Squinto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32"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7"/>
          <w:szCs w:val="17"/>
          <w:color w:val="auto"/>
        </w:rPr>
        <w:t>Its:</w:t>
      </w:r>
      <w:r>
        <w:rPr>
          <w:sz w:val="20"/>
          <w:szCs w:val="20"/>
          <w:color w:val="auto"/>
        </w:rPr>
        <w:tab/>
      </w:r>
      <w:r>
        <w:rPr>
          <w:rFonts w:ascii="Times New Roman" w:cs="Times New Roman" w:eastAsia="Times New Roman" w:hAnsi="Times New Roman"/>
          <w:sz w:val="17"/>
          <w:szCs w:val="17"/>
          <w:u w:val="single" w:color="auto"/>
          <w:color w:val="auto"/>
        </w:rPr>
        <w:t>Chairman of the Board of Directors</w:t>
      </w:r>
    </w:p>
    <w:p>
      <w:pPr>
        <w:spacing w:after="0" w:line="26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84607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Jason Meyenburg</w:t>
      </w:r>
    </w:p>
    <w:p>
      <w:pPr>
        <w:spacing w:after="0" w:line="32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796" w:right="1440" w:bottom="1440" w:gutter="0" w:footer="0" w:header="0"/>
        </w:sectPr>
      </w:pPr>
    </w:p>
    <w:bookmarkStart w:id="230" w:name="page231"/>
    <w:bookmarkEnd w:id="2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GEMINI THERAPEUTICS, INC.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23571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23571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23571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2357120" cy="17145"/>
                    </a:xfrm>
                    <a:prstGeom prst="rect">
                      <a:avLst/>
                    </a:prstGeom>
                    <a:noFill/>
                  </pic:spPr>
                </pic:pic>
              </a:graphicData>
            </a:graphic>
          </wp:anchor>
        </w:drawing>
      </w:r>
    </w:p>
    <w:p>
      <w:pPr>
        <w:spacing w:after="0" w:line="22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SUBJECT:</w:t>
      </w:r>
      <w:r>
        <w:rPr>
          <w:sz w:val="20"/>
          <w:szCs w:val="20"/>
          <w:color w:val="auto"/>
        </w:rPr>
        <w:tab/>
      </w:r>
      <w:r>
        <w:rPr>
          <w:rFonts w:ascii="Times New Roman" w:cs="Times New Roman" w:eastAsia="Times New Roman" w:hAnsi="Times New Roman"/>
          <w:sz w:val="17"/>
          <w:szCs w:val="17"/>
          <w:b w:val="1"/>
          <w:bCs w:val="1"/>
          <w:color w:val="auto"/>
        </w:rPr>
        <w:t>Prior Inventions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complete list of all inventions or improvements relevant to the subject matter of my employment by the Company that have been made or conceived or first reduced to practice by me alone or jointly with others prior to my engagement by the Company:</w:t>
      </w:r>
    </w:p>
    <w:p>
      <w:pPr>
        <w:spacing w:after="0" w:line="162" w:lineRule="exact"/>
        <w:rPr>
          <w:sz w:val="20"/>
          <w:szCs w:val="20"/>
          <w:color w:val="auto"/>
        </w:rPr>
      </w:pPr>
    </w:p>
    <w:p>
      <w:pPr>
        <w:ind w:left="660" w:hanging="652"/>
        <w:spacing w:after="0"/>
        <w:tabs>
          <w:tab w:leader="none" w:pos="660" w:val="left"/>
        </w:tabs>
        <w:numPr>
          <w:ilvl w:val="0"/>
          <w:numId w:val="24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inventions or improvements</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24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291465</wp:posOffset>
            </wp:positionV>
            <wp:extent cx="3300095"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3300095"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582930</wp:posOffset>
            </wp:positionV>
            <wp:extent cx="3300095"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3300095"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874395</wp:posOffset>
            </wp:positionV>
            <wp:extent cx="3300095"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33000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60" w:hanging="652"/>
        <w:spacing w:after="0"/>
        <w:tabs>
          <w:tab w:leader="none" w:pos="660" w:val="left"/>
        </w:tabs>
        <w:numPr>
          <w:ilvl w:val="0"/>
          <w:numId w:val="24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Additional sheets attached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all patents and patent applications in which Executive has been named as an inventor:</w:t>
      </w:r>
    </w:p>
    <w:p>
      <w:pPr>
        <w:spacing w:after="0" w:line="225" w:lineRule="exact"/>
        <w:rPr>
          <w:sz w:val="20"/>
          <w:szCs w:val="20"/>
          <w:color w:val="auto"/>
        </w:rPr>
      </w:pPr>
    </w:p>
    <w:p>
      <w:pPr>
        <w:ind w:left="660" w:hanging="652"/>
        <w:spacing w:after="0"/>
        <w:tabs>
          <w:tab w:leader="none" w:pos="660" w:val="left"/>
        </w:tabs>
        <w:numPr>
          <w:ilvl w:val="0"/>
          <w:numId w:val="24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24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291465</wp:posOffset>
            </wp:positionV>
            <wp:extent cx="3300095"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3300095"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582930</wp:posOffset>
            </wp:positionV>
            <wp:extent cx="3300095"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3300095"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874395</wp:posOffset>
            </wp:positionV>
            <wp:extent cx="3300095"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330009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1440180</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33"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This Employment Agreement (“Agreement”) is made as of the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December, 2020 between Gemini Therapeutics, Inc., a Delaware corporation (the “Company”), and Dr. Marc Uknis (the “Executive”).</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 desires to continue to employ the Executive and the Executive desires to continue to be employed by the Company on the terms and conditions contained herein commencing on February 5, 2021, unless another date is agreed to by the parties. The Executive’s first day of employment under this Agreement shall be the “Effective Date” of this Agreement;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provided the Executive with this Agreement, which is its formal offer of employment to the Executive, at least ten (10) business days before the Effective Date. The Executive has the right to consult with counsel prior to signing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62" w:lineRule="exact"/>
        <w:rPr>
          <w:sz w:val="20"/>
          <w:szCs w:val="20"/>
          <w:color w:val="auto"/>
        </w:rPr>
      </w:pPr>
    </w:p>
    <w:p>
      <w:pPr>
        <w:ind w:left="840" w:hanging="184"/>
        <w:spacing w:after="0"/>
        <w:tabs>
          <w:tab w:leader="none" w:pos="8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4"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Company shall employ the Executive and the Executive shall be employed by the Company pursuant to this Agreement commencing as of the Effective Date and continuing until such employment is terminated in accordance with the provisions hereof (the “Term”). The Executive’s employment with the Company shall be “at will,” meaning that the Executive’s employment may be terminated by the Company or the Executive at any time and for any reason subject to the terms of this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 During the Term, the Executive shall serve as the Chief Medical Officer for the Company and shall have such powers and duties as may from time to time be prescribed by the Chief Executive Officer of the Company (the “CEO”). The Executive shall devote his full working time and efforts to the business and affairs of the Company. Notwithstanding the foregoing, the Executive may serve on other boards of directors, with the approval of the Board of Directors of the Company (the “Board”) or a committee of the Board, or engage in religious, charitable or other community activities as long as such services and activities are disclosed to the Board and do not interfere with the Executive’s performance of his duties to the Company.</w:t>
      </w:r>
    </w:p>
    <w:p>
      <w:pPr>
        <w:spacing w:after="0" w:line="18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Related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During the Term, the Executive’s initial annual base salary shall be paid at the rate of $415,000 per year. The Executive’s base salary shall be reviewed annually by the Board or the Compensation Committee of the Board (the “Compensation Committee”). The base salary in effect at any given time is referred to herein as “Base Salary.” The Base Salary shall be payable in a manner that is consistent with the Company’s usual payroll practices for senior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2" w:name="page233"/>
    <w:bookmarkEnd w:id="232"/>
    <w:p>
      <w:pPr>
        <w:jc w:val="both"/>
        <w:ind w:firstLine="1304"/>
        <w:spacing w:after="0" w:line="261" w:lineRule="auto"/>
        <w:tabs>
          <w:tab w:leader="none" w:pos="156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During the Term, the Executive shall be eligible to receive cash incentive compensation as determined by the Board or the Compensation Committee from time to time. The Executive’s target annual incentive compensation shall be 40% of the Base Salary (the “Target Bonus”). Except as otherwise provided herein, to earn incentive compensation, the Executive must be employed by the Company on the day such incentive compensation is paid.</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Executive shall be entitled to receive prompt reimbursement for all reasonable expenses incurred by them during the Term in performing services hereunder, in accordance with the policies and procedures then in effect and established by the Company for its senior executives.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Benefits</w:t>
      </w:r>
      <w:r>
        <w:rPr>
          <w:rFonts w:ascii="Times New Roman" w:cs="Times New Roman" w:eastAsia="Times New Roman" w:hAnsi="Times New Roman"/>
          <w:sz w:val="18"/>
          <w:szCs w:val="18"/>
          <w:color w:val="auto"/>
        </w:rPr>
        <w:t>. During the Term, the Executive shall be eligible to participate in or receive benefits under the Company’s policies and employee benefit plans in effect from time to time, subject to the terms of such policies and plans and to the Company’s ability to amend, modify, replace or terminate such policies and plans, including with respect to paid time off.</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Relocation</w:t>
      </w:r>
      <w:r>
        <w:rPr>
          <w:rFonts w:ascii="Times New Roman" w:cs="Times New Roman" w:eastAsia="Times New Roman" w:hAnsi="Times New Roman"/>
          <w:sz w:val="18"/>
          <w:szCs w:val="18"/>
          <w:color w:val="auto"/>
        </w:rPr>
        <w:t>. At such time as requested by the Compensation Committee of the Board (the “Compensation Committee”) or the Board, following the ending (or easing) of the COVID-19 pandemic, Executive shall be present in the Company’s offices, currently located in Cambridge, Massachusetts (the “Corporate Office”), for three to four days per week, and to allow for such presence in the Company’s offices, the Company will provide you with a living expense allowance, in an amount in agreement with Company policy and as reviewed and agreed to by CEO (the “Living Expense Allowance”). The Living Expense Allowance shall be paid monthly in arears within the first ten (10) days of each month. No substantiation for the Living Expense Allowance will be required beyond your personal certification that you physically are located and work in the Corporate Office. The Company will comply with any tax reporting obligations and you will be responsible for any tax payment obligations. You will not be eligible to receive any other reimbursement for living expenses other than reimbursement for reasonable out-of-pocket travel and business expenses incurred in accordance with the Company’s expense reimbursement policy. Notwithstanding the foregoing, the Compensation Committee or the Board will have the right to periodically reassess this requirement, and at any time following the ending (or easing) of the COVID-19 pandemic, the Compensation Committee or the Board may require that Executive relocate his primary residence to the Greater Boston Area.</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1"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 Effect</w:t>
      </w:r>
      <w:r>
        <w:rPr>
          <w:rFonts w:ascii="Times New Roman" w:cs="Times New Roman" w:eastAsia="Times New Roman" w:hAnsi="Times New Roman"/>
          <w:sz w:val="18"/>
          <w:szCs w:val="18"/>
          <w:color w:val="auto"/>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3" w:name="page234"/>
    <w:bookmarkEnd w:id="233"/>
    <w:p>
      <w:pPr>
        <w:ind w:firstLine="656"/>
        <w:spacing w:after="0" w:line="282" w:lineRule="auto"/>
        <w:tabs>
          <w:tab w:leader="none" w:pos="841"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During the Term, the Executive’s employment hereunder may be terminated without any breach of this Agreement under the following circumstances:</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The Executive’s employment hereunder shall terminate upon his death.</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78"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xml:space="preserve">. The Company may terminate the Executive’s employment if they are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and the Americans with Disabilities Act, 42 U.S.C. §12101 </w:t>
      </w:r>
      <w:r>
        <w:rPr>
          <w:rFonts w:ascii="Times New Roman" w:cs="Times New Roman" w:eastAsia="Times New Roman" w:hAnsi="Times New Roman"/>
          <w:sz w:val="18"/>
          <w:szCs w:val="18"/>
          <w:i w:val="1"/>
          <w:iCs w:val="1"/>
          <w:color w:val="auto"/>
        </w:rPr>
        <w:t>et seq.</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Company for Cause</w:t>
      </w:r>
      <w:r>
        <w:rPr>
          <w:rFonts w:ascii="Times New Roman" w:cs="Times New Roman" w:eastAsia="Times New Roman" w:hAnsi="Times New Roman"/>
          <w:sz w:val="18"/>
          <w:szCs w:val="18"/>
          <w:color w:val="auto"/>
        </w:rPr>
        <w:t>. The Company may terminate the Executive’s employment hereunder for Cause. For purposes of this Agreement, “Cause” shall mean: (i) conduct by the Executive constituting a material act of misconduct in connection with the performance of his duties, including, without limitation, misappropriation of funds or property of the Company or any of its subsidiaries or affiliates other than the occasional, customary and de minimis use of Company property for personal purposes; (ii) the commission by the Executive of any felony or a misdemeanor involving moral turpitude, deceit, dishonesty or fraud, or any conduct by the Executive that would reasonably be expected to result in material injury or reputational harm to the Company or any of its subsidiaries and affiliates if they were retained in his position; (iii) unsatisfactory performance by the Executive of a material responsibility (other than by reason of the Executive’s physical or mental illness, incapacity or disability) as reasonably determined by the CEO, which has continued for not less than 30 days following written notice from the CEO that identifies the unsatisfactory performance; (iv) a breach by the Executive of any of the provisions contained in Section 8 of this Agreement; (v) a material violation by the Executive of the Company’s written employment policies; or (vi)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8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w:t>
      </w:r>
      <w:r>
        <w:rPr>
          <w:rFonts w:ascii="Times New Roman" w:cs="Times New Roman" w:eastAsia="Times New Roman" w:hAnsi="Times New Roman"/>
          <w:sz w:val="18"/>
          <w:szCs w:val="18"/>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without Cause.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4" w:name="page235"/>
    <w:bookmarkEnd w:id="234"/>
    <w:p>
      <w:pPr>
        <w:jc w:val="both"/>
        <w:ind w:firstLine="1304"/>
        <w:spacing w:after="0" w:line="255" w:lineRule="auto"/>
        <w:tabs>
          <w:tab w:leader="none" w:pos="1554" w:val="left"/>
        </w:tabs>
        <w:numPr>
          <w:ilvl w:val="2"/>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Executive</w:t>
      </w:r>
      <w:r>
        <w:rPr>
          <w:rFonts w:ascii="Times New Roman" w:cs="Times New Roman" w:eastAsia="Times New Roman" w:hAnsi="Times New Roman"/>
          <w:sz w:val="18"/>
          <w:szCs w:val="18"/>
          <w:color w:val="auto"/>
        </w:rPr>
        <w:t>. The Executive may terminate his employment hereunder at any time for any reason, including for Good Reason. For purposes of this offer letter, “Good Reason” shall mean that the Executive has complied with the “Good Reason Process” (hereinafter defined) following the occurrence of any of the following events: (i) reduction of the Executive’s Base Salary without the Executive’s prior consent (other than in connection with, and substantially proportionate to, reductions by the Company of the compensation of the Company’s management employees);</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84"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diminution in the Executive’s responsibilities, authority, or duties, without the Executive’s prior consent; (iii) unless the Executive and the Company mutually agree the remote work location for the Executive, relocation of the Company’s offices more than 100 miles away from the current location without the Executive’s prior consent; or (iv) any material breach by the Company or any successor thereto of this Agreement. “Good Reason Process” shall mean that (i) the Executive has reasonably determined in good faith that a “Good Reason” condition has occurred; (ii) the Executive has notified the Company in writing of the first occurrence of the Good Reason condition within 90 days of the first occurrence of such condition; (iii) the Executive has cooperated in good faith with the Company’s efforts, for a period not less than 30 days following such notice (the “Cure Period”), to remedy the condition; (iv) notwithstanding such efforts, the Good Reason condition continues to exist; and (v) the Executive terminates his employment within 30 days after the end of the Cure Period. If the Company cures the Good Reason condition during the Cure Period, Good Reason shall be deemed not to have occurred.</w:t>
      </w:r>
    </w:p>
    <w:p>
      <w:pPr>
        <w:spacing w:after="0" w:line="19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34" w:val="left"/>
        </w:tabs>
        <w:numPr>
          <w:ilvl w:val="2"/>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2"/>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“Date of Termination” shall mean: (i) if the Executive’s employment is terminated by his death, the date of his death; (ii) if the Executive’s employment is terminated on account of disability under Section 3(b) or by the Company for Cause under Section 3(c), the date on which Notice of Termination is given; (iii) if the Executive’s employment is terminated by the Company under Section 3(d), the date on which a Notice of Termination is given or the date otherwise specified by the Company in the Notice of Termination; and (iv) if the Executive’s employment is terminated by the Executive under Section 3(e), 30 days after the date on which a Notice of Termination is given.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828"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Generally</w:t>
      </w:r>
      <w:r>
        <w:rPr>
          <w:rFonts w:ascii="Times New Roman" w:cs="Times New Roman" w:eastAsia="Times New Roman" w:hAnsi="Times New Roman"/>
          <w:sz w:val="18"/>
          <w:szCs w:val="18"/>
          <w:color w:val="auto"/>
        </w:rPr>
        <w:t>. If the Executive’s employment with the Company is terminated for any reason, the Company shall pay or provide to the Executive (or to his authorized representative or estate) (i) any Base Salary earned through the Date of Termination, unpaid expense reimbursements (subject to, and in accordance with, Section 2(c) of this Agreement) on or before the time required by law but in no event more than 30 days after the Executive’s Date of Termination; and (ii) any vested benefits the Executive may have under any employee benefit plan of the Company through the Date of Termination, which vested benefits shall be paid and/or provided in accordance with the terms of such employee benefit plans (collectively, the “Accrued Benefit”).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5" w:name="page236"/>
    <w:bookmarkEnd w:id="235"/>
    <w:p>
      <w:pPr>
        <w:jc w:val="both"/>
        <w:ind w:firstLine="656"/>
        <w:spacing w:after="0" w:line="255" w:lineRule="auto"/>
        <w:tabs>
          <w:tab w:leader="none" w:pos="828"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without Cause or the Executive for Good Reason</w:t>
      </w:r>
      <w:r>
        <w:rPr>
          <w:rFonts w:ascii="Times New Roman" w:cs="Times New Roman" w:eastAsia="Times New Roman" w:hAnsi="Times New Roman"/>
          <w:sz w:val="18"/>
          <w:szCs w:val="18"/>
          <w:color w:val="auto"/>
        </w:rPr>
        <w:t>. During the Term, if the Executive’s employment is terminated by the Company without Cause or by the Executive for Good Reason, then the Company shall pay the Executive his Accrued Benefit. In addition, subject to the Executive (i) signing a separation agreement and release in a form and manner satisfactory to the Company, which shall include, without limitation, a general release of claims in favor of the Company and related persons and entities, a reaffirmation of the Executive’s post-employment obligations, and in the Company’s sole discretion, a one year noncompetition agreement, and shall provide that, if the Executive breaches any of the postemployment obligations, all payment of the Severance Amount shall immediately cease (the “Separation Agreement and Release”), and (ii) the Separation Agreement and Release becoming irrevocable, all within 60 days after the Date of Termination (or such period as set forth in the Separation Agreement and Release):</w:t>
      </w:r>
    </w:p>
    <w:p>
      <w:pPr>
        <w:spacing w:after="0" w:line="188"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18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the Executive an amount equal to the sum of (i) nine (9) months of the Executive’s Base Salary and (ii) pro rata portion of the Target Bonus earned by the Executive for the current calendar year measured from the first day of such calendar year through the Date of Termination (the “Severance Amount”), provided in the event the Executive is entitled to any payments pursuant to Section 8(h)(iii) below, the Severance Amount received in any calendar year will be reduced by the amount the Executive is paid in the same such calendar year pursuant to the Section 8(h)(iii) below, (the “Restrictive Covenants Agreement Setoff”); and</w:t>
      </w:r>
    </w:p>
    <w:p>
      <w:pPr>
        <w:spacing w:after="0" w:line="183"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227"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Executive’s proper election to receive benefits under the Consolidated Omnibus Budget Reconciliation Act of 1985, as amended (“COBRA”), the Company shall all amounts necessary to provide health insurance to the Executive if the Executive had remained employed by the Company until the earliest of (A) the nine (9) month anniversary of the Date of Termination; (B) the Executive’s eligibility for group medical plan benefits under any other employer’s group medical plan; or (C) the cessation of the Executive’s continuation rights under COBRA; provided, however, if the Company determines that it cannot pay such amounts without potentially violating applicable law (including, without limitation, Section 2716 of the Public Health Service Act), then the Company will convert such payments to payroll payments directly to the Executive for the time period specified above. Such payments shall be subject to tax- related deductions and withholdings and paid on the Company’s regular payroll dates. For the avoidance of doubt, the taxable payments described above may be used for any purpose, including, but not limited to, continuation coverage under COBRA.</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amounts payable under this Section 5(i) shall be paid out in substantially equal installments in accordance with the Company’s payroll practice over nine (9)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6" w:name="page237"/>
    <w:bookmarkEnd w:id="236"/>
    <w:p>
      <w:pPr>
        <w:jc w:val="both"/>
        <w:ind w:firstLine="656"/>
        <w:spacing w:after="0" w:line="255" w:lineRule="auto"/>
        <w:tabs>
          <w:tab w:leader="none" w:pos="841"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 Payment</w:t>
      </w:r>
      <w:r>
        <w:rPr>
          <w:rFonts w:ascii="Times New Roman" w:cs="Times New Roman" w:eastAsia="Times New Roman" w:hAnsi="Times New Roman"/>
          <w:sz w:val="18"/>
          <w:szCs w:val="18"/>
          <w:color w:val="auto"/>
        </w:rPr>
        <w:t>. The provisions of this Section 6 set forth certain terms of an agreement reached between the Executive and the Company regarding the Executive’s rights and obligations upon the occurrence of a Change in Control of the Company. These provisions are intended to assure and encourage in advance the Executive’s continued attention and dedication to his assigned duties and his objectivity during the pendency and after the occurrence of any such event. These provisions shall apply in lieu of, and expressly supersede, the provisions of Section 5 regarding severance pay and benefits upon a termination of employment, if such termination of employment occurs within 12 months after the occurrence of the first event constituting a Change in Control (the “Change in Control Period”). These provisions shall terminate and be of no further force or effect beginning after the Change in Control Period has ended.</w:t>
      </w:r>
    </w:p>
    <w:p>
      <w:pPr>
        <w:spacing w:after="0" w:line="188"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67"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During the Term, if during the Change in Control Period, the Executive’s employment is terminated by the Company without Cause or by the Executive for Good Reason, then, subject to the signing of the Separation Agreement and Release by the Executive and the Separation Agreement and Release becoming irrevocable, the time frame set forth in the Separation Agreement and Release but in no event more than</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days after the Date of Termination:</w:t>
      </w:r>
    </w:p>
    <w:p>
      <w:pPr>
        <w:spacing w:after="0" w:line="206"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196" w:val="left"/>
        </w:tabs>
        <w:numPr>
          <w:ilvl w:val="2"/>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the Executive a lump sum in cash in an amount equal the sum of one times the sum of (A) the Executive’s then current Base Salary (or the Executive’s Base Salary in effect immediately prior to the Change in Control, if higher) plus (B) the Executive’s Target Bonus for the then-current year (the “Change in Control Payment”), provided the Change in Control Payment shall be reduced by the amount of the Restrictive Covenants Agreement Setoff, if applicable, paid or to be paid in the same calendar year; and</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223" w:val="left"/>
        </w:tabs>
        <w:numPr>
          <w:ilvl w:val="2"/>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any applicable option agreement or other stock-based award agreement, all stock options and other stock-based awards subject to vesting held by the Executive (the “Equity Awards”) shall immediately accelerate and become fully exercisable or nonforfeitable as of the later of (i) the Date of Termination or (ii) the Effective Date of the Separation Agreement and Release (the “Accelerated Vesting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termination or forfeiture of the unvested portion of such Equity Awards that would otherwise occur on the Date of Termination in the absence of this Agreement will be delayed until the Effective Date of the Separation Agreement and Release and will only occur if the vesting pursuant to this subsection does not occur due to the absence of the Separation Agreement and Release becoming fully effective within the time period set forth therein. Notwithstanding the foregoing, no additional vesting of the Equity Awards shall occur during the period between the Executive’s Date of Termination and the Accelerated Vesting Date; and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7" w:name="page238"/>
    <w:bookmarkEnd w:id="237"/>
    <w:p>
      <w:pPr>
        <w:jc w:val="both"/>
        <w:ind w:left="660" w:firstLine="1292"/>
        <w:spacing w:after="0" w:line="254" w:lineRule="auto"/>
        <w:tabs>
          <w:tab w:leader="none" w:pos="2279"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Executive’s proper election to receive benefits under COBRA, the Company shall pay all amounts necessary to provide health insurance to the Executive if the Executive had remained employed by the Company until the earliest of (A) the twelve (12) month anniversary of the Date of Termination; (B) the Executive’s eligibility for group medical plan benefits under any other employer’s group medical plan; or (C) the cessation of the Executive’s continuation rights under COBRA; provided, however, if the Company determines that it cannot pay such amounts without potentially violating applicable law (including, without limitation, Section 2716 of the Public Health Service Act), then the Company will convert such payments to payroll payments directly to the Executive for the time period specified above. Such payments shall be subject to tax-related deductions and withholdings and paid on the Company’s regular payroll dates. For the avoidance of doubt, the taxable payments described above may be used for any purpose, including, but not limited to, continuation coverage under COBRA.</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amounts payable under this Section 6(a)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76" w:lineRule="exact"/>
        <w:rPr>
          <w:sz w:val="20"/>
          <w:szCs w:val="20"/>
          <w:color w:val="auto"/>
        </w:rPr>
      </w:pPr>
    </w:p>
    <w:p>
      <w:pPr>
        <w:ind w:left="1560" w:hanging="256"/>
        <w:spacing w:after="0"/>
        <w:tabs>
          <w:tab w:leader="none" w:pos="156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Limitation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3" w:lineRule="auto"/>
        <w:tabs>
          <w:tab w:leader="none" w:pos="2172"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87"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237"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6(b),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8" w:name="page239"/>
    <w:bookmarkEnd w:id="238"/>
    <w:p>
      <w:pPr>
        <w:jc w:val="both"/>
        <w:ind w:left="660" w:firstLine="1292"/>
        <w:spacing w:after="0" w:line="258" w:lineRule="auto"/>
        <w:tabs>
          <w:tab w:leader="none" w:pos="2278"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as to whether a reduction in the Aggregate Payments shall be made pursuant to Section 6(b)(i) shall be made by a nationally recognized accounting firm selected by the Company (the “Accounting Firm”),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183"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Section 6, the following terms shall have the following meanings: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“Change in Control” shall have the meaning of “Sale Event” as defined in the Company’s 2020 Stock Option and Incentive Plan, as amended, or any successor plan.</w:t>
      </w:r>
    </w:p>
    <w:p>
      <w:pPr>
        <w:spacing w:after="0" w:line="162" w:lineRule="exact"/>
        <w:rPr>
          <w:sz w:val="20"/>
          <w:szCs w:val="20"/>
          <w:color w:val="auto"/>
        </w:rPr>
      </w:pPr>
    </w:p>
    <w:p>
      <w:pPr>
        <w:ind w:left="840" w:hanging="184"/>
        <w:spacing w:after="0"/>
        <w:tabs>
          <w:tab w:leader="none" w:pos="84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7" w:val="left"/>
        </w:tabs>
        <w:numPr>
          <w:ilvl w:val="2"/>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w:t>
      </w:r>
    </w:p>
    <w:p>
      <w:pPr>
        <w:jc w:val="both"/>
        <w:ind w:firstLine="8"/>
        <w:spacing w:after="0" w:line="252" w:lineRule="auto"/>
        <w:tabs>
          <w:tab w:leader="none" w:pos="237"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then to the extent any payment or benefit that the Executive becomes entitled to under this Agreement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his original schedule.</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7" w:val="left"/>
        </w:tabs>
        <w:numPr>
          <w:ilvl w:val="2"/>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9" w:name="page240"/>
    <w:bookmarkEnd w:id="239"/>
    <w:p>
      <w:pPr>
        <w:jc w:val="both"/>
        <w:ind w:firstLine="1304"/>
        <w:spacing w:after="0" w:line="261" w:lineRule="auto"/>
        <w:tabs>
          <w:tab w:leader="none" w:pos="1568"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7"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5"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7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Assignment, Nonsolicitation and Noncompetition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7"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Proprietary Information</w:t>
      </w:r>
      <w:r>
        <w:rPr>
          <w:rFonts w:ascii="Times New Roman" w:cs="Times New Roman" w:eastAsia="Times New Roman" w:hAnsi="Times New Roman"/>
          <w:sz w:val="18"/>
          <w:szCs w:val="18"/>
          <w:color w:val="auto"/>
        </w:rPr>
        <w:t>. Executive agrees that all information, whether or not in writing, concerning the Company’s business, technology, business relationships or financial affairs that the Company has not released to the general public (collectively, “</w:t>
      </w:r>
      <w:r>
        <w:rPr>
          <w:rFonts w:ascii="Times New Roman" w:cs="Times New Roman" w:eastAsia="Times New Roman" w:hAnsi="Times New Roman"/>
          <w:sz w:val="18"/>
          <w:szCs w:val="18"/>
          <w:u w:val="single" w:color="auto"/>
          <w:color w:val="auto"/>
        </w:rPr>
        <w:t>Proprietary Information</w:t>
      </w:r>
      <w:r>
        <w:rPr>
          <w:rFonts w:ascii="Times New Roman" w:cs="Times New Roman" w:eastAsia="Times New Roman" w:hAnsi="Times New Roman"/>
          <w:sz w:val="18"/>
          <w:szCs w:val="18"/>
          <w:color w:val="auto"/>
        </w:rPr>
        <w:t xml:space="preserve">”) and all tangible embodiments thereof are and will be the exclusive property of the Company. By way of illustration, Proprietary Information may include information or material that has not been made generally available to the public, such as: (a) </w:t>
      </w:r>
      <w:r>
        <w:rPr>
          <w:rFonts w:ascii="Times New Roman" w:cs="Times New Roman" w:eastAsia="Times New Roman" w:hAnsi="Times New Roman"/>
          <w:sz w:val="18"/>
          <w:szCs w:val="18"/>
          <w:i w:val="1"/>
          <w:iCs w:val="1"/>
          <w:color w:val="auto"/>
        </w:rPr>
        <w:t>corporate information</w:t>
      </w:r>
      <w:r>
        <w:rPr>
          <w:rFonts w:ascii="Times New Roman" w:cs="Times New Roman" w:eastAsia="Times New Roman" w:hAnsi="Times New Roman"/>
          <w:sz w:val="18"/>
          <w:szCs w:val="18"/>
          <w:color w:val="auto"/>
        </w:rPr>
        <w:t xml:space="preserve">, including plans, strategies, methods, policies, resolutions, negotiations or litigation; (b) </w:t>
      </w:r>
      <w:r>
        <w:rPr>
          <w:rFonts w:ascii="Times New Roman" w:cs="Times New Roman" w:eastAsia="Times New Roman" w:hAnsi="Times New Roman"/>
          <w:sz w:val="18"/>
          <w:szCs w:val="18"/>
          <w:i w:val="1"/>
          <w:iCs w:val="1"/>
          <w:color w:val="auto"/>
        </w:rPr>
        <w:t>marketing information</w:t>
      </w:r>
      <w:r>
        <w:rPr>
          <w:rFonts w:ascii="Times New Roman" w:cs="Times New Roman" w:eastAsia="Times New Roman" w:hAnsi="Times New Roman"/>
          <w:sz w:val="18"/>
          <w:szCs w:val="18"/>
          <w:color w:val="auto"/>
        </w:rPr>
        <w:t xml:space="preserve">, including strategies, methods, client or business partner identities or other information about customers or clients, business partners, prospect identities or other information about prospects, or market analyses or projections; (c) </w:t>
      </w:r>
      <w:r>
        <w:rPr>
          <w:rFonts w:ascii="Times New Roman" w:cs="Times New Roman" w:eastAsia="Times New Roman" w:hAnsi="Times New Roman"/>
          <w:sz w:val="18"/>
          <w:szCs w:val="18"/>
          <w:i w:val="1"/>
          <w:iCs w:val="1"/>
          <w:color w:val="auto"/>
        </w:rPr>
        <w:t>financial information</w:t>
      </w:r>
      <w:r>
        <w:rPr>
          <w:rFonts w:ascii="Times New Roman" w:cs="Times New Roman" w:eastAsia="Times New Roman" w:hAnsi="Times New Roman"/>
          <w:sz w:val="18"/>
          <w:szCs w:val="18"/>
          <w:color w:val="auto"/>
        </w:rPr>
        <w:t>, including cost and performance data, debt arrangements, equity structure, investors and holdings, purchasing and sales data and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lists; (d) </w:t>
      </w:r>
      <w:r>
        <w:rPr>
          <w:rFonts w:ascii="Times New Roman" w:cs="Times New Roman" w:eastAsia="Times New Roman" w:hAnsi="Times New Roman"/>
          <w:sz w:val="18"/>
          <w:szCs w:val="18"/>
          <w:i w:val="1"/>
          <w:iCs w:val="1"/>
          <w:color w:val="auto"/>
        </w:rPr>
        <w:t>operational and scientific information</w:t>
      </w:r>
      <w:r>
        <w:rPr>
          <w:rFonts w:ascii="Times New Roman" w:cs="Times New Roman" w:eastAsia="Times New Roman" w:hAnsi="Times New Roman"/>
          <w:sz w:val="18"/>
          <w:szCs w:val="18"/>
          <w:color w:val="auto"/>
        </w:rPr>
        <w:t xml:space="preserve">, including plans, specifications, manuals, forms, templates, software, pre-clinical and clinical testing data and strategies, research and development strategies, designs, methods, procedures, formulae, data, reports, discoveries, inventions, improvements, concepts, ideas, and other Developments (as defined below), know-how and trade secrets; and (e) </w:t>
      </w:r>
      <w:r>
        <w:rPr>
          <w:rFonts w:ascii="Times New Roman" w:cs="Times New Roman" w:eastAsia="Times New Roman" w:hAnsi="Times New Roman"/>
          <w:sz w:val="18"/>
          <w:szCs w:val="18"/>
          <w:i w:val="1"/>
          <w:iCs w:val="1"/>
          <w:color w:val="auto"/>
        </w:rPr>
        <w:t>personnel information</w:t>
      </w:r>
      <w:r>
        <w:rPr>
          <w:rFonts w:ascii="Times New Roman" w:cs="Times New Roman" w:eastAsia="Times New Roman" w:hAnsi="Times New Roman"/>
          <w:sz w:val="18"/>
          <w:szCs w:val="18"/>
          <w:color w:val="auto"/>
        </w:rPr>
        <w:t>, including personnel lists, reporting or organizational structure, resumes, personnel data, performance evaluations and termination arrangements or documents. Proprietary Information also includes information received in confidence by the Company from its customers, suppliers, business partners or other third parties.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0" w:name="page241"/>
    <w:bookmarkEnd w:id="240"/>
    <w:p>
      <w:pPr>
        <w:jc w:val="both"/>
        <w:ind w:firstLine="1304"/>
        <w:spacing w:after="0" w:line="256" w:lineRule="auto"/>
        <w:tabs>
          <w:tab w:leader="none" w:pos="1551"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Company’s Rights</w:t>
      </w:r>
      <w:r>
        <w:rPr>
          <w:rFonts w:ascii="Times New Roman" w:cs="Times New Roman" w:eastAsia="Times New Roman" w:hAnsi="Times New Roman"/>
          <w:sz w:val="18"/>
          <w:szCs w:val="18"/>
          <w:color w:val="auto"/>
        </w:rPr>
        <w:t>. Executive will not, at any time, without the Company’s prior written permission, either during or after his employment, disclose any Proprietary Information to anyone outside of the Company, or use or permit to be used any Proprietary Information for any purpose other than the performance of Executive’s duties as an employee of the Company. Executive will cooperate with the Company and use his best efforts to prevent the unauthorized disclosure of all Proprietary Information. Executive will deliver to the Company all copies and other tangible embodiments of Proprietary Information in his possession or control upon the earlier of a request by the Company or termination of Executive’s employment.</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4"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Others</w:t>
      </w:r>
      <w:r>
        <w:rPr>
          <w:rFonts w:ascii="Times New Roman" w:cs="Times New Roman" w:eastAsia="Times New Roman" w:hAnsi="Times New Roman"/>
          <w:sz w:val="18"/>
          <w:szCs w:val="18"/>
          <w:color w:val="auto"/>
        </w:rPr>
        <w:t>. Executive understands that the Company is now and may hereafter be subject to nondisclosure or confidentiality agreements with third persons that require the Company to protect or refrain from use or disclosure of proprietary information. Executive agrees to be bound by the terms of such agreements in the event Executive has access to such proprietary information. Executive understands that the Company strictly prohibits Executive from using or disclosing confidential or proprietary information belonging to any other person or entity (including any employer or former employer), in connection with Executive’s employment. In addition, Executive agrees not to bring any confidential information belonging to any other person or entity onto Company premises or into Company workspaces.</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 to Company; Avoidance of Conflict of Interest</w:t>
      </w:r>
      <w:r>
        <w:rPr>
          <w:rFonts w:ascii="Times New Roman" w:cs="Times New Roman" w:eastAsia="Times New Roman" w:hAnsi="Times New Roman"/>
          <w:sz w:val="18"/>
          <w:szCs w:val="18"/>
          <w:color w:val="auto"/>
        </w:rPr>
        <w:t>. While an employee of the Company, Executive will devote his full-time efforts to the Company’s business and Executive will not, directly or indirectly, engage in any other business activity, except as expressly authorized in writing and in advance by a duly authorized representative of the Company. Executive will advise an authorized officer of the Company or his designee at such time as any activity of either the Company or another business presents Executive with a conflict of interest or the appearance of a conflict of interest as an employee of the Company. Executive will take whatever action is requested of them by the Company to resolve any conflict or appearance of conflict which it finds to exist.</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Developments</w:t>
      </w:r>
      <w:r>
        <w:rPr>
          <w:rFonts w:ascii="Times New Roman" w:cs="Times New Roman" w:eastAsia="Times New Roman" w:hAnsi="Times New Roman"/>
          <w:sz w:val="18"/>
          <w:szCs w:val="18"/>
          <w:color w:val="auto"/>
        </w:rPr>
        <w:t>. Executive will make full and prompt disclosure to the Company of all inventions, discoveries, designs, developments, methods, modifications, improvements, processes, algorithms, data, databases, computer programs, research, formulae, techniques, trade secrets, graphics or images, and audio or visual works and other works of authorship, and other intellectual property, including works-in-process (collectively “</w:t>
      </w:r>
      <w:r>
        <w:rPr>
          <w:rFonts w:ascii="Times New Roman" w:cs="Times New Roman" w:eastAsia="Times New Roman" w:hAnsi="Times New Roman"/>
          <w:sz w:val="18"/>
          <w:szCs w:val="18"/>
          <w:u w:val="single" w:color="auto"/>
          <w:color w:val="auto"/>
        </w:rPr>
        <w:t>Developments</w:t>
      </w:r>
      <w:r>
        <w:rPr>
          <w:rFonts w:ascii="Times New Roman" w:cs="Times New Roman" w:eastAsia="Times New Roman" w:hAnsi="Times New Roman"/>
          <w:sz w:val="18"/>
          <w:szCs w:val="18"/>
          <w:color w:val="auto"/>
        </w:rPr>
        <w:t>”) whether or not patentable or copyrightable, that are created, made, conceived or reduced to practice by Executive (alone or jointly with others) or under my direction during the period of his employment. Executive acknowledges that all work performed by them is on a “work for hire” basis, and Executive hereby does assign and transfer and, to the extent any such assignment cannot be made at present, will assign and transfer, to the Company and its successors and assigns all his right, title and interest in and to all Developments that (a) relate to the business of the Company or any customer of, supplier to or business partner of the Company or any of the products or services being researched, developed, manufactured or sold by the Company or which may be used with such products or services; or (b) result from tasks assigned to them by the Company; or (c) result from the use of premises or personal property (whether tangible or intangible) owned, leased or contracted for by the Company (“</w:t>
      </w:r>
      <w:r>
        <w:rPr>
          <w:rFonts w:ascii="Times New Roman" w:cs="Times New Roman" w:eastAsia="Times New Roman" w:hAnsi="Times New Roman"/>
          <w:sz w:val="18"/>
          <w:szCs w:val="18"/>
          <w:u w:val="single" w:color="auto"/>
          <w:color w:val="auto"/>
        </w:rPr>
        <w:t>Company-Related Developments</w:t>
      </w:r>
      <w:r>
        <w:rPr>
          <w:rFonts w:ascii="Times New Roman" w:cs="Times New Roman" w:eastAsia="Times New Roman" w:hAnsi="Times New Roman"/>
          <w:sz w:val="18"/>
          <w:szCs w:val="18"/>
          <w:color w:val="auto"/>
        </w:rPr>
        <w:t xml:space="preserve">”), and all related patents, patent applications, trademarks and trademark applications, copyrights and copyright applications, </w:t>
      </w:r>
      <w:r>
        <w:rPr>
          <w:rFonts w:ascii="Times New Roman" w:cs="Times New Roman" w:eastAsia="Times New Roman" w:hAnsi="Times New Roman"/>
          <w:sz w:val="18"/>
          <w:szCs w:val="18"/>
          <w:i w:val="1"/>
          <w:iCs w:val="1"/>
          <w:color w:val="auto"/>
        </w:rPr>
        <w:t>sui generis</w:t>
      </w:r>
      <w:r>
        <w:rPr>
          <w:rFonts w:ascii="Times New Roman" w:cs="Times New Roman" w:eastAsia="Times New Roman" w:hAnsi="Times New Roman"/>
          <w:sz w:val="18"/>
          <w:szCs w:val="18"/>
          <w:color w:val="auto"/>
        </w:rPr>
        <w:t xml:space="preserve"> database rights and other intellectual property rights in all countries and territories worldwide and under any international conventions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1" w:name="page242"/>
    <w:bookmarkEnd w:id="241"/>
    <w:p>
      <w:pPr>
        <w:jc w:val="both"/>
        <w:spacing w:after="0" w:line="253" w:lineRule="auto"/>
        <w:rPr>
          <w:sz w:val="20"/>
          <w:szCs w:val="20"/>
          <w:color w:val="auto"/>
        </w:rPr>
      </w:pPr>
      <w:r>
        <w:rPr>
          <w:rFonts w:ascii="Times New Roman" w:cs="Times New Roman" w:eastAsia="Times New Roman" w:hAnsi="Times New Roman"/>
          <w:sz w:val="18"/>
          <w:szCs w:val="18"/>
          <w:color w:val="auto"/>
        </w:rPr>
        <w:t>To preclude any possible uncertainty, if there are any Developments that Executive has, alone or jointly with others, conceived, developed or reduced to practice prior to the commencement of his employment with the Company that Executive considers to be his property or the property of third parties and that Executive wishes to have excluded from the scope of this Agreement (“</w:t>
      </w:r>
      <w:r>
        <w:rPr>
          <w:rFonts w:ascii="Times New Roman" w:cs="Times New Roman" w:eastAsia="Times New Roman" w:hAnsi="Times New Roman"/>
          <w:sz w:val="18"/>
          <w:szCs w:val="18"/>
          <w:u w:val="single" w:color="auto"/>
          <w:color w:val="auto"/>
        </w:rPr>
        <w:t>Prior Inventions</w:t>
      </w:r>
      <w:r>
        <w:rPr>
          <w:rFonts w:ascii="Times New Roman" w:cs="Times New Roman" w:eastAsia="Times New Roman" w:hAnsi="Times New Roman"/>
          <w:sz w:val="18"/>
          <w:szCs w:val="18"/>
          <w:color w:val="auto"/>
        </w:rPr>
        <w:t xml:space="preserve">”), Executive has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 complete list of those Prior Inventions. If disclosure of any such Prior Invention would cause them to violate any prior confidentiality agreement, Executive understands that Executive is not to list such Prior Inventions in Exhibit A but is only to disclose a cursory name for each such invention, a listing of the party(ies) to whom it belongs and the fact that full disclosure as to such inventions has not been made for that reason. If there are any patents or patent applications in which Executive is named as an inventor, other than those that have been assigned to the Company (“</w:t>
      </w:r>
      <w:r>
        <w:rPr>
          <w:rFonts w:ascii="Times New Roman" w:cs="Times New Roman" w:eastAsia="Times New Roman" w:hAnsi="Times New Roman"/>
          <w:sz w:val="18"/>
          <w:szCs w:val="18"/>
          <w:u w:val="single" w:color="auto"/>
          <w:color w:val="auto"/>
        </w:rPr>
        <w:t>Other Patent Rights</w:t>
      </w:r>
      <w:r>
        <w:rPr>
          <w:rFonts w:ascii="Times New Roman" w:cs="Times New Roman" w:eastAsia="Times New Roman" w:hAnsi="Times New Roman"/>
          <w:sz w:val="18"/>
          <w:szCs w:val="18"/>
          <w:color w:val="auto"/>
        </w:rPr>
        <w:t>”), Executive has also listed those Other Patent Rights on Exhibit A. If no such disclosure is attached, Executive represents that there are no Prior Inventions or Other Patent Rights. If, in the course of his employment with the Company, Executive incorporates a Prior Invention into a Company product, process or machine, research or development program, or other work done for the Company, Executive hereby grants to the Company a nonexclusive, royalty-free, fully paid-up, irrevocable, worldwide license (with the full right to sublicense through multiple tiers) to make, have made, modify, use, sell, offer for sale and import such Prior Invention.</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Notwithstanding the foregoing, Executive will not incorporate, or permit to be incorporated, Prior Inventions in any Company-Related Development without the Company’s prior written consent.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Agreement does not obligate Executive to assign to the Company any Development that, in the sole judgment of the Company, reasonably exercised, is developed entirely on Executive’s own time and does not relate to the business efforts or research and development efforts in which, during the period of his employment, the Company actually is engaged or reasonably would be engaged, and does not result from the use of premises or equipment owned or leased by the Company. However, Executive will also promptly disclose to the Company any such Developments for the purpose of determining whether they qualify for such exclusion. Executive understands that to the extent this Agreement is required to be construed in accordance with the laws of any state which precludes a requirement in an employee agreement to assign certain classes of inventions made by an employee, this Section 8(e) will be interpreted not to apply to any invention that a court rules and/or the Company agrees falls within such classes. Executive also hereby waives all claims to any moral rights or other special rights that Executive may have or accrue in any Company-Related Developments.</w:t>
      </w:r>
    </w:p>
    <w:p>
      <w:pPr>
        <w:spacing w:after="0" w:line="192" w:lineRule="exact"/>
        <w:rPr>
          <w:sz w:val="20"/>
          <w:szCs w:val="20"/>
          <w:color w:val="auto"/>
        </w:rPr>
      </w:pPr>
    </w:p>
    <w:p>
      <w:pPr>
        <w:jc w:val="both"/>
        <w:ind w:firstLine="1304"/>
        <w:spacing w:after="0" w:line="266" w:lineRule="auto"/>
        <w:tabs>
          <w:tab w:leader="none" w:pos="1534"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Documents and Other Materials</w:t>
      </w:r>
      <w:r>
        <w:rPr>
          <w:rFonts w:ascii="Times New Roman" w:cs="Times New Roman" w:eastAsia="Times New Roman" w:hAnsi="Times New Roman"/>
          <w:sz w:val="18"/>
          <w:szCs w:val="18"/>
          <w:color w:val="auto"/>
        </w:rPr>
        <w:t>. Executive will keep and maintain adequate and current records of all Proprietary Information and Company-Related Developments developed by them during his employment, which records will be available to and remain the sole property of the Company at all times.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2" w:name="page243"/>
    <w:bookmarkEnd w:id="242"/>
    <w:p>
      <w:pPr>
        <w:jc w:val="both"/>
        <w:spacing w:after="0" w:line="253" w:lineRule="auto"/>
        <w:rPr>
          <w:sz w:val="20"/>
          <w:szCs w:val="20"/>
          <w:color w:val="auto"/>
        </w:rPr>
      </w:pPr>
      <w:r>
        <w:rPr>
          <w:rFonts w:ascii="Times New Roman" w:cs="Times New Roman" w:eastAsia="Times New Roman" w:hAnsi="Times New Roman"/>
          <w:sz w:val="18"/>
          <w:szCs w:val="18"/>
          <w:color w:val="auto"/>
        </w:rPr>
        <w:t>All files, letters, notes, memoranda, reports, records, data, sketches, drawings, notebooks, layouts, charts, quotations and proposals, specification sheets, blueprints, models, prototypes, or other written, photographic or other tangible material containing Proprietary Information, whether created by them or others, which come into his custody or possession, are the exclusive property of the Company to be used by them only in the performance of his duties for the Company. Any property situated on the Company’s premises and owned by the Company, including without limitation computers, disks and other storage media, filing cabinets or other work areas, is subject to inspection by the Company at any time with or without notice. In the event of the termination of his employment for any reason, Executive will deliver to the Company all Company property and equipment in his possession, custody or control, including all files, letters, notes, memoranda, reports, records, data, sketches, drawings, notebooks, layouts, charts, quotations and proposals, specification sheets, blueprints, models, prototypes, or other written, photographic or other tangible material containing Proprietary Information, and other materials of any nature pertaining to the Proprietary Information of the Company and to my work, and will not take or keep in his possession any of the foregoing or any copies.</w:t>
      </w:r>
    </w:p>
    <w:p>
      <w:pPr>
        <w:spacing w:after="0" w:line="194" w:lineRule="exact"/>
        <w:rPr>
          <w:sz w:val="20"/>
          <w:szCs w:val="20"/>
          <w:color w:val="auto"/>
        </w:rPr>
      </w:pPr>
    </w:p>
    <w:p>
      <w:pPr>
        <w:jc w:val="both"/>
        <w:ind w:firstLine="1304"/>
        <w:spacing w:after="0" w:line="254" w:lineRule="auto"/>
        <w:tabs>
          <w:tab w:leader="none" w:pos="1551"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 of Intellectual Property Rights</w:t>
      </w:r>
      <w:r>
        <w:rPr>
          <w:rFonts w:ascii="Times New Roman" w:cs="Times New Roman" w:eastAsia="Times New Roman" w:hAnsi="Times New Roman"/>
          <w:sz w:val="18"/>
          <w:szCs w:val="18"/>
          <w:color w:val="auto"/>
        </w:rPr>
        <w:t>. Executive will cooperate fully with the Company, both during and after his employment with the Company, with respect to the procurement, maintenance and enforcement of Intellectual Property Rights in Company- Related Developments. Executive will sign, both during and after his employment, all papers, including without limitation copyright applications, patent applications, declarations, oaths, assignments of priority rights, and powers of attorney, which the Company may deem necessary or desirable in order to protect its rights and interests in any Company-Related Development or Intellectual Property Rights therein. If the Company is unable, after reasonable effort, to secure his signature on any such papers, Executive hereby irrevocably designates and appoints each officer of the Company as his agent and attorney-in-fact to execute any such papers on his behalf, and to take any and all actions as the Company may deem necessary or desirable in order to protect its rights and interests in any Company-Related Development, including any Intellectual Property Rights therein.</w:t>
      </w:r>
    </w:p>
    <w:p>
      <w:pPr>
        <w:spacing w:after="0" w:line="19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and Noncompetition</w:t>
      </w:r>
      <w:r>
        <w:rPr>
          <w:rFonts w:ascii="Times New Roman" w:cs="Times New Roman" w:eastAsia="Times New Roman" w:hAnsi="Times New Roman"/>
          <w:sz w:val="18"/>
          <w:szCs w:val="18"/>
          <w:color w:val="auto"/>
        </w:rPr>
        <w:t>. In order to protect the Company’s Proprietary Information and goodwill, during his employment</w:t>
      </w:r>
    </w:p>
    <w:p>
      <w:pPr>
        <w:spacing w:after="0" w:line="27"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for a period of: (i) one (1) year following the Date of Termination, or (ii) two (2) years following the Date of Termination if Executive breaches his fiduciary duty to the Company or if Executive has unlawfully taken, physically or electronically, property belonging to the Company (in either case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186"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not, directly or indirectly, in any manner, other than for the benefit of the Company, solicit or transact any business with any of the customers or customer prospects of the Company or any of its suppliers. For purposes of this Agreement, (x) business shall include any business that researches, develops, manufactures, markets, sells or distributes a product or service that competes with a product or service of the Company, (y) customers shall include then current customers to which the Company provided products or services during the 12 months prior to the Date of Termination (the “</w:t>
      </w:r>
      <w:r>
        <w:rPr>
          <w:rFonts w:ascii="Times New Roman" w:cs="Times New Roman" w:eastAsia="Times New Roman" w:hAnsi="Times New Roman"/>
          <w:sz w:val="18"/>
          <w:szCs w:val="18"/>
          <w:u w:val="single" w:color="auto"/>
          <w:color w:val="auto"/>
        </w:rPr>
        <w:t>One Year Lookback</w:t>
      </w:r>
      <w:r>
        <w:rPr>
          <w:rFonts w:ascii="Times New Roman" w:cs="Times New Roman" w:eastAsia="Times New Roman" w:hAnsi="Times New Roman"/>
          <w:sz w:val="18"/>
          <w:szCs w:val="18"/>
          <w:color w:val="auto"/>
        </w:rPr>
        <w:t>”) and customer prospects shall include customer prospects that the Company solicited during the One Year Lookback and that Executive had significant contact with or learned confidential information about in the course of his employment, and (z) suppliers shall include then current suppliers and suppliers that provided services to or in connection with the Company during the One Year Lookback.</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3" w:name="page244"/>
    <w:bookmarkEnd w:id="243"/>
    <w:p>
      <w:pPr>
        <w:jc w:val="both"/>
        <w:ind w:left="660" w:firstLine="1292"/>
        <w:spacing w:after="0" w:line="266" w:lineRule="auto"/>
        <w:tabs>
          <w:tab w:leader="none" w:pos="2223"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not, directly or indirectly, in any manner, solicit, entice or attempt to persuade any employee or consultant of the Company to leave the Company for any reason or otherwise participate in or facilitate the hire, directly or through another entity, of any person who is then employed or engaged by the Company.</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51" w:lineRule="auto"/>
        <w:tabs>
          <w:tab w:leader="none" w:pos="2282"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(y) the Company terminates Executive’s employment without Cause (as defined below) or Executive has been laid off; or (z) the Company waives the restrictions upon post-employment activities set forth in this Section 8(h)(iii), then, the Company shall make garden leave payments to Executive for the postemployment portion of the Restricted Period (but for not more than 12 months following the end of Executive’s employment) at the rate of 50% of the highest annualized base salary paid to Executive by the Company within the two-year period preceding the last day of Executive’s employment (“</w:t>
      </w:r>
      <w:r>
        <w:rPr>
          <w:rFonts w:ascii="Times New Roman" w:cs="Times New Roman" w:eastAsia="Times New Roman" w:hAnsi="Times New Roman"/>
          <w:sz w:val="18"/>
          <w:szCs w:val="18"/>
          <w:u w:val="single" w:color="auto"/>
          <w:color w:val="auto"/>
        </w:rPr>
        <w:t>Garden Leave Pay</w:t>
      </w:r>
      <w:r>
        <w:rPr>
          <w:rFonts w:ascii="Times New Roman" w:cs="Times New Roman" w:eastAsia="Times New Roman" w:hAnsi="Times New Roman"/>
          <w:sz w:val="18"/>
          <w:szCs w:val="18"/>
          <w:color w:val="auto"/>
        </w:rPr>
        <w:t>”), and in exchange, Executive shall not directly or indirectly, whether as owner, partner, shareholder, director, manager, consultant, agent, employee, co-venturer or otherwise, anywhere in the world, engage or otherwise participate in any business that develops, manufactures or markets any products, or performs any services, that are competitive with the products or services of the Company, including, without limitation, any products or services that target amino acid homeostasis for therapeutic and health purposes via the use of amino acid modalities; or products or services that the Company or its affiliates, has under development or that are the subject of active planning at any time during his employment. For purposes of this Section 8(h)(iii) only, and notwithstanding anything to the contrary in any other part of this Agreement or any other agreement between the Company and Executive,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a reasonable and good faith basis for the Company to be dissatisfied with Executive job performance, Executive’s conduct or Executive’s behavior. Executive acknowledges that this covenant is necessary because the Company’s legitimate business interests cannot be adequately protected solely by the other covenants in this Agreement. Executive further acknowledges and agrees that any payments Executive receives pursuant to this Section 8(h)</w:t>
      </w:r>
    </w:p>
    <w:p>
      <w:pPr>
        <w:spacing w:after="0" w:line="11" w:lineRule="exact"/>
        <w:rPr>
          <w:rFonts w:ascii="Times New Roman" w:cs="Times New Roman" w:eastAsia="Times New Roman" w:hAnsi="Times New Roman"/>
          <w:sz w:val="18"/>
          <w:szCs w:val="18"/>
          <w:color w:val="auto"/>
        </w:rPr>
      </w:pPr>
    </w:p>
    <w:p>
      <w:pPr>
        <w:ind w:left="660" w:hanging="4"/>
        <w:spacing w:after="0" w:line="260" w:lineRule="auto"/>
        <w:tabs>
          <w:tab w:leader="none" w:pos="989"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reduce (and shall not be in addition to) any severance or separation pay that they are otherwise entitled to receive from the Company pursuant to this Agreement or otherwise.</w:t>
      </w:r>
    </w:p>
    <w:p>
      <w:pPr>
        <w:spacing w:after="0" w:line="181" w:lineRule="exact"/>
        <w:rPr>
          <w:sz w:val="20"/>
          <w:szCs w:val="20"/>
          <w:color w:val="auto"/>
        </w:rPr>
      </w:pPr>
    </w:p>
    <w:p>
      <w:pPr>
        <w:jc w:val="both"/>
        <w:ind w:firstLine="656"/>
        <w:spacing w:after="0" w:line="254" w:lineRule="auto"/>
        <w:tabs>
          <w:tab w:leader="none" w:pos="828"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 and Regulatory Cooperation</w:t>
      </w:r>
      <w:r>
        <w:rPr>
          <w:rFonts w:ascii="Times New Roman" w:cs="Times New Roman" w:eastAsia="Times New Roman" w:hAnsi="Times New Roman"/>
          <w:sz w:val="18"/>
          <w:szCs w:val="18"/>
          <w:color w:val="auto"/>
        </w:rPr>
        <w:t>. During and after the Executive’s employment, the Executive shall cooperate fully with the Company in the defense or prosecution of any claims or actions now in existence or which may be brought in the future against or on behalf of the Company which relate to events or occurrences that transpired while the Executive was employed by the Company. The Executive’s full cooperation in connection with such claims or actions shall include, but not be limited to, being available to meet with counsel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9.</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4" w:name="page245"/>
    <w:bookmarkEnd w:id="244"/>
    <w:p>
      <w:pPr>
        <w:jc w:val="both"/>
        <w:ind w:firstLine="656"/>
        <w:spacing w:after="0" w:line="256" w:lineRule="auto"/>
        <w:tabs>
          <w:tab w:leader="none" w:pos="931"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 Contracts</w:t>
      </w:r>
      <w:r>
        <w:rPr>
          <w:rFonts w:ascii="Times New Roman" w:cs="Times New Roman" w:eastAsia="Times New Roman" w:hAnsi="Times New Roman"/>
          <w:sz w:val="18"/>
          <w:szCs w:val="18"/>
          <w:color w:val="auto"/>
        </w:rPr>
        <w:t>. Executive acknowledges that the Company may have from time to time agreements with other persons or with the United States Government or its agencies that impose obligations or restrictions on the Company regarding inventions made during the course of work under such agreements or regarding the confidential nature of such work. Executive agrees to comply with any such obligations or restrictions upon the direction of the Company. In addition to the rights assigned under Section 8(e), Executive also assigns to the Company (or any of its nominees) all rights that Executive has or acquired in any Developments, full title to which is required to be in the United States under any contract between the Company and the United States or any of its agencies.</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911"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 Agreements</w:t>
      </w:r>
      <w:r>
        <w:rPr>
          <w:rFonts w:ascii="Times New Roman" w:cs="Times New Roman" w:eastAsia="Times New Roman" w:hAnsi="Times New Roman"/>
          <w:sz w:val="18"/>
          <w:szCs w:val="18"/>
          <w:color w:val="auto"/>
        </w:rPr>
        <w:t>. Executive hereby represents that, except as Executive has fully disclosed previously in writing to the Company, Executive is not bound by the terms of any agreement with any previous or current employer or other party to refrain from using or disclosing any trade secret or confidential or proprietary information in the course of his employment with the Company or to refrain from competing, directly or indirectly, with the business of such employer or any other party. Executive further represents that his performance of all the terms of this Agreement as an employee of the Company does not and will not breach any agreement to keep in confidence proprietary information, knowledge or data acquired by them in confidence or in trust prior to Executive’s employment with the Company. Executive will not disclose to the Company or induce the Company to use any confidential or proprietary information or material belonging to any previous employer or others.</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945"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Upon Breach</w:t>
      </w:r>
      <w:r>
        <w:rPr>
          <w:rFonts w:ascii="Times New Roman" w:cs="Times New Roman" w:eastAsia="Times New Roman" w:hAnsi="Times New Roman"/>
          <w:sz w:val="18"/>
          <w:szCs w:val="18"/>
          <w:color w:val="auto"/>
        </w:rPr>
        <w:t>. Executive understands that the restrictions contained in Sections 8 and 9 of this Agreement (collectively, the “Continuing Obligations”) are necessary for the protection of the business and goodwill of the Company and Executive considers them to be reasonable for such purpose. Any breach of the Continuing Obligations is likely to cause the Company substantial and irrevocable damage and therefore, in the event of such breach, the Company, in addition to such other remedies which may be available, will be entitled to specific performance and other injunctive relief, without the posting of a bond. Executive further acknowledges that a court may render an award extending the Restricted Period as one of the remedies in the event of his violation of the Continuing Obligations. If Executive violates the Continuing Obligations, in addition to all other remedies available to the Company at law (including, without limitation, the Company’s right to discontinue any payments Executive may receive pursuant to this Agreement), in equity, and under contract, Executive agrees that Executive is obligated to pay all the Company’s costs of enforcement of this Agreement, including reasonable attorneys’ fees and expenses.</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931"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Voice, Image and Likeness</w:t>
      </w:r>
      <w:r>
        <w:rPr>
          <w:rFonts w:ascii="Times New Roman" w:cs="Times New Roman" w:eastAsia="Times New Roman" w:hAnsi="Times New Roman"/>
          <w:sz w:val="18"/>
          <w:szCs w:val="18"/>
          <w:color w:val="auto"/>
        </w:rPr>
        <w:t>. Executive gives the Company permission to use any and all of his voice, image and likeness, with or without using his name, in connection with the products and/or services of the Company, for the purposes of advertising and promoting such products and/or services and/or the Company, and/or for other purposes deemed appropriate by the Company in its reasonable discretion, except to the extent prohibited by law.</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Employment Obligation</w:t>
      </w:r>
      <w:r>
        <w:rPr>
          <w:rFonts w:ascii="Times New Roman" w:cs="Times New Roman" w:eastAsia="Times New Roman" w:hAnsi="Times New Roman"/>
          <w:sz w:val="18"/>
          <w:szCs w:val="18"/>
          <w:color w:val="auto"/>
        </w:rPr>
        <w:t>. Executive understands that this Agreement does not create an obligation on the Company or any other person to continue his employment. Executive acknowledges that, unless otherwise agreed in a formal written employment agreement signed on behalf of the Company by an authorized officer, his employment with the Company is at will and therefore may be terminated by the Company or Executive at any time and for any reason, with or without cause.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5" w:name="page246"/>
    <w:bookmarkEnd w:id="245"/>
    <w:p>
      <w:pPr>
        <w:jc w:val="both"/>
        <w:ind w:firstLine="656"/>
        <w:spacing w:after="0" w:line="256" w:lineRule="auto"/>
        <w:tabs>
          <w:tab w:leader="none" w:pos="94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and Assignment by the Company</w:t>
      </w:r>
      <w:r>
        <w:rPr>
          <w:rFonts w:ascii="Times New Roman" w:cs="Times New Roman" w:eastAsia="Times New Roman" w:hAnsi="Times New Roman"/>
          <w:sz w:val="18"/>
          <w:szCs w:val="18"/>
          <w:color w:val="auto"/>
        </w:rPr>
        <w:t>. Executive understands that the Continuing Obligations will continue in accordance with his express terms regardless of any changes in Executive’s title, position, duties, salary, compensation or benefits or other terms and conditions of employment. Executive further understands that the Continuing Obligations will continue following the termination of his employment regardless of the manner of such termination and will be binding upon his heirs, executors and administrators. The Company will have the right to assign this Agreement to its affiliates, successors and assigns. Executive expressly consents to be bound by the provisions of this Agreement for the benefit of the Company or any parent, subsidiary or affiliate to whose employ Executive may be transferred without the necessity that this Agreement be resigned at the time of such transfer.</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918"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Resignation</w:t>
      </w:r>
      <w:r>
        <w:rPr>
          <w:rFonts w:ascii="Times New Roman" w:cs="Times New Roman" w:eastAsia="Times New Roman" w:hAnsi="Times New Roman"/>
          <w:sz w:val="18"/>
          <w:szCs w:val="18"/>
          <w:color w:val="auto"/>
        </w:rPr>
        <w:t>. If Executive elects to resign from his employment with the Company, Executive agrees to provide the Company with written notification of his resignation at least thirty (30) days prior to his intended resignation date. Such notice shall include information in reasonable detail about his post-employment job duties and other business activities, including the name and address of any subsequent employer and/or person or entity with whom or which Executive intends to engage in business activities during the Restricted Period and the nature of his job duties and other business activities. The Company may elect to waive all or part of the notice period in its sole discretion.</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31"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Post-Employment Notifications</w:t>
      </w:r>
      <w:r>
        <w:rPr>
          <w:rFonts w:ascii="Times New Roman" w:cs="Times New Roman" w:eastAsia="Times New Roman" w:hAnsi="Times New Roman"/>
          <w:sz w:val="18"/>
          <w:szCs w:val="18"/>
          <w:color w:val="auto"/>
        </w:rPr>
        <w:t>. During the Restricted Period, Executive will notify the Company of any change in his address and of each subsequent employment or business activity, including the name and address of his employer or other post-Company employment plans and the nature of his activities.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Disclosures During Restricted Period</w:t>
      </w:r>
      <w:r>
        <w:rPr>
          <w:rFonts w:ascii="Times New Roman" w:cs="Times New Roman" w:eastAsia="Times New Roman" w:hAnsi="Times New Roman"/>
          <w:sz w:val="18"/>
          <w:szCs w:val="18"/>
          <w:color w:val="auto"/>
        </w:rPr>
        <w:t>. Executive will provide a copy of this Agreement with all compensation terms redacted to any person or entity with whom Executive may enter into a business relationship, whether as an employee, consultant, partner, coventurer or otherwise, prior to entering into such business relationship during the Restricted Period only.</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18"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Company and Executive acknowledge and agree that the Company’s election not to provide Executive with Garden Leave Pay as set forth in Section 8(h)(iii) shall be deemed a waiver of Executive’s noncompetition obligations under Section 8(h)(iii). Otherwise, no waiver of any of Executive’s obligations under this Agreement shall be effective unless made in writing by the Company. The failure of the Company to require Executive’s performance of any term or obligation of this Agreement, or the waiver of any breach of this Agreement, shall not prevent the Company’s subsequent enforcement of such term or obligation or be deemed a waiver of any subsequent breach.</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94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provisions (or portions thereof) contained in this Agreement shall, for any reason, be held invalid, illegal or unenforceable in any respect, such invalidity, illegality or unenforceability shall not affect the other provisions of this Agreement, and this Agreement shall be construed as if such invalid, illegal or unenforceable provision had never been contained herein. If, moreover,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6" w:name="page247"/>
    <w:bookmarkEnd w:id="246"/>
    <w:p>
      <w:pPr>
        <w:jc w:val="both"/>
        <w:ind w:firstLine="656"/>
        <w:spacing w:after="0" w:line="253" w:lineRule="auto"/>
        <w:tabs>
          <w:tab w:leader="none" w:pos="918"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 and Jurisdiction</w:t>
      </w:r>
      <w:r>
        <w:rPr>
          <w:rFonts w:ascii="Times New Roman" w:cs="Times New Roman" w:eastAsia="Times New Roman" w:hAnsi="Times New Roman"/>
          <w:sz w:val="18"/>
          <w:szCs w:val="18"/>
          <w:color w:val="auto"/>
        </w:rPr>
        <w:t xml:space="preserve">. This Agreement will be deemed to be made and entered into in the Commonwealth of Massachusetts, and will in all respects be interpreted, enforced and governed under the laws of the Commonwealth of Massachusetts. Executive hereby consents to personal jurisdiction of the state and federal courts situated within Massachusetts for purposes of enforcing this Agreement, and waive any objection that Executive might have to personal jurisdiction or venue in those courts, provided, however, the Company and Executive agree that all civil actions relating to Section 8 of this Agreement shall be brought in the county of Suffolk and that the superior court or the business litigation session of the superior court shall have exclusive jurisdiction. </w:t>
      </w:r>
      <w:r>
        <w:rPr>
          <w:rFonts w:ascii="Times New Roman" w:cs="Times New Roman" w:eastAsia="Times New Roman" w:hAnsi="Times New Roman"/>
          <w:sz w:val="18"/>
          <w:szCs w:val="18"/>
          <w:b w:val="1"/>
          <w:bCs w:val="1"/>
          <w:color w:val="auto"/>
        </w:rPr>
        <w:t>ANY ACTION, DEMAND, CLAIM OR COUNTERCLAIM ARISING UNDER OR RELATING TO THIS AGREEMENT</w:t>
      </w:r>
    </w:p>
    <w:p>
      <w:pPr>
        <w:spacing w:after="0" w:line="5"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 THE EXECUTIVE’S EMPLOYMENT WITH THE COMPANY, INCLUDING WITHOUT LIMITATION ANY CLAIMS OF DISCRIMINATION ARISING UNDER STATE OR FEDERAL LAW, WILL BE RESOLVED BY A JUDGE ALONE AND EACH OF THE COMPANY AND THE EXECUTIVE WAIVES ANY RIGHT TO A JURY TRIAL THEREOF</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firstLine="656"/>
        <w:spacing w:after="0" w:line="266" w:lineRule="auto"/>
        <w:tabs>
          <w:tab w:leader="none" w:pos="931"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Independence of Obligations</w:t>
      </w:r>
      <w:r>
        <w:rPr>
          <w:rFonts w:ascii="Times New Roman" w:cs="Times New Roman" w:eastAsia="Times New Roman" w:hAnsi="Times New Roman"/>
          <w:sz w:val="18"/>
          <w:szCs w:val="18"/>
          <w:color w:val="auto"/>
        </w:rPr>
        <w:t>. Executive’s obligations under this Agreement are independent of any obligation, contractual or otherwise, the Company has to Executive. The Company’s breach of any such obligation shall not be a defense against the enforcement of this Agreement or otherwise limit Executive’s obligations under this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18"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Protected Disclosures</w:t>
      </w:r>
      <w:r>
        <w:rPr>
          <w:rFonts w:ascii="Times New Roman" w:cs="Times New Roman" w:eastAsia="Times New Roman" w:hAnsi="Times New Roman"/>
          <w:sz w:val="18"/>
          <w:szCs w:val="18"/>
          <w:color w:val="auto"/>
        </w:rPr>
        <w:t>. Executive understands that nothing contained in this Agreement limits his ability to communicate with any federal, state or local governmental agency or commission, including to provide documents or other information, without notice to the Company. Executive also understands that nothing in this Agreement limits his ability to share compensation information concerning them or others, except that this does not permit Executive to disclose compensation information concerning others that Executive obtains because his job responsibilities require or allow access to such information.</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Defend Trade Secrets Act of 2016</w:t>
      </w:r>
      <w:r>
        <w:rPr>
          <w:rFonts w:ascii="Times New Roman" w:cs="Times New Roman" w:eastAsia="Times New Roman" w:hAnsi="Times New Roman"/>
          <w:sz w:val="18"/>
          <w:szCs w:val="18"/>
          <w:color w:val="auto"/>
        </w:rPr>
        <w:t>. Executive understands that pursuant to the federal Defend Trade Secrets Act of 2016, Executive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31"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 to the Executive</w:t>
      </w:r>
      <w:r>
        <w:rPr>
          <w:rFonts w:ascii="Times New Roman" w:cs="Times New Roman" w:eastAsia="Times New Roman" w:hAnsi="Times New Roman"/>
          <w:sz w:val="18"/>
          <w:szCs w:val="18"/>
          <w:color w:val="auto"/>
        </w:rPr>
        <w:t>. This Agreement shall inure to the benefit of and be enforceable by the Executive’s personal representatives, executors, administrators, heirs, distributees, devisees and legatees. In the event of the Executive’s death after his termination of employment but prior to the completion by the Company of all payments due them under this Agreement, the Company shall continue such payments to the Executive’s beneficiary designated in writing to the Company prior to his death (or to his estate, if the Executive fails to make such designation).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7" w:name="page248"/>
    <w:bookmarkEnd w:id="247"/>
    <w:p>
      <w:pPr>
        <w:jc w:val="both"/>
        <w:ind w:firstLine="656"/>
        <w:spacing w:after="0" w:line="261" w:lineRule="auto"/>
        <w:tabs>
          <w:tab w:leader="none" w:pos="918"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 to Company</w:t>
      </w:r>
      <w:r>
        <w:rPr>
          <w:rFonts w:ascii="Times New Roman" w:cs="Times New Roman" w:eastAsia="Times New Roman" w:hAnsi="Times New Roman"/>
          <w:sz w:val="18"/>
          <w:szCs w:val="18"/>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45"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31"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Gender Neutral</w:t>
      </w:r>
      <w:r>
        <w:rPr>
          <w:rFonts w:ascii="Times New Roman" w:cs="Times New Roman" w:eastAsia="Times New Roman" w:hAnsi="Times New Roman"/>
          <w:sz w:val="18"/>
          <w:szCs w:val="18"/>
          <w:color w:val="auto"/>
        </w:rPr>
        <w:t>. Wherever used herein, a pronoun in the masculine gender shall be considered as including the feminine gender unless the context clearly indicates otherwise.</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931"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w:t>
      </w:r>
      <w:r>
        <w:rPr>
          <w:rFonts w:ascii="Times New Roman" w:cs="Times New Roman" w:eastAsia="Times New Roman" w:hAnsi="Times New Roman"/>
          <w:sz w:val="18"/>
          <w:szCs w:val="18"/>
          <w:color w:val="auto"/>
        </w:rPr>
        <w:t>. This Agreement constitutes the entire agreement between the Company and Executive with respect to the subject matter hereof, and supersedes all prior agreements or understandings, both written and oral, between the Company and Executive with respect to the subject matter hereof, including without limitation the offer between the Company and Executive, dated as of February 25, 2020, but does not in any way merge with or supersede any other confidentiality, assignment of inventions or other restrictive covenant agreement or obligation entered into by the Company and Executive, which agreements and obligations shall supplement, and shall not limit or be limited by, this Agreement. This Agreement may be amended only in a written agreement executed by a duly authorized officer of the Company and Executive.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effective on the date and year first above written.</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9" w:lineRule="exact"/>
        <w:rPr>
          <w:sz w:val="20"/>
          <w:szCs w:val="20"/>
          <w:color w:val="auto"/>
        </w:rPr>
      </w:pPr>
    </w:p>
    <w:p>
      <w:pPr>
        <w:ind w:left="6100"/>
        <w:spacing w:after="0"/>
        <w:tabs>
          <w:tab w:leader="none" w:pos="6560" w:val="left"/>
        </w:tabs>
        <w:rPr>
          <w:sz w:val="20"/>
          <w:szCs w:val="20"/>
          <w:color w:val="auto"/>
        </w:rPr>
      </w:pPr>
      <w:r>
        <w:rPr>
          <w:rFonts w:ascii="Times New Roman" w:cs="Times New Roman" w:eastAsia="Times New Roman" w:hAnsi="Times New Roman"/>
          <w:sz w:val="18"/>
          <w:szCs w:val="18"/>
          <w:color w:val="auto"/>
        </w:rPr>
        <w:t>By:</w:t>
        <w:tab/>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Jason Meyenburg</w:t>
      </w:r>
    </w:p>
    <w:p>
      <w:pPr>
        <w:spacing w:after="0" w:line="225"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7"/>
          <w:szCs w:val="17"/>
          <w:color w:val="auto"/>
        </w:rPr>
        <w:t>Its:</w:t>
      </w:r>
      <w:r>
        <w:rPr>
          <w:sz w:val="20"/>
          <w:szCs w:val="20"/>
          <w:color w:val="auto"/>
        </w:rPr>
        <w:tab/>
      </w:r>
      <w:r>
        <w:rPr>
          <w:rFonts w:ascii="Times New Roman" w:cs="Times New Roman" w:eastAsia="Times New Roman" w:hAnsi="Times New Roman"/>
          <w:sz w:val="17"/>
          <w:szCs w:val="17"/>
          <w:u w:val="single" w:color="auto"/>
          <w:color w:val="auto"/>
        </w:rPr>
        <w:t>President and Chief Executive Officer</w:t>
      </w:r>
    </w:p>
    <w:p>
      <w:pPr>
        <w:spacing w:after="0" w:line="23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Marc Uknis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84607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Marc Uknis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249" w:name="page250"/>
    <w:bookmarkEnd w:id="24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EXHIBIT A</w:t>
      </w:r>
    </w:p>
    <w:p>
      <w:pPr>
        <w:sectPr>
          <w:pgSz w:w="11900" w:h="16838" w:orient="portrait"/>
          <w:cols w:equalWidth="0" w:num="1">
            <w:col w:w="11220"/>
          </w:cols>
          <w:pgMar w:left="320" w:top="900" w:right="359" w:bottom="1440" w:gutter="0" w:footer="0" w:header="0"/>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GEMINI THERAPEUTICS, INC. (“COMPANY”)</w:t>
      </w:r>
    </w:p>
    <w:p>
      <w:pPr>
        <w:spacing w:after="0" w:line="200" w:lineRule="exact"/>
        <w:rPr>
          <w:sz w:val="20"/>
          <w:szCs w:val="20"/>
          <w:color w:val="auto"/>
        </w:rPr>
      </w:pPr>
    </w:p>
    <w:p>
      <w:pPr>
        <w:sectPr>
          <w:pgSz w:w="11900" w:h="16838" w:orient="portrait"/>
          <w:cols w:equalWidth="0" w:num="2">
            <w:col w:w="240" w:space="420"/>
            <w:col w:w="10560"/>
          </w:cols>
          <w:pgMar w:left="320" w:top="900" w:right="3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 E. Uknis, MD, FACS</w:t>
      </w:r>
    </w:p>
    <w:p>
      <w:pPr>
        <w:spacing w:after="0" w:line="200" w:lineRule="exact"/>
        <w:rPr>
          <w:sz w:val="20"/>
          <w:szCs w:val="20"/>
          <w:color w:val="auto"/>
        </w:rPr>
      </w:pPr>
    </w:p>
    <w:p>
      <w:pPr>
        <w:sectPr>
          <w:pgSz w:w="11900" w:h="16838" w:orient="portrait"/>
          <w:cols w:equalWidth="0" w:num="2">
            <w:col w:w="440" w:space="220"/>
            <w:col w:w="10560"/>
          </w:cols>
          <w:pgMar w:left="320" w:top="900" w:right="3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Originally disclosed at start date 13-March 2020, Updated 1-February 2020</w:t>
      </w:r>
    </w:p>
    <w:p>
      <w:pPr>
        <w:spacing w:after="0" w:line="200" w:lineRule="exact"/>
        <w:rPr>
          <w:sz w:val="20"/>
          <w:szCs w:val="20"/>
          <w:color w:val="auto"/>
        </w:rPr>
      </w:pPr>
    </w:p>
    <w:p>
      <w:pPr>
        <w:sectPr>
          <w:pgSz w:w="11900" w:h="16838" w:orient="portrait"/>
          <w:cols w:equalWidth="0" w:num="2">
            <w:col w:w="400" w:space="260"/>
            <w:col w:w="10560"/>
          </w:cols>
          <w:pgMar w:left="320" w:top="900" w:right="359" w:bottom="1440" w:gutter="0" w:footer="0" w:header="0"/>
          <w:type w:val="continuous"/>
        </w:sectPr>
      </w:pPr>
    </w:p>
    <w:p>
      <w:pPr>
        <w:spacing w:after="0" w:line="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SUBJECT:</w:t>
      </w:r>
      <w:r>
        <w:rPr>
          <w:sz w:val="20"/>
          <w:szCs w:val="20"/>
          <w:color w:val="auto"/>
        </w:rPr>
        <w:tab/>
      </w:r>
      <w:r>
        <w:rPr>
          <w:rFonts w:ascii="Times New Roman" w:cs="Times New Roman" w:eastAsia="Times New Roman" w:hAnsi="Times New Roman"/>
          <w:sz w:val="17"/>
          <w:szCs w:val="17"/>
          <w:b w:val="1"/>
          <w:bCs w:val="1"/>
          <w:color w:val="auto"/>
        </w:rPr>
        <w:t>Prior Inventions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complete list of all inventions or improvements relevant to the subject matter of my employment by the Company that have been made or conceived or first reduced to practice by me alone or jointly with others prior to my engagement by the Company:</w:t>
      </w:r>
    </w:p>
    <w:p>
      <w:pPr>
        <w:spacing w:after="0" w:line="162" w:lineRule="exact"/>
        <w:rPr>
          <w:sz w:val="20"/>
          <w:szCs w:val="20"/>
          <w:color w:val="auto"/>
        </w:rPr>
      </w:pPr>
    </w:p>
    <w:p>
      <w:pPr>
        <w:ind w:left="980" w:hanging="324"/>
        <w:spacing w:after="0"/>
        <w:tabs>
          <w:tab w:leader="none" w:pos="980" w:val="left"/>
        </w:tabs>
        <w:numPr>
          <w:ilvl w:val="0"/>
          <w:numId w:val="27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inventions or improvements</w:t>
      </w:r>
    </w:p>
    <w:p>
      <w:pPr>
        <w:spacing w:after="0" w:line="225" w:lineRule="exact"/>
        <w:rPr>
          <w:rFonts w:ascii="MS PGothic" w:cs="MS PGothic" w:eastAsia="MS PGothic" w:hAnsi="MS PGothic"/>
          <w:sz w:val="18"/>
          <w:szCs w:val="18"/>
          <w:color w:val="auto"/>
        </w:rPr>
      </w:pPr>
    </w:p>
    <w:p>
      <w:pPr>
        <w:ind w:left="980" w:hanging="324"/>
        <w:spacing w:after="0"/>
        <w:tabs>
          <w:tab w:leader="none" w:pos="980" w:val="left"/>
        </w:tabs>
        <w:numPr>
          <w:ilvl w:val="0"/>
          <w:numId w:val="27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See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1)Therapeutic Alterations of Transplantable Tissues by short interfering RNA</w:t>
      </w:r>
    </w:p>
    <w:p>
      <w:pPr>
        <w:spacing w:after="0" w:line="27" w:lineRule="exact"/>
        <w:rPr>
          <w:sz w:val="20"/>
          <w:szCs w:val="20"/>
          <w:color w:val="auto"/>
        </w:rPr>
      </w:pPr>
    </w:p>
    <w:p>
      <w:pPr>
        <w:ind w:right="3960"/>
        <w:spacing w:after="0" w:line="255" w:lineRule="auto"/>
        <w:rPr>
          <w:sz w:val="20"/>
          <w:szCs w:val="20"/>
          <w:color w:val="auto"/>
        </w:rPr>
      </w:pPr>
      <w:r>
        <w:rPr>
          <w:rFonts w:ascii="Times New Roman" w:cs="Times New Roman" w:eastAsia="Times New Roman" w:hAnsi="Times New Roman"/>
          <w:sz w:val="18"/>
          <w:szCs w:val="18"/>
          <w:color w:val="auto"/>
        </w:rPr>
        <w:t>patent granted, continuations granted 2013, 2015, 2019 Kowalik and Uknis (UMass Medical Center) 2 / 3) Use of Complement C1 Esterase Inhibitor in Solid Organ and Stem Cell Transplantation assigned to 2) ViroPharma/Shire and 3) CSL Behring</w:t>
      </w:r>
    </w:p>
    <w:p>
      <w:pPr>
        <w:spacing w:after="0" w:line="186" w:lineRule="exact"/>
        <w:rPr>
          <w:sz w:val="20"/>
          <w:szCs w:val="20"/>
          <w:color w:val="auto"/>
        </w:rPr>
      </w:pPr>
    </w:p>
    <w:p>
      <w:pPr>
        <w:ind w:left="660" w:hanging="652"/>
        <w:spacing w:after="0"/>
        <w:tabs>
          <w:tab w:leader="none" w:pos="660" w:val="left"/>
        </w:tabs>
        <w:numPr>
          <w:ilvl w:val="0"/>
          <w:numId w:val="27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Additional sheets attached</w:t>
      </w:r>
    </w:p>
    <w:p>
      <w:pPr>
        <w:spacing w:after="0" w:line="225" w:lineRule="exact"/>
        <w:rPr>
          <w:rFonts w:ascii="MS PGothic" w:cs="MS PGothic" w:eastAsia="MS PGothic" w:hAnsi="MS PGothic"/>
          <w:sz w:val="18"/>
          <w:szCs w:val="18"/>
          <w:color w:val="auto"/>
        </w:rPr>
      </w:pPr>
    </w:p>
    <w:p>
      <w:pPr>
        <w:ind w:left="6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following is a list of all patents and patent applications in which Executive has been named as an inventor:</w:t>
      </w:r>
    </w:p>
    <w:p>
      <w:pPr>
        <w:spacing w:after="0" w:line="225" w:lineRule="exact"/>
        <w:rPr>
          <w:rFonts w:ascii="MS PGothic" w:cs="MS PGothic" w:eastAsia="MS PGothic" w:hAnsi="MS PGothic"/>
          <w:sz w:val="18"/>
          <w:szCs w:val="18"/>
          <w:color w:val="auto"/>
        </w:rPr>
      </w:pPr>
    </w:p>
    <w:p>
      <w:pPr>
        <w:ind w:left="980" w:hanging="324"/>
        <w:spacing w:after="0"/>
        <w:tabs>
          <w:tab w:leader="none" w:pos="980" w:val="left"/>
        </w:tabs>
        <w:numPr>
          <w:ilvl w:val="1"/>
          <w:numId w:val="27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MS PGothic" w:cs="MS PGothic" w:eastAsia="MS PGothic" w:hAnsi="MS PGothic"/>
          <w:sz w:val="18"/>
          <w:szCs w:val="18"/>
          <w:color w:val="auto"/>
        </w:rPr>
      </w:pPr>
    </w:p>
    <w:p>
      <w:pPr>
        <w:ind w:left="980" w:hanging="324"/>
        <w:spacing w:after="0"/>
        <w:tabs>
          <w:tab w:leader="none" w:pos="980" w:val="left"/>
        </w:tabs>
        <w:numPr>
          <w:ilvl w:val="1"/>
          <w:numId w:val="27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308610</wp:posOffset>
            </wp:positionV>
            <wp:extent cx="356616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600075</wp:posOffset>
            </wp:positionV>
            <wp:extent cx="356616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891540</wp:posOffset>
            </wp:positionV>
            <wp:extent cx="356616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1320165</wp:posOffset>
            </wp:positionV>
            <wp:extent cx="71323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type w:val="continuous"/>
        </w:sectPr>
      </w:pPr>
    </w:p>
    <w:bookmarkStart w:id="250" w:name="page251"/>
    <w:bookmarkEnd w:id="250"/>
    <w:p>
      <w:pPr>
        <w:ind w:left="10180"/>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33"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This Employment Agreement (“Agreement”) is made as of the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of January, 2021 between Gemini Therapeutics, Inc., a Delaware corporation (the “Company”), and Dr. Scott Lauder (the “Executive”).</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 desires to continue to employ the Executive and the Executive desires to continue to be employed by the Company on the terms and conditions contained herein commencing on February 5, 2021, unless another date is agreed to by the parties. The Executive’s first day of employment under this Agreement shall be the “Effective Date” of this Agreement;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provided the Executive with this Agreement, which is its formal offer of employment to the Executive, at least ten (10) business days before the Effective Date. The Executive has the right to consult with counsel prior to signing this Agreement.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62" w:lineRule="exact"/>
        <w:rPr>
          <w:sz w:val="20"/>
          <w:szCs w:val="20"/>
          <w:color w:val="auto"/>
        </w:rPr>
      </w:pPr>
    </w:p>
    <w:p>
      <w:pPr>
        <w:ind w:left="840" w:hanging="184"/>
        <w:spacing w:after="0"/>
        <w:tabs>
          <w:tab w:leader="none" w:pos="84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4"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Company shall employ the Executive and the Executive shall be employed by the Company pursuant to this Agreement commencing as of the Effective Date and continuing until such employment is terminated in accordance with the provisions hereof (the “Term”). The Executive’s employment with the Company shall be “at will,” meaning that the Executive’s employment may be terminated by the Company or the Executive at any time and for any reason subject to the terms of this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 During the Term, the Executive shall serve as the Chief Technology Officer for the Company and shall have such powers and duties as may from time to time be prescribed by the Chief Executive Officer of the Company (the “CEO”). The Executive shall devote his full working time and efforts to the business and affairs of the Company. Notwithstanding the foregoing, the Executive may serve on other boards of directors, with the approval of the Board of Directors of the Company (the “Board”) or a committee of the Board, or engage in religious, charitable or other community activities as long as such services and activities are disclosed to the Board and do not interfere with the Executive’s performance of his duties to the Company.</w:t>
      </w:r>
    </w:p>
    <w:p>
      <w:pPr>
        <w:spacing w:after="0" w:line="18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Related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20" w:firstLine="1304"/>
        <w:spacing w:after="0" w:line="261" w:lineRule="auto"/>
        <w:tabs>
          <w:tab w:leader="none" w:pos="1540"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During the Term, the Executive’s initial annual base salary shall be paid at the rate of $411,650 per year. The Executive’s base salary shall be reviewed annually by the Board or the Compensation Committee of the Board (the “Compensation Committee”). The base salary in effect at any given time is referred to herein as “Base Salary.” The Base Salary shall be payable in a manner that is consistent with the Company’s usual payroll practices for senior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1" w:name="page252"/>
    <w:bookmarkEnd w:id="251"/>
    <w:p>
      <w:pPr>
        <w:jc w:val="both"/>
        <w:ind w:firstLine="1304"/>
        <w:spacing w:after="0" w:line="261" w:lineRule="auto"/>
        <w:tabs>
          <w:tab w:leader="none" w:pos="1564"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During the Term, the Executive shall be eligible to receive cash incentive compensation as determined by the Board or the Compensation Committee from time to time. The Executive’s target annual incentive compensation shall be 40% of the Base Salary (the “Target Bonus”). Except as otherwise provided herein, to earn incentive compensation, the Executive must be employed by the Company on the day such incentive compensation is paid.</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Executive shall be entitled to receive prompt reimbursement for all reasonable expenses incurred by them during the Term in performing services hereunder, in accordance with the policies and procedures then in effect and established by the Company for its senior executives.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Benefits</w:t>
      </w:r>
      <w:r>
        <w:rPr>
          <w:rFonts w:ascii="Times New Roman" w:cs="Times New Roman" w:eastAsia="Times New Roman" w:hAnsi="Times New Roman"/>
          <w:sz w:val="18"/>
          <w:szCs w:val="18"/>
          <w:color w:val="auto"/>
        </w:rPr>
        <w:t>. During the Term, the Executive shall be eligible to participate in or receive benefits under the Company’s policies and employee benefit plans in effect from time to time, subject to the terms of such policies and plans and to the Company’s ability to amend, modify, replace or terminate such policies and plans, including with respect to paid time off.</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1"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 Effect</w:t>
      </w:r>
      <w:r>
        <w:rPr>
          <w:rFonts w:ascii="Times New Roman" w:cs="Times New Roman" w:eastAsia="Times New Roman" w:hAnsi="Times New Roman"/>
          <w:sz w:val="18"/>
          <w:szCs w:val="18"/>
          <w:color w:val="auto"/>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841"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During the Term, the Executive’s employment hereunder may be terminated without any breach of this Agreement under the following circumstances:</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The Executive’s employment hereunder shall terminate upon his death.</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78"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xml:space="preserve">. The Company may terminate the Executive’s employment if they are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and the Americans with Disabilities Act, 42 U.S.C. §12101 </w:t>
      </w:r>
      <w:r>
        <w:rPr>
          <w:rFonts w:ascii="Times New Roman" w:cs="Times New Roman" w:eastAsia="Times New Roman" w:hAnsi="Times New Roman"/>
          <w:sz w:val="18"/>
          <w:szCs w:val="18"/>
          <w:i w:val="1"/>
          <w:iCs w:val="1"/>
          <w:color w:val="auto"/>
        </w:rPr>
        <w:t>et seq.</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2" w:name="page253"/>
    <w:bookmarkEnd w:id="252"/>
    <w:p>
      <w:pPr>
        <w:jc w:val="both"/>
        <w:ind w:firstLine="1304"/>
        <w:spacing w:after="0" w:line="253" w:lineRule="auto"/>
        <w:tabs>
          <w:tab w:leader="none" w:pos="154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Company for Cause</w:t>
      </w:r>
      <w:r>
        <w:rPr>
          <w:rFonts w:ascii="Times New Roman" w:cs="Times New Roman" w:eastAsia="Times New Roman" w:hAnsi="Times New Roman"/>
          <w:sz w:val="18"/>
          <w:szCs w:val="18"/>
          <w:color w:val="auto"/>
        </w:rPr>
        <w:t>. The Company may terminate the Executive’s employment hereunder for Cause. For purposes of this Agreement, “Cause” shall mean: (i) conduct by the Executive constituting a material act of misconduct in connection with the performance of his duties, including, without limitation, misappropriation of funds or property of the Company or any of its subsidiaries or affiliates other than the occasional, customary and de minimis use of Company property for personal purposes; (ii) the commission by the Executive of any felony or a misdemeanor involving moral turpitude, deceit, dishonesty or fraud, or any conduct by the Executive that would reasonably be expected to result in material injury or reputational harm to the Company or any of its subsidiaries and affiliates if they were retained in his position; (iii) unsatisfactory performance by the Executive of a material responsibility (other than by reason of the Executive’s physical or mental illness, incapacity or disability) as reasonably determined by the CEO, which has continued for not less than 30 days following written notice from the CEO that identifies the unsatisfactory performance; (iv) a breach by the Executive of any of the provisions contained in Section 8 of this Agreement; (v) a material violation by the Executive of the Company’s written employment policies; or (vi)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8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w:t>
      </w:r>
      <w:r>
        <w:rPr>
          <w:rFonts w:ascii="Times New Roman" w:cs="Times New Roman" w:eastAsia="Times New Roman" w:hAnsi="Times New Roman"/>
          <w:sz w:val="18"/>
          <w:szCs w:val="18"/>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without Cause.</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4"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Executive</w:t>
      </w:r>
      <w:r>
        <w:rPr>
          <w:rFonts w:ascii="Times New Roman" w:cs="Times New Roman" w:eastAsia="Times New Roman" w:hAnsi="Times New Roman"/>
          <w:sz w:val="18"/>
          <w:szCs w:val="18"/>
          <w:color w:val="auto"/>
        </w:rPr>
        <w:t>. The Executive may terminate his employment hereunder at any time for any reason, including for Good Reason. For purposes of this offer letter, “Good Reason” shall mean that the Executive has complied with the “Good Reason Process” (hereinafter defined) following the occurrence of any of the following events: (i) reduction of the Executive’s Base Salary without the Executive’s prior consent (other than in connection with, and substantially proportionate to, reductions by the Company of the compensation of the Company’s management employees);</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84"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diminution in the Executive’s responsibilities, authority, or duties, without the Executive’s prior consent; (iii) unless the Executive and the Company mutually agree the remote work location for the Executive, relocation of the Company’s offices more than 100 miles away from the current location without the Executive’s prior consent; or (iv) any material breach by the Company or any successor thereto of this Agreement. “Good Reason Process” shall mean that (i) the Executive has reasonably determined in good faith that a “Good Reason” condition has occurred; (ii) the Executive has notified the Company in writing of the first occurrence of the Good Reason condition within 90 days of the first occurrence of such condition; (iii) the Executive has cooperated in good faith with the Company’s efforts, for a period not less than 30 days following such notice (the “Cure Period”), to remedy the condition; (iv) notwithstanding such efforts, the Good Reason condition continues to exist; and (v) the Executive terminates his employment within 30 days after the end of the Cure Period. If the Company cures the Good Reason condition during the Cure Period, Good Reason shall be deemed not to have occurred.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3" w:name="page254"/>
    <w:bookmarkEnd w:id="253"/>
    <w:p>
      <w:pPr>
        <w:jc w:val="both"/>
        <w:ind w:firstLine="1304"/>
        <w:spacing w:after="0" w:line="266" w:lineRule="auto"/>
        <w:tabs>
          <w:tab w:leader="none" w:pos="1534"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“Date of Termination” shall mean: (i) if the Executive’s employment is terminated by his death, the date of his death; (ii) if the Executive’s employment is terminated on account of disability under Section 3(b) or by the Company for Cause under Section 3(c), the date on which Notice of Termination is given; (iii) if the Executive’s employment is terminated by the Company under Section 3(d), the date on which a Notice of Termination is given or the date otherwise specified by the Company in the Notice of Termination; and (iv) if the Executive’s employment is terminated by the Executive under Section 3(e), 30 days after the date on which a Notice of Termination is given.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828"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Generally</w:t>
      </w:r>
      <w:r>
        <w:rPr>
          <w:rFonts w:ascii="Times New Roman" w:cs="Times New Roman" w:eastAsia="Times New Roman" w:hAnsi="Times New Roman"/>
          <w:sz w:val="18"/>
          <w:szCs w:val="18"/>
          <w:color w:val="auto"/>
        </w:rPr>
        <w:t>. If the Executive’s employment with the Company is terminated for any reason, the Company shall pay or provide to the Executive (or to his authorized representative or estate) (i) any Base Salary earned through the Date of Termination, unpaid expense reimbursements (subject to, and in accordance with, Section 2(c) of this Agreement) on or before the time required by law but in no event more than 30 days after the Executive’s Date of Termination; and (ii) any vested benefits the Executive may have under any employee benefit plan of the Company through the Date of Termination, which vested benefits shall be paid and/or provided in accordance with the terms of such employee benefit plans (collectively, the “Accrued Benefit”).</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828"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without Cause or the Executive for Good Reason</w:t>
      </w:r>
      <w:r>
        <w:rPr>
          <w:rFonts w:ascii="Times New Roman" w:cs="Times New Roman" w:eastAsia="Times New Roman" w:hAnsi="Times New Roman"/>
          <w:sz w:val="18"/>
          <w:szCs w:val="18"/>
          <w:color w:val="auto"/>
        </w:rPr>
        <w:t>. During the Term, if the Executive’s employment is terminated by the Company without Cause or by the Executive for Good Reason, then the Company shall pay the Executive his Accrued Benefit. In addition, subject to the Executive (i) signing a separation agreement and release in a form and manner satisfactory to the Company, which shall include, without limitation, a general release of claims in favor of the Company and related persons and entities, a reaffirmation of the Executive’s post-employment obligations, and in the Company’s sole discretion, a one year noncompetition agreement, and shall provide that, if the Executive breaches any of the post,employment obligations, all payment of the Severance Amount shall immediately cease (the “Separation Agreement and Release”), and (ii) the Separation Agreement and Release becoming irrevocable, all within 60 days after the Date of Termination (or such period as set forth in the Separation Agreement and Release):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4" w:name="page255"/>
    <w:bookmarkEnd w:id="254"/>
    <w:p>
      <w:pPr>
        <w:ind w:left="2160" w:hanging="208"/>
        <w:spacing w:after="0"/>
        <w:tabs>
          <w:tab w:leader="none" w:pos="216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the Executive an amount equal to the sum of (i) nine (9) months of the Executive’s Base Salary and</w:t>
      </w:r>
    </w:p>
    <w:p>
      <w:pPr>
        <w:spacing w:after="0" w:line="27"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935"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rata portion of the Target Bonus earned by the Executive for the current calendar year measured from the first day of such calendar year through the Date of Termination (the “Severance Amount”), provided in the event the Executive is entitled to any payments pursuant to Section 8(h)(iii) below, the Severance Amount received in any calendar year will be reduced by the amount the Executive is paid in the same such calendar year pursuant to the Section 8(h)(iii) below, (the “Restrictive Covenants Agreement Setoff”); and</w:t>
      </w:r>
    </w:p>
    <w:p>
      <w:pPr>
        <w:spacing w:after="0" w:line="188"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221"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Executive’s proper election to receive benefits under the Consolidated Omnibus Budget Reconciliation Act of 1985, as amended (“COBRA”), the Company shall pay all amounts necessary to provide health insurance to the Executive if the Executive had remained employed by the Company until the earliest of (A) the twelve (12) month anniversary of the Date of Termination; (B) the Executive’s eligibility for group medical plan benefits under any other employer’s group medical plan; or (C) the cessation of the Executive’s continuation rights under COBRA; provided, however, if the Company determines that it cannot pay such amounts without potentially violating applicable law (including, without limitation, Section 2716 of the Public Health Service Act), then the Company will convert such payments to payroll payments directly to the Executive for the time period specified above. Such payments shall be subject to tax-related deductions and withholdings and paid on the Company’s regular payroll dates. For the avoidance of doubt, the taxable payments described above may be used for any purpose, including, but not limited to, continuation coverage under COBRA.</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amounts payable under this Section 5(i) shall be paid out in substantially equal installments in accordance with the Company’s payroll practice over twelve (12)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183" w:lineRule="exact"/>
        <w:rPr>
          <w:sz w:val="20"/>
          <w:szCs w:val="20"/>
          <w:color w:val="auto"/>
        </w:rPr>
      </w:pPr>
    </w:p>
    <w:p>
      <w:pPr>
        <w:jc w:val="both"/>
        <w:ind w:firstLine="656"/>
        <w:spacing w:after="0" w:line="255" w:lineRule="auto"/>
        <w:tabs>
          <w:tab w:leader="none" w:pos="841"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 Payment</w:t>
      </w:r>
      <w:r>
        <w:rPr>
          <w:rFonts w:ascii="Times New Roman" w:cs="Times New Roman" w:eastAsia="Times New Roman" w:hAnsi="Times New Roman"/>
          <w:sz w:val="18"/>
          <w:szCs w:val="18"/>
          <w:color w:val="auto"/>
        </w:rPr>
        <w:t>. The provisions of this Section 6 set forth certain terms of an agreement reached between the Executive and the Company regarding the Executive’s rights and obligations upon the occurrence of a Change in Control of the Company. These provisions are intended to assure and encourage in advance the Executive’s continued attention and dedication to his assigned duties and his objectivity during the pendency and after the occurrence of any such event. These provisions shall apply in lieu of, and expressly supersede, the provisions of Section 5 regarding severance pay and benefits upon a termination of employment, if such termination of employment occurs within 12 months after the occurrence of the first event constituting a Change in Control (the “Change in Control Period”). These provisions shall terminate and be of no further force or effect beginning after the Change in Control Period has ended.</w:t>
      </w:r>
    </w:p>
    <w:p>
      <w:pPr>
        <w:spacing w:after="0" w:line="188"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67"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During the Term, if during the Change in Control Period, the Executive’s employment is terminated by the Company without Cause or by the Executive for Good Reason, then, subject to the signing of the Separation Agreement and Release by the Executive and the Separation Agreement and Release becoming irrevocable, the time frame set forth in the Separation Agreement and Release but in no event more than</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days after the Date of Termination: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5" w:name="page256"/>
    <w:bookmarkEnd w:id="255"/>
    <w:p>
      <w:pPr>
        <w:jc w:val="both"/>
        <w:ind w:left="660" w:firstLine="1292"/>
        <w:spacing w:after="0" w:line="261" w:lineRule="auto"/>
        <w:tabs>
          <w:tab w:leader="none" w:pos="2184"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the Executive a lump sum in cash in an amount equal the sum of one times the sum of (A) the Executive’s then current Base Salary (or the Executive’s Base Salary in effect immediately prior to the Change in Control, if higher) plus (B) the Executive’s Target Bonus for the then-current year (the “Change in Control Payment”), provided the Change in Control Payment shall be reduced by the amount of the Restrictive Covenants Agreement Setoff, if applicable, paid or to be paid in the same calendar year; and</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221"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any applicable option agreement or other stock-based award agreement, all stock options and other stock-based awards subject to vesting held by the Executive (the “Equity Awards”) shall immediately accelerate and become fully exercisable or nonforfeitable as of the later of (i) the Date of Termination or (ii) the Effective Date of the Separation Agreement and Release (the “Accelerated Vesting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termination or forfeiture of the unvested portion of such Equity Awards that would otherwise occur on the Date of Termination in the absence of this Agreement will be delayed until the Effective Date of the Separation Agreement and Release and will only occur if the vesting pursuant to this subsection does not occur due to the absence of the Separation Agreement and Release becoming fully effective within the time period set forth therein. Notwithstanding the foregoing, no additional vesting of the Equity Awards shall occur during the period between the Executive’s Date of Termination and the Accelerated Vesting Date; and</w:t>
      </w:r>
    </w:p>
    <w:p>
      <w:pPr>
        <w:spacing w:after="0" w:line="191"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271"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Executive’s proper election to receive benefits under COBRA, the Company shall pay all amounts necessary to provide health insurance to the Executive if the Executive had remained employed by the Company until the earliest of (A) the twelve (12) month anniversary of the Date of Termination; (B) the Executive’s eligibility for group medical plan benefits under any other employer’s group medical plan; or (C) the cessation of the Executive’s continuation rights under COBRA; provided, however, if the Company determines that it cannot pay such amounts without potentially violating applicable law (including, without limitation, Section 2716 of the Public Health Service Act), then the Company will convert such payments to payroll payments directly to the Executive for the time period specified above. Such payments shall be subject to tax-related deductions and withholdings and paid on the Company’s regular payroll dates. For the avoidance of doubt, the taxable payments described above may be used for any purpose, including, but not limited to, continuation coverage under COBRA.</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amounts payable under this Section 6(a)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6" w:name="page257"/>
    <w:bookmarkEnd w:id="256"/>
    <w:p>
      <w:pPr>
        <w:ind w:left="1560" w:hanging="256"/>
        <w:spacing w:after="0"/>
        <w:tabs>
          <w:tab w:leader="none" w:pos="156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Limitation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3" w:lineRule="auto"/>
        <w:tabs>
          <w:tab w:leader="none" w:pos="2171"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87"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234"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6(b),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87"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271"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as to whether a reduction in the Aggregate Payments shall be made pursuant to Section 6(b)(i) shall be made by a nationally recognized accounting firm selected by the Company (the “Accounting Firm”),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183"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Section 6, the following terms shall have the following meanings: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“Change in Control” shall have the meaning of “Sale Event” as defined in the Company’s 2020 Stock Option and Incentive Plan, as amended, or any successor plan.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7" w:name="page258"/>
    <w:bookmarkEnd w:id="257"/>
    <w:p>
      <w:pPr>
        <w:ind w:left="840" w:hanging="184"/>
        <w:spacing w:after="0"/>
        <w:tabs>
          <w:tab w:leader="none" w:pos="840"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4" w:val="left"/>
        </w:tabs>
        <w:numPr>
          <w:ilvl w:val="2"/>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w:t>
      </w:r>
    </w:p>
    <w:p>
      <w:pPr>
        <w:jc w:val="both"/>
        <w:ind w:firstLine="8"/>
        <w:spacing w:after="0" w:line="252" w:lineRule="auto"/>
        <w:tabs>
          <w:tab w:leader="none" w:pos="237"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then to the extent any payment or benefit that the Executive becomes entitled to under this Agreement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his original schedule.</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4"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7"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4"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8" w:name="page259"/>
    <w:bookmarkEnd w:id="258"/>
    <w:p>
      <w:pPr>
        <w:ind w:left="840" w:hanging="184"/>
        <w:spacing w:after="0"/>
        <w:tabs>
          <w:tab w:leader="none" w:pos="84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Assignment, Nonsolicitation and Noncompetition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7"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Proprietary Information</w:t>
      </w:r>
      <w:r>
        <w:rPr>
          <w:rFonts w:ascii="Times New Roman" w:cs="Times New Roman" w:eastAsia="Times New Roman" w:hAnsi="Times New Roman"/>
          <w:sz w:val="18"/>
          <w:szCs w:val="18"/>
          <w:color w:val="auto"/>
        </w:rPr>
        <w:t>. Executive agrees that all information, whether or not in writing, concerning the Company’s business, technology, business relationships or financial affairs that the Company has not released to the general public (collectively, “</w:t>
      </w:r>
      <w:r>
        <w:rPr>
          <w:rFonts w:ascii="Times New Roman" w:cs="Times New Roman" w:eastAsia="Times New Roman" w:hAnsi="Times New Roman"/>
          <w:sz w:val="18"/>
          <w:szCs w:val="18"/>
          <w:u w:val="single" w:color="auto"/>
          <w:color w:val="auto"/>
        </w:rPr>
        <w:t>Proprietary Information</w:t>
      </w:r>
      <w:r>
        <w:rPr>
          <w:rFonts w:ascii="Times New Roman" w:cs="Times New Roman" w:eastAsia="Times New Roman" w:hAnsi="Times New Roman"/>
          <w:sz w:val="18"/>
          <w:szCs w:val="18"/>
          <w:color w:val="auto"/>
        </w:rPr>
        <w:t xml:space="preserve">”) and all tangible embodiments thereof are and will be the exclusive property of the Company. By way of illustration, Proprietary Information may include information or material that has not been made generally available to the public, such as: (a) </w:t>
      </w:r>
      <w:r>
        <w:rPr>
          <w:rFonts w:ascii="Times New Roman" w:cs="Times New Roman" w:eastAsia="Times New Roman" w:hAnsi="Times New Roman"/>
          <w:sz w:val="18"/>
          <w:szCs w:val="18"/>
          <w:i w:val="1"/>
          <w:iCs w:val="1"/>
          <w:color w:val="auto"/>
        </w:rPr>
        <w:t>corporate information</w:t>
      </w:r>
      <w:r>
        <w:rPr>
          <w:rFonts w:ascii="Times New Roman" w:cs="Times New Roman" w:eastAsia="Times New Roman" w:hAnsi="Times New Roman"/>
          <w:sz w:val="18"/>
          <w:szCs w:val="18"/>
          <w:color w:val="auto"/>
        </w:rPr>
        <w:t xml:space="preserve">, including plans, strategies, methods, policies, resolutions, negotiations or litigation; (b) </w:t>
      </w:r>
      <w:r>
        <w:rPr>
          <w:rFonts w:ascii="Times New Roman" w:cs="Times New Roman" w:eastAsia="Times New Roman" w:hAnsi="Times New Roman"/>
          <w:sz w:val="18"/>
          <w:szCs w:val="18"/>
          <w:i w:val="1"/>
          <w:iCs w:val="1"/>
          <w:color w:val="auto"/>
        </w:rPr>
        <w:t>marketing information</w:t>
      </w:r>
      <w:r>
        <w:rPr>
          <w:rFonts w:ascii="Times New Roman" w:cs="Times New Roman" w:eastAsia="Times New Roman" w:hAnsi="Times New Roman"/>
          <w:sz w:val="18"/>
          <w:szCs w:val="18"/>
          <w:color w:val="auto"/>
        </w:rPr>
        <w:t xml:space="preserve">, including strategies, methods, client or business partner identities or other information about customers or clients, business partners, prospect identities or other information about prospects, or market analyses or projections; (c) </w:t>
      </w:r>
      <w:r>
        <w:rPr>
          <w:rFonts w:ascii="Times New Roman" w:cs="Times New Roman" w:eastAsia="Times New Roman" w:hAnsi="Times New Roman"/>
          <w:sz w:val="18"/>
          <w:szCs w:val="18"/>
          <w:i w:val="1"/>
          <w:iCs w:val="1"/>
          <w:color w:val="auto"/>
        </w:rPr>
        <w:t>financial information</w:t>
      </w:r>
      <w:r>
        <w:rPr>
          <w:rFonts w:ascii="Times New Roman" w:cs="Times New Roman" w:eastAsia="Times New Roman" w:hAnsi="Times New Roman"/>
          <w:sz w:val="18"/>
          <w:szCs w:val="18"/>
          <w:color w:val="auto"/>
        </w:rPr>
        <w:t>, including cost and performance data, debt arrangements, equity structure, investors and holdings, purchasing and sales data and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lists; (d) </w:t>
      </w:r>
      <w:r>
        <w:rPr>
          <w:rFonts w:ascii="Times New Roman" w:cs="Times New Roman" w:eastAsia="Times New Roman" w:hAnsi="Times New Roman"/>
          <w:sz w:val="18"/>
          <w:szCs w:val="18"/>
          <w:i w:val="1"/>
          <w:iCs w:val="1"/>
          <w:color w:val="auto"/>
        </w:rPr>
        <w:t>operational and scientific information</w:t>
      </w:r>
      <w:r>
        <w:rPr>
          <w:rFonts w:ascii="Times New Roman" w:cs="Times New Roman" w:eastAsia="Times New Roman" w:hAnsi="Times New Roman"/>
          <w:sz w:val="18"/>
          <w:szCs w:val="18"/>
          <w:color w:val="auto"/>
        </w:rPr>
        <w:t xml:space="preserve">, including plans, specifications, manuals, forms, templates, software, pre-clinical and clinical testing data and strategies, research and development strategies, designs, methods, procedures, formulae, data, reports, discoveries, inventions, improvements, concepts, ideas, and other Developments (as defined below), know-how and trade secrets; and (e) </w:t>
      </w:r>
      <w:r>
        <w:rPr>
          <w:rFonts w:ascii="Times New Roman" w:cs="Times New Roman" w:eastAsia="Times New Roman" w:hAnsi="Times New Roman"/>
          <w:sz w:val="18"/>
          <w:szCs w:val="18"/>
          <w:i w:val="1"/>
          <w:iCs w:val="1"/>
          <w:color w:val="auto"/>
        </w:rPr>
        <w:t>personnel information</w:t>
      </w:r>
      <w:r>
        <w:rPr>
          <w:rFonts w:ascii="Times New Roman" w:cs="Times New Roman" w:eastAsia="Times New Roman" w:hAnsi="Times New Roman"/>
          <w:sz w:val="18"/>
          <w:szCs w:val="18"/>
          <w:color w:val="auto"/>
        </w:rPr>
        <w:t>, including personnel lists, reporting or organizational structure, resumes, personnel data, performance evaluations and termination arrangements or documents. Proprietary Information also includes information received in confidence by the Company from its customers, suppliers, business partners or other third parties.</w:t>
      </w:r>
    </w:p>
    <w:p>
      <w:pPr>
        <w:spacing w:after="0" w:line="18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Company’s Rights</w:t>
      </w:r>
      <w:r>
        <w:rPr>
          <w:rFonts w:ascii="Times New Roman" w:cs="Times New Roman" w:eastAsia="Times New Roman" w:hAnsi="Times New Roman"/>
          <w:sz w:val="18"/>
          <w:szCs w:val="18"/>
          <w:color w:val="auto"/>
        </w:rPr>
        <w:t>. Executive will not, at any time, without the Company’s prior written permission, either during or after his employment, disclose any Proprietary Information to anyone outside of the Company, or use or permit to be used any Proprietary Information for any purpose other than the performance of Executive’s duties as an employee of the Company. Executive will cooperate with the Company and use his best efforts to prevent the unauthorized disclosure of all Proprietary Information. Executive will deliver to the Company all copies and other tangible embodiments of Proprietary Information in his possession or control upon the earlier of a request by the Company or termination of Executive’s employment.</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4"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Others</w:t>
      </w:r>
      <w:r>
        <w:rPr>
          <w:rFonts w:ascii="Times New Roman" w:cs="Times New Roman" w:eastAsia="Times New Roman" w:hAnsi="Times New Roman"/>
          <w:sz w:val="18"/>
          <w:szCs w:val="18"/>
          <w:color w:val="auto"/>
        </w:rPr>
        <w:t>. Executive understands that the Company is now and may hereafter be subject to nondisclosure or confidentiality agreements with third persons that require the Company to protect or refrain from use or disclosure of proprietary information. Executive agrees to be bound by the terms of such agreements in the event Executive has access to such proprietary information. Executive understands that the Company strictly prohibits Executive from using or disclosing confidential or proprietary information belonging to any other person or entity (including any employer or former employer), in connection with Executive’s employment. In addition, Executive agrees not to bring any confidential information belonging to any other person or entity onto Company premises or into Company workspaces.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9" w:name="page260"/>
    <w:bookmarkEnd w:id="259"/>
    <w:p>
      <w:pPr>
        <w:jc w:val="both"/>
        <w:ind w:firstLine="1304"/>
        <w:spacing w:after="0" w:line="256" w:lineRule="auto"/>
        <w:tabs>
          <w:tab w:leader="none" w:pos="1551"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 to Company; Avoidance of Conflict of Interest</w:t>
      </w:r>
      <w:r>
        <w:rPr>
          <w:rFonts w:ascii="Times New Roman" w:cs="Times New Roman" w:eastAsia="Times New Roman" w:hAnsi="Times New Roman"/>
          <w:sz w:val="18"/>
          <w:szCs w:val="18"/>
          <w:color w:val="auto"/>
        </w:rPr>
        <w:t>. While an employee of the Company, Executive will devote his full-time efforts to the Company’s business and Executive will not, directly or indirectly, engage in any other business activity, except as expressly authorized in writing and in advance by a duly authorized representative of the Company. Executive will advise an authorized officer of the Company or his designee at such time as any activity of either the Company or another business presents Executive with a conflict of interest or the appearance of a conflict of interest as an employee of the Company. Executive will take whatever action is requested of them by the Company to resolve any conflict or appearance of conflict which it finds to exist.</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Developments</w:t>
      </w:r>
      <w:r>
        <w:rPr>
          <w:rFonts w:ascii="Times New Roman" w:cs="Times New Roman" w:eastAsia="Times New Roman" w:hAnsi="Times New Roman"/>
          <w:sz w:val="18"/>
          <w:szCs w:val="18"/>
          <w:color w:val="auto"/>
        </w:rPr>
        <w:t>. Executive will make full and prompt disclosure to the Company of all inventions, discoveries, designs, developments, methods, modifications, improvements, processes, algorithms, data, databases, computer programs, research, formulae, techniques, trade secrets, graphics or images, and audio or visual works and other works of authorship, and other intellectual property, including works-in-process (collectively “</w:t>
      </w:r>
      <w:r>
        <w:rPr>
          <w:rFonts w:ascii="Times New Roman" w:cs="Times New Roman" w:eastAsia="Times New Roman" w:hAnsi="Times New Roman"/>
          <w:sz w:val="18"/>
          <w:szCs w:val="18"/>
          <w:u w:val="single" w:color="auto"/>
          <w:color w:val="auto"/>
        </w:rPr>
        <w:t>Developments</w:t>
      </w:r>
      <w:r>
        <w:rPr>
          <w:rFonts w:ascii="Times New Roman" w:cs="Times New Roman" w:eastAsia="Times New Roman" w:hAnsi="Times New Roman"/>
          <w:sz w:val="18"/>
          <w:szCs w:val="18"/>
          <w:color w:val="auto"/>
        </w:rPr>
        <w:t>”) whether or not patentable or copyrightable, that are created, made, conceived or reduced to practice by Executive (alone or jointly with others) or under my direction during the period of his employment. Executive acknowledges that all work performed by them is on a “work for hire” basis, and Executive hereby does assign and transfer and, to the extent any such assignment cannot be made at present, will assign and transfer, to the Company and its successors and assigns all his right, title and interest in and to all Developments that (a) relate to the business of the Company or any customer of, supplier to or business partner of the Company or any of the products or services being researched, developed, manufactured or sold by the Company or which may be used with such products or services; or (b) result from tasks assigned to them by the Company; or (c) result from the use of premises or personal property (whether tangible or intangible) owned, leased or contracted for by the Company (“</w:t>
      </w:r>
      <w:r>
        <w:rPr>
          <w:rFonts w:ascii="Times New Roman" w:cs="Times New Roman" w:eastAsia="Times New Roman" w:hAnsi="Times New Roman"/>
          <w:sz w:val="18"/>
          <w:szCs w:val="18"/>
          <w:u w:val="single" w:color="auto"/>
          <w:color w:val="auto"/>
        </w:rPr>
        <w:t>Company-Related Developments</w:t>
      </w:r>
      <w:r>
        <w:rPr>
          <w:rFonts w:ascii="Times New Roman" w:cs="Times New Roman" w:eastAsia="Times New Roman" w:hAnsi="Times New Roman"/>
          <w:sz w:val="18"/>
          <w:szCs w:val="18"/>
          <w:color w:val="auto"/>
        </w:rPr>
        <w:t xml:space="preserve">”), and all related patents, patent applications, trademarks and trademark applications, copyrights and copyright applications, </w:t>
      </w:r>
      <w:r>
        <w:rPr>
          <w:rFonts w:ascii="Times New Roman" w:cs="Times New Roman" w:eastAsia="Times New Roman" w:hAnsi="Times New Roman"/>
          <w:sz w:val="18"/>
          <w:szCs w:val="18"/>
          <w:i w:val="1"/>
          <w:iCs w:val="1"/>
          <w:color w:val="auto"/>
        </w:rPr>
        <w:t>sui generis</w:t>
      </w:r>
      <w:r>
        <w:rPr>
          <w:rFonts w:ascii="Times New Roman" w:cs="Times New Roman" w:eastAsia="Times New Roman" w:hAnsi="Times New Roman"/>
          <w:sz w:val="18"/>
          <w:szCs w:val="18"/>
          <w:color w:val="auto"/>
        </w:rPr>
        <w:t xml:space="preserve"> database rights and other intellectual property rights in all countries and territories worldwide and under any international conventions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preclude any possible uncertainty, if there are any Developments that Executive has, alone or jointly with others, conceived, developed or reduced to practice prior to the commencement of his employment with the Company that Executive considers to be his property or the property of third parties and that Executive wishes to have excluded from the scope of this Agreement (“</w:t>
      </w:r>
      <w:r>
        <w:rPr>
          <w:rFonts w:ascii="Times New Roman" w:cs="Times New Roman" w:eastAsia="Times New Roman" w:hAnsi="Times New Roman"/>
          <w:sz w:val="18"/>
          <w:szCs w:val="18"/>
          <w:u w:val="single" w:color="auto"/>
          <w:color w:val="auto"/>
        </w:rPr>
        <w:t>Prior Inventions</w:t>
      </w:r>
      <w:r>
        <w:rPr>
          <w:rFonts w:ascii="Times New Roman" w:cs="Times New Roman" w:eastAsia="Times New Roman" w:hAnsi="Times New Roman"/>
          <w:sz w:val="18"/>
          <w:szCs w:val="18"/>
          <w:color w:val="auto"/>
        </w:rPr>
        <w:t xml:space="preserve">”), Executive has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 complete list of those Prior Inventions. If disclosure of any such Prior Invention would cause them to violate any prior confidentiality agreement, Executive understands that Executive is not to list such Prior Inventions in Exhibit A but is only to disclose a cursory name for each such invention, a listing of the party(ies) to whom it belongs and the fact that full disclosure as to such inventions has not been made for that reason. If there are any patents or patent applications in which Executive is named as an inventor, other than those that have been assigned to the Company (“</w:t>
      </w:r>
      <w:r>
        <w:rPr>
          <w:rFonts w:ascii="Times New Roman" w:cs="Times New Roman" w:eastAsia="Times New Roman" w:hAnsi="Times New Roman"/>
          <w:sz w:val="18"/>
          <w:szCs w:val="18"/>
          <w:u w:val="single" w:color="auto"/>
          <w:color w:val="auto"/>
        </w:rPr>
        <w:t>Other Patent Rights</w:t>
      </w:r>
      <w:r>
        <w:rPr>
          <w:rFonts w:ascii="Times New Roman" w:cs="Times New Roman" w:eastAsia="Times New Roman" w:hAnsi="Times New Roman"/>
          <w:sz w:val="18"/>
          <w:szCs w:val="18"/>
          <w:color w:val="auto"/>
        </w:rPr>
        <w:t>”), Executive has also listed those Other Patent Rights on Exhibit A. If no such disclosure is attached, Executive represents that there are no Prior Inventions or Other Patent Rights. If, in the course of his employment with the Company, Executive incorporates a Prior Invention into a Company product, process or machine, research or development program, or other work done for the Company, Executive hereby grants to the Company a nonexclusive, royalty-free, fully paid-up, irrevocable, worldwide license (with the full right to sublicense through multiple tiers) to make, have made, modify, use, sell, offer for sale and import such Prior Invention.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0" w:name="page261"/>
    <w:bookmarkEnd w:id="260"/>
    <w:p>
      <w:pPr>
        <w:jc w:val="both"/>
        <w:spacing w:after="0" w:line="282" w:lineRule="auto"/>
        <w:rPr>
          <w:sz w:val="20"/>
          <w:szCs w:val="20"/>
          <w:color w:val="auto"/>
        </w:rPr>
      </w:pPr>
      <w:r>
        <w:rPr>
          <w:rFonts w:ascii="Times New Roman" w:cs="Times New Roman" w:eastAsia="Times New Roman" w:hAnsi="Times New Roman"/>
          <w:sz w:val="18"/>
          <w:szCs w:val="18"/>
          <w:color w:val="auto"/>
        </w:rPr>
        <w:t>Notwithstanding the foregoing, Executive will not incorporate, or permit to be incorporated, Prior Inventions in any Company-Related Development without the Company’s prior written consent.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Agreement does not obligate Executive to assign to the Company any Development that, in the sole judgment of the Company, reasonably exercised, is developed entirely on Executive’s own time and does not relate to the business efforts or research and development efforts in which, during the period of his employment, the Company actually is engaged or reasonably would be engaged, and does not result from the use of premises or equipment owned or leased by the Company. However, Executive will also promptly disclose to the Company any such Developments for the purpose of determining whether they qualify for such exclusion. Executive understands that to the extent this Agreement is required to be construed in accordance with the laws of any state which precludes a requirement in an employee agreement to assign certain classes of inventions made by an employee, this Section 8(e) will be interpreted not to apply to any invention that a court rules and/or the Company agrees falls within such classes. Executive also hereby waives all claims to any moral rights or other special rights that Executive may have or accrue in any Company-Related Developments.</w:t>
      </w:r>
    </w:p>
    <w:p>
      <w:pPr>
        <w:spacing w:after="0" w:line="192" w:lineRule="exact"/>
        <w:rPr>
          <w:sz w:val="20"/>
          <w:szCs w:val="20"/>
          <w:color w:val="auto"/>
        </w:rPr>
      </w:pPr>
    </w:p>
    <w:p>
      <w:pPr>
        <w:jc w:val="both"/>
        <w:ind w:firstLine="1304"/>
        <w:spacing w:after="0" w:line="266" w:lineRule="auto"/>
        <w:tabs>
          <w:tab w:leader="none" w:pos="1534"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Documents and Other Materials</w:t>
      </w:r>
      <w:r>
        <w:rPr>
          <w:rFonts w:ascii="Times New Roman" w:cs="Times New Roman" w:eastAsia="Times New Roman" w:hAnsi="Times New Roman"/>
          <w:sz w:val="18"/>
          <w:szCs w:val="18"/>
          <w:color w:val="auto"/>
        </w:rPr>
        <w:t>. Executive will keep and maintain adequate and current records of all Proprietary Information and Company-Related Developments developed by them during his employment, which records will be available to and remain the sole property of the Company at all times.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files, letters, notes, memoranda, reports, records, data, sketches, drawings, notebooks, layouts, charts, quotations and proposals, specification sheets, blueprints, models, prototypes, or other written, photographic or other tangible material containing Proprietary Information, whether created by them or others, which come into his custody or possession, are the exclusive property of the Company to be used by them only in the performance of his duties for the Company. Any property situated on the Company’s premises and owned by the Company, including without limitation computers, disks and other storage media, filing cabinets or other work areas, is subject to inspection by the Company at any time with or without notice. In the event of the termination of his employment for any reason, Executive will deliver to the Company all Company property and equipment in his possession, custody or control, including all files, letters, notes, memoranda, reports, records, data, sketches, drawings, notebooks, layouts, charts, quotations and proposals, specification sheets, blueprints, models, prototypes, or other written, photographic or other tangible material containing Proprietary Information, and other materials of any nature pertaining to the Proprietary Information of the Company and to my work, and will not take or keep in his possession any of the foregoing or any copies.</w:t>
      </w:r>
    </w:p>
    <w:p>
      <w:pPr>
        <w:spacing w:after="0" w:line="194" w:lineRule="exact"/>
        <w:rPr>
          <w:sz w:val="20"/>
          <w:szCs w:val="20"/>
          <w:color w:val="auto"/>
        </w:rPr>
      </w:pPr>
    </w:p>
    <w:p>
      <w:pPr>
        <w:jc w:val="both"/>
        <w:ind w:firstLine="1304"/>
        <w:spacing w:after="0" w:line="254" w:lineRule="auto"/>
        <w:tabs>
          <w:tab w:leader="none" w:pos="1551"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 of Intellectual Property Rights</w:t>
      </w:r>
      <w:r>
        <w:rPr>
          <w:rFonts w:ascii="Times New Roman" w:cs="Times New Roman" w:eastAsia="Times New Roman" w:hAnsi="Times New Roman"/>
          <w:sz w:val="18"/>
          <w:szCs w:val="18"/>
          <w:color w:val="auto"/>
        </w:rPr>
        <w:t>. Executive will cooperate fully with the Company, both during and after his employment with the Company, with respect to the procurement, maintenance and enforcement of Intellectual Property Rights in Company- Related Developments. Executive will sign, both during and after his employment, all papers, including without limitation copyright applications, patent applications, declarations, oaths, assignments of priority rights, and powers of attorney, which the Company may deem necessary or desirable in order to protect its rights and interests in any Company-Related Development or Intellectual Property Rights therein. If the Company is unable, after reasonable effort, to secure his signature on any such papers, Executive hereby irrevocably designates and appoints each officer of the Company as his agent and attorney-in-fact to execute any such papers on his behalf, and to take any and all actions as the Company may deem necessary or desirable in order to protect its rights and interests in any Company-Related Development, including any Intellectual Property Rights therein.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1" w:name="page262"/>
    <w:bookmarkEnd w:id="261"/>
    <w:p>
      <w:pPr>
        <w:ind w:left="1560" w:hanging="256"/>
        <w:spacing w:after="0"/>
        <w:tabs>
          <w:tab w:leader="none" w:pos="1560"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and Noncompetition</w:t>
      </w:r>
      <w:r>
        <w:rPr>
          <w:rFonts w:ascii="Times New Roman" w:cs="Times New Roman" w:eastAsia="Times New Roman" w:hAnsi="Times New Roman"/>
          <w:sz w:val="18"/>
          <w:szCs w:val="18"/>
          <w:color w:val="auto"/>
        </w:rPr>
        <w:t>. In order to protect the Company’s Proprietary Information and goodwill, during his employment</w:t>
      </w:r>
    </w:p>
    <w:p>
      <w:pPr>
        <w:spacing w:after="0" w:line="27"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for a period of: (i) one (1) year following the Date of Termination, or (ii) two (2) years following the Date of Termination if Executive breaches his fiduciary duty to the Company or if Executive has unlawfully taken, physically or electronically, property belonging to the Company (in either case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184"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not, directly or indirectly, in any manner, other than for the benefit of the Company, solicit or transact any business with any of the customers or customer prospects of the Company or any of its suppliers. For purposes of this Agreement, (x) business shall include any business that researches, develops, manufactures, markets, sells or distributes a product or service that competes with a product or service of the Company, (y) customers shall include then current customers to which the Company provided products or services during the 12 months prior to the Date of Termination (the “</w:t>
      </w:r>
      <w:r>
        <w:rPr>
          <w:rFonts w:ascii="Times New Roman" w:cs="Times New Roman" w:eastAsia="Times New Roman" w:hAnsi="Times New Roman"/>
          <w:sz w:val="18"/>
          <w:szCs w:val="18"/>
          <w:u w:val="single" w:color="auto"/>
          <w:color w:val="auto"/>
        </w:rPr>
        <w:t>One Year Lookback</w:t>
      </w:r>
      <w:r>
        <w:rPr>
          <w:rFonts w:ascii="Times New Roman" w:cs="Times New Roman" w:eastAsia="Times New Roman" w:hAnsi="Times New Roman"/>
          <w:sz w:val="18"/>
          <w:szCs w:val="18"/>
          <w:color w:val="auto"/>
        </w:rPr>
        <w:t>”) and customer prospects shall include customer prospects that the Company solicited during the One Year Lookback and that Executive had significant contact with or learned confidential information about in the course of his employment, and (z) suppliers shall include then current suppliers and suppliers that provided services to or in connection with the Company during the One Year Lookback.</w:t>
      </w:r>
    </w:p>
    <w:p>
      <w:pPr>
        <w:spacing w:after="0" w:line="19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21"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not, directly or indirectly, in any manner, solicit, entice or attempt to persuade any employee or consultant of the Company to leave the Company for any reason or otherwise participate in or facilitate the hire, directly or through another entity, of any person who is then employed or engaged by the Company.</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51" w:lineRule="auto"/>
        <w:tabs>
          <w:tab w:leader="none" w:pos="2271"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(y) the Company terminates Executive’s employment without Cause (as defined below) or Executive has been laid off; or (z) the Company waives the restrictions upon post-employment activities set forth in this Section 8(h)(iii), then, the Company shall make garden leave payments to Executive for the postemployment portion of the Restricted Period (but for not more than 12 months following the end of Executive’s employment) at the rate of 50% of the highest annualized base salary paid to Executive by the Company within the two-year period preceding the last day of Executive’s employment (“</w:t>
      </w:r>
      <w:r>
        <w:rPr>
          <w:rFonts w:ascii="Times New Roman" w:cs="Times New Roman" w:eastAsia="Times New Roman" w:hAnsi="Times New Roman"/>
          <w:sz w:val="18"/>
          <w:szCs w:val="18"/>
          <w:u w:val="single" w:color="auto"/>
          <w:color w:val="auto"/>
        </w:rPr>
        <w:t>Garden Leave Pay</w:t>
      </w:r>
      <w:r>
        <w:rPr>
          <w:rFonts w:ascii="Times New Roman" w:cs="Times New Roman" w:eastAsia="Times New Roman" w:hAnsi="Times New Roman"/>
          <w:sz w:val="18"/>
          <w:szCs w:val="18"/>
          <w:color w:val="auto"/>
        </w:rPr>
        <w:t>”), and in exchange, Executive shall not directly or indirectly, whether as owner, partner, shareholder, director, manager, consultant, agent, employee, co-venturer or otherwise, anywhere in the world, engage or otherwise participate in any business that develops, manufactures or markets any products, or performs any services, that are competitive with the products or services of the Company, including, without limitation, any products or services that target amino acid homeostasis for therapeutic and health purposes via the use of amino acid modalities; or products or services that the Company or its affiliates, has under development or that are the subject of active planning at any time during his employment. For purposes of this Section 8(h)(iii) only, and notwithstanding anything to the contrary in any other part of this Agreement or any other agreement between the Company and Executive,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a reasonable and good faith basis for the Company to be dissatisfied with Executive job performance, Executive’s conduct or Executive’s behavior. Executive acknowledges that this covenant is necessary because the Company’s legitimate business interests cannot be adequately protected solely by the other covenants in this Agreement. Executive further acknowledges and agrees that any payments Executive receives pursuant to this Section 8(h)</w:t>
      </w:r>
    </w:p>
    <w:p>
      <w:pPr>
        <w:spacing w:after="0" w:line="11" w:lineRule="exact"/>
        <w:rPr>
          <w:rFonts w:ascii="Times New Roman" w:cs="Times New Roman" w:eastAsia="Times New Roman" w:hAnsi="Times New Roman"/>
          <w:sz w:val="18"/>
          <w:szCs w:val="18"/>
          <w:color w:val="auto"/>
        </w:rPr>
      </w:pPr>
    </w:p>
    <w:p>
      <w:pPr>
        <w:ind w:left="660" w:hanging="4"/>
        <w:spacing w:after="0" w:line="260" w:lineRule="auto"/>
        <w:tabs>
          <w:tab w:leader="none" w:pos="989"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reduce (and shall not be in addition to) any severance or separation pay that they are otherwise entitled to receive from the Company pursuant to this Agreement or otherwise.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2" w:name="page263"/>
    <w:bookmarkEnd w:id="262"/>
    <w:p>
      <w:pPr>
        <w:jc w:val="both"/>
        <w:ind w:firstLine="656"/>
        <w:spacing w:after="0" w:line="254" w:lineRule="auto"/>
        <w:tabs>
          <w:tab w:leader="none" w:pos="828"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 and Regulatory Cooperation</w:t>
      </w:r>
      <w:r>
        <w:rPr>
          <w:rFonts w:ascii="Times New Roman" w:cs="Times New Roman" w:eastAsia="Times New Roman" w:hAnsi="Times New Roman"/>
          <w:sz w:val="18"/>
          <w:szCs w:val="18"/>
          <w:color w:val="auto"/>
        </w:rPr>
        <w:t>. During and after the Executive’s employment, the Executive shall cooperate fully with the Company in the defense or prosecution of any claims or actions now in existence or which may be brought in the future against or on behalf of the Company which relate to events or occurrences that transpired while the Executive was employed by the Company. The Executive’s full cooperation in connection with such claims or actions shall include, but not be limited to, being available to meet with counsel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9.</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931"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 Contracts</w:t>
      </w:r>
      <w:r>
        <w:rPr>
          <w:rFonts w:ascii="Times New Roman" w:cs="Times New Roman" w:eastAsia="Times New Roman" w:hAnsi="Times New Roman"/>
          <w:sz w:val="18"/>
          <w:szCs w:val="18"/>
          <w:color w:val="auto"/>
        </w:rPr>
        <w:t>. Executive acknowledges that the Company may have from time to time agreements with other persons or with the United States Government or its agencies that impose obligations or restrictions on the Company regarding inventions made during the course of work under such agreements or regarding the confidential nature of such work. Executive agrees to comply with any such obligations or restrictions upon the direction of the Company. In addition to the rights assigned under Section 8(e), Executive also assigns to the Company (or any of its nominees) all rights that Executive has or acquired in any Developments, full title to which is required to be in the United States under any contract between the Company and the United States or any of its agencies.</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911"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 Agreements</w:t>
      </w:r>
      <w:r>
        <w:rPr>
          <w:rFonts w:ascii="Times New Roman" w:cs="Times New Roman" w:eastAsia="Times New Roman" w:hAnsi="Times New Roman"/>
          <w:sz w:val="18"/>
          <w:szCs w:val="18"/>
          <w:color w:val="auto"/>
        </w:rPr>
        <w:t>. Executive hereby represents that, except as Executive has fully disclosed previously in writing to the Company, Executive is not bound by the terms of any agreement with any previous or current employer or other party to refrain from using or disclosing any trade secret or confidential or proprietary information in the course of his employment with the Company or to refrain from competing, directly or indirectly, with the business of such employer or any other party. Executive further represents that his performance of all the terms of this Agreement as an employee of the Company does not and will not breach any agreement to keep in confidence proprietary information, knowledge or data acquired by them in confidence or in trust prior to Executive’s employment with the Company. Executive will not disclose to the Company or induce the Company to use any confidential or proprietary information or material belonging to any previous employer or others.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3" w:name="page264"/>
    <w:bookmarkEnd w:id="263"/>
    <w:p>
      <w:pPr>
        <w:jc w:val="both"/>
        <w:ind w:firstLine="656"/>
        <w:spacing w:after="0" w:line="254" w:lineRule="auto"/>
        <w:tabs>
          <w:tab w:leader="none" w:pos="945"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Upon Breach</w:t>
      </w:r>
      <w:r>
        <w:rPr>
          <w:rFonts w:ascii="Times New Roman" w:cs="Times New Roman" w:eastAsia="Times New Roman" w:hAnsi="Times New Roman"/>
          <w:sz w:val="18"/>
          <w:szCs w:val="18"/>
          <w:color w:val="auto"/>
        </w:rPr>
        <w:t>. Executive understands that the restrictions contained in Sections 8 and 9 of this Agreement (collectively, the “Continuing Obligations”) are necessary for the protection of the business and goodwill of the Company and Executive considers them to be reasonable for such purpose. Any breach of the Continuing Obligations is likely to cause the Company substantial and irrevocable damage and therefore, in the event of such breach, the Company, in addition to such other remedies which may be available, will be entitled to specific performance and other injunctive relief, without the posting of a bond. Executive further acknowledges that a court may render an award extending the Restricted Period as one of the remedies in the event of his violation of the Continuing Obligations. If Executive violates the Continuing Obligations, in addition to all other remedies available to the Company at law (including, without limitation, the Company’s right to discontinue any payments Executive may receive pursuant to this Agreement), in equity, and under contract, Executive agrees that Executive is obligated to pay all the Company’s costs of enforcement of this Agreement, including reasonable attorneys’ fees and expenses.</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931"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Voice, Image and Likeness</w:t>
      </w:r>
      <w:r>
        <w:rPr>
          <w:rFonts w:ascii="Times New Roman" w:cs="Times New Roman" w:eastAsia="Times New Roman" w:hAnsi="Times New Roman"/>
          <w:sz w:val="18"/>
          <w:szCs w:val="18"/>
          <w:color w:val="auto"/>
        </w:rPr>
        <w:t>. Executive gives the Company permission to use any and all of his voice, image and likeness, with or without using his name, in connection with the products and/or services of the Company, for the purposes of advertising and promoting such products and/or services and/or the Company, and/or for other purposes deemed appropriate by the Company in its reasonable discretion, except to the extent prohibited by law.</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Employment Obligation</w:t>
      </w:r>
      <w:r>
        <w:rPr>
          <w:rFonts w:ascii="Times New Roman" w:cs="Times New Roman" w:eastAsia="Times New Roman" w:hAnsi="Times New Roman"/>
          <w:sz w:val="18"/>
          <w:szCs w:val="18"/>
          <w:color w:val="auto"/>
        </w:rPr>
        <w:t>. Executive understands that this Agreement does not create an obligation on the Company or any other person to continue his employment. Executive acknowledges that, unless otherwise agreed in a formal written employment agreement signed on behalf of the Company by an authorized officer, his employment with the Company is at will and therefore may be terminated by the Company or Executive at any time and for any reason, with or without cause.</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945"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and Assignment by the Company</w:t>
      </w:r>
      <w:r>
        <w:rPr>
          <w:rFonts w:ascii="Times New Roman" w:cs="Times New Roman" w:eastAsia="Times New Roman" w:hAnsi="Times New Roman"/>
          <w:sz w:val="18"/>
          <w:szCs w:val="18"/>
          <w:color w:val="auto"/>
        </w:rPr>
        <w:t>. Executive understands that the Continuing Obligations will continue in accordance with his express terms regardless of any changes in Executive’s title, position, duties, salary, compensation or benefits or other terms and conditions of employment. Executive further understands that the Continuing Obligations will continue following the termination of his employment regardless of the manner of such termination and will be binding upon his heirs, executors and administrators. The Company will have the right to assign this Agreement to its affiliates, successors and assigns. Executive expressly consents to be bound by the provisions of this Agreement for the benefit of the Company or any parent, subsidiary or affiliate to whose employ Executive may be transferred without the necessity that this Agreement be resigned at the time of such transfer.</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918"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Resignation</w:t>
      </w:r>
      <w:r>
        <w:rPr>
          <w:rFonts w:ascii="Times New Roman" w:cs="Times New Roman" w:eastAsia="Times New Roman" w:hAnsi="Times New Roman"/>
          <w:sz w:val="18"/>
          <w:szCs w:val="18"/>
          <w:color w:val="auto"/>
        </w:rPr>
        <w:t>. If Executive elects to resign from his employment with the Company, Executive agrees to provide the Company with written notification of his resignation at least thirty (30) days prior to his intended resignation date. Such notice shall include information in reasonable detail about his post-employment job duties and other business activities, including the name and address of any subsequent employer and/or person or entity with whom or which Executive intends to engage in business activities during the Restricted Period and the nature of his job duties and other business activities. The Company may elect to waive all or part of the notice period in its sole discretion.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4" w:name="page265"/>
    <w:bookmarkEnd w:id="264"/>
    <w:p>
      <w:pPr>
        <w:jc w:val="both"/>
        <w:ind w:firstLine="656"/>
        <w:spacing w:after="0" w:line="266" w:lineRule="auto"/>
        <w:tabs>
          <w:tab w:leader="none" w:pos="931"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Post-Employment Notifications</w:t>
      </w:r>
      <w:r>
        <w:rPr>
          <w:rFonts w:ascii="Times New Roman" w:cs="Times New Roman" w:eastAsia="Times New Roman" w:hAnsi="Times New Roman"/>
          <w:sz w:val="18"/>
          <w:szCs w:val="18"/>
          <w:color w:val="auto"/>
        </w:rPr>
        <w:t>. During the Restricted Period, Executive will notify the Company of any change in his address and of each subsequent employment or business activity, including the name and address of his employer or other post-Company employment plans and the nature of his activities.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Disclosures During Restricted Period</w:t>
      </w:r>
      <w:r>
        <w:rPr>
          <w:rFonts w:ascii="Times New Roman" w:cs="Times New Roman" w:eastAsia="Times New Roman" w:hAnsi="Times New Roman"/>
          <w:sz w:val="18"/>
          <w:szCs w:val="18"/>
          <w:color w:val="auto"/>
        </w:rPr>
        <w:t>. Executive will provide a copy of this Agreement with all compensation terms redacted to any person or entity with whom Executive may enter into a business relationship, whether as an employee, consultant, partner, coventurer or otherwise, prior to entering into such business relationship during the Restricted Period only.</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18"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Company and Executive acknowledge and agree that the Company’s election not to provide Executive with Garden Leave Pay as set forth in Section 8(h)(iii) shall be deemed a waiver of Executive’s noncompetition obligations under Section 8(h)(iii). Otherwise, no waiver of any of Executive’s obligations under this Agreement shall be effective unless made in writing by the Company. The failure of the Company to require Executive’s performance of any term or obligation of this Agreement, or the waiver of any breach of this Agreement, shall not prevent the Company’s subsequent enforcement of such term or obligation or be deemed a waiver of any subsequent breach.</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94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provisions (or portions thereof) contained in this Agreement shall, for any reason, be held invalid, illegal or unenforceable in any respect, such invalidity, illegality or unenforceability shall not affect the other provisions of this Agreement, and this Agreement shall be construed as if such invalid, illegal or unenforceable provision had never been contained herein. If, moreover,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918"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 and Jurisdiction</w:t>
      </w:r>
      <w:r>
        <w:rPr>
          <w:rFonts w:ascii="Times New Roman" w:cs="Times New Roman" w:eastAsia="Times New Roman" w:hAnsi="Times New Roman"/>
          <w:sz w:val="18"/>
          <w:szCs w:val="18"/>
          <w:color w:val="auto"/>
        </w:rPr>
        <w:t xml:space="preserve">. This Agreement will be deemed to be made and entered into in the Commonwealth of Massachusetts, and will in all respects be interpreted, enforced and governed under the laws of the Commonwealth of Massachusetts. Executive hereby consents to personal jurisdiction of the state and federal courts situated within Massachusetts for purposes of enforcing this Agreement, and waive any objection that Executive might have to personal jurisdiction or venue in those courts, provided, however, the Company and Executive agree that all civil actions relating to Section 8 of this Agreement shall be brought in the county of Suffolk and that the superior court or the business litigation session of the superior court shall have exclusive jurisdiction. </w:t>
      </w:r>
      <w:r>
        <w:rPr>
          <w:rFonts w:ascii="Times New Roman" w:cs="Times New Roman" w:eastAsia="Times New Roman" w:hAnsi="Times New Roman"/>
          <w:sz w:val="18"/>
          <w:szCs w:val="18"/>
          <w:b w:val="1"/>
          <w:bCs w:val="1"/>
          <w:color w:val="auto"/>
        </w:rPr>
        <w:t>ANY ACTION, DEMAND, CLAIM OR COUNTERCLAIM ARISING UNDER OR RELATING TO THIS AGREEMENT</w:t>
      </w:r>
    </w:p>
    <w:p>
      <w:pPr>
        <w:spacing w:after="0" w:line="5"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 THE EXECUTIVE’S EMPLOYMENT WITH THE COMPANY, INCLUDING WITHOUT LIMITATION ANY CLAIMS OF DISCRIMINATION ARISING UNDER STATE OR FEDERAL LAW, WILL BE RESOLVED BY A JUDGE ALONE AND EACH OF THE COMPANY AND THE EXECUTIVE WAIVES ANY RIGHT TO A JURY TRIAL THEREOF</w:t>
      </w:r>
      <w:r>
        <w:rPr>
          <w:rFonts w:ascii="Times New Roman" w:cs="Times New Roman" w:eastAsia="Times New Roman" w:hAnsi="Times New Roman"/>
          <w:sz w:val="18"/>
          <w:szCs w:val="18"/>
          <w:color w:val="auto"/>
        </w:rPr>
        <w: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5" w:name="page266"/>
    <w:bookmarkEnd w:id="265"/>
    <w:p>
      <w:pPr>
        <w:jc w:val="both"/>
        <w:ind w:firstLine="656"/>
        <w:spacing w:after="0" w:line="266" w:lineRule="auto"/>
        <w:tabs>
          <w:tab w:leader="none" w:pos="931"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Independence of Obligations</w:t>
      </w:r>
      <w:r>
        <w:rPr>
          <w:rFonts w:ascii="Times New Roman" w:cs="Times New Roman" w:eastAsia="Times New Roman" w:hAnsi="Times New Roman"/>
          <w:sz w:val="18"/>
          <w:szCs w:val="18"/>
          <w:color w:val="auto"/>
        </w:rPr>
        <w:t>. Executive’s obligations under this Agreement are independent of any obligation, contractual or otherwise, the Company has to Executive. The Company’s breach of any such obligation shall not be a defense against the enforcement of this Agreement or otherwise limit Executive’s obligations under this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18"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Protected Disclosures</w:t>
      </w:r>
      <w:r>
        <w:rPr>
          <w:rFonts w:ascii="Times New Roman" w:cs="Times New Roman" w:eastAsia="Times New Roman" w:hAnsi="Times New Roman"/>
          <w:sz w:val="18"/>
          <w:szCs w:val="18"/>
          <w:color w:val="auto"/>
        </w:rPr>
        <w:t>. Executive understands that nothing contained in this Agreement limits his ability to communicate with any federal, state or local governmental agency or commission, including to provide documents or other information, without notice to the Company. Executive also understands that nothing in this Agreement limits his ability to share compensation information concerning them or others, except that this does not permit Executive to disclose compensation information concerning others that Executive obtains because his job responsibilities require or allow access to such information.</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Defend Trade Secrets Act of 2016</w:t>
      </w:r>
      <w:r>
        <w:rPr>
          <w:rFonts w:ascii="Times New Roman" w:cs="Times New Roman" w:eastAsia="Times New Roman" w:hAnsi="Times New Roman"/>
          <w:sz w:val="18"/>
          <w:szCs w:val="18"/>
          <w:color w:val="auto"/>
        </w:rPr>
        <w:t>. Executive understands that pursuant to the federal Defend Trade Secrets Act of 2016, Executive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31"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 to the Executive</w:t>
      </w:r>
      <w:r>
        <w:rPr>
          <w:rFonts w:ascii="Times New Roman" w:cs="Times New Roman" w:eastAsia="Times New Roman" w:hAnsi="Times New Roman"/>
          <w:sz w:val="18"/>
          <w:szCs w:val="18"/>
          <w:color w:val="auto"/>
        </w:rPr>
        <w:t>. This Agreement shall inure to the benefit of and be enforceable by the Executive’s personal representatives, executors, administrators, heirs, distributees, devisees and legatees. In the event of the Executive’s death after his termination of employment but prior to the completion by the Company of all payments due them under this Agreement, the Company shall continue such payments to the Executive’s beneficiary designated in writing to the Company prior to his death (or to his estate, if the Executive fails to make such designation).</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 to Company</w:t>
      </w:r>
      <w:r>
        <w:rPr>
          <w:rFonts w:ascii="Times New Roman" w:cs="Times New Roman" w:eastAsia="Times New Roman" w:hAnsi="Times New Roman"/>
          <w:sz w:val="18"/>
          <w:szCs w:val="18"/>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45"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6" w:name="page267"/>
    <w:bookmarkEnd w:id="266"/>
    <w:p>
      <w:pPr>
        <w:ind w:firstLine="656"/>
        <w:spacing w:after="0" w:line="282" w:lineRule="auto"/>
        <w:tabs>
          <w:tab w:leader="none" w:pos="918"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31"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Gender Neutral</w:t>
      </w:r>
      <w:r>
        <w:rPr>
          <w:rFonts w:ascii="Times New Roman" w:cs="Times New Roman" w:eastAsia="Times New Roman" w:hAnsi="Times New Roman"/>
          <w:sz w:val="18"/>
          <w:szCs w:val="18"/>
          <w:color w:val="auto"/>
        </w:rPr>
        <w:t>. Wherever used herein, a pronoun in the masculine gender shall be considered as including the feminine gender unless the context clearly indicates otherwise.</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931"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w:t>
      </w:r>
      <w:r>
        <w:rPr>
          <w:rFonts w:ascii="Times New Roman" w:cs="Times New Roman" w:eastAsia="Times New Roman" w:hAnsi="Times New Roman"/>
          <w:sz w:val="18"/>
          <w:szCs w:val="18"/>
          <w:color w:val="auto"/>
        </w:rPr>
        <w:t>. This Agreement constitutes the entire agreement between the Company and Executive with respect to the subject matter hereof, and supersedes all prior agreements or understandings, both written and oral, between the Company and Executive with respect to the subject matter hereof, including without limitation the offer between the Company and Executive, dated as of November 28, 2017, as amended, but does not in any way merge with or supersede any other confidentiality, assignment of inventions or other restrictive covenant agreement or obligation entered into by the Company and Executive, which agreements and obligations shall supplement, and shall not limit or be limited by, this Agreement. This Agreement may be amended only in a written agreement executed by a duly authorized officer of the Company and Executive.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effective on the date and year first above written.</w:t>
      </w:r>
    </w:p>
    <w:p>
      <w:pPr>
        <w:spacing w:after="0" w:line="200" w:lineRule="exact"/>
        <w:rPr>
          <w:sz w:val="20"/>
          <w:szCs w:val="20"/>
          <w:color w:val="auto"/>
        </w:rPr>
      </w:pPr>
    </w:p>
    <w:p>
      <w:pPr>
        <w:spacing w:after="0" w:line="23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9"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Jason Meyenburg</w:t>
      </w:r>
    </w:p>
    <w:p>
      <w:pPr>
        <w:spacing w:after="0" w:line="225"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7"/>
          <w:szCs w:val="17"/>
          <w:color w:val="auto"/>
        </w:rPr>
        <w:t>Its:</w:t>
        <w:tab/>
        <w:t>President and Chief Executive Officer</w:t>
      </w:r>
    </w:p>
    <w:p>
      <w:pPr>
        <w:spacing w:after="0" w:line="23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Scott Lauder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84607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Scott Lauder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268" w:name="page269"/>
    <w:bookmarkEnd w:id="2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GEMINI THERAPEUTICS, INC.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17145</wp:posOffset>
            </wp:positionV>
            <wp:extent cx="2348865"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8890</wp:posOffset>
            </wp:positionV>
            <wp:extent cx="2348865"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w:t>
      </w:r>
      <w:r>
        <w:rPr>
          <w:rFonts w:ascii="Times New Roman" w:cs="Times New Roman" w:eastAsia="Times New Roman" w:hAnsi="Times New Roman"/>
          <w:sz w:val="18"/>
          <w:szCs w:val="18"/>
          <w:b w:val="1"/>
          <w:bCs w:val="1"/>
          <w:color w:val="auto"/>
        </w:rPr>
        <w:t>Prior Inventions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complete list of all inventions or improvements relevant to the subject matter of my employment by the Company that have been made or conceived or first reduced to practice by me alone or jointly with others prior to my engagement by the Company:</w:t>
      </w:r>
    </w:p>
    <w:p>
      <w:pPr>
        <w:spacing w:after="0" w:line="162" w:lineRule="exact"/>
        <w:rPr>
          <w:sz w:val="20"/>
          <w:szCs w:val="20"/>
          <w:color w:val="auto"/>
        </w:rPr>
      </w:pPr>
    </w:p>
    <w:p>
      <w:pPr>
        <w:ind w:left="1500" w:hanging="648"/>
        <w:spacing w:after="0"/>
        <w:tabs>
          <w:tab w:leader="none" w:pos="1500" w:val="left"/>
        </w:tabs>
        <w:numPr>
          <w:ilvl w:val="0"/>
          <w:numId w:val="29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inventions or improvements</w:t>
      </w:r>
    </w:p>
    <w:p>
      <w:pPr>
        <w:spacing w:after="0" w:line="225" w:lineRule="exact"/>
        <w:rPr>
          <w:rFonts w:ascii="MS PGothic" w:cs="MS PGothic" w:eastAsia="MS PGothic" w:hAnsi="MS PGothic"/>
          <w:sz w:val="18"/>
          <w:szCs w:val="18"/>
          <w:color w:val="auto"/>
        </w:rPr>
      </w:pPr>
    </w:p>
    <w:p>
      <w:pPr>
        <w:ind w:left="1500" w:hanging="648"/>
        <w:spacing w:after="0"/>
        <w:tabs>
          <w:tab w:leader="none" w:pos="1500" w:val="left"/>
        </w:tabs>
        <w:numPr>
          <w:ilvl w:val="0"/>
          <w:numId w:val="29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291465</wp:posOffset>
            </wp:positionV>
            <wp:extent cx="276860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2768600" cy="17145"/>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582930</wp:posOffset>
            </wp:positionV>
            <wp:extent cx="276860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2768600" cy="17145"/>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874395</wp:posOffset>
            </wp:positionV>
            <wp:extent cx="276860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276860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500" w:hanging="648"/>
        <w:spacing w:after="0"/>
        <w:tabs>
          <w:tab w:leader="none" w:pos="1500" w:val="left"/>
        </w:tabs>
        <w:numPr>
          <w:ilvl w:val="0"/>
          <w:numId w:val="29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Additional sheets attached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list of all patents and patent applications in which Executive has been named as an inventor:</w:t>
      </w:r>
    </w:p>
    <w:p>
      <w:pPr>
        <w:spacing w:after="0" w:line="225" w:lineRule="exact"/>
        <w:rPr>
          <w:sz w:val="20"/>
          <w:szCs w:val="20"/>
          <w:color w:val="auto"/>
        </w:rPr>
      </w:pPr>
    </w:p>
    <w:p>
      <w:pPr>
        <w:ind w:left="1500" w:hanging="648"/>
        <w:spacing w:after="0"/>
        <w:tabs>
          <w:tab w:leader="none" w:pos="1500" w:val="left"/>
        </w:tabs>
        <w:numPr>
          <w:ilvl w:val="0"/>
          <w:numId w:val="29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MS PGothic" w:cs="MS PGothic" w:eastAsia="MS PGothic" w:hAnsi="MS PGothic"/>
          <w:sz w:val="18"/>
          <w:szCs w:val="18"/>
          <w:color w:val="auto"/>
        </w:rPr>
      </w:pPr>
    </w:p>
    <w:p>
      <w:pPr>
        <w:ind w:left="1500" w:hanging="648"/>
        <w:spacing w:after="0"/>
        <w:tabs>
          <w:tab w:leader="none" w:pos="1500" w:val="left"/>
        </w:tabs>
        <w:numPr>
          <w:ilvl w:val="0"/>
          <w:numId w:val="29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291465</wp:posOffset>
            </wp:positionV>
            <wp:extent cx="276860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2768600" cy="17145"/>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582930</wp:posOffset>
            </wp:positionV>
            <wp:extent cx="276860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2768600" cy="17145"/>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874395</wp:posOffset>
            </wp:positionV>
            <wp:extent cx="276860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276860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1303020</wp:posOffset>
            </wp:positionV>
            <wp:extent cx="713232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69" w:name="page270"/>
    <w:bookmarkEnd w:id="269"/>
    <w:p>
      <w:pPr>
        <w:jc w:val="right"/>
        <w:spacing w:after="0"/>
        <w:rPr>
          <w:sz w:val="20"/>
          <w:szCs w:val="20"/>
          <w:color w:val="auto"/>
        </w:rPr>
      </w:pPr>
      <w:r>
        <w:rPr>
          <w:rFonts w:ascii="Times New Roman" w:cs="Times New Roman" w:eastAsia="Times New Roman" w:hAnsi="Times New Roman"/>
          <w:sz w:val="18"/>
          <w:szCs w:val="18"/>
          <w:b w:val="1"/>
          <w:bCs w:val="1"/>
          <w:color w:val="auto"/>
        </w:rPr>
        <w:t>Exhibit 16.1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the Chief Accountant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read the statements of Gemini Therapeutics, Inc. included under Item 4.01 of its Form 8-K dated February 11, 2021. We agree with the statements concerning our Firm under Item 4.01, in which we were informed on February 5, 2021, of our dismissal following completion of the audit of FS Development Corp’s financial statements for the year ended December 31, 2020, which consists only of the accounts of the pre-Business Combination special purpose acquisition company (FS Development Corp.). We are not in a position to agree or disagree with other statements contained therein.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ectPr>
          <w:pgSz w:w="11900" w:h="16838" w:orient="portrait"/>
          <w:cols w:equalWidth="0" w:num="1">
            <w:col w:w="11240"/>
          </w:cols>
          <w:pgMar w:left="320" w:top="117" w:right="339" w:bottom="1440" w:gutter="0" w:footer="0" w:header="0"/>
        </w:sectPr>
      </w:pPr>
    </w:p>
    <w:bookmarkStart w:id="270" w:name="page271"/>
    <w:bookmarkEnd w:id="27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520" w:type="dxa"/>
            <w:vAlign w:val="bottom"/>
            <w:gridSpan w:val="3"/>
          </w:tcPr>
          <w:p>
            <w:pPr>
              <w:jc w:val="center"/>
              <w:ind w:right="3610"/>
              <w:spacing w:after="0"/>
              <w:rPr>
                <w:sz w:val="20"/>
                <w:szCs w:val="20"/>
                <w:color w:val="auto"/>
              </w:rPr>
            </w:pPr>
            <w:r>
              <w:rPr>
                <w:rFonts w:ascii="Times New Roman" w:cs="Times New Roman" w:eastAsia="Times New Roman" w:hAnsi="Times New Roman"/>
                <w:sz w:val="18"/>
                <w:szCs w:val="18"/>
                <w:b w:val="1"/>
                <w:bCs w:val="1"/>
                <w:i w:val="1"/>
                <w:iCs w:val="1"/>
                <w:color w:val="auto"/>
                <w:w w:val="99"/>
              </w:rPr>
              <w:t>LIST OF SUBSIDIARIES</w:t>
            </w:r>
          </w:p>
        </w:tc>
      </w:tr>
      <w:tr>
        <w:trPr>
          <w:trHeight w:val="432"/>
        </w:trPr>
        <w:tc>
          <w:tcPr>
            <w:tcW w:w="3720" w:type="dxa"/>
            <w:vAlign w:val="bottom"/>
          </w:tcPr>
          <w:p>
            <w:pPr>
              <w:spacing w:after="0"/>
              <w:rPr>
                <w:sz w:val="24"/>
                <w:szCs w:val="24"/>
                <w:color w:val="auto"/>
              </w:rPr>
            </w:pPr>
          </w:p>
        </w:tc>
        <w:tc>
          <w:tcPr>
            <w:tcW w:w="7520" w:type="dxa"/>
            <w:vAlign w:val="bottom"/>
            <w:gridSpan w:val="3"/>
          </w:tcPr>
          <w:p>
            <w:pPr>
              <w:jc w:val="center"/>
              <w:ind w:right="3630"/>
              <w:spacing w:after="0"/>
              <w:rPr>
                <w:sz w:val="20"/>
                <w:szCs w:val="20"/>
                <w:color w:val="auto"/>
              </w:rPr>
            </w:pPr>
            <w:r>
              <w:rPr>
                <w:rFonts w:ascii="Times New Roman" w:cs="Times New Roman" w:eastAsia="Times New Roman" w:hAnsi="Times New Roman"/>
                <w:sz w:val="18"/>
                <w:szCs w:val="18"/>
                <w:color w:val="auto"/>
                <w:w w:val="99"/>
              </w:rPr>
              <w:t>February 11, 2021</w:t>
            </w:r>
          </w:p>
        </w:tc>
      </w:tr>
      <w:tr>
        <w:trPr>
          <w:trHeight w:val="459"/>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Active Subsidiary</w:t>
            </w:r>
          </w:p>
        </w:tc>
        <w:tc>
          <w:tcPr>
            <w:tcW w:w="180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09"/>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Gemini Therapeutics Sub, Inc. (100%)</w:t>
            </w:r>
          </w:p>
        </w:tc>
        <w:tc>
          <w:tcPr>
            <w:tcW w:w="1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 in parentheses indicate Gemini Therapeutics, Inc.’s ownership</w:t>
      </w:r>
    </w:p>
    <w:p>
      <w:pPr>
        <w:sectPr>
          <w:pgSz w:w="11900" w:h="16838" w:orient="portrait"/>
          <w:cols w:equalWidth="0" w:num="1">
            <w:col w:w="11240"/>
          </w:cols>
          <w:pgMar w:left="320" w:top="117" w:right="339" w:bottom="1440" w:gutter="0" w:footer="0" w:header="0"/>
        </w:sectPr>
      </w:pPr>
    </w:p>
    <w:bookmarkStart w:id="271" w:name="page272"/>
    <w:bookmarkEnd w:id="27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FINANCIAL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combined balance sheet of Combined Entity as of September 30, 2020 and the unaudited pro forma combined statements of operations of Combined Entity for the year ended December 31, 2019 and nine months ended September 30, 2020 present the combination of the financial information of FS Development and Gemini after giving effect to the Business Combination, PIPE Investment and related adjustments described in the accompanying notes. FS Development and Gemini are collectively referred to herein as the “Companies”, and the Companies, subsequent to the Business Combination and PIPE Investment, are referred to herein as “Combined Entity”.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combined statements of operations for the year ended December 31, 2019 and the nine months ended September 30, 2020 give pro forma effect to the Business Combination and PIPE Investment as if they had occurred on January 1, 2019. The unaudited pro forma combined balance sheet as of September 30, 2020 gives pro forma effect to the Business Combination and PIPE Investment as if they were completed on September 30, 2020.</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pro forma combined financial information is based on and should be read in conjunction with the audited and unaudited historical financial statements of each of FS Development Corp. and Gemini and the notes thereto, as well as the disclosures contained in the sections titled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 of FS Development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 Operations of Gemini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unaudited pro forma combined financial statements have been presented for illustrative purposes only and do not necessarily reflect what Combined Entity’s financial condition or results of operations would have been had the Business Combination and PIPE Investment occurred on the dates indicated. Further, the unaudited pro forma combined financial information also may not be useful in predicting the future financial condition and results of operations of Combined Entity. The actual financial position and results of operations may differ significantly from the pro forma amounts reflected herein due to a variety of factors. The unaudited pro forma adjustments represent management’s estimates based on information available as of the date of these unaudited pro forma combined financial statements and are subject to change as additional information becomes available and analyses are performed.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5, 2021, the Combined Entity consummated the previously announced Business Combination pursuant to the Merger Agreement dated October 15, 2020 between FS Development and Gemini, under the terms of which, FS Development acquired Gemini, through which Merger Sub merged with and into Gemini, with Gemini becoming a wholly-owned subsidiary of FS Development Corp., referred to herein as Combined Entity, which became a publicly-listed entity. As a result of the Business Combination, the Combined Entity owns, directly or indirectly, all of the issued and outstanding equity interests of Gemini and the Gemini Equityholders hold a portion of the Combined Entity Common Stock.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pro forma combined financial statements presented herein reflect the redemption of 100 shares of Class A Common Stock by FS Development’s shareholders in conjunction with the shareholder vote on the Business Combination contemplated by the Merger Agreement at a meeting held on February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2" w:name="page273"/>
    <w:bookmarkEnd w:id="2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Prepaid expenses and other current assets</w:t>
      </w:r>
    </w:p>
    <w:p>
      <w:pPr>
        <w:spacing w:after="0" w:line="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held in Trust Account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offering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br w:type="column"/>
      </w:r>
    </w:p>
    <w:p>
      <w:pPr>
        <w:jc w:val="center"/>
        <w:ind w:right="4320"/>
        <w:spacing w:after="0"/>
        <w:rPr>
          <w:sz w:val="20"/>
          <w:szCs w:val="20"/>
          <w:color w:val="auto"/>
        </w:rPr>
      </w:pPr>
      <w:r>
        <w:rPr>
          <w:rFonts w:ascii="Times New Roman" w:cs="Times New Roman" w:eastAsia="Times New Roman" w:hAnsi="Times New Roman"/>
          <w:sz w:val="18"/>
          <w:szCs w:val="18"/>
          <w:b w:val="1"/>
          <w:bCs w:val="1"/>
          <w:color w:val="auto"/>
        </w:rPr>
        <w:t>COMBINED ENTITY</w:t>
      </w:r>
    </w:p>
    <w:p>
      <w:pPr>
        <w:spacing w:after="0" w:line="225" w:lineRule="exact"/>
        <w:rPr>
          <w:sz w:val="20"/>
          <w:szCs w:val="20"/>
          <w:color w:val="auto"/>
        </w:rPr>
      </w:pPr>
    </w:p>
    <w:p>
      <w:pPr>
        <w:jc w:val="center"/>
        <w:ind w:right="4320"/>
        <w:spacing w:after="0"/>
        <w:rPr>
          <w:sz w:val="20"/>
          <w:szCs w:val="20"/>
          <w:color w:val="auto"/>
        </w:rPr>
      </w:pPr>
      <w:r>
        <w:rPr>
          <w:rFonts w:ascii="Times New Roman" w:cs="Times New Roman" w:eastAsia="Times New Roman" w:hAnsi="Times New Roman"/>
          <w:sz w:val="18"/>
          <w:szCs w:val="18"/>
          <w:b w:val="1"/>
          <w:bCs w:val="1"/>
          <w:color w:val="auto"/>
        </w:rPr>
        <w:t>UNAUDITED PRO FORMA</w:t>
      </w:r>
    </w:p>
    <w:p>
      <w:pPr>
        <w:spacing w:after="0" w:line="225" w:lineRule="exact"/>
        <w:rPr>
          <w:sz w:val="20"/>
          <w:szCs w:val="20"/>
          <w:color w:val="auto"/>
        </w:rPr>
      </w:pPr>
    </w:p>
    <w:p>
      <w:pPr>
        <w:jc w:val="center"/>
        <w:ind w:right="4320"/>
        <w:spacing w:after="0"/>
        <w:rPr>
          <w:sz w:val="20"/>
          <w:szCs w:val="20"/>
          <w:color w:val="auto"/>
        </w:rPr>
      </w:pPr>
      <w:r>
        <w:rPr>
          <w:rFonts w:ascii="Times New Roman" w:cs="Times New Roman" w:eastAsia="Times New Roman" w:hAnsi="Times New Roman"/>
          <w:sz w:val="17"/>
          <w:szCs w:val="17"/>
          <w:b w:val="1"/>
          <w:bCs w:val="1"/>
          <w:color w:val="auto"/>
        </w:rPr>
        <w:t>COMBINED BALANCE SHEET</w:t>
      </w:r>
    </w:p>
    <w:p>
      <w:pPr>
        <w:spacing w:after="0" w:line="237" w:lineRule="exact"/>
        <w:rPr>
          <w:sz w:val="20"/>
          <w:szCs w:val="20"/>
          <w:color w:val="auto"/>
        </w:rPr>
      </w:pPr>
    </w:p>
    <w:p>
      <w:pPr>
        <w:jc w:val="center"/>
        <w:ind w:right="4320"/>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22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(in thousands)</w:t>
      </w:r>
    </w:p>
    <w:p>
      <w:pPr>
        <w:spacing w:after="0" w:line="221"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FSDC</w:t>
            </w: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Gemini</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5"/>
        </w:trPr>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(Historical)</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0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643"/>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1,438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13,215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191,441</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 (b), (c)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206,094</w:t>
            </w:r>
          </w:p>
        </w:tc>
      </w:tr>
      <w:tr>
        <w:trPr>
          <w:trHeight w:val="241"/>
        </w:trPr>
        <w:tc>
          <w:tcPr>
            <w:tcW w:w="1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r>
      <w:tr>
        <w:trPr>
          <w:trHeight w:val="198"/>
        </w:trPr>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1,608</w:t>
            </w: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14,206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191,441</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207,255</w:t>
            </w:r>
          </w:p>
        </w:tc>
      </w:tr>
      <w:tr>
        <w:trPr>
          <w:trHeight w:val="216"/>
        </w:trPr>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16"/>
        </w:trPr>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16"/>
        </w:trPr>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120,751</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(120,751)</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(1,341)</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122,359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16,253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69,349</w:t>
            </w: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207,961</w:t>
            </w:r>
          </w:p>
        </w:tc>
      </w:tr>
      <w:tr>
        <w:trPr>
          <w:trHeight w:val="21"/>
        </w:trPr>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-1345565</wp:posOffset>
            </wp:positionV>
            <wp:extent cx="7132320" cy="13716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-1054100</wp:posOffset>
            </wp:positionV>
            <wp:extent cx="7132320" cy="1460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-770890</wp:posOffset>
            </wp:positionV>
            <wp:extent cx="7132320" cy="1371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-496570</wp:posOffset>
            </wp:positionV>
            <wp:extent cx="7132320" cy="13716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-205105</wp:posOffset>
            </wp:positionV>
            <wp:extent cx="7132320" cy="17970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20" w:space="720"/>
            <w:col w:w="6900"/>
          </w:cols>
          <w:pgMar w:left="320" w:top="900" w:right="339" w:bottom="144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 (Deficit)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503</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6,683</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(1,695)</w:t>
            </w:r>
          </w:p>
        </w:tc>
        <w:tc>
          <w:tcPr>
            <w:tcW w:w="132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8"/>
              </w:rPr>
              <w:t>(a), (d), (e)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5,491</w:t>
            </w:r>
          </w:p>
        </w:tc>
        <w:tc>
          <w:tcPr>
            <w:tcW w:w="8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Franchise tax payable</w:t>
            </w: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tcPr>
          <w:p>
            <w:pPr>
              <w:spacing w:after="0"/>
              <w:rPr>
                <w:sz w:val="18"/>
                <w:szCs w:val="18"/>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w:t>
            </w:r>
          </w:p>
        </w:tc>
        <w:tc>
          <w:tcPr>
            <w:tcW w:w="13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(e)</w:t>
            </w:r>
          </w:p>
        </w:tc>
        <w:tc>
          <w:tcPr>
            <w:tcW w:w="2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Term loan, current portion</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3,750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3,750</w:t>
            </w:r>
          </w:p>
        </w:tc>
        <w:tc>
          <w:tcPr>
            <w:tcW w:w="80" w:type="dxa"/>
            <w:vAlign w:val="bottom"/>
            <w:shd w:val="clear" w:color="auto" w:fill="CCEEFF"/>
          </w:tcPr>
          <w:p>
            <w:pPr>
              <w:spacing w:after="0"/>
              <w:rPr>
                <w:sz w:val="18"/>
                <w:szCs w:val="18"/>
                <w:color w:val="auto"/>
              </w:rPr>
            </w:pPr>
          </w:p>
        </w:tc>
      </w:tr>
      <w:tr>
        <w:trPr>
          <w:trHeight w:val="23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notes, net</w:t>
            </w:r>
          </w:p>
        </w:tc>
        <w:tc>
          <w:tcPr>
            <w:tcW w:w="3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7,600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(7,600)</w:t>
            </w: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(f)</w:t>
            </w:r>
          </w:p>
        </w:tc>
        <w:tc>
          <w:tcPr>
            <w:tcW w:w="28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46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553</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18,033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(9,345)</w:t>
            </w: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9,241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4,226</w:t>
            </w:r>
          </w:p>
        </w:tc>
        <w:tc>
          <w:tcPr>
            <w:tcW w:w="340" w:type="dxa"/>
            <w:vAlign w:val="bottom"/>
          </w:tcPr>
          <w:p>
            <w:pPr>
              <w:spacing w:after="0"/>
              <w:rPr>
                <w:sz w:val="18"/>
                <w:szCs w:val="18"/>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(4,226)</w:t>
            </w: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(b)</w:t>
            </w:r>
          </w:p>
        </w:tc>
        <w:tc>
          <w:tcPr>
            <w:tcW w:w="2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r>
      <w:tr>
        <w:trPr>
          <w:trHeight w:val="24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net of current portion and discount</w:t>
            </w:r>
          </w:p>
        </w:tc>
        <w:tc>
          <w:tcPr>
            <w:tcW w:w="3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6,190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6,190</w:t>
            </w:r>
          </w:p>
        </w:tc>
        <w:tc>
          <w:tcPr>
            <w:tcW w:w="80" w:type="dxa"/>
            <w:vAlign w:val="bottom"/>
            <w:shd w:val="clear" w:color="auto" w:fill="CCEEFF"/>
          </w:tcPr>
          <w:p>
            <w:pPr>
              <w:spacing w:after="0"/>
              <w:rPr>
                <w:sz w:val="21"/>
                <w:szCs w:val="21"/>
                <w:color w:val="auto"/>
              </w:rPr>
            </w:pPr>
          </w:p>
        </w:tc>
      </w:tr>
      <w:tr>
        <w:trPr>
          <w:trHeight w:val="210"/>
        </w:trPr>
        <w:tc>
          <w:tcPr>
            <w:tcW w:w="462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4,779</w:t>
            </w:r>
          </w:p>
        </w:tc>
        <w:tc>
          <w:tcPr>
            <w:tcW w:w="24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24,531</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(13,571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15,739</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16"/>
        </w:trPr>
        <w:tc>
          <w:tcPr>
            <w:tcW w:w="4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47,113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(47,113)</w:t>
            </w: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(g)</w:t>
            </w:r>
          </w:p>
        </w:tc>
        <w:tc>
          <w:tcPr>
            <w:tcW w:w="2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5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3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33,336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(33,336)</w:t>
            </w:r>
          </w:p>
        </w:tc>
        <w:tc>
          <w:tcPr>
            <w:tcW w:w="132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(g)</w:t>
            </w:r>
          </w:p>
        </w:tc>
        <w:tc>
          <w:tcPr>
            <w:tcW w:w="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462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Total convertible preferred stock</w:t>
            </w: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80,449</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(80,449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subject to redemption</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112,580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(112,580)</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(g)</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A common stock</w:t>
            </w: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 common stock</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w:t>
            </w: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(g)</w:t>
            </w:r>
          </w:p>
        </w:tc>
        <w:tc>
          <w:tcPr>
            <w:tcW w:w="2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5,501</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9,773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282,368</w:t>
            </w:r>
          </w:p>
        </w:tc>
        <w:tc>
          <w:tcPr>
            <w:tcW w:w="132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(g)</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297,642</w:t>
            </w:r>
          </w:p>
        </w:tc>
        <w:tc>
          <w:tcPr>
            <w:tcW w:w="80" w:type="dxa"/>
            <w:vAlign w:val="bottom"/>
            <w:shd w:val="clear" w:color="auto" w:fill="CCEEFF"/>
          </w:tcPr>
          <w:p>
            <w:pPr>
              <w:spacing w:after="0"/>
              <w:rPr>
                <w:sz w:val="18"/>
                <w:szCs w:val="18"/>
                <w:color w:val="auto"/>
              </w:rPr>
            </w:pPr>
          </w:p>
        </w:tc>
      </w:tr>
      <w:tr>
        <w:trPr>
          <w:trHeight w:val="237"/>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(501)</w:t>
            </w:r>
          </w:p>
        </w:tc>
        <w:tc>
          <w:tcPr>
            <w:tcW w:w="340" w:type="dxa"/>
            <w:vAlign w:val="bottom"/>
          </w:tcPr>
          <w:p>
            <w:pPr>
              <w:spacing w:after="0"/>
              <w:rPr>
                <w:sz w:val="20"/>
                <w:szCs w:val="20"/>
                <w:color w:val="auto"/>
              </w:rPr>
            </w:pP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(98,506)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(6,414)</w:t>
            </w: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(g)</w:t>
            </w:r>
          </w:p>
        </w:tc>
        <w:tc>
          <w:tcPr>
            <w:tcW w:w="28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(105,421)</w:t>
            </w:r>
          </w:p>
        </w:tc>
      </w:tr>
      <w:tr>
        <w:trPr>
          <w:trHeight w:val="236"/>
        </w:trPr>
        <w:tc>
          <w:tcPr>
            <w:tcW w:w="46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(88,727</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275,949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192,222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122,359</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16,253</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69,349</w:t>
            </w:r>
          </w:p>
        </w:tc>
        <w:tc>
          <w:tcPr>
            <w:tcW w:w="13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207,961</w:t>
            </w:r>
          </w:p>
        </w:tc>
        <w:tc>
          <w:tcPr>
            <w:tcW w:w="80" w:type="dxa"/>
            <w:vAlign w:val="bottom"/>
          </w:tcPr>
          <w:p>
            <w:pPr>
              <w:spacing w:after="0"/>
              <w:rPr>
                <w:sz w:val="20"/>
                <w:szCs w:val="20"/>
                <w:color w:val="auto"/>
              </w:rPr>
            </w:pPr>
          </w:p>
        </w:tc>
      </w:tr>
      <w:tr>
        <w:trPr>
          <w:trHeight w:val="20"/>
        </w:trPr>
        <w:tc>
          <w:tcPr>
            <w:tcW w:w="4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73" w:name="page274"/>
    <w:bookmarkEnd w:id="273"/>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5"/>
          </w:tcPr>
          <w:p>
            <w:pPr>
              <w:jc w:val="center"/>
              <w:ind w:right="721"/>
              <w:spacing w:after="0"/>
              <w:rPr>
                <w:sz w:val="20"/>
                <w:szCs w:val="20"/>
                <w:color w:val="auto"/>
              </w:rPr>
            </w:pPr>
            <w:r>
              <w:rPr>
                <w:rFonts w:ascii="Times New Roman" w:cs="Times New Roman" w:eastAsia="Times New Roman" w:hAnsi="Times New Roman"/>
                <w:sz w:val="18"/>
                <w:szCs w:val="18"/>
                <w:b w:val="1"/>
                <w:bCs w:val="1"/>
                <w:color w:val="auto"/>
                <w:w w:val="99"/>
              </w:rPr>
              <w:t>COMBINED ENTITY</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620" w:type="dxa"/>
            <w:vAlign w:val="bottom"/>
          </w:tcPr>
          <w:p>
            <w:pPr>
              <w:spacing w:after="0"/>
              <w:rPr>
                <w:sz w:val="24"/>
                <w:szCs w:val="24"/>
                <w:color w:val="auto"/>
              </w:rPr>
            </w:pPr>
          </w:p>
        </w:tc>
        <w:tc>
          <w:tcPr>
            <w:tcW w:w="3700" w:type="dxa"/>
            <w:vAlign w:val="bottom"/>
            <w:gridSpan w:val="7"/>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UNAUDITED PRO FORMA COMBINED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12"/>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8"/>
              </w:rPr>
              <w:t>STATEMENT OF OPERATIONS FOR THE NINE MONTHS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620" w:type="dxa"/>
            <w:vAlign w:val="bottom"/>
          </w:tcPr>
          <w:p>
            <w:pPr>
              <w:spacing w:after="0"/>
              <w:rPr>
                <w:sz w:val="24"/>
                <w:szCs w:val="24"/>
                <w:color w:val="auto"/>
              </w:rPr>
            </w:pPr>
          </w:p>
        </w:tc>
        <w:tc>
          <w:tcPr>
            <w:tcW w:w="3700" w:type="dxa"/>
            <w:vAlign w:val="bottom"/>
            <w:gridSpan w:val="7"/>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ENDED SEPTEMBER 30, 2020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620" w:type="dxa"/>
            <w:vAlign w:val="bottom"/>
          </w:tcPr>
          <w:p>
            <w:pPr>
              <w:spacing w:after="0"/>
              <w:rPr>
                <w:sz w:val="24"/>
                <w:szCs w:val="24"/>
                <w:color w:val="auto"/>
              </w:rPr>
            </w:pPr>
          </w:p>
        </w:tc>
        <w:tc>
          <w:tcPr>
            <w:tcW w:w="3860" w:type="dxa"/>
            <w:vAlign w:val="bottom"/>
            <w:gridSpan w:val="9"/>
          </w:tcPr>
          <w:p>
            <w:pPr>
              <w:jc w:val="center"/>
              <w:ind w:left="70"/>
              <w:spacing w:after="0"/>
              <w:rPr>
                <w:sz w:val="20"/>
                <w:szCs w:val="20"/>
                <w:color w:val="auto"/>
              </w:rPr>
            </w:pPr>
            <w:r>
              <w:rPr>
                <w:rFonts w:ascii="Times New Roman" w:cs="Times New Roman" w:eastAsia="Times New Roman" w:hAnsi="Times New Roman"/>
                <w:sz w:val="18"/>
                <w:szCs w:val="18"/>
                <w:color w:val="auto"/>
                <w:w w:val="99"/>
              </w:rPr>
              <w:t>(in thousands, except share and per share amounts)</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FSDC</w:t>
            </w:r>
          </w:p>
        </w:tc>
        <w:tc>
          <w:tcPr>
            <w:tcW w:w="120" w:type="dxa"/>
            <w:vAlign w:val="bottom"/>
          </w:tcPr>
          <w:p>
            <w:pPr>
              <w:spacing w:after="0"/>
              <w:rPr>
                <w:sz w:val="24"/>
                <w:szCs w:val="24"/>
                <w:color w:val="auto"/>
              </w:rPr>
            </w:pPr>
          </w:p>
        </w:tc>
        <w:tc>
          <w:tcPr>
            <w:tcW w:w="120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Gemini</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3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20" w:type="dxa"/>
            <w:vAlign w:val="bottom"/>
          </w:tcPr>
          <w:p>
            <w:pPr>
              <w:spacing w:after="0"/>
              <w:rPr>
                <w:sz w:val="21"/>
                <w:szCs w:val="21"/>
                <w:color w:val="auto"/>
              </w:rPr>
            </w:pPr>
          </w:p>
        </w:tc>
        <w:tc>
          <w:tcPr>
            <w:tcW w:w="12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7"/>
              </w:rPr>
              <w:t>(Historical)</w:t>
            </w:r>
          </w:p>
        </w:tc>
        <w:tc>
          <w:tcPr>
            <w:tcW w:w="40" w:type="dxa"/>
            <w:vAlign w:val="bottom"/>
          </w:tcPr>
          <w:p>
            <w:pPr>
              <w:spacing w:after="0"/>
              <w:rPr>
                <w:sz w:val="21"/>
                <w:szCs w:val="21"/>
                <w:color w:val="auto"/>
              </w:rPr>
            </w:pPr>
          </w:p>
        </w:tc>
        <w:tc>
          <w:tcPr>
            <w:tcW w:w="132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120" w:type="dxa"/>
            <w:vAlign w:val="bottom"/>
          </w:tcPr>
          <w:p>
            <w:pPr>
              <w:spacing w:after="0"/>
              <w:rPr>
                <w:sz w:val="21"/>
                <w:szCs w:val="21"/>
                <w:color w:val="auto"/>
              </w:rPr>
            </w:pPr>
          </w:p>
        </w:tc>
        <w:tc>
          <w:tcPr>
            <w:tcW w:w="11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20,472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20,472</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3,774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50</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(h)</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4,276</w:t>
            </w:r>
          </w:p>
        </w:tc>
      </w:tr>
      <w:tr>
        <w:trPr>
          <w:trHeight w:val="249"/>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(50)</w:t>
            </w:r>
          </w:p>
        </w:tc>
        <w:tc>
          <w:tcPr>
            <w:tcW w:w="13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(h)</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6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502</w:t>
            </w:r>
          </w:p>
        </w:tc>
        <w:tc>
          <w:tcPr>
            <w:tcW w:w="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24,246</w:t>
            </w:r>
          </w:p>
        </w:tc>
        <w:tc>
          <w:tcPr>
            <w:tcW w:w="18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24,748</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3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(24,246</w:t>
            </w:r>
          </w:p>
        </w:tc>
        <w:tc>
          <w:tcPr>
            <w:tcW w:w="1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(24,748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3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(2,307)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(6,204)</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(i)</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(8,511)</w:t>
            </w:r>
          </w:p>
        </w:tc>
      </w:tr>
      <w:tr>
        <w:trPr>
          <w:trHeight w:val="216"/>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(711)</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(i)</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49"/>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8"/>
        </w:trPr>
        <w:tc>
          <w:tcPr>
            <w:tcW w:w="362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0" w:type="dxa"/>
            <w:vAlign w:val="bottom"/>
            <w:tcBorders>
              <w:top w:val="single" w:sz="8" w:color="CCEEFF"/>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(501</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(26,522</w:t>
            </w:r>
          </w:p>
        </w:tc>
        <w:tc>
          <w:tcPr>
            <w:tcW w:w="180" w:type="dxa"/>
            <w:vAlign w:val="bottom"/>
            <w:tcBorders>
              <w:top w:val="single" w:sz="8" w:color="CCEEFF"/>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 w:type="dxa"/>
            <w:vAlign w:val="bottom"/>
            <w:tcBorders>
              <w:top w:val="single" w:sz="8" w:color="CCEEFF"/>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(6,915</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CCEEFF"/>
              <w:bottom w:val="single" w:sz="8" w:color="CCEEFF"/>
            </w:tcBorders>
          </w:tcPr>
          <w:p>
            <w:pPr>
              <w:spacing w:after="0"/>
              <w:rPr>
                <w:sz w:val="24"/>
                <w:szCs w:val="24"/>
                <w:color w:val="auto"/>
              </w:rPr>
            </w:pPr>
          </w:p>
        </w:tc>
        <w:tc>
          <w:tcPr>
            <w:tcW w:w="220" w:type="dxa"/>
            <w:vAlign w:val="bottom"/>
            <w:tcBorders>
              <w:top w:val="single" w:sz="8" w:color="CCEEFF"/>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(33,938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3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Weighted common shares outstanding - Class A</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12,516,500</w:t>
            </w:r>
          </w:p>
        </w:tc>
        <w:tc>
          <w:tcPr>
            <w:tcW w:w="12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5,507,900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(j)</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45,301,990</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 - Class A</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(4.82)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(j)</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r>
      <w:tr>
        <w:trPr>
          <w:trHeight w:val="216"/>
        </w:trPr>
        <w:tc>
          <w:tcPr>
            <w:tcW w:w="3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common shares outstanding - Class B</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3,018,750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 - Class B</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bl>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4" w:name="page275"/>
    <w:bookmarkEnd w:id="2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Loss from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income</w:t>
      </w:r>
    </w:p>
    <w:p>
      <w:pPr>
        <w:spacing w:after="0" w:line="9" w:lineRule="exact"/>
        <w:rPr>
          <w:sz w:val="20"/>
          <w:szCs w:val="20"/>
          <w:color w:val="auto"/>
        </w:rPr>
      </w:pPr>
    </w:p>
    <w:p>
      <w:pPr>
        <w:ind w:right="440" w:firstLine="162"/>
        <w:spacing w:after="0" w:line="292" w:lineRule="auto"/>
        <w:rPr>
          <w:sz w:val="20"/>
          <w:szCs w:val="20"/>
          <w:color w:val="auto"/>
        </w:rPr>
      </w:pPr>
      <w:r>
        <w:rPr>
          <w:rFonts w:ascii="Times New Roman" w:cs="Times New Roman" w:eastAsia="Times New Roman" w:hAnsi="Times New Roman"/>
          <w:sz w:val="18"/>
          <w:szCs w:val="18"/>
          <w:color w:val="auto"/>
        </w:rPr>
        <w:t xml:space="preserve">Change in fair value of warrant liability </w:t>
      </w:r>
      <w:r>
        <w:rPr>
          <w:rFonts w:ascii="Times New Roman" w:cs="Times New Roman" w:eastAsia="Times New Roman" w:hAnsi="Times New Roman"/>
          <w:sz w:val="18"/>
          <w:szCs w:val="18"/>
          <w:b w:val="1"/>
          <w:bCs w:val="1"/>
          <w:color w:val="auto"/>
        </w:rPr>
        <w:t>Net loss</w:t>
      </w:r>
    </w:p>
    <w:p>
      <w:pPr>
        <w:spacing w:after="0" w:line="2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Weighted common shares outstanding - Class A Basic and diluted net loss per share - Class 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jc w:val="center"/>
              <w:ind w:right="761"/>
              <w:spacing w:after="0"/>
              <w:rPr>
                <w:sz w:val="20"/>
                <w:szCs w:val="20"/>
                <w:color w:val="auto"/>
              </w:rPr>
            </w:pPr>
            <w:r>
              <w:rPr>
                <w:rFonts w:ascii="Times New Roman" w:cs="Times New Roman" w:eastAsia="Times New Roman" w:hAnsi="Times New Roman"/>
                <w:sz w:val="18"/>
                <w:szCs w:val="18"/>
                <w:b w:val="1"/>
                <w:bCs w:val="1"/>
                <w:color w:val="auto"/>
                <w:w w:val="99"/>
              </w:rPr>
              <w:t>COMBINED ENTITY</w:t>
            </w: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560" w:type="dxa"/>
            <w:vAlign w:val="bottom"/>
            <w:gridSpan w:val="7"/>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UNAUDITED PRO FORMA COMBINED</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6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STATEMENT OF OPERATIONS FOR THE</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60" w:type="dxa"/>
            <w:vAlign w:val="bottom"/>
            <w:gridSpan w:val="7"/>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YEAR ENDED DECEMBER 31, 2019</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20" w:type="dxa"/>
            <w:vAlign w:val="bottom"/>
            <w:gridSpan w:val="8"/>
          </w:tcPr>
          <w:p>
            <w:pPr>
              <w:jc w:val="center"/>
              <w:ind w:right="870"/>
              <w:spacing w:after="0"/>
              <w:rPr>
                <w:sz w:val="20"/>
                <w:szCs w:val="20"/>
                <w:color w:val="auto"/>
              </w:rPr>
            </w:pPr>
            <w:r>
              <w:rPr>
                <w:rFonts w:ascii="Times New Roman" w:cs="Times New Roman" w:eastAsia="Times New Roman" w:hAnsi="Times New Roman"/>
                <w:sz w:val="18"/>
                <w:szCs w:val="18"/>
                <w:color w:val="auto"/>
                <w:w w:val="99"/>
              </w:rPr>
              <w:t>(in thousands, except share and per share amounts)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FSDC</w:t>
            </w:r>
          </w:p>
        </w:tc>
        <w:tc>
          <w:tcPr>
            <w:tcW w:w="120" w:type="dxa"/>
            <w:vAlign w:val="bottom"/>
          </w:tcPr>
          <w:p>
            <w:pPr>
              <w:spacing w:after="0"/>
              <w:rPr>
                <w:sz w:val="24"/>
                <w:szCs w:val="24"/>
                <w:color w:val="auto"/>
              </w:rPr>
            </w:pPr>
          </w:p>
        </w:tc>
        <w:tc>
          <w:tcPr>
            <w:tcW w:w="124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Gemini</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(Historical)</w:t>
            </w:r>
          </w:p>
        </w:tc>
        <w:tc>
          <w:tcPr>
            <w:tcW w:w="22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34,472</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34,472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6,753</w:t>
            </w:r>
          </w:p>
        </w:tc>
        <w:tc>
          <w:tcPr>
            <w:tcW w:w="1060" w:type="dxa"/>
            <w:vAlign w:val="bottom"/>
          </w:tcPr>
          <w:p>
            <w:pPr>
              <w:spacing w:after="0"/>
              <w:rPr>
                <w:sz w:val="20"/>
                <w:szCs w:val="20"/>
                <w:color w:val="auto"/>
              </w:rPr>
            </w:pPr>
          </w:p>
        </w:tc>
        <w:tc>
          <w:tcPr>
            <w:tcW w:w="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20" w:type="dxa"/>
            <w:vAlign w:val="bottom"/>
            <w:tcBorders>
              <w:bottom w:val="single" w:sz="8" w:color="auto"/>
            </w:tcBorders>
          </w:tcPr>
          <w:p>
            <w:pPr>
              <w:spacing w:after="0"/>
              <w:rPr>
                <w:sz w:val="19"/>
                <w:szCs w:val="19"/>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(41,225</w:t>
            </w:r>
          </w:p>
        </w:tc>
        <w:tc>
          <w:tcPr>
            <w:tcW w:w="220" w:type="dxa"/>
            <w:vAlign w:val="bottom"/>
            <w:vMerge w:val="continue"/>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(41,225</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(350)</w:t>
            </w:r>
          </w:p>
        </w:tc>
        <w:tc>
          <w:tcPr>
            <w:tcW w:w="1060" w:type="dxa"/>
            <w:vAlign w:val="bottom"/>
          </w:tcPr>
          <w:p>
            <w:pPr>
              <w:spacing w:after="0"/>
              <w:rPr>
                <w:sz w:val="24"/>
                <w:szCs w:val="24"/>
                <w:color w:val="auto"/>
              </w:rPr>
            </w:pPr>
          </w:p>
        </w:tc>
        <w:tc>
          <w:tcPr>
            <w:tcW w:w="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177</w:t>
            </w:r>
          </w:p>
        </w:tc>
        <w:tc>
          <w:tcPr>
            <w:tcW w:w="1060" w:type="dxa"/>
            <w:vAlign w:val="bottom"/>
          </w:tcPr>
          <w:p>
            <w:pPr>
              <w:spacing w:after="0"/>
              <w:rPr>
                <w:sz w:val="18"/>
                <w:szCs w:val="18"/>
                <w:color w:val="auto"/>
              </w:rPr>
            </w:pPr>
          </w:p>
        </w:tc>
        <w:tc>
          <w:tcPr>
            <w:tcW w:w="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tcPr>
          <w:p>
            <w:pPr>
              <w:spacing w:after="0"/>
              <w:rPr>
                <w:sz w:val="22"/>
                <w:szCs w:val="22"/>
                <w:color w:val="auto"/>
              </w:rPr>
            </w:pPr>
          </w:p>
        </w:tc>
        <w:tc>
          <w:tcPr>
            <w:tcW w:w="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8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(41,400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(41,400</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5,171,537</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(j)</w:t>
            </w:r>
          </w:p>
        </w:tc>
        <w:tc>
          <w:tcPr>
            <w:tcW w:w="12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45,301,990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(8.01)</w:t>
            </w: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(j)</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-1928495</wp:posOffset>
            </wp:positionV>
            <wp:extent cx="7132320" cy="13716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-1637030</wp:posOffset>
            </wp:positionV>
            <wp:extent cx="7132320" cy="15430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-1328420</wp:posOffset>
            </wp:positionV>
            <wp:extent cx="7132320" cy="1460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-1045210</wp:posOffset>
            </wp:positionV>
            <wp:extent cx="7132320" cy="13716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-770890</wp:posOffset>
            </wp:positionV>
            <wp:extent cx="7132320" cy="15430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-436880</wp:posOffset>
            </wp:positionV>
            <wp:extent cx="7132320" cy="16319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-136525</wp:posOffset>
            </wp:positionV>
            <wp:extent cx="7132320" cy="13716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8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10795</wp:posOffset>
            </wp:positionV>
            <wp:extent cx="713232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460" w:space="340"/>
            <w:col w:w="7400"/>
          </w:cols>
          <w:pgMar w:left="320" w:top="900" w:right="37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color w:val="auto"/>
        </w:rPr>
        <w:t>Note 1 – Description of the Business Combination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5, 2021, the Combined Entity consummated the previously announced Business Combination pursuant to the Merger Agreement dated October 15, 2020 between FS Development and Gemini, under the terms of which, FS Development acquired Gemini, through which Merger Sub merged with and into Gemini, with Gemini becoming a wholly-owned subsidiary of FS Development Corp., referred to herein as Combined Entity, which became a publicly-listed entity. As a result of the Business Combination, the Combined Entity owns, directly or indirectly, all of the issued and outstanding equity interests of Gemini and the Gemini Equityholders hold a portion of the Combined Entity Common Stock.</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Merger Agreement, Gemini Equityholders received an aggregate number of shares of Combined Entity Common Stock equal to (i) $215.0 million, divided by (ii) $10.00, or 21,500,000 shares. The final conversion ratio used to calculate the final Merger Consideration was .2180, resulting in 17,942,274 shares issued for all issued and outstanding Gemini common stock and preferred stock, 2,318,566 shares issued for Gemini’s underlying vested, unvested, and unexercised options and warrants, and 1,239,160 shares reserved for issuance under the 2021 Stock Option and Incentive Plan. In connection with the closing of the Business Combination, certain investors agreed to subscribe for and purchase an aggregate of $95.1 million of common stock of Combined Entity (the “PIPE Investment”).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number of Combined Entity Common Stock outstanding following the consummation of the Business Combination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 Investment: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20" w:type="dxa"/>
            <w:vAlign w:val="bottom"/>
          </w:tcPr>
          <w:p>
            <w:pPr>
              <w:spacing w:after="0"/>
              <w:rPr>
                <w:sz w:val="21"/>
                <w:szCs w:val="21"/>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FS Development public stockholders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12,074,900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FS Development Sponsor and Directors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3,460,250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Gemini Stockholders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20,260,840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PIPE - Gemini Stockholders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1,560,000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 FS Development Sponsor</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1,500,000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PIPE - Other Investors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6,446,000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7"/>
        </w:trPr>
        <w:tc>
          <w:tcPr>
            <w:tcW w:w="8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line="20" w:lineRule="exact"/>
              <w:rPr>
                <w:sz w:val="1"/>
                <w:szCs w:val="1"/>
                <w:color w:val="auto"/>
              </w:rPr>
            </w:pPr>
          </w:p>
        </w:tc>
      </w:tr>
      <w:tr>
        <w:trPr>
          <w:trHeight w:val="250"/>
        </w:trPr>
        <w:tc>
          <w:tcPr>
            <w:tcW w:w="8620" w:type="dxa"/>
            <w:vAlign w:val="bottom"/>
            <w:vMerge w:val="continue"/>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45,301,990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historical financial information of FS Development and Gemini has been adjusted in the unaudited pro forma combined financial information to give effect to events that are (1) directly attributable to the Business Combination and the PIPE Investment, (2) factually supportable, and (3) with respect to the statements of operations, expected to have a continuing impact on the combined results. The pro forma adjustments are prepared to illustrate the estimated effect of the Business Combination and the PIPE Investment and certain other adjustments.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Business Combination will be accounted for as a reverse recapitalization because Gemini has been determined to be the accounting acquirer under Financial Accounting Standards Board’s Accounting Standards Codification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determination is primarily based on the evaluation of the following facts and circumstances:</w:t>
      </w:r>
    </w:p>
    <w:p>
      <w:pPr>
        <w:spacing w:after="0" w:line="176" w:lineRule="exact"/>
        <w:rPr>
          <w:sz w:val="20"/>
          <w:szCs w:val="20"/>
          <w:color w:val="auto"/>
        </w:rPr>
      </w:pPr>
    </w:p>
    <w:p>
      <w:pPr>
        <w:ind w:left="660" w:hanging="328"/>
        <w:spacing w:after="0"/>
        <w:tabs>
          <w:tab w:leader="none" w:pos="6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pre-combination equity holders of Gemini will hold the majority of voting rights in Combined Entity;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pre-combination equity holders of Gemini will have the right to appoint the majority of the directors on the Combined Entity Board;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management of Gemini will comprise the senior management of Combined Entity;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Gemini will comprise the ongoing operations of Combined Entity.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reverse recapitalization model, the Business Combination will be treated as Gemini issuing equity for the net assets of FS Development, with no goodwill or intangible assets recorded.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actual facts are different than these assumptions, then the amounts and shares outstanding in the unaudited pro forma combined financial information will be different.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Combined Entity entered into new equity awards with its employees upon the consummation of the Business Combination. The terms of these new equity awards were not changed or amended from the original awards. Accordingly, no effect was given to the unaudited pro forma combined financial information for the new awards.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pro forma combined financial information does not reflect the income tax effects of the pro forma adjustments as any change in the deferred tax balance would be offset by an increase in the valuation allowance given Gemini incurred significant losses during the historical periods presented.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color w:val="auto"/>
        </w:rPr>
        <w:t>Note 3 – Pro Forma Adjustments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 to the Unaudited Pro Forma Combined Balance Sheet as of September 30, 2020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 forma adjustments included in the unaudited pro forma combined balance sheet as of September 30, 2020 are as follows:</w:t>
      </w:r>
    </w:p>
    <w:p>
      <w:pPr>
        <w:spacing w:after="0" w:line="156" w:lineRule="exact"/>
        <w:rPr>
          <w:sz w:val="20"/>
          <w:szCs w:val="20"/>
          <w:color w:val="auto"/>
        </w:rPr>
      </w:pPr>
    </w:p>
    <w:p>
      <w:pPr>
        <w:ind w:left="340" w:right="1880" w:hanging="8"/>
        <w:spacing w:after="0" w:line="422" w:lineRule="auto"/>
        <w:tabs>
          <w:tab w:leader="none" w:pos="664" w:val="left"/>
        </w:tabs>
        <w:numPr>
          <w:ilvl w:val="0"/>
          <w:numId w:val="30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Cash. </w:t>
      </w:r>
      <w:r>
        <w:rPr>
          <w:rFonts w:ascii="Times New Roman" w:cs="Times New Roman" w:eastAsia="Times New Roman" w:hAnsi="Times New Roman"/>
          <w:sz w:val="18"/>
          <w:szCs w:val="18"/>
          <w:color w:val="auto"/>
        </w:rPr>
        <w:t>Represents the impact of the Business Combination and PIPE Investment on the cash balance of Combined 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table below represents the sources and uses of funds as it relates to the Business Combination: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FS Development cash held in Trust Account</w:t>
            </w: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120,751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PIPE - FS Development Sponsor</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 Gemini Shareholders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PIPE Investors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64,460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to redeeming FS Development Stockholders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deferred underwriting commissions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(4,226)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FS Development accrued transaction costs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Payment of FS Development incremental transaction costs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(11,561)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Gemini accrued transaction costs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Payment of Gemini incremental transaction costs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(6,837)</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Excess cash to balance sheet from Business Combination</w:t>
            </w: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191,441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0" w:hanging="332"/>
        <w:spacing w:after="0"/>
        <w:tabs>
          <w:tab w:leader="none" w:pos="34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of the restricted investments and cash held in the trust account upon consummation of the Business Combination at Closing.</w:t>
      </w:r>
    </w:p>
    <w:p>
      <w:pPr>
        <w:spacing w:after="0" w:line="15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issuance, in the PIPE Investment, to certain investors of 9,506,000 shares of Combined Entity common stock at a price of $10.00 per share.</w:t>
      </w:r>
    </w:p>
    <w:p>
      <w:pPr>
        <w:spacing w:after="0" w:line="9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paid to FS Development stockholders who exercised their redemption rights.</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payment of deferred FS Development IPO underwriting commissions by FS Development.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payment of FS Development accrued and incremental transaction costs related to the Business Combination (See Note 3(b)(2) and 3(b)(3)).</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payment of Gemini accrued and incremental transaction costs related to the Business Combination (See Note 3(b)(4) and 3(b)(5)).</w:t>
      </w:r>
    </w:p>
    <w:p>
      <w:pPr>
        <w:spacing w:after="0" w:line="15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0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Business Combination costs</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i w:val="1"/>
          <w:iCs w:val="1"/>
          <w:color w:val="auto"/>
        </w:rPr>
      </w:pPr>
    </w:p>
    <w:p>
      <w:pPr>
        <w:jc w:val="both"/>
        <w:ind w:left="980" w:hanging="324"/>
        <w:spacing w:after="0" w:line="266" w:lineRule="auto"/>
        <w:tabs>
          <w:tab w:leader="none" w:pos="980" w:val="left"/>
        </w:tabs>
        <w:numPr>
          <w:ilvl w:val="2"/>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deferred FS Development IPO underwriting commissions incurred by FS Development in the amount of $4.2 million (see Note 3(a)(4)). The unaudited pro forma combined balance sheet reflects payment of these costs as a reduction of cash, with a corresponding decrease in deferred underwriting commission liability.</w:t>
      </w:r>
    </w:p>
    <w:p>
      <w:pPr>
        <w:spacing w:after="0" w:line="10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2"/>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FS Development accrued transaction costs related to the Business Combination and the PIPE Investment in the amount of $0.4 million (see Note 3(a)(5)). The unaudited pro forma combined balance sheet reflects these costs as a reduction of cash, with a corresponding decrease in accounts payable and accrued expenses.</w:t>
      </w:r>
    </w:p>
    <w:p>
      <w:pPr>
        <w:spacing w:after="0" w:line="10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2"/>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FS Development incremental expenses related to the Business Combination and the PIPE Investment in the amount of $11.6 million (see Note 3(a)(5)). The unaudited pro forma combined balance sheet reflects these costs as a reduction of cash, with a corresponding decrease in additional paid-in capital (see Note 3(g)).</w:t>
      </w:r>
    </w:p>
    <w:p>
      <w:pPr>
        <w:spacing w:after="0" w:line="10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2"/>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Gemini accrued transaction costs related to the Business Combination and the PIPE Investment in the amount of $1.3 million (see Note 3(a)(6)). The unaudited pro forma combined balance sheet reflects these costs as a reduction of cash, with a corresponding decrease in deferred offering costs.</w:t>
      </w:r>
    </w:p>
    <w:p>
      <w:pPr>
        <w:spacing w:after="0" w:line="10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2"/>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Gemini incremental expenses related to the Business Combination and the PIPE Investment in the amount of $6.8 million (see Note 3(a)(6)). The unaudited pro forma combined balance sheet reflects these costs as a reduction of cash, with a corresponding decrease in additional paid-in capital (see Note 3(g)).</w:t>
      </w:r>
    </w:p>
    <w:p>
      <w:pPr>
        <w:spacing w:after="0" w:line="106"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1"/>
          <w:numId w:val="30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Trust Account</w:t>
      </w:r>
      <w:r>
        <w:rPr>
          <w:rFonts w:ascii="Times New Roman" w:cs="Times New Roman" w:eastAsia="Times New Roman" w:hAnsi="Times New Roman"/>
          <w:sz w:val="18"/>
          <w:szCs w:val="18"/>
          <w:color w:val="auto"/>
        </w:rPr>
        <w:t>. Represents release of the restricted investments and cash held in the FS Development trust account upon consummation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Combination (See Note 3(a)(1)).</w:t>
      </w:r>
    </w:p>
    <w:p>
      <w:pPr>
        <w:spacing w:after="0" w:line="90" w:lineRule="exact"/>
        <w:rPr>
          <w:rFonts w:ascii="Times New Roman" w:cs="Times New Roman" w:eastAsia="Times New Roman" w:hAnsi="Times New Roman"/>
          <w:sz w:val="18"/>
          <w:szCs w:val="18"/>
          <w:i w:val="1"/>
          <w:iCs w:val="1"/>
          <w:color w:val="auto"/>
        </w:rPr>
      </w:pPr>
    </w:p>
    <w:p>
      <w:pPr>
        <w:jc w:val="both"/>
        <w:ind w:left="660" w:hanging="328"/>
        <w:spacing w:after="0" w:line="267" w:lineRule="auto"/>
        <w:tabs>
          <w:tab w:leader="none" w:pos="660" w:val="left"/>
        </w:tabs>
        <w:numPr>
          <w:ilvl w:val="1"/>
          <w:numId w:val="30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Capitalization of Gemini transaction costs</w:t>
      </w:r>
      <w:r>
        <w:rPr>
          <w:rFonts w:ascii="Times New Roman" w:cs="Times New Roman" w:eastAsia="Times New Roman" w:hAnsi="Times New Roman"/>
          <w:sz w:val="18"/>
          <w:szCs w:val="18"/>
          <w:color w:val="auto"/>
        </w:rPr>
        <w:t>. Reflects recognition of Gemini’s capitalized transaction expenses related to the Business Combination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$1.3 million as a reduction to equity proceeds. The unaudited pro forma combined balance sheet reflects this adjustment as a reduction to deferred offering costs, with a corresponding decrease in additional paid-in capital (see Note 3(g)).</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7" w:name="page278"/>
    <w:bookmarkEnd w:id="277"/>
    <w:p>
      <w:pPr>
        <w:ind w:left="660" w:hanging="328"/>
        <w:spacing w:after="0" w:line="284" w:lineRule="auto"/>
        <w:tabs>
          <w:tab w:leader="none" w:pos="660" w:val="left"/>
        </w:tabs>
        <w:numPr>
          <w:ilvl w:val="0"/>
          <w:numId w:val="30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Franchise tax payable</w:t>
      </w:r>
      <w:r>
        <w:rPr>
          <w:rFonts w:ascii="Times New Roman" w:cs="Times New Roman" w:eastAsia="Times New Roman" w:hAnsi="Times New Roman"/>
          <w:sz w:val="18"/>
          <w:szCs w:val="18"/>
          <w:color w:val="auto"/>
        </w:rPr>
        <w:t>. Reflects the reclassification of FS Development’s franchise tax payable to align with the balance sheet presentation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Gemini.</w:t>
      </w:r>
    </w:p>
    <w:p>
      <w:pPr>
        <w:spacing w:after="0" w:line="77" w:lineRule="exact"/>
        <w:rPr>
          <w:rFonts w:ascii="Times New Roman" w:cs="Times New Roman" w:eastAsia="Times New Roman" w:hAnsi="Times New Roman"/>
          <w:sz w:val="18"/>
          <w:szCs w:val="18"/>
          <w:i w:val="1"/>
          <w:iCs w:val="1"/>
          <w:color w:val="auto"/>
        </w:rPr>
      </w:pPr>
    </w:p>
    <w:p>
      <w:pPr>
        <w:jc w:val="both"/>
        <w:ind w:left="660" w:hanging="328"/>
        <w:spacing w:after="0" w:line="256" w:lineRule="auto"/>
        <w:tabs>
          <w:tab w:leader="none" w:pos="660" w:val="left"/>
        </w:tabs>
        <w:numPr>
          <w:ilvl w:val="0"/>
          <w:numId w:val="30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Convertible notes</w:t>
      </w:r>
      <w:r>
        <w:rPr>
          <w:rFonts w:ascii="Times New Roman" w:cs="Times New Roman" w:eastAsia="Times New Roman" w:hAnsi="Times New Roman"/>
          <w:sz w:val="18"/>
          <w:szCs w:val="18"/>
          <w:color w:val="auto"/>
        </w:rPr>
        <w:t>. On August 21, 2020, Gemini entered into a purchase agreement with various investors to issue $14.0 million in convertible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promissory notes (“Notes”). The Notes accrue simple interest at 8% per annum. Gemini determined that a beneficial conversion feature (“BCF”) exists and should be recognized on the issuance date. It recorded the Notes at the original issue price, net of the BCF discount. Principal and interest are convertible into Series B preferred stock at a per share conversion price of $1.3513 prior to the effective date of the Business Combination. The proforma disclosures reflect the conversion of the Notes to Series B preferred stock on February 5, 2021, and a reacquisition price of $22.9 million representing the fair value of Series B preferred stock upon conversion. The adjustments reflect the conversion of the notes to Series B preferred stock, and the impact of conversion on additional paid-in capital and accumulated deficit.</w:t>
      </w:r>
    </w:p>
    <w:p>
      <w:pPr>
        <w:spacing w:after="0" w:line="101"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60" w:val="left"/>
        </w:tabs>
        <w:numPr>
          <w:ilvl w:val="0"/>
          <w:numId w:val="30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Impact on equity</w:t>
      </w:r>
      <w:r>
        <w:rPr>
          <w:rFonts w:ascii="Times New Roman" w:cs="Times New Roman" w:eastAsia="Times New Roman" w:hAnsi="Times New Roman"/>
          <w:sz w:val="18"/>
          <w:szCs w:val="18"/>
          <w:color w:val="auto"/>
        </w:rPr>
        <w:t>. The following table represents the impact of the Business Combination and PIPE Investment on the number of shares of FS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Class A Common Stock and represents the total equity:</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08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20"/>
                <w:szCs w:val="20"/>
                <w:color w:val="auto"/>
              </w:rPr>
            </w:pPr>
          </w:p>
        </w:tc>
        <w:tc>
          <w:tcPr>
            <w:tcW w:w="158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Par Value</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000" w:type="dxa"/>
            <w:vAlign w:val="bottom"/>
          </w:tcPr>
          <w:p>
            <w:pPr>
              <w:spacing w:after="0"/>
              <w:rPr>
                <w:sz w:val="18"/>
                <w:szCs w:val="18"/>
                <w:color w:val="auto"/>
              </w:rPr>
            </w:pPr>
          </w:p>
        </w:tc>
        <w:tc>
          <w:tcPr>
            <w:tcW w:w="104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9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Gemini’s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1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0" w:type="dxa"/>
            <w:vAlign w:val="bottom"/>
          </w:tcPr>
          <w:p>
            <w:pPr>
              <w:spacing w:after="0"/>
              <w:rPr>
                <w:sz w:val="1"/>
                <w:szCs w:val="1"/>
                <w:color w:val="auto"/>
              </w:rPr>
            </w:pPr>
          </w:p>
        </w:tc>
      </w:tr>
      <w:tr>
        <w:trPr>
          <w:trHeight w:val="245"/>
        </w:trPr>
        <w:tc>
          <w:tcPr>
            <w:tcW w:w="4000" w:type="dxa"/>
            <w:vAlign w:val="bottom"/>
          </w:tcPr>
          <w:p>
            <w:pPr>
              <w:spacing w:after="0"/>
              <w:rPr>
                <w:sz w:val="21"/>
                <w:szCs w:val="21"/>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21"/>
                <w:szCs w:val="21"/>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00" w:type="dxa"/>
            <w:vAlign w:val="bottom"/>
          </w:tcPr>
          <w:p>
            <w:pPr>
              <w:spacing w:after="0"/>
              <w:rPr>
                <w:sz w:val="21"/>
                <w:szCs w:val="21"/>
                <w:color w:val="auto"/>
              </w:rPr>
            </w:pPr>
          </w:p>
        </w:tc>
        <w:tc>
          <w:tcPr>
            <w:tcW w:w="9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184"/>
        </w:trPr>
        <w:tc>
          <w:tcPr>
            <w:tcW w:w="400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Pre Business Combination - FS Development</w:t>
            </w: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816,967</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3,018,750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198"/>
        </w:trPr>
        <w:tc>
          <w:tcPr>
            <w:tcW w:w="4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 Business Combination - FS Development</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Holdings, LLC</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441,500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 Business Combination - Gemini</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80,449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9,773</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(98,506)</w:t>
            </w:r>
          </w:p>
        </w:tc>
        <w:tc>
          <w:tcPr>
            <w:tcW w:w="0" w:type="dxa"/>
            <w:vAlign w:val="bottom"/>
          </w:tcPr>
          <w:p>
            <w:pPr>
              <w:spacing w:after="0"/>
              <w:rPr>
                <w:sz w:val="1"/>
                <w:szCs w:val="1"/>
                <w:color w:val="auto"/>
              </w:rPr>
            </w:pPr>
          </w:p>
        </w:tc>
      </w:tr>
      <w:tr>
        <w:trPr>
          <w:trHeight w:val="198"/>
        </w:trPr>
        <w:tc>
          <w:tcPr>
            <w:tcW w:w="4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 Business Combination - Gemini conversion of</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promissory notes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23,413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(8,898)</w:t>
            </w:r>
          </w:p>
        </w:tc>
        <w:tc>
          <w:tcPr>
            <w:tcW w:w="20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(6,915)</w:t>
            </w:r>
          </w:p>
        </w:tc>
        <w:tc>
          <w:tcPr>
            <w:tcW w:w="0" w:type="dxa"/>
            <w:vAlign w:val="bottom"/>
          </w:tcPr>
          <w:p>
            <w:pPr>
              <w:spacing w:after="0"/>
              <w:rPr>
                <w:sz w:val="1"/>
                <w:szCs w:val="1"/>
                <w:color w:val="auto"/>
              </w:rPr>
            </w:pPr>
          </w:p>
        </w:tc>
      </w:tr>
      <w:tr>
        <w:trPr>
          <w:trHeight w:val="198"/>
        </w:trPr>
        <w:tc>
          <w:tcPr>
            <w:tcW w:w="4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Class B common stock to Class A</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3,018,750</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(3,018,750)</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of redeemable stock to Class A</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11,258,033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20"/>
                <w:szCs w:val="20"/>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112,579</w:t>
            </w: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Redemption of redeemable shares</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Gemini Stockholders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20,260,840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 Gemini Stockholders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1,560,000</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15,600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PIPE - FS Development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1,500,000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15,000</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 Other Investors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6,446,000</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64,460</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Balances after share transactions of Combined Entity</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45,301,990</w:t>
            </w:r>
          </w:p>
        </w:tc>
        <w:tc>
          <w:tcPr>
            <w:tcW w:w="12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CEEFF"/>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103,862</w:t>
            </w:r>
          </w:p>
        </w:tc>
        <w:tc>
          <w:tcPr>
            <w:tcW w:w="10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214,014</w:t>
            </w:r>
          </w:p>
        </w:tc>
        <w:tc>
          <w:tcPr>
            <w:tcW w:w="1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(105,922</w:t>
            </w:r>
          </w:p>
        </w:tc>
        <w:tc>
          <w:tcPr>
            <w:tcW w:w="60" w:type="dxa"/>
            <w:vAlign w:val="bottom"/>
            <w:tcBorders>
              <w:top w:val="single" w:sz="8" w:color="CCEEFF"/>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FS Development incremental transaction costs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Gemini incremental transaction costs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(6,837)</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transaction costs of Gemini</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Elimination of historical accumulated deficit of FS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(501)</w:t>
            </w: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historical stock of Gemini</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(103,862)</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103,868</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Post-Business Combination</w:t>
            </w: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45,301,990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297,642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(105,421</w:t>
            </w:r>
          </w:p>
        </w:tc>
        <w:tc>
          <w:tcPr>
            <w:tcW w:w="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Adjustments to the Unaudited Pro Forma Combined Statements of Operations for the Nine Months Ended September 30, 2020 and Year Ended December 31, 2019</w:t>
      </w:r>
    </w:p>
    <w:p>
      <w:pPr>
        <w:spacing w:after="0" w:line="7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combined statement of operations for the nine months ended September 30, 2020 and for the year ended December 31, 2019 are as follows:</w:t>
      </w:r>
    </w:p>
    <w:p>
      <w:pPr>
        <w:spacing w:after="0" w:line="79" w:lineRule="exact"/>
        <w:rPr>
          <w:sz w:val="20"/>
          <w:szCs w:val="20"/>
          <w:color w:val="auto"/>
        </w:rPr>
      </w:pPr>
    </w:p>
    <w:p>
      <w:pPr>
        <w:ind w:left="660" w:hanging="328"/>
        <w:spacing w:after="0" w:line="284" w:lineRule="auto"/>
        <w:tabs>
          <w:tab w:leader="none" w:pos="660" w:val="left"/>
        </w:tabs>
        <w:numPr>
          <w:ilvl w:val="0"/>
          <w:numId w:val="30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Franchise tax expense. </w:t>
      </w:r>
      <w:r>
        <w:rPr>
          <w:rFonts w:ascii="Times New Roman" w:cs="Times New Roman" w:eastAsia="Times New Roman" w:hAnsi="Times New Roman"/>
          <w:sz w:val="18"/>
          <w:szCs w:val="18"/>
          <w:color w:val="auto"/>
        </w:rPr>
        <w:t>Reflects the reclassification of FS Development’s franchise tax expense to align with the statement of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presentation of Gemini.</w:t>
      </w:r>
    </w:p>
    <w:p>
      <w:pPr>
        <w:spacing w:after="0" w:line="77" w:lineRule="exact"/>
        <w:rPr>
          <w:rFonts w:ascii="Times New Roman" w:cs="Times New Roman" w:eastAsia="Times New Roman" w:hAnsi="Times New Roman"/>
          <w:sz w:val="18"/>
          <w:szCs w:val="18"/>
          <w:i w:val="1"/>
          <w:iCs w:val="1"/>
          <w:color w:val="auto"/>
        </w:rPr>
      </w:pPr>
    </w:p>
    <w:p>
      <w:pPr>
        <w:jc w:val="both"/>
        <w:ind w:left="660" w:hanging="328"/>
        <w:spacing w:after="0" w:line="255" w:lineRule="auto"/>
        <w:tabs>
          <w:tab w:leader="none" w:pos="660" w:val="left"/>
        </w:tabs>
        <w:numPr>
          <w:ilvl w:val="0"/>
          <w:numId w:val="30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Interest expense and loss on extinguishment of debt. </w:t>
      </w:r>
      <w:r>
        <w:rPr>
          <w:rFonts w:ascii="Times New Roman" w:cs="Times New Roman" w:eastAsia="Times New Roman" w:hAnsi="Times New Roman"/>
          <w:sz w:val="18"/>
          <w:szCs w:val="18"/>
          <w:color w:val="auto"/>
        </w:rPr>
        <w:t>On August 21, 2020, Gemini entered into a purchase agreement with various investors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 $14.0 million in convertible promissory notes (“Notes”). The Notes accrue simple interest at 8% per annum. Gemini determined that a beneficial conversion feature (“BCF”) exists and should be recognized on the issuance date. It recorded the Notes at the original issue price, net of the BCF discount. The BCF discount is accreted to the face value of the Notes, offset against interest expense. Principal and interest are convertible into Series B preferred stock at a per share conversion price of $1.3513 prior to the effective date of the Business Combination. The proforma disclosures reflect the conversion of the Notes to Series B preferred stock on February 5, 2021, and a reacquisition price of $22.9 million representing the fair value of Series B preferred stock upon conversion. The adjustments reflect the accretion of the BCF discount recognized as interest expense of $7.5 million, simple interest of $0.5 million and a loss on extinguishment of $0.7 million.</w:t>
      </w:r>
    </w:p>
    <w:p>
      <w:pPr>
        <w:spacing w:after="0" w:line="103" w:lineRule="exact"/>
        <w:rPr>
          <w:rFonts w:ascii="Times New Roman" w:cs="Times New Roman" w:eastAsia="Times New Roman" w:hAnsi="Times New Roman"/>
          <w:sz w:val="18"/>
          <w:szCs w:val="18"/>
          <w:i w:val="1"/>
          <w:iCs w:val="1"/>
          <w:color w:val="auto"/>
        </w:rPr>
      </w:pPr>
    </w:p>
    <w:p>
      <w:pPr>
        <w:jc w:val="both"/>
        <w:ind w:left="660" w:hanging="328"/>
        <w:spacing w:after="0" w:line="267" w:lineRule="auto"/>
        <w:tabs>
          <w:tab w:leader="none" w:pos="660" w:val="left"/>
        </w:tabs>
        <w:numPr>
          <w:ilvl w:val="0"/>
          <w:numId w:val="30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Net loss per share. </w:t>
      </w:r>
      <w:r>
        <w:rPr>
          <w:rFonts w:ascii="Times New Roman" w:cs="Times New Roman" w:eastAsia="Times New Roman" w:hAnsi="Times New Roman"/>
          <w:sz w:val="18"/>
          <w:szCs w:val="18"/>
          <w:color w:val="auto"/>
        </w:rPr>
        <w:t>Represents pro forma net loss per share based on pro forma net loss and 45,301,990 total shares outstanding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consummation of the Business Combination and PIPE Investment. For each period presented, there is no difference between basic and diluted pro forma net loss as the inclusion of all potential shares of common stock of Combined Entity outstanding would have been anti-dilutive.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78" w:name="page279"/>
    <w:bookmarkEnd w:id="278"/>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19685</wp:posOffset>
            </wp:positionV>
            <wp:extent cx="1423035" cy="94297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142303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Debuts as Publicly Traded Precision Medicine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Focused on Age-Related Macular Degeneration</w:t>
      </w:r>
    </w:p>
    <w:p>
      <w:pPr>
        <w:spacing w:after="0" w:line="207" w:lineRule="exact"/>
        <w:rPr>
          <w:sz w:val="20"/>
          <w:szCs w:val="20"/>
          <w:color w:val="auto"/>
        </w:rPr>
      </w:pPr>
    </w:p>
    <w:p>
      <w:pPr>
        <w:ind w:left="360" w:hanging="96"/>
        <w:spacing w:after="0"/>
        <w:tabs>
          <w:tab w:leader="none" w:pos="360"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transaction with FS Development Corp., a special purpose acquisition company sponsored by Foresite Capital, completed on</w:t>
      </w:r>
    </w:p>
    <w:p>
      <w:pPr>
        <w:spacing w:after="0" w:line="27" w:lineRule="exact"/>
        <w:rPr>
          <w:rFonts w:ascii="Times New Roman" w:cs="Times New Roman" w:eastAsia="Times New Roman" w:hAnsi="Times New Roman"/>
          <w:sz w:val="18"/>
          <w:szCs w:val="18"/>
          <w:color w:val="auto"/>
        </w:rPr>
      </w:pPr>
    </w:p>
    <w:p>
      <w:pPr>
        <w:ind w:left="4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February 5, 2021 -</w:t>
      </w:r>
    </w:p>
    <w:p>
      <w:pPr>
        <w:spacing w:after="0" w:line="206" w:lineRule="exact"/>
        <w:rPr>
          <w:rFonts w:ascii="Times New Roman" w:cs="Times New Roman" w:eastAsia="Times New Roman" w:hAnsi="Times New Roman"/>
          <w:sz w:val="18"/>
          <w:szCs w:val="18"/>
          <w:color w:val="auto"/>
        </w:rPr>
      </w:pPr>
    </w:p>
    <w:p>
      <w:pPr>
        <w:ind w:left="3600" w:hanging="102"/>
        <w:spacing w:after="0"/>
        <w:tabs>
          <w:tab w:leader="none" w:pos="3600" w:val="left"/>
        </w:tabs>
        <w:numPr>
          <w:ilvl w:val="3"/>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company renamed Gemini Therapeutics, Inc. -</w:t>
      </w:r>
    </w:p>
    <w:p>
      <w:pPr>
        <w:spacing w:after="0" w:line="252" w:lineRule="exact"/>
        <w:rPr>
          <w:rFonts w:ascii="Times New Roman" w:cs="Times New Roman" w:eastAsia="Times New Roman" w:hAnsi="Times New Roman"/>
          <w:sz w:val="18"/>
          <w:szCs w:val="18"/>
          <w:color w:val="auto"/>
        </w:rPr>
      </w:pPr>
    </w:p>
    <w:p>
      <w:pPr>
        <w:ind w:left="1940" w:hanging="116"/>
        <w:spacing w:after="0"/>
        <w:tabs>
          <w:tab w:leader="none" w:pos="1940" w:val="left"/>
        </w:tabs>
        <w:numPr>
          <w:ilvl w:val="2"/>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commences trading today on the Nasdaq Global Market under ticker symbol “GMTX” -</w:t>
      </w:r>
    </w:p>
    <w:p>
      <w:pPr>
        <w:spacing w:after="0" w:line="252" w:lineRule="exact"/>
        <w:rPr>
          <w:rFonts w:ascii="Times New Roman" w:cs="Times New Roman" w:eastAsia="Times New Roman" w:hAnsi="Times New Roman"/>
          <w:sz w:val="18"/>
          <w:szCs w:val="18"/>
          <w:color w:val="auto"/>
        </w:rPr>
      </w:pPr>
    </w:p>
    <w:p>
      <w:pPr>
        <w:ind w:left="120" w:hanging="110"/>
        <w:spacing w:after="0"/>
        <w:tabs>
          <w:tab w:leader="none" w:pos="120" w:val="left"/>
        </w:tabs>
        <w:numPr>
          <w:ilvl w:val="0"/>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proceeds from this transaction totaled approximately $216 million, combining funds held in FS Development Corp.’s trust account and a concurrent</w:t>
      </w:r>
    </w:p>
    <w:p>
      <w:pPr>
        <w:spacing w:after="0" w:line="38" w:lineRule="exact"/>
        <w:rPr>
          <w:rFonts w:ascii="Times New Roman" w:cs="Times New Roman" w:eastAsia="Times New Roman" w:hAnsi="Times New Roman"/>
          <w:sz w:val="17"/>
          <w:szCs w:val="17"/>
          <w:color w:val="auto"/>
        </w:rPr>
      </w:pPr>
    </w:p>
    <w:p>
      <w:pPr>
        <w:ind w:left="5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PIPE financing -</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CAMBRIDGE, Mass. - February 8, 2021 </w:t>
      </w:r>
      <w:r>
        <w:rPr>
          <w:rFonts w:ascii="Times New Roman" w:cs="Times New Roman" w:eastAsia="Times New Roman" w:hAnsi="Times New Roman"/>
          <w:sz w:val="18"/>
          <w:szCs w:val="18"/>
          <w:color w:val="auto"/>
        </w:rPr>
        <w:t>- Gemini Therapeutics, a clinical stage precision medicine company developing innovative treatments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genetically defined age-related macular degeneration (AMD), today announced the completion of its business combination with FS Development Corp. (Nasdaq: FSDC), a special purpose acquisition company (SPAC) sponsored by Foresite Capital. Gemini Therapeutics, Inc., the resulting combined company, will commence trading its shares today on the Nasdaq Global Market under the symbol “GMTX.” Gross proceeds from this transaction totaled approximately $216 million, which included funds held in FSDC’s trust account and the concurrent private investment in public equity (PIPE) financing. The shareholders of FSDC approved the transaction on February 3, 2021. The transaction was previously approved by Gemini Therapeutics’ shareholders. Gemini Therapeutics’ management team will continue to be led by Chief Executive Officer Jason Meyenburg.</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could not be more excited to enter the capital markets as a leading-edge precision medicine company focused on pioneering first-in-class medicines intended to restore regulation of the complement system in the eye and throughout the body,” said Mr. Meyenburg. “I want to thank all those involved in making this transaction a success, including our new and existing investors, and the Gemini and FSDC teams.”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“Gemini’s impressive work with patients losing their vision because of genetically driven macular degeneration is the reason we knew they were the right candidate to merge with FSDC,” said Jim Tananbaum, M.D., Chief Executive Officer of Foresite Capital and President and Chief Executive Officer of FS Development Corp. “We are excited about the potential to help further develop innovative new treatment options for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9" w:name="page280"/>
    <w:bookmarkEnd w:id="2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3045460</wp:posOffset>
            </wp:positionH>
            <wp:positionV relativeFrom="page">
              <wp:posOffset>448945</wp:posOffset>
            </wp:positionV>
            <wp:extent cx="1423035" cy="94297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clrChange>
                        <a:clrFrom>
                          <a:srgbClr val="FFFFFF"/>
                        </a:clrFrom>
                        <a:clrTo>
                          <a:srgbClr val="FFFFFF">
                            <a:alpha val="0"/>
                          </a:srgbClr>
                        </a:clrTo>
                      </a:clrChange>
                      <a:extLst>
                        <a:ext uri="{28A0092B-C50C-407E-A947-70E740481C1C}"/>
                      </a:extLst>
                    </a:blip>
                    <a:srcRect/>
                    <a:stretch>
                      <a:fillRect/>
                    </a:stretch>
                  </pic:blipFill>
                  <pic:spPr bwMode="auto">
                    <a:xfrm>
                      <a:off x="0" y="0"/>
                      <a:ext cx="142303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Transaction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15, 2020, Gemini Therapeutics, a privately held biotechnology company, entered into a definitive business combination agreement with FS Development Corp., a SPAC sponsored by Foresite Capital, that was created for the purpose of entering into a business combination with a biopharmaceutical company focused on the next generation of medicines utilizing genetics.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business combination, Gemini Therapeutics received proceeds of approximately $216 million, prior to transaction expenses, which includes cash proceeds of approximately $121 million from FSDC’s trust account (after redemptions of $1,200) and $95 million from PIPE investors led by Foresite Capital, as well as Fidelity Management &amp; Research Company LLC, Wellington Management, Boxer Capital of Tavistock Group, Alyeska Investment Group, L.P., Suvretta Capital Management, CVF, DAFNA Capital, and Acorn Bioventures, in addition to existing Gemini Therapeutics shareholders including Orbimed Healthcare Fund Management, Atlas Venture, Lightstone Ventures and Wu Capital.</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description of the business combination contained herein is only a high-level summary and is qualified in its entirety by reference to the underlying documents filed with the U.S. Securities and Exchange Commission. A more detailed description of the terms of the transaction has been provided in a registration statement on Form S-4 filed with the U.S. Securities and Exchange Commission by FSDC.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Jefferies LLC and SVB Leerink acted as co-lead private placement agents for FS Development Corp. Jefferies LLC also acted as lead financial and capital markets advisor to FS Development Corp. Goldman Sachs &amp; Co. LLC acted as lead financial advisor to Gemini in the transaction. Stifel acted as additional capital markets advisor to Gemini. Goodwin Procter LLP acted as legal counsel to Gemini. White &amp; Case LLP acted as legal counsel to FS Development Corp.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GEM103</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Gemini’s lead program, GEM103, is a pioneering precision medicine approach, targeting trial enrichment with genetically-defined patients. GEM103 targets a genetically-defined subset of age-related macular degeneration (AMD) patients with complement dysregulation. Of the 15 million dry AMD patients, approximately 40% (or six million) have variants in the complement factor H (CFH) gene. Such loss-of-function variants are associated with increased dry AMD disease risk. GEM103 is believed to be the first ever recombinant native complement modulator, full-length recombinant complement factor H (rCFH) protein. When delivered by intravitreal injection, GEM103 has the potential to address unmet medical need in genetically- defined subsets of AMD patients by circumventing dysfunctional CFH loss-of-function variants and slowing the progression of their retinal disease.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0" w:name="page281"/>
    <w:bookmarkEnd w:id="2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3062605</wp:posOffset>
            </wp:positionH>
            <wp:positionV relativeFrom="page">
              <wp:posOffset>448945</wp:posOffset>
            </wp:positionV>
            <wp:extent cx="1423035" cy="94297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clrChange>
                        <a:clrFrom>
                          <a:srgbClr val="FFFFFF"/>
                        </a:clrFrom>
                        <a:clrTo>
                          <a:srgbClr val="FFFFFF">
                            <a:alpha val="0"/>
                          </a:srgbClr>
                        </a:clrTo>
                      </a:clrChange>
                      <a:extLst>
                        <a:ext uri="{28A0092B-C50C-407E-A947-70E740481C1C}"/>
                      </a:extLst>
                    </a:blip>
                    <a:srcRect/>
                    <a:stretch>
                      <a:fillRect/>
                    </a:stretch>
                  </pic:blipFill>
                  <pic:spPr bwMode="auto">
                    <a:xfrm>
                      <a:off x="0" y="0"/>
                      <a:ext cx="142303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Dry Age-Related Macular Degeneration (AMD)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Age-related macular degeneration (AMD) is a progressive retinal disease affecting millions of older adults, and the leading cause of irreversible blindness in the western world. Symptoms, which include blurry vision, loss of night vision and loss of central vision, make activities of daily living such as reading, driving and even recognizing faces progressively more difficult. Third- party reports indicate there are approximately 16 million patients with AMD in the United States alone. Dry AMD, which results from an interaction of environmental and genetic risk factors, represents about 90% of that population (or about 15 million) in the US compared to about 1.4 million with wet AMD. Genetic risk of developing dry AMD is significant, with approximately 70% attributable risk of advanced disease to heritability, while aging and smoking confer the strongest non-genetic risk. CFH risk variants occur in approximately 40% of patients with dry AMD and these patients have a significantly increased risk of developing the disease as well as progression from intermediate AMD to GA. The complement system, of which CFH is a modulator, is dysregulated in patients with these risk variants, and results in amplification of aberrant inflammatory responses in the eye. Over time, this dysregulation leads to damage to the macular region of the retina.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Gemini Therapeutics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Gemini Therapeutics is a clinical stage precision medicine company developing novel therapeutic compounds to treat genetically defined age-related macular degeneration (AMD). Gemini’s lead candidate, GEM103, is a recombinant form of the human complement factor H protein (CFH), and is designed to address both complement hyperactivity and restore retinal health in patients with AMD. GEM103 is currently in a Phase 2a trial in dry AMD patients with a CFH risk variant. The company has generated a rich pipeline including recombinant proteins, gene therapies, and monoclonal antibodies.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www.geminitherapeutics.com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Certain statements in this press release and the information incorporated herein by reference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success, cost and timing of our product development activities and clinical trials, including our estimates regarding when data will be reported from ongoing clinical trials and the timing to commence future clinical trials, the potential attributes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1" w:name="page282"/>
    <w:bookmarkEnd w:id="2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3045460</wp:posOffset>
            </wp:positionH>
            <wp:positionV relativeFrom="page">
              <wp:posOffset>448945</wp:posOffset>
            </wp:positionV>
            <wp:extent cx="1423035" cy="94297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clrChange>
                        <a:clrFrom>
                          <a:srgbClr val="FFFFFF"/>
                        </a:clrFrom>
                        <a:clrTo>
                          <a:srgbClr val="FFFFFF">
                            <a:alpha val="0"/>
                          </a:srgbClr>
                        </a:clrTo>
                      </a:clrChange>
                      <a:extLst>
                        <a:ext uri="{28A0092B-C50C-407E-A947-70E740481C1C}"/>
                      </a:extLst>
                    </a:blip>
                    <a:srcRect/>
                    <a:stretch>
                      <a:fillRect/>
                    </a:stretch>
                  </pic:blipFill>
                  <pic:spPr bwMode="auto">
                    <a:xfrm>
                      <a:off x="0" y="0"/>
                      <a:ext cx="142303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benefits of our product candidates, including GEM103, our ability to obtain and maintain regulatory approval for our product candidates and our ability to obtain funding for our operations when needed. Forward-looking statements include statements relating to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the final proxy/prospectus for our recently completed business combination, and those that are included in any of our future filings with the SEC.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COVID-19 pandemic and there may be additional risks that we consider immaterial or which are unknown. It is not possible to predict or identify all such risks. Our forward-looking statements only speak as of the date they are made, and we do not undertake any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Gemini 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 Sherri Spear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212-600-1902 </w:t>
      </w:r>
      <w:r>
        <w:rPr>
          <w:rFonts w:ascii="Times New Roman" w:cs="Times New Roman" w:eastAsia="Times New Roman" w:hAnsi="Times New Roman"/>
          <w:sz w:val="18"/>
          <w:szCs w:val="18"/>
          <w:u w:val="single" w:color="auto"/>
          <w:color w:val="auto"/>
        </w:rPr>
        <w:t>gemini@argotpartners.com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Gemini 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 Joshua R. Mansbach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212-600-1902 </w:t>
      </w:r>
      <w:r>
        <w:rPr>
          <w:rFonts w:ascii="Times New Roman" w:cs="Times New Roman" w:eastAsia="Times New Roman" w:hAnsi="Times New Roman"/>
          <w:sz w:val="18"/>
          <w:szCs w:val="18"/>
          <w:u w:val="single" w:color="auto"/>
          <w:color w:val="auto"/>
        </w:rPr>
        <w:t>gemini@argotpartners.com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C0E823"/>
    <w:multiLevelType w:val="hybridMultilevel"/>
    <w:lvl w:ilvl="0">
      <w:lvlJc w:val="left"/>
      <w:lvlText w:val="☐"/>
      <w:numFmt w:val="bullet"/>
      <w:start w:val="1"/>
    </w:lvl>
  </w:abstractNum>
  <w:abstractNum w:abstractNumId="1">
    <w:nsid w:val="14D53685"/>
    <w:multiLevelType w:val="hybridMultilevel"/>
    <w:lvl w:ilvl="0">
      <w:lvlJc w:val="left"/>
      <w:lvlText w:val="●"/>
      <w:numFmt w:val="bullet"/>
      <w:start w:val="1"/>
    </w:lvl>
  </w:abstractNum>
  <w:abstractNum w:abstractNumId="2">
    <w:nsid w:val="230F856C"/>
    <w:multiLevelType w:val="hybridMultilevel"/>
    <w:lvl w:ilvl="0">
      <w:lvlJc w:val="left"/>
      <w:lvlText w:val="●"/>
      <w:numFmt w:val="bullet"/>
      <w:start w:val="1"/>
    </w:lvl>
  </w:abstractNum>
  <w:abstractNum w:abstractNumId="3">
    <w:nsid w:val="6EAA85FB"/>
    <w:multiLevelType w:val="hybridMultilevel"/>
    <w:lvl w:ilvl="0">
      <w:lvlJc w:val="left"/>
      <w:lvlText w:val="●"/>
      <w:numFmt w:val="bullet"/>
      <w:start w:val="1"/>
    </w:lvl>
  </w:abstractNum>
  <w:abstractNum w:abstractNumId="4">
    <w:nsid w:val="3F06ECB2"/>
    <w:multiLevelType w:val="hybridMultilevel"/>
    <w:lvl w:ilvl="0">
      <w:lvlJc w:val="left"/>
      <w:lvlText w:val="●"/>
      <w:numFmt w:val="bullet"/>
      <w:start w:val="1"/>
    </w:lvl>
  </w:abstractNum>
  <w:abstractNum w:abstractNumId="5">
    <w:nsid w:val="3B594807"/>
    <w:multiLevelType w:val="hybridMultilevel"/>
    <w:lvl w:ilvl="0">
      <w:lvlJc w:val="left"/>
      <w:lvlText w:val="●"/>
      <w:numFmt w:val="bullet"/>
      <w:start w:val="1"/>
    </w:lvl>
  </w:abstractNum>
  <w:abstractNum w:abstractNumId="6">
    <w:nsid w:val="6CAA2304"/>
    <w:multiLevelType w:val="hybridMultilevel"/>
    <w:lvl w:ilvl="0">
      <w:lvlJc w:val="left"/>
      <w:lvlText w:val="(%1)"/>
      <w:numFmt w:val="decimal"/>
      <w:start w:val="1"/>
    </w:lvl>
  </w:abstractNum>
  <w:abstractNum w:abstractNumId="7">
    <w:nsid w:val="3F7C2FF4"/>
    <w:multiLevelType w:val="hybridMultilevel"/>
    <w:lvl w:ilvl="0">
      <w:lvlJc w:val="left"/>
      <w:lvlText w:val="(%1)"/>
      <w:numFmt w:val="decimal"/>
      <w:start w:val="4"/>
    </w:lvl>
  </w:abstractNum>
  <w:abstractNum w:abstractNumId="8">
    <w:nsid w:val="25413BEC"/>
    <w:multiLevelType w:val="hybridMultilevel"/>
    <w:lvl w:ilvl="0">
      <w:lvlJc w:val="left"/>
      <w:lvlText w:val="(%1)"/>
      <w:numFmt w:val="decimal"/>
      <w:start w:val="9"/>
    </w:lvl>
  </w:abstractNum>
  <w:abstractNum w:abstractNumId="9">
    <w:nsid w:val="17180B0B"/>
    <w:multiLevelType w:val="hybridMultilevel"/>
    <w:lvl w:ilvl="0">
      <w:lvlJc w:val="left"/>
      <w:lvlText w:val="(%1)"/>
      <w:numFmt w:val="lowerRoman"/>
      <w:start w:val="1"/>
    </w:lvl>
  </w:abstractNum>
  <w:abstractNum w:abstractNumId="10">
    <w:nsid w:val="579328B9"/>
    <w:multiLevelType w:val="hybridMultilevel"/>
    <w:lvl w:ilvl="0">
      <w:lvlJc w:val="left"/>
      <w:lvlText w:val="●"/>
      <w:numFmt w:val="bullet"/>
      <w:start w:val="1"/>
    </w:lvl>
  </w:abstractNum>
  <w:abstractNum w:abstractNumId="11">
    <w:nsid w:val="5D205E20"/>
    <w:multiLevelType w:val="hybridMultilevel"/>
    <w:lvl w:ilvl="0">
      <w:lvlJc w:val="left"/>
      <w:lvlText w:val="●"/>
      <w:numFmt w:val="bullet"/>
      <w:start w:val="1"/>
    </w:lvl>
  </w:abstractNum>
  <w:abstractNum w:abstractNumId="12">
    <w:nsid w:val="11CCA8BA"/>
    <w:multiLevelType w:val="hybridMultilevel"/>
    <w:lvl w:ilvl="0">
      <w:lvlJc w:val="left"/>
      <w:lvlText w:val="(%1)"/>
      <w:numFmt w:val="lowerLetter"/>
      <w:start w:val="4"/>
    </w:lvl>
  </w:abstractNum>
  <w:abstractNum w:abstractNumId="13">
    <w:nsid w:val="4D32AB86"/>
    <w:multiLevelType w:val="hybridMultilevel"/>
    <w:lvl w:ilvl="0">
      <w:lvlJc w:val="left"/>
      <w:lvlText w:val="*"/>
      <w:numFmt w:val="bullet"/>
      <w:start w:val="1"/>
    </w:lvl>
  </w:abstractNum>
  <w:abstractNum w:abstractNumId="14">
    <w:nsid w:val="3F07ACC3"/>
    <w:multiLevelType w:val="hybridMultilevel"/>
    <w:lvl w:ilvl="0">
      <w:lvlJc w:val="left"/>
      <w:lvlText w:val="†"/>
      <w:numFmt w:val="bullet"/>
      <w:start w:val="1"/>
    </w:lvl>
  </w:abstractNum>
  <w:abstractNum w:abstractNumId="15">
    <w:nsid w:val="6B47F63E"/>
    <w:multiLevelType w:val="hybridMultilevel"/>
    <w:lvl w:ilvl="0">
      <w:lvlJc w:val="left"/>
      <w:lvlText w:val="(%1)"/>
      <w:numFmt w:val="lowerLetter"/>
      <w:start w:val="13"/>
    </w:lvl>
  </w:abstractNum>
  <w:abstractNum w:abstractNumId="16">
    <w:nsid w:val="5CB44A05"/>
    <w:multiLevelType w:val="hybridMultilevel"/>
    <w:lvl w:ilvl="0">
      <w:lvlJc w:val="left"/>
      <w:lvlText w:val="(%1)"/>
      <w:numFmt w:val="lowerLetter"/>
      <w:start w:val="8"/>
    </w:lvl>
  </w:abstractNum>
  <w:abstractNum w:abstractNumId="17">
    <w:nsid w:val="16CF80F1"/>
    <w:multiLevelType w:val="hybridMultilevel"/>
    <w:lvl w:ilvl="0">
      <w:lvlJc w:val="left"/>
      <w:lvlText w:val="(%1)"/>
      <w:numFmt w:val="lowerLetter"/>
      <w:start w:val="1"/>
    </w:lvl>
  </w:abstractNum>
  <w:abstractNum w:abstractNumId="18">
    <w:nsid w:val="1C695DEC"/>
    <w:multiLevelType w:val="hybridMultilevel"/>
    <w:lvl w:ilvl="0">
      <w:lvlJc w:val="left"/>
      <w:lvlText w:val="(%1)"/>
      <w:numFmt w:val="lowerLetter"/>
      <w:start w:val="1"/>
    </w:lvl>
  </w:abstractNum>
  <w:abstractNum w:abstractNumId="19">
    <w:nsid w:val="3FCFAED9"/>
    <w:multiLevelType w:val="hybridMultilevel"/>
    <w:lvl w:ilvl="0">
      <w:lvlJc w:val="left"/>
      <w:lvlText w:val="(%1)"/>
      <w:numFmt w:val="lowerLetter"/>
      <w:start w:val="1"/>
    </w:lvl>
  </w:abstractNum>
  <w:abstractNum w:abstractNumId="20">
    <w:nsid w:val="F856867"/>
    <w:multiLevelType w:val="hybridMultilevel"/>
    <w:lvl w:ilvl="0">
      <w:lvlJc w:val="left"/>
      <w:lvlText w:val="%1"/>
      <w:numFmt w:val="lowerRoman"/>
      <w:start w:val="1"/>
    </w:lvl>
    <w:lvl w:ilvl="1">
      <w:lvlJc w:val="left"/>
      <w:lvlText w:val="(%2)"/>
      <w:numFmt w:val="lowerLetter"/>
      <w:start w:val="6"/>
    </w:lvl>
  </w:abstractNum>
  <w:abstractNum w:abstractNumId="21">
    <w:nsid w:val="11B1CC33"/>
    <w:multiLevelType w:val="hybridMultilevel"/>
    <w:lvl w:ilvl="0">
      <w:lvlJc w:val="left"/>
      <w:lvlText w:val="(%1)"/>
      <w:numFmt w:val="lowerRoman"/>
      <w:start w:val="6"/>
    </w:lvl>
    <w:lvl w:ilvl="1">
      <w:lvlJc w:val="left"/>
      <w:lvlText w:val="%2"/>
      <w:numFmt w:val="lowerLetter"/>
      <w:start w:val="1"/>
    </w:lvl>
  </w:abstractNum>
  <w:abstractNum w:abstractNumId="22">
    <w:nsid w:val="2E22FBB7"/>
    <w:multiLevelType w:val="hybridMultilevel"/>
    <w:lvl w:ilvl="0">
      <w:lvlJc w:val="left"/>
      <w:lvlText w:val="%1"/>
      <w:numFmt w:val="lowerLetter"/>
      <w:start w:val="1"/>
    </w:lvl>
    <w:lvl w:ilvl="1">
      <w:lvlJc w:val="left"/>
      <w:lvlText w:val="(%2)"/>
      <w:numFmt w:val="lowerLetter"/>
      <w:start w:val="1"/>
    </w:lvl>
  </w:abstractNum>
  <w:abstractNum w:abstractNumId="23">
    <w:nsid w:val="29934699"/>
    <w:multiLevelType w:val="hybridMultilevel"/>
    <w:lvl w:ilvl="0">
      <w:lvlJc w:val="left"/>
      <w:lvlText w:val="(%1)"/>
      <w:numFmt w:val="lowerLetter"/>
      <w:start w:val="1"/>
    </w:lvl>
    <w:lvl w:ilvl="1">
      <w:lvlJc w:val="left"/>
      <w:lvlText w:val="%2"/>
      <w:numFmt w:val="lowerLetter"/>
      <w:start w:val="1"/>
    </w:lvl>
  </w:abstractNum>
  <w:abstractNum w:abstractNumId="24">
    <w:nsid w:val="77485850"/>
    <w:multiLevelType w:val="hybridMultilevel"/>
    <w:lvl w:ilvl="0">
      <w:lvlJc w:val="left"/>
      <w:lvlText w:val="%1"/>
      <w:numFmt w:val="lowerLetter"/>
      <w:start w:val="1"/>
    </w:lvl>
    <w:lvl w:ilvl="1">
      <w:lvlJc w:val="left"/>
      <w:lvlText w:val="(%2)"/>
      <w:numFmt w:val="lowerLetter"/>
      <w:start w:val="1"/>
    </w:lvl>
  </w:abstractNum>
  <w:abstractNum w:abstractNumId="25">
    <w:nsid w:val="744939A3"/>
    <w:multiLevelType w:val="hybridMultilevel"/>
    <w:lvl w:ilvl="0">
      <w:lvlJc w:val="left"/>
      <w:lvlText w:val="(%1)"/>
      <w:numFmt w:val="lowerLetter"/>
      <w:start w:val="61"/>
    </w:lvl>
    <w:lvl w:ilvl="1">
      <w:lvlJc w:val="left"/>
      <w:lvlText w:val="(%2)"/>
      <w:numFmt w:val="lowerLetter"/>
      <w:start w:val="3"/>
    </w:lvl>
  </w:abstractNum>
  <w:abstractNum w:abstractNumId="26">
    <w:nsid w:val="4FA0D2E3"/>
    <w:multiLevelType w:val="hybridMultilevel"/>
    <w:lvl w:ilvl="0">
      <w:lvlJc w:val="left"/>
      <w:lvlText w:val="(%1)"/>
      <w:numFmt w:val="lowerLetter"/>
      <w:start w:val="1"/>
    </w:lvl>
  </w:abstractNum>
  <w:abstractNum w:abstractNumId="27">
    <w:nsid w:val="6B1D2C14"/>
    <w:multiLevelType w:val="hybridMultilevel"/>
    <w:lvl w:ilvl="0">
      <w:lvlJc w:val="left"/>
      <w:lvlText w:val="(%1)"/>
      <w:numFmt w:val="lowerRoman"/>
      <w:start w:val="1"/>
    </w:lvl>
  </w:abstractNum>
  <w:abstractNum w:abstractNumId="28">
    <w:nsid w:val="68B867D3"/>
    <w:multiLevelType w:val="hybridMultilevel"/>
    <w:lvl w:ilvl="0">
      <w:lvlJc w:val="left"/>
      <w:lvlText w:val="(%1)"/>
      <w:numFmt w:val="lowerLetter"/>
      <w:start w:val="1"/>
    </w:lvl>
  </w:abstractNum>
  <w:abstractNum w:abstractNumId="29">
    <w:nsid w:val="3F7F5DD9"/>
    <w:multiLevelType w:val="hybridMultilevel"/>
    <w:lvl w:ilvl="0">
      <w:lvlJc w:val="left"/>
      <w:lvlText w:val="(%1)"/>
      <w:numFmt w:val="lowerLetter"/>
      <w:start w:val="1"/>
    </w:lvl>
    <w:lvl w:ilvl="1">
      <w:lvlJc w:val="left"/>
      <w:lvlText w:val="(%2)"/>
      <w:numFmt w:val="lowerRoman"/>
      <w:start w:val="1"/>
    </w:lvl>
  </w:abstractNum>
  <w:abstractNum w:abstractNumId="30">
    <w:nsid w:val="2AE05A34"/>
    <w:multiLevelType w:val="hybridMultilevel"/>
    <w:lvl w:ilvl="0">
      <w:lvlJc w:val="left"/>
      <w:lvlText w:val="%1"/>
      <w:numFmt w:val="lowerLetter"/>
      <w:start w:val="1"/>
    </w:lvl>
    <w:lvl w:ilvl="1">
      <w:lvlJc w:val="left"/>
      <w:lvlText w:val="(%2)"/>
      <w:numFmt w:val="lowerRoman"/>
      <w:start w:val="7"/>
    </w:lvl>
  </w:abstractNum>
  <w:abstractNum w:abstractNumId="31">
    <w:nsid w:val="32794FF7"/>
    <w:multiLevelType w:val="hybridMultilevel"/>
    <w:lvl w:ilvl="0">
      <w:lvlJc w:val="left"/>
      <w:lvlText w:val="(%1)"/>
      <w:numFmt w:val="lowerLetter"/>
      <w:start w:val="2"/>
    </w:lvl>
    <w:lvl w:ilvl="1">
      <w:lvlJc w:val="left"/>
      <w:lvlText w:val="%2"/>
      <w:numFmt w:val="lowerRoman"/>
      <w:start w:val="1"/>
    </w:lvl>
  </w:abstractNum>
  <w:abstractNum w:abstractNumId="32">
    <w:nsid w:val="5454945E"/>
    <w:multiLevelType w:val="hybridMultilevel"/>
    <w:lvl w:ilvl="0">
      <w:lvlJc w:val="left"/>
      <w:lvlText w:val="(%1)"/>
      <w:numFmt w:val="lowerLetter"/>
      <w:start w:val="1"/>
    </w:lvl>
  </w:abstractNum>
  <w:abstractNum w:abstractNumId="33">
    <w:nsid w:val="4DEFDFA0"/>
    <w:multiLevelType w:val="hybridMultilevel"/>
    <w:lvl w:ilvl="0">
      <w:lvlJc w:val="left"/>
      <w:lvlText w:val="%1"/>
      <w:numFmt w:val="decimal"/>
      <w:start w:val="1"/>
    </w:lvl>
    <w:lvl w:ilvl="1">
      <w:lvlJc w:val="left"/>
      <w:lvlText w:val="(%2)"/>
      <w:numFmt w:val="lowerLetter"/>
      <w:start w:val="1"/>
    </w:lvl>
  </w:abstractNum>
  <w:abstractNum w:abstractNumId="34">
    <w:nsid w:val="2123D5F2"/>
    <w:multiLevelType w:val="hybridMultilevel"/>
    <w:lvl w:ilvl="0">
      <w:lvlJc w:val="left"/>
      <w:lvlText w:val="(%1)"/>
      <w:numFmt w:val="decimal"/>
      <w:start w:val="2"/>
    </w:lvl>
    <w:lvl w:ilvl="1">
      <w:lvlJc w:val="left"/>
      <w:lvlText w:val="(%2)"/>
      <w:numFmt w:val="lowerLetter"/>
      <w:start w:val="2"/>
    </w:lvl>
  </w:abstractNum>
  <w:abstractNum w:abstractNumId="35">
    <w:nsid w:val="135B8110"/>
    <w:multiLevelType w:val="hybridMultilevel"/>
    <w:lvl w:ilvl="0">
      <w:lvlJc w:val="left"/>
      <w:lvlText w:val="%1"/>
      <w:numFmt w:val="lowerLetter"/>
      <w:start w:val="1"/>
    </w:lvl>
    <w:lvl w:ilvl="1">
      <w:lvlJc w:val="left"/>
      <w:lvlText w:val="(%2)"/>
      <w:numFmt w:val="lowerLetter"/>
      <w:start w:val="3"/>
    </w:lvl>
  </w:abstractNum>
  <w:abstractNum w:abstractNumId="36">
    <w:nsid w:val="94927A8"/>
    <w:multiLevelType w:val="hybridMultilevel"/>
    <w:lvl w:ilvl="0">
      <w:lvlJc w:val="left"/>
      <w:lvlText w:val="(%1)"/>
      <w:numFmt w:val="lowerLetter"/>
      <w:start w:val="9"/>
    </w:lvl>
    <w:lvl w:ilvl="1">
      <w:lvlJc w:val="left"/>
      <w:lvlText w:val="%2"/>
      <w:numFmt w:val="lowerLetter"/>
      <w:start w:val="1"/>
    </w:lvl>
  </w:abstractNum>
  <w:abstractNum w:abstractNumId="37">
    <w:nsid w:val="DCDF8F6"/>
    <w:multiLevelType w:val="hybridMultilevel"/>
    <w:lvl w:ilvl="0">
      <w:lvlJc w:val="left"/>
      <w:lvlText w:val="(%1)"/>
      <w:numFmt w:val="lowerLetter"/>
      <w:start w:val="8"/>
    </w:lvl>
  </w:abstractNum>
  <w:abstractNum w:abstractNumId="38">
    <w:nsid w:val="52D7B105"/>
    <w:multiLevelType w:val="hybridMultilevel"/>
    <w:lvl w:ilvl="0">
      <w:lvlJc w:val="left"/>
      <w:lvlText w:val="%1"/>
      <w:numFmt w:val="lowerLetter"/>
      <w:start w:val="1"/>
    </w:lvl>
    <w:lvl w:ilvl="1">
      <w:lvlJc w:val="left"/>
      <w:lvlText w:val="(%2)"/>
      <w:numFmt w:val="lowerLetter"/>
      <w:start w:val="1"/>
    </w:lvl>
  </w:abstractNum>
  <w:abstractNum w:abstractNumId="39">
    <w:nsid w:val="2E8A6394"/>
    <w:multiLevelType w:val="hybridMultilevel"/>
    <w:lvl w:ilvl="0">
      <w:lvlJc w:val="left"/>
      <w:lvlText w:val="(%1)"/>
      <w:numFmt w:val="lowerLetter"/>
      <w:start w:val="9"/>
    </w:lvl>
    <w:lvl w:ilvl="1">
      <w:lvlJc w:val="left"/>
      <w:lvlText w:val="(%2)"/>
      <w:numFmt w:val="lowerLetter"/>
      <w:start w:val="2"/>
    </w:lvl>
  </w:abstractNum>
  <w:abstractNum w:abstractNumId="40">
    <w:nsid w:val="24E60401"/>
    <w:multiLevelType w:val="hybridMultilevel"/>
    <w:lvl w:ilvl="0">
      <w:lvlJc w:val="left"/>
      <w:lvlText w:val="%1"/>
      <w:numFmt w:val="lowerLetter"/>
      <w:start w:val="1"/>
    </w:lvl>
    <w:lvl w:ilvl="1">
      <w:lvlJc w:val="left"/>
      <w:lvlText w:val="(%2)"/>
      <w:numFmt w:val="lowerLetter"/>
      <w:start w:val="3"/>
    </w:lvl>
  </w:abstractNum>
  <w:abstractNum w:abstractNumId="41">
    <w:nsid w:val="2A6AD9BE"/>
    <w:multiLevelType w:val="hybridMultilevel"/>
    <w:lvl w:ilvl="0">
      <w:lvlJc w:val="left"/>
      <w:lvlText w:val="(%1)"/>
      <w:numFmt w:val="lowerLetter"/>
      <w:start w:val="61"/>
    </w:lvl>
    <w:lvl w:ilvl="1">
      <w:lvlJc w:val="left"/>
      <w:lvlText w:val="(%2)"/>
      <w:numFmt w:val="lowerLetter"/>
      <w:start w:val="4"/>
    </w:lvl>
  </w:abstractNum>
  <w:abstractNum w:abstractNumId="42">
    <w:nsid w:val="BAAC1B4"/>
    <w:multiLevelType w:val="hybridMultilevel"/>
    <w:lvl w:ilvl="0">
      <w:lvlJc w:val="left"/>
      <w:lvlText w:val="(%1)"/>
      <w:numFmt w:val="lowerLetter"/>
      <w:start w:val="1"/>
    </w:lvl>
  </w:abstractNum>
  <w:abstractNum w:abstractNumId="43">
    <w:nsid w:val="36B2ACBC"/>
    <w:multiLevelType w:val="hybridMultilevel"/>
    <w:lvl w:ilvl="0">
      <w:lvlJc w:val="left"/>
      <w:lvlText w:val="(%1)"/>
      <w:numFmt w:val="lowerLetter"/>
      <w:start w:val="1"/>
    </w:lvl>
  </w:abstractNum>
  <w:abstractNum w:abstractNumId="44">
    <w:nsid w:val="779D8544"/>
    <w:multiLevelType w:val="hybridMultilevel"/>
    <w:lvl w:ilvl="0">
      <w:lvlJc w:val="left"/>
      <w:lvlText w:val="(%1)"/>
      <w:numFmt w:val="lowerLetter"/>
      <w:start w:val="2"/>
    </w:lvl>
  </w:abstractNum>
  <w:abstractNum w:abstractNumId="45">
    <w:nsid w:val="4AB26E78"/>
    <w:multiLevelType w:val="hybridMultilevel"/>
    <w:lvl w:ilvl="0">
      <w:lvlJc w:val="left"/>
      <w:lvlText w:val="%1"/>
      <w:numFmt w:val="lowerRoman"/>
      <w:start w:val="1"/>
    </w:lvl>
    <w:lvl w:ilvl="1">
      <w:lvlJc w:val="left"/>
      <w:lvlText w:val="(%2)"/>
      <w:numFmt w:val="lowerLetter"/>
      <w:start w:val="1"/>
    </w:lvl>
  </w:abstractNum>
  <w:abstractNum w:abstractNumId="46">
    <w:nsid w:val="21FAA2FA"/>
    <w:multiLevelType w:val="hybridMultilevel"/>
    <w:lvl w:ilvl="0">
      <w:lvlJc w:val="left"/>
      <w:lvlText w:val="(%1)"/>
      <w:numFmt w:val="lowerRoman"/>
      <w:start w:val="4"/>
    </w:lvl>
    <w:lvl w:ilvl="1">
      <w:lvlJc w:val="left"/>
      <w:lvlText w:val="(%2)"/>
      <w:numFmt w:val="lowerLetter"/>
      <w:start w:val="2"/>
    </w:lvl>
  </w:abstractNum>
  <w:abstractNum w:abstractNumId="47">
    <w:nsid w:val="5451CF49"/>
    <w:multiLevelType w:val="hybridMultilevel"/>
    <w:lvl w:ilvl="0">
      <w:lvlJc w:val="left"/>
      <w:lvlText w:val="(%1)"/>
      <w:numFmt w:val="lowerLetter"/>
      <w:start w:val="3"/>
    </w:lvl>
  </w:abstractNum>
  <w:abstractNum w:abstractNumId="48">
    <w:nsid w:val="6181EF69"/>
    <w:multiLevelType w:val="hybridMultilevel"/>
    <w:lvl w:ilvl="0">
      <w:lvlJc w:val="left"/>
      <w:lvlText w:val="(%1)"/>
      <w:numFmt w:val="lowerLetter"/>
      <w:start w:val="1"/>
    </w:lvl>
  </w:abstractNum>
  <w:abstractNum w:abstractNumId="49">
    <w:nsid w:val="3E6400E6"/>
    <w:multiLevelType w:val="hybridMultilevel"/>
    <w:lvl w:ilvl="0">
      <w:lvlJc w:val="left"/>
      <w:lvlText w:val="(%1)"/>
      <w:numFmt w:val="lowerLetter"/>
      <w:start w:val="1"/>
    </w:lvl>
  </w:abstractNum>
  <w:abstractNum w:abstractNumId="50">
    <w:nsid w:val="14217E23"/>
    <w:multiLevelType w:val="hybridMultilevel"/>
    <w:lvl w:ilvl="0">
      <w:lvlJc w:val="left"/>
      <w:lvlText w:val="(%1)"/>
      <w:numFmt w:val="lowerLetter"/>
      <w:start w:val="3"/>
    </w:lvl>
  </w:abstractNum>
  <w:abstractNum w:abstractNumId="51">
    <w:nsid w:val="710757D0"/>
    <w:multiLevelType w:val="hybridMultilevel"/>
    <w:lvl w:ilvl="0">
      <w:lvlJc w:val="left"/>
      <w:lvlText w:val="(%1)"/>
      <w:numFmt w:val="lowerLetter"/>
      <w:start w:val="1"/>
    </w:lvl>
  </w:abstractNum>
  <w:abstractNum w:abstractNumId="52">
    <w:nsid w:val="5015CD1A"/>
    <w:multiLevelType w:val="hybridMultilevel"/>
    <w:lvl w:ilvl="0">
      <w:lvlJc w:val="left"/>
      <w:lvlText w:val="(%1)"/>
      <w:numFmt w:val="lowerLetter"/>
      <w:start w:val="1"/>
    </w:lvl>
  </w:abstractNum>
  <w:abstractNum w:abstractNumId="53">
    <w:nsid w:val="424479DA"/>
    <w:multiLevelType w:val="hybridMultilevel"/>
    <w:lvl w:ilvl="0">
      <w:lvlJc w:val="left"/>
      <w:lvlText w:val="%1"/>
      <w:numFmt w:val="lowerLetter"/>
      <w:start w:val="1"/>
    </w:lvl>
    <w:lvl w:ilvl="1">
      <w:lvlJc w:val="left"/>
      <w:lvlText w:val="(%2)"/>
      <w:numFmt w:val="lowerLetter"/>
      <w:start w:val="1"/>
    </w:lvl>
  </w:abstractNum>
  <w:abstractNum w:abstractNumId="54">
    <w:nsid w:val="1A9A9E69"/>
    <w:multiLevelType w:val="hybridMultilevel"/>
    <w:lvl w:ilvl="0">
      <w:lvlJc w:val="left"/>
      <w:lvlText w:val="(%1)"/>
      <w:numFmt w:val="lowerLetter"/>
      <w:start w:val="24"/>
    </w:lvl>
    <w:lvl w:ilvl="1">
      <w:lvlJc w:val="left"/>
      <w:lvlText w:val="(%2)"/>
      <w:numFmt w:val="lowerLetter"/>
      <w:start w:val="2"/>
    </w:lvl>
  </w:abstractNum>
  <w:abstractNum w:abstractNumId="55">
    <w:nsid w:val="475E256A"/>
    <w:multiLevelType w:val="hybridMultilevel"/>
    <w:lvl w:ilvl="0">
      <w:lvlJc w:val="left"/>
      <w:lvlText w:val="(%1)"/>
      <w:numFmt w:val="lowerLetter"/>
      <w:start w:val="3"/>
    </w:lvl>
  </w:abstractNum>
  <w:abstractNum w:abstractNumId="56">
    <w:nsid w:val="368DB37E"/>
    <w:multiLevelType w:val="hybridMultilevel"/>
    <w:lvl w:ilvl="0">
      <w:lvlJc w:val="left"/>
      <w:lvlText w:val="(%1)"/>
      <w:numFmt w:val="lowerLetter"/>
      <w:start w:val="1"/>
    </w:lvl>
    <w:lvl w:ilvl="1">
      <w:lvlJc w:val="left"/>
      <w:lvlText w:val="(%2)"/>
      <w:numFmt w:val="lowerRoman"/>
      <w:start w:val="1"/>
    </w:lvl>
  </w:abstractNum>
  <w:abstractNum w:abstractNumId="57">
    <w:nsid w:val="6A3B714C"/>
    <w:multiLevelType w:val="hybridMultilevel"/>
    <w:lvl w:ilvl="0">
      <w:lvlJc w:val="left"/>
      <w:lvlText w:val="%1"/>
      <w:numFmt w:val="upperLetter"/>
      <w:start w:val="1"/>
    </w:lvl>
    <w:lvl w:ilvl="1">
      <w:lvlJc w:val="left"/>
      <w:lvlText w:val="(%2)"/>
      <w:numFmt w:val="lowerRoman"/>
      <w:start w:val="5"/>
    </w:lvl>
  </w:abstractNum>
  <w:abstractNum w:abstractNumId="58">
    <w:nsid w:val="327B517E"/>
    <w:multiLevelType w:val="hybridMultilevel"/>
    <w:lvl w:ilvl="0">
      <w:lvlJc w:val="left"/>
      <w:lvlText w:val="(%1)"/>
      <w:numFmt w:val="upperLetter"/>
      <w:start w:val="2"/>
    </w:lvl>
    <w:lvl w:ilvl="1">
      <w:lvlJc w:val="left"/>
      <w:lvlText w:val="(%2)"/>
      <w:numFmt w:val="lowerRoman"/>
      <w:start w:val="7"/>
    </w:lvl>
  </w:abstractNum>
  <w:abstractNum w:abstractNumId="59">
    <w:nsid w:val="1F461B51"/>
    <w:multiLevelType w:val="hybridMultilevel"/>
    <w:lvl w:ilvl="0">
      <w:lvlJc w:val="left"/>
      <w:lvlText w:val="(%1)"/>
      <w:numFmt w:val="lowerRoman"/>
      <w:start w:val="19"/>
    </w:lvl>
  </w:abstractNum>
  <w:abstractNum w:abstractNumId="60">
    <w:nsid w:val="29BACF25"/>
    <w:multiLevelType w:val="hybridMultilevel"/>
    <w:lvl w:ilvl="0">
      <w:lvlJc w:val="left"/>
      <w:lvlText w:val="(%1)"/>
      <w:numFmt w:val="lowerLetter"/>
      <w:start w:val="1"/>
    </w:lvl>
  </w:abstractNum>
  <w:abstractNum w:abstractNumId="61">
    <w:nsid w:val="5D5BABB3"/>
    <w:multiLevelType w:val="hybridMultilevel"/>
    <w:lvl w:ilvl="0">
      <w:lvlJc w:val="left"/>
      <w:lvlText w:val="(%1)"/>
      <w:numFmt w:val="lowerLetter"/>
      <w:start w:val="1"/>
    </w:lvl>
  </w:abstractNum>
  <w:abstractNum w:abstractNumId="62">
    <w:nsid w:val="51BF6B48"/>
    <w:multiLevelType w:val="hybridMultilevel"/>
    <w:lvl w:ilvl="0">
      <w:lvlJc w:val="left"/>
      <w:lvlText w:val="(%1)"/>
      <w:numFmt w:val="lowerLetter"/>
      <w:start w:val="1"/>
    </w:lvl>
  </w:abstractNum>
  <w:abstractNum w:abstractNumId="63">
    <w:nsid w:val="7E0F6384"/>
    <w:multiLevelType w:val="hybridMultilevel"/>
    <w:lvl w:ilvl="0">
      <w:lvlJc w:val="left"/>
      <w:lvlText w:val="(%1)"/>
      <w:numFmt w:val="lowerLetter"/>
      <w:start w:val="1"/>
    </w:lvl>
  </w:abstractNum>
  <w:abstractNum w:abstractNumId="64">
    <w:nsid w:val="2B4B8B53"/>
    <w:multiLevelType w:val="hybridMultilevel"/>
    <w:lvl w:ilvl="0">
      <w:lvlJc w:val="left"/>
      <w:lvlText w:val="%1"/>
      <w:numFmt w:val="lowerLetter"/>
      <w:start w:val="1"/>
    </w:lvl>
    <w:lvl w:ilvl="1">
      <w:lvlJc w:val="left"/>
      <w:lvlText w:val="(%2)"/>
      <w:numFmt w:val="lowerLetter"/>
      <w:start w:val="3"/>
    </w:lvl>
  </w:abstractNum>
  <w:abstractNum w:abstractNumId="65">
    <w:nsid w:val="72E3413A"/>
    <w:multiLevelType w:val="hybridMultilevel"/>
    <w:lvl w:ilvl="0">
      <w:lvlJc w:val="left"/>
      <w:lvlText w:val="(%1)"/>
      <w:numFmt w:val="lowerLetter"/>
      <w:start w:val="9"/>
    </w:lvl>
    <w:lvl w:ilvl="1">
      <w:lvlJc w:val="left"/>
      <w:lvlText w:val="(%2)"/>
      <w:numFmt w:val="lowerLetter"/>
      <w:start w:val="6"/>
    </w:lvl>
  </w:abstractNum>
  <w:abstractNum w:abstractNumId="66">
    <w:nsid w:val="116AE494"/>
    <w:multiLevelType w:val="hybridMultilevel"/>
    <w:lvl w:ilvl="0">
      <w:lvlJc w:val="left"/>
      <w:lvlText w:val="(%1)"/>
      <w:numFmt w:val="lowerLetter"/>
      <w:start w:val="7"/>
    </w:lvl>
  </w:abstractNum>
  <w:abstractNum w:abstractNumId="67">
    <w:nsid w:val="3494B2FB"/>
    <w:multiLevelType w:val="hybridMultilevel"/>
    <w:lvl w:ilvl="0">
      <w:lvlJc w:val="left"/>
      <w:lvlText w:val="(%1)"/>
      <w:numFmt w:val="lowerLetter"/>
      <w:start w:val="1"/>
    </w:lvl>
  </w:abstractNum>
  <w:abstractNum w:abstractNumId="68">
    <w:nsid w:val="B13A31"/>
    <w:multiLevelType w:val="hybridMultilevel"/>
    <w:lvl w:ilvl="0">
      <w:lvlJc w:val="left"/>
      <w:lvlText w:val="(%1)"/>
      <w:numFmt w:val="lowerLetter"/>
      <w:start w:val="1"/>
    </w:lvl>
  </w:abstractNum>
  <w:abstractNum w:abstractNumId="69">
    <w:nsid w:val="64429599"/>
    <w:multiLevelType w:val="hybridMultilevel"/>
    <w:lvl w:ilvl="0">
      <w:lvlJc w:val="left"/>
      <w:lvlText w:val="(%1)"/>
      <w:numFmt w:val="lowerLetter"/>
      <w:start w:val="1"/>
    </w:lvl>
  </w:abstractNum>
  <w:abstractNum w:abstractNumId="70">
    <w:nsid w:val="631F1690"/>
    <w:multiLevelType w:val="hybridMultilevel"/>
    <w:lvl w:ilvl="0">
      <w:lvlJc w:val="left"/>
      <w:lvlText w:val="(%1)"/>
      <w:numFmt w:val="lowerLetter"/>
      <w:start w:val="1"/>
    </w:lvl>
  </w:abstractNum>
  <w:abstractNum w:abstractNumId="71">
    <w:nsid w:val="25973E32"/>
    <w:multiLevelType w:val="hybridMultilevel"/>
    <w:lvl w:ilvl="0">
      <w:lvlJc w:val="left"/>
      <w:lvlText w:val="(%1)"/>
      <w:numFmt w:val="lowerLetter"/>
      <w:start w:val="1"/>
    </w:lvl>
  </w:abstractNum>
  <w:abstractNum w:abstractNumId="72">
    <w:nsid w:val="EAD6F57"/>
    <w:multiLevelType w:val="hybridMultilevel"/>
    <w:lvl w:ilvl="0">
      <w:lvlJc w:val="left"/>
      <w:lvlText w:val="(%1)"/>
      <w:numFmt w:val="lowerLetter"/>
      <w:start w:val="1"/>
    </w:lvl>
  </w:abstractNum>
  <w:abstractNum w:abstractNumId="73">
    <w:nsid w:val="6EC9D844"/>
    <w:multiLevelType w:val="hybridMultilevel"/>
    <w:lvl w:ilvl="0">
      <w:lvlJc w:val="left"/>
      <w:lvlText w:val="(%1)"/>
      <w:numFmt w:val="lowerLetter"/>
      <w:start w:val="1"/>
    </w:lvl>
  </w:abstractNum>
  <w:abstractNum w:abstractNumId="74">
    <w:nsid w:val="5C49EAEE"/>
    <w:multiLevelType w:val="hybridMultilevel"/>
    <w:lvl w:ilvl="0">
      <w:lvlJc w:val="left"/>
      <w:lvlText w:val="(%1)"/>
      <w:numFmt w:val="lowerLetter"/>
      <w:start w:val="1"/>
    </w:lvl>
  </w:abstractNum>
  <w:abstractNum w:abstractNumId="75">
    <w:nsid w:val="64AF49B"/>
    <w:multiLevelType w:val="hybridMultilevel"/>
    <w:lvl w:ilvl="0">
      <w:lvlJc w:val="left"/>
      <w:lvlText w:val="(%1)"/>
      <w:numFmt w:val="lowerLetter"/>
      <w:start w:val="13"/>
    </w:lvl>
  </w:abstractNum>
  <w:abstractNum w:abstractNumId="76">
    <w:nsid w:val="397C46BC"/>
    <w:multiLevelType w:val="hybridMultilevel"/>
    <w:lvl w:ilvl="0">
      <w:lvlJc w:val="left"/>
      <w:lvlText w:val="(%1)"/>
      <w:numFmt w:val="lowerLetter"/>
      <w:start w:val="1"/>
    </w:lvl>
  </w:abstractNum>
  <w:abstractNum w:abstractNumId="77">
    <w:nsid w:val="7E448DE9"/>
    <w:multiLevelType w:val="hybridMultilevel"/>
    <w:lvl w:ilvl="0">
      <w:lvlJc w:val="left"/>
      <w:lvlText w:val="(%1)"/>
      <w:numFmt w:val="lowerRoman"/>
      <w:start w:val="1"/>
    </w:lvl>
  </w:abstractNum>
  <w:abstractNum w:abstractNumId="78">
    <w:nsid w:val="5A9CC3E5"/>
    <w:multiLevelType w:val="hybridMultilevel"/>
    <w:lvl w:ilvl="0">
      <w:lvlJc w:val="left"/>
      <w:lvlText w:val="(%1)"/>
      <w:numFmt w:val="lowerLetter"/>
      <w:start w:val="1"/>
    </w:lvl>
  </w:abstractNum>
  <w:abstractNum w:abstractNumId="79">
    <w:nsid w:val="1AFE3625"/>
    <w:multiLevelType w:val="hybridMultilevel"/>
    <w:lvl w:ilvl="0">
      <w:lvlJc w:val="left"/>
      <w:lvlText w:val="(%1)"/>
      <w:numFmt w:val="lowerLetter"/>
      <w:start w:val="4"/>
    </w:lvl>
  </w:abstractNum>
  <w:abstractNum w:abstractNumId="80">
    <w:nsid w:val="3CA88ECF"/>
    <w:multiLevelType w:val="hybridMultilevel"/>
    <w:lvl w:ilvl="0">
      <w:lvlJc w:val="left"/>
      <w:lvlText w:val="(%1)"/>
      <w:numFmt w:val="lowerLetter"/>
      <w:start w:val="1"/>
    </w:lvl>
  </w:abstractNum>
  <w:abstractNum w:abstractNumId="81">
    <w:nsid w:val="6EBE4208"/>
    <w:multiLevelType w:val="hybridMultilevel"/>
    <w:lvl w:ilvl="0">
      <w:lvlJc w:val="left"/>
      <w:lvlText w:val="(%1)"/>
      <w:numFmt w:val="lowerLetter"/>
      <w:start w:val="3"/>
    </w:lvl>
  </w:abstractNum>
  <w:abstractNum w:abstractNumId="82">
    <w:nsid w:val="C058DF5"/>
    <w:multiLevelType w:val="hybridMultilevel"/>
    <w:lvl w:ilvl="0">
      <w:lvlJc w:val="left"/>
      <w:lvlText w:val="(%1)"/>
      <w:numFmt w:val="lowerLetter"/>
      <w:start w:val="1"/>
    </w:lvl>
  </w:abstractNum>
  <w:abstractNum w:abstractNumId="83">
    <w:nsid w:val="CBE5BE9"/>
    <w:multiLevelType w:val="hybridMultilevel"/>
    <w:lvl w:ilvl="0">
      <w:lvlJc w:val="left"/>
      <w:lvlText w:val="(%1)"/>
      <w:numFmt w:val="lowerLetter"/>
      <w:start w:val="10"/>
    </w:lvl>
  </w:abstractNum>
  <w:abstractNum w:abstractNumId="84">
    <w:nsid w:val="3102BBE2"/>
    <w:multiLevelType w:val="hybridMultilevel"/>
    <w:lvl w:ilvl="0">
      <w:lvlJc w:val="left"/>
      <w:lvlText w:val="(%1)"/>
      <w:numFmt w:val="lowerLetter"/>
      <w:start w:val="1"/>
    </w:lvl>
  </w:abstractNum>
  <w:abstractNum w:abstractNumId="85">
    <w:nsid w:val="26A02C5E"/>
    <w:multiLevelType w:val="hybridMultilevel"/>
    <w:lvl w:ilvl="0">
      <w:lvlJc w:val="left"/>
      <w:lvlText w:val="(%1)"/>
      <w:numFmt w:val="lowerLetter"/>
      <w:start w:val="1"/>
    </w:lvl>
  </w:abstractNum>
  <w:abstractNum w:abstractNumId="86">
    <w:nsid w:val="541C8153"/>
    <w:multiLevelType w:val="hybridMultilevel"/>
    <w:lvl w:ilvl="0">
      <w:lvlJc w:val="left"/>
      <w:lvlText w:val="(%1)"/>
      <w:numFmt w:val="lowerLetter"/>
      <w:start w:val="1"/>
    </w:lvl>
  </w:abstractNum>
  <w:abstractNum w:abstractNumId="87">
    <w:nsid w:val="67906F60"/>
    <w:multiLevelType w:val="hybridMultilevel"/>
    <w:lvl w:ilvl="0">
      <w:lvlJc w:val="left"/>
      <w:lvlText w:val="(%1)"/>
      <w:numFmt w:val="lowerLetter"/>
      <w:start w:val="2"/>
    </w:lvl>
  </w:abstractNum>
  <w:abstractNum w:abstractNumId="88">
    <w:nsid w:val="10DB9DAA"/>
    <w:multiLevelType w:val="hybridMultilevel"/>
    <w:lvl w:ilvl="0">
      <w:lvlJc w:val="left"/>
      <w:lvlText w:val="(%1)"/>
      <w:numFmt w:val="lowerLetter"/>
      <w:start w:val="1"/>
    </w:lvl>
  </w:abstractNum>
  <w:abstractNum w:abstractNumId="89">
    <w:nsid w:val="697D2D2"/>
    <w:multiLevelType w:val="hybridMultilevel"/>
    <w:lvl w:ilvl="0">
      <w:lvlJc w:val="left"/>
      <w:lvlText w:val="%1."/>
      <w:numFmt w:val="decimal"/>
      <w:start w:val="1"/>
    </w:lvl>
  </w:abstractNum>
  <w:abstractNum w:abstractNumId="90">
    <w:nsid w:val="6D68AB2"/>
    <w:multiLevelType w:val="hybridMultilevel"/>
    <w:lvl w:ilvl="0">
      <w:lvlJc w:val="left"/>
      <w:lvlText w:val="%1."/>
      <w:numFmt w:val="decimal"/>
      <w:start w:val="6"/>
    </w:lvl>
  </w:abstractNum>
  <w:abstractNum w:abstractNumId="91">
    <w:nsid w:val="3A966CD0"/>
    <w:multiLevelType w:val="hybridMultilevel"/>
    <w:lvl w:ilvl="0">
      <w:lvlJc w:val="left"/>
      <w:lvlText w:val="(%1)"/>
      <w:numFmt w:val="lowerLetter"/>
      <w:start w:val="1"/>
    </w:lvl>
    <w:lvl w:ilvl="1">
      <w:lvlJc w:val="left"/>
      <w:lvlText w:val="%2."/>
      <w:numFmt w:val="upperLetter"/>
      <w:start w:val="2"/>
    </w:lvl>
  </w:abstractNum>
  <w:abstractNum w:abstractNumId="92">
    <w:nsid w:val="63F37E85"/>
    <w:multiLevelType w:val="hybridMultilevel"/>
    <w:lvl w:ilvl="0">
      <w:lvlJc w:val="left"/>
      <w:lvlText w:val="%1."/>
      <w:numFmt w:val="decimal"/>
      <w:start w:val="1"/>
    </w:lvl>
  </w:abstractNum>
  <w:abstractNum w:abstractNumId="93">
    <w:nsid w:val="5895F5FA"/>
    <w:multiLevelType w:val="hybridMultilevel"/>
    <w:lvl w:ilvl="0">
      <w:lvlJc w:val="left"/>
      <w:lvlText w:val="%1."/>
      <w:numFmt w:val="decimal"/>
      <w:start w:val="1"/>
    </w:lvl>
  </w:abstractNum>
  <w:abstractNum w:abstractNumId="94">
    <w:nsid w:val="38A5D054"/>
    <w:multiLevelType w:val="hybridMultilevel"/>
    <w:lvl w:ilvl="0">
      <w:lvlJc w:val="left"/>
      <w:lvlText w:val="%1."/>
      <w:numFmt w:val="decimal"/>
      <w:start w:val="4"/>
    </w:lvl>
  </w:abstractNum>
  <w:abstractNum w:abstractNumId="95">
    <w:nsid w:val="F3F09D8"/>
    <w:multiLevelType w:val="hybridMultilevel"/>
    <w:lvl w:ilvl="0">
      <w:lvlJc w:val="left"/>
      <w:lvlText w:val="%1."/>
      <w:numFmt w:val="decimal"/>
      <w:start w:val="5"/>
    </w:lvl>
  </w:abstractNum>
  <w:abstractNum w:abstractNumId="96">
    <w:nsid w:val="4B793735"/>
    <w:multiLevelType w:val="hybridMultilevel"/>
    <w:lvl w:ilvl="0">
      <w:lvlJc w:val="left"/>
      <w:lvlText w:val="%1."/>
      <w:numFmt w:val="decimal"/>
      <w:start w:val="1"/>
    </w:lvl>
  </w:abstractNum>
  <w:abstractNum w:abstractNumId="97">
    <w:nsid w:val="4A10B4E8"/>
    <w:multiLevelType w:val="hybridMultilevel"/>
    <w:lvl w:ilvl="0">
      <w:lvlJc w:val="left"/>
      <w:lvlText w:val="%1."/>
      <w:numFmt w:val="decimal"/>
      <w:start w:val="2"/>
    </w:lvl>
  </w:abstractNum>
  <w:abstractNum w:abstractNumId="98">
    <w:nsid w:val="43D3BCD4"/>
    <w:multiLevelType w:val="hybridMultilevel"/>
    <w:lvl w:ilvl="0">
      <w:lvlJc w:val="left"/>
      <w:lvlText w:val="%1."/>
      <w:numFmt w:val="decimal"/>
      <w:start w:val="1"/>
    </w:lvl>
  </w:abstractNum>
  <w:abstractNum w:abstractNumId="99">
    <w:nsid w:val="4C2A7166"/>
    <w:multiLevelType w:val="hybridMultilevel"/>
    <w:lvl w:ilvl="0">
      <w:lvlJc w:val="left"/>
      <w:lvlText w:val="%1."/>
      <w:numFmt w:val="decimal"/>
      <w:start w:val="1"/>
    </w:lvl>
  </w:abstractNum>
  <w:abstractNum w:abstractNumId="100">
    <w:nsid w:val="2E534A82"/>
    <w:multiLevelType w:val="hybridMultilevel"/>
    <w:lvl w:ilvl="0">
      <w:lvlJc w:val="left"/>
      <w:lvlText w:val="(%1)"/>
      <w:numFmt w:val="lowerLetter"/>
      <w:start w:val="1"/>
    </w:lvl>
  </w:abstractNum>
  <w:abstractNum w:abstractNumId="101">
    <w:nsid w:val="26F2D364"/>
    <w:multiLevelType w:val="hybridMultilevel"/>
    <w:lvl w:ilvl="0">
      <w:lvlJc w:val="left"/>
      <w:lvlText w:val="(%1)"/>
      <w:numFmt w:val="decimal"/>
      <w:start w:val="1"/>
    </w:lvl>
  </w:abstractNum>
  <w:abstractNum w:abstractNumId="102">
    <w:nsid w:val="71C1AF98"/>
    <w:multiLevelType w:val="hybridMultilevel"/>
    <w:lvl w:ilvl="0">
      <w:lvlJc w:val="left"/>
      <w:lvlText w:val="(%1)"/>
      <w:numFmt w:val="decimal"/>
      <w:start w:val="2"/>
    </w:lvl>
  </w:abstractNum>
  <w:abstractNum w:abstractNumId="103">
    <w:nsid w:val="3D00B9D9"/>
    <w:multiLevelType w:val="hybridMultilevel"/>
    <w:lvl w:ilvl="0">
      <w:lvlJc w:val="left"/>
      <w:lvlText w:val="%1"/>
      <w:numFmt w:val="lowerRoman"/>
      <w:start w:val="1"/>
    </w:lvl>
    <w:lvl w:ilvl="1">
      <w:lvlJc w:val="left"/>
      <w:lvlText w:val="(%2)"/>
      <w:numFmt w:val="upperLetter"/>
      <w:start w:val="1"/>
    </w:lvl>
  </w:abstractNum>
  <w:abstractNum w:abstractNumId="104">
    <w:nsid w:val="15BCABA8"/>
    <w:multiLevelType w:val="hybridMultilevel"/>
    <w:lvl w:ilvl="0">
      <w:lvlJc w:val="left"/>
      <w:lvlText w:val="(%1)"/>
      <w:numFmt w:val="lowerRoman"/>
      <w:start w:val="5"/>
    </w:lvl>
    <w:lvl w:ilvl="1">
      <w:lvlJc w:val="left"/>
      <w:lvlText w:val="%2"/>
      <w:numFmt w:val="upperLetter"/>
      <w:start w:val="1"/>
    </w:lvl>
  </w:abstractNum>
  <w:abstractNum w:abstractNumId="105">
    <w:nsid w:val="4E0B9A87"/>
    <w:multiLevelType w:val="hybridMultilevel"/>
    <w:lvl w:ilvl="0">
      <w:lvlJc w:val="left"/>
      <w:lvlText w:val="(%1)"/>
      <w:numFmt w:val="lowerRoman"/>
      <w:start w:val="7"/>
    </w:lvl>
    <w:lvl w:ilvl="1">
      <w:lvlJc w:val="left"/>
      <w:lvlText w:val="(%2)"/>
      <w:numFmt w:val="upperLetter"/>
      <w:start w:val="2"/>
    </w:lvl>
  </w:abstractNum>
  <w:abstractNum w:abstractNumId="106">
    <w:nsid w:val="434BAE75"/>
    <w:multiLevelType w:val="hybridMultilevel"/>
    <w:lvl w:ilvl="0">
      <w:lvlJc w:val="left"/>
      <w:lvlText w:val="(%1)"/>
      <w:numFmt w:val="upperLetter"/>
      <w:start w:val="4"/>
    </w:lvl>
  </w:abstractNum>
  <w:abstractNum w:abstractNumId="107">
    <w:nsid w:val="4F38F265"/>
    <w:multiLevelType w:val="hybridMultilevel"/>
    <w:lvl w:ilvl="0">
      <w:lvlJc w:val="left"/>
      <w:lvlText w:val="(%1)"/>
      <w:numFmt w:val="lowerLetter"/>
      <w:start w:val="2"/>
    </w:lvl>
    <w:lvl w:ilvl="1">
      <w:lvlJc w:val="left"/>
      <w:lvlText w:val="(%2)"/>
      <w:numFmt w:val="decimal"/>
      <w:start w:val="3"/>
    </w:lvl>
  </w:abstractNum>
  <w:abstractNum w:abstractNumId="108">
    <w:nsid w:val="4C502870"/>
    <w:multiLevelType w:val="hybridMultilevel"/>
    <w:lvl w:ilvl="0">
      <w:lvlJc w:val="left"/>
      <w:lvlText w:val="(%1)"/>
      <w:numFmt w:val="decimal"/>
      <w:start w:val="4"/>
    </w:lvl>
  </w:abstractNum>
  <w:abstractNum w:abstractNumId="109">
    <w:nsid w:val="1DE8725A"/>
    <w:multiLevelType w:val="hybridMultilevel"/>
    <w:lvl w:ilvl="0">
      <w:lvlJc w:val="left"/>
      <w:lvlText w:val="(%1)"/>
      <w:numFmt w:val="lowerLetter"/>
      <w:start w:val="2"/>
    </w:lvl>
  </w:abstractNum>
  <w:abstractNum w:abstractNumId="110">
    <w:nsid w:val="6A37288A"/>
    <w:multiLevelType w:val="hybridMultilevel"/>
    <w:lvl w:ilvl="0">
      <w:lvlJc w:val="left"/>
      <w:lvlText w:val="(%1)"/>
      <w:numFmt w:val="decimal"/>
      <w:start w:val="1"/>
    </w:lvl>
  </w:abstractNum>
  <w:abstractNum w:abstractNumId="111">
    <w:nsid w:val="8F8B73F"/>
    <w:multiLevelType w:val="hybridMultilevel"/>
    <w:lvl w:ilvl="0">
      <w:lvlJc w:val="left"/>
      <w:lvlText w:val="(%1)"/>
      <w:numFmt w:val="lowerLetter"/>
      <w:start w:val="3"/>
    </w:lvl>
  </w:abstractNum>
  <w:abstractNum w:abstractNumId="112">
    <w:nsid w:val="CA6B462"/>
    <w:multiLevelType w:val="hybridMultilevel"/>
    <w:lvl w:ilvl="0">
      <w:lvlJc w:val="left"/>
      <w:lvlText w:val="(%1)"/>
      <w:numFmt w:val="lowerLetter"/>
      <w:start w:val="1"/>
    </w:lvl>
  </w:abstractNum>
  <w:abstractNum w:abstractNumId="113">
    <w:nsid w:val="763CB680"/>
    <w:multiLevelType w:val="hybridMultilevel"/>
    <w:lvl w:ilvl="0">
      <w:lvlJc w:val="left"/>
      <w:lvlText w:val="(%1)"/>
      <w:numFmt w:val="lowerLetter"/>
      <w:start w:val="5"/>
    </w:lvl>
  </w:abstractNum>
  <w:abstractNum w:abstractNumId="114">
    <w:nsid w:val="15B71329"/>
    <w:multiLevelType w:val="hybridMultilevel"/>
    <w:lvl w:ilvl="0">
      <w:lvlJc w:val="left"/>
      <w:lvlText w:val="(%1)"/>
      <w:numFmt w:val="lowerRoman"/>
      <w:start w:val="2"/>
    </w:lvl>
  </w:abstractNum>
  <w:abstractNum w:abstractNumId="115">
    <w:nsid w:val="3DA97044"/>
    <w:multiLevelType w:val="hybridMultilevel"/>
    <w:lvl w:ilvl="0">
      <w:lvlJc w:val="left"/>
      <w:lvlText w:val="(%1)"/>
      <w:numFmt w:val="lowerLetter"/>
      <w:start w:val="1"/>
    </w:lvl>
  </w:abstractNum>
  <w:abstractNum w:abstractNumId="116">
    <w:nsid w:val="1CDCE2DE"/>
    <w:multiLevelType w:val="hybridMultilevel"/>
    <w:lvl w:ilvl="0">
      <w:lvlJc w:val="left"/>
      <w:lvlText w:val="(%1)"/>
      <w:numFmt w:val="lowerLetter"/>
      <w:start w:val="8"/>
    </w:lvl>
  </w:abstractNum>
  <w:abstractNum w:abstractNumId="117">
    <w:nsid w:val="69D3947C"/>
    <w:multiLevelType w:val="hybridMultilevel"/>
    <w:lvl w:ilvl="0">
      <w:lvlJc w:val="left"/>
      <w:lvlText w:val="(%1)"/>
      <w:numFmt w:val="lowerLetter"/>
      <w:start w:val="1"/>
    </w:lvl>
    <w:lvl w:ilvl="1">
      <w:lvlJc w:val="left"/>
      <w:lvlText w:val="(%2)"/>
      <w:numFmt w:val="decimal"/>
      <w:start w:val="1"/>
    </w:lvl>
  </w:abstractNum>
  <w:abstractNum w:abstractNumId="118">
    <w:nsid w:val="2539DFA5"/>
    <w:multiLevelType w:val="hybridMultilevel"/>
    <w:lvl w:ilvl="0">
      <w:lvlJc w:val="left"/>
      <w:lvlText w:val="(%1)"/>
      <w:numFmt w:val="lowerLetter"/>
      <w:start w:val="1"/>
    </w:lvl>
  </w:abstractNum>
  <w:abstractNum w:abstractNumId="119">
    <w:nsid w:val="2DB88089"/>
    <w:multiLevelType w:val="hybridMultilevel"/>
    <w:lvl w:ilvl="0">
      <w:lvlJc w:val="left"/>
      <w:lvlText w:val="(%1)"/>
      <w:numFmt w:val="lowerLetter"/>
      <w:start w:val="1"/>
    </w:lvl>
  </w:abstractNum>
  <w:abstractNum w:abstractNumId="120">
    <w:nsid w:val="706B674E"/>
    <w:multiLevelType w:val="hybridMultilevel"/>
    <w:lvl w:ilvl="0">
      <w:lvlJc w:val="left"/>
      <w:lvlText w:val="(%1)"/>
      <w:numFmt w:val="lowerLetter"/>
      <w:start w:val="1"/>
    </w:lvl>
  </w:abstractNum>
  <w:abstractNum w:abstractNumId="121">
    <w:nsid w:val="2C106A57"/>
    <w:multiLevelType w:val="hybridMultilevel"/>
    <w:lvl w:ilvl="0">
      <w:lvlJc w:val="left"/>
      <w:lvlText w:val="(%1)"/>
      <w:numFmt w:val="lowerLetter"/>
      <w:start w:val="1"/>
    </w:lvl>
  </w:abstractNum>
  <w:abstractNum w:abstractNumId="122">
    <w:nsid w:val="684EED59"/>
    <w:multiLevelType w:val="hybridMultilevel"/>
    <w:lvl w:ilvl="0">
      <w:lvlJc w:val="left"/>
      <w:lvlText w:val="%1."/>
      <w:numFmt w:val="decimal"/>
      <w:start w:val="1"/>
    </w:lvl>
  </w:abstractNum>
  <w:abstractNum w:abstractNumId="123">
    <w:nsid w:val="545EE5D3"/>
    <w:multiLevelType w:val="hybridMultilevel"/>
    <w:lvl w:ilvl="0">
      <w:lvlJc w:val="left"/>
      <w:lvlText w:val="%1."/>
      <w:numFmt w:val="decimal"/>
      <w:start w:val="3"/>
    </w:lvl>
  </w:abstractNum>
  <w:abstractNum w:abstractNumId="124">
    <w:nsid w:val="4A66051"/>
    <w:multiLevelType w:val="hybridMultilevel"/>
    <w:lvl w:ilvl="0">
      <w:lvlJc w:val="left"/>
      <w:lvlText w:val="%1."/>
      <w:numFmt w:val="decimal"/>
      <w:start w:val="13"/>
    </w:lvl>
  </w:abstractNum>
  <w:abstractNum w:abstractNumId="125">
    <w:nsid w:val="20F4BDAD"/>
    <w:multiLevelType w:val="hybridMultilevel"/>
    <w:lvl w:ilvl="0">
      <w:lvlJc w:val="left"/>
      <w:lvlText w:val="(%1)"/>
      <w:numFmt w:val="lowerLetter"/>
      <w:start w:val="1"/>
    </w:lvl>
  </w:abstractNum>
  <w:abstractNum w:abstractNumId="126">
    <w:nsid w:val="639DEFAC"/>
    <w:multiLevelType w:val="hybridMultilevel"/>
    <w:lvl w:ilvl="0">
      <w:lvlJc w:val="left"/>
      <w:lvlText w:val="(%1)"/>
      <w:numFmt w:val="lowerLetter"/>
      <w:start w:val="1"/>
    </w:lvl>
  </w:abstractNum>
  <w:abstractNum w:abstractNumId="127">
    <w:nsid w:val="501F9786"/>
    <w:multiLevelType w:val="hybridMultilevel"/>
    <w:lvl w:ilvl="0">
      <w:lvlJc w:val="left"/>
      <w:lvlText w:val="(%1)"/>
      <w:numFmt w:val="lowerLetter"/>
      <w:start w:val="1"/>
    </w:lvl>
  </w:abstractNum>
  <w:abstractNum w:abstractNumId="128">
    <w:nsid w:val="6B057295"/>
    <w:multiLevelType w:val="hybridMultilevel"/>
    <w:lvl w:ilvl="0">
      <w:lvlJc w:val="left"/>
      <w:lvlText w:val="["/>
      <w:numFmt w:val="bullet"/>
      <w:start w:val="1"/>
    </w:lvl>
  </w:abstractNum>
  <w:abstractNum w:abstractNumId="129">
    <w:nsid w:val="2771AC80"/>
    <w:multiLevelType w:val="hybridMultilevel"/>
    <w:lvl w:ilvl="0">
      <w:lvlJc w:val="left"/>
      <w:lvlText w:val="(%1)"/>
      <w:numFmt w:val="lowerLetter"/>
      <w:start w:val="1"/>
    </w:lvl>
    <w:lvl w:ilvl="1">
      <w:lvlJc w:val="left"/>
      <w:lvlText w:val="(%2)"/>
      <w:numFmt w:val="lowerRoman"/>
      <w:start w:val="1"/>
    </w:lvl>
  </w:abstractNum>
  <w:abstractNum w:abstractNumId="130">
    <w:nsid w:val="1C4A08EC"/>
    <w:multiLevelType w:val="hybridMultilevel"/>
    <w:lvl w:ilvl="0">
      <w:lvlJc w:val="left"/>
      <w:lvlText w:val="(%1)"/>
      <w:numFmt w:val="lowerLetter"/>
      <w:start w:val="3"/>
    </w:lvl>
  </w:abstractNum>
  <w:abstractNum w:abstractNumId="131">
    <w:nsid w:val="1958BD17"/>
    <w:multiLevelType w:val="hybridMultilevel"/>
    <w:lvl w:ilvl="0">
      <w:lvlJc w:val="left"/>
      <w:lvlText w:val="(%1)"/>
      <w:numFmt w:val="lowerLetter"/>
      <w:start w:val="1"/>
    </w:lvl>
  </w:abstractNum>
  <w:abstractNum w:abstractNumId="132">
    <w:nsid w:val="4E647FE4"/>
    <w:multiLevelType w:val="hybridMultilevel"/>
    <w:lvl w:ilvl="0">
      <w:lvlJc w:val="left"/>
      <w:lvlText w:val="(%1)"/>
      <w:numFmt w:val="lowerLetter"/>
      <w:start w:val="3"/>
    </w:lvl>
  </w:abstractNum>
  <w:abstractNum w:abstractNumId="133">
    <w:nsid w:val="E0BB885"/>
    <w:multiLevelType w:val="hybridMultilevel"/>
    <w:lvl w:ilvl="0">
      <w:lvlJc w:val="left"/>
      <w:lvlText w:val="(%1)"/>
      <w:numFmt w:val="lowerLetter"/>
      <w:start w:val="1"/>
    </w:lvl>
  </w:abstractNum>
  <w:abstractNum w:abstractNumId="134">
    <w:nsid w:val="565976F1"/>
    <w:multiLevelType w:val="hybridMultilevel"/>
    <w:lvl w:ilvl="0">
      <w:lvlJc w:val="left"/>
      <w:lvlText w:val="(%1)"/>
      <w:numFmt w:val="lowerLetter"/>
      <w:start w:val="2"/>
    </w:lvl>
  </w:abstractNum>
  <w:abstractNum w:abstractNumId="135">
    <w:nsid w:val="64212B8C"/>
    <w:multiLevelType w:val="hybridMultilevel"/>
    <w:lvl w:ilvl="0">
      <w:lvlJc w:val="left"/>
      <w:lvlText w:val="(%1)"/>
      <w:numFmt w:val="lowerLetter"/>
      <w:start w:val="3"/>
    </w:lvl>
    <w:lvl w:ilvl="1">
      <w:lvlJc w:val="left"/>
      <w:lvlText w:val="(%2)"/>
      <w:numFmt w:val="lowerRoman"/>
      <w:start w:val="1"/>
    </w:lvl>
  </w:abstractNum>
  <w:abstractNum w:abstractNumId="136">
    <w:nsid w:val="5C17530C"/>
    <w:multiLevelType w:val="hybridMultilevel"/>
    <w:lvl w:ilvl="0">
      <w:lvlJc w:val="left"/>
      <w:lvlText w:val="(%1)"/>
      <w:numFmt w:val="lowerLetter"/>
      <w:start w:val="6"/>
    </w:lvl>
  </w:abstractNum>
  <w:abstractNum w:abstractNumId="137">
    <w:nsid w:val="19A52566"/>
    <w:multiLevelType w:val="hybridMultilevel"/>
    <w:lvl w:ilvl="0">
      <w:lvlJc w:val="left"/>
      <w:lvlText w:val="(%1)"/>
      <w:numFmt w:val="lowerLetter"/>
      <w:start w:val="1"/>
    </w:lvl>
  </w:abstractNum>
  <w:abstractNum w:abstractNumId="138">
    <w:nsid w:val="335A1DF1"/>
    <w:multiLevelType w:val="hybridMultilevel"/>
    <w:lvl w:ilvl="0">
      <w:lvlJc w:val="left"/>
      <w:lvlText w:val="(%1)"/>
      <w:numFmt w:val="lowerLetter"/>
      <w:start w:val="1"/>
    </w:lvl>
  </w:abstractNum>
  <w:abstractNum w:abstractNumId="139">
    <w:nsid w:val="28677B7C"/>
    <w:multiLevelType w:val="hybridMultilevel"/>
    <w:lvl w:ilvl="0">
      <w:lvlJc w:val="left"/>
      <w:lvlText w:val="(%1)"/>
      <w:numFmt w:val="lowerLetter"/>
      <w:start w:val="1"/>
    </w:lvl>
  </w:abstractNum>
  <w:abstractNum w:abstractNumId="140">
    <w:nsid w:val="378D97C0"/>
    <w:multiLevelType w:val="hybridMultilevel"/>
    <w:lvl w:ilvl="0">
      <w:lvlJc w:val="left"/>
      <w:lvlText w:val="(%1)"/>
      <w:numFmt w:val="lowerLetter"/>
      <w:start w:val="1"/>
    </w:lvl>
  </w:abstractNum>
  <w:abstractNum w:abstractNumId="141">
    <w:nsid w:val="1D91467C"/>
    <w:multiLevelType w:val="hybridMultilevel"/>
    <w:lvl w:ilvl="0">
      <w:lvlJc w:val="left"/>
      <w:lvlText w:val="(%1)"/>
      <w:numFmt w:val="lowerLetter"/>
      <w:start w:val="2"/>
    </w:lvl>
  </w:abstractNum>
  <w:abstractNum w:abstractNumId="142">
    <w:nsid w:val="316032BB"/>
    <w:multiLevelType w:val="hybridMultilevel"/>
    <w:lvl w:ilvl="0">
      <w:lvlJc w:val="left"/>
      <w:lvlText w:val="(%1)"/>
      <w:numFmt w:val="lowerLetter"/>
      <w:start w:val="1"/>
    </w:lvl>
  </w:abstractNum>
  <w:abstractNum w:abstractNumId="143">
    <w:nsid w:val="44344C22"/>
    <w:multiLevelType w:val="hybridMultilevel"/>
    <w:lvl w:ilvl="0">
      <w:lvlJc w:val="left"/>
      <w:lvlText w:val="(%1)"/>
      <w:numFmt w:val="lowerLetter"/>
      <w:start w:val="1"/>
    </w:lvl>
  </w:abstractNum>
  <w:abstractNum w:abstractNumId="144">
    <w:nsid w:val="13CDFCFC"/>
    <w:multiLevelType w:val="hybridMultilevel"/>
    <w:lvl w:ilvl="0">
      <w:lvlJc w:val="left"/>
      <w:lvlText w:val="(%1)"/>
      <w:numFmt w:val="lowerLetter"/>
      <w:start w:val="2"/>
    </w:lvl>
  </w:abstractNum>
  <w:abstractNum w:abstractNumId="145">
    <w:nsid w:val="471745E4"/>
    <w:multiLevelType w:val="hybridMultilevel"/>
    <w:lvl w:ilvl="0">
      <w:lvlJc w:val="left"/>
      <w:lvlText w:val="(%1)"/>
      <w:numFmt w:val="lowerLetter"/>
      <w:start w:val="1"/>
    </w:lvl>
    <w:lvl w:ilvl="1">
      <w:lvlJc w:val="left"/>
      <w:lvlText w:val="(%2)"/>
      <w:numFmt w:val="lowerRoman"/>
      <w:start w:val="1"/>
    </w:lvl>
  </w:abstractNum>
  <w:abstractNum w:abstractNumId="146">
    <w:nsid w:val="1DDBC66"/>
    <w:multiLevelType w:val="hybridMultilevel"/>
    <w:lvl w:ilvl="0">
      <w:lvlJc w:val="left"/>
      <w:lvlText w:val="(%1)"/>
      <w:numFmt w:val="lowerLetter"/>
      <w:start w:val="1"/>
    </w:lvl>
  </w:abstractNum>
  <w:abstractNum w:abstractNumId="147">
    <w:nsid w:val="30AADFDA"/>
    <w:multiLevelType w:val="hybridMultilevel"/>
    <w:lvl w:ilvl="0">
      <w:lvlJc w:val="left"/>
      <w:lvlText w:val="%1."/>
      <w:numFmt w:val="decimal"/>
      <w:start w:val="1"/>
    </w:lvl>
  </w:abstractNum>
  <w:abstractNum w:abstractNumId="148">
    <w:nsid w:val="30EADA61"/>
    <w:multiLevelType w:val="hybridMultilevel"/>
    <w:lvl w:ilvl="0">
      <w:lvlJc w:val="left"/>
      <w:lvlText w:val="%1."/>
      <w:numFmt w:val="decimal"/>
      <w:start w:val="2"/>
    </w:lvl>
    <w:lvl w:ilvl="1">
      <w:lvlJc w:val="left"/>
      <w:lvlText w:val="(%2)"/>
      <w:numFmt w:val="lowerLetter"/>
      <w:start w:val="1"/>
    </w:lvl>
  </w:abstractNum>
  <w:abstractNum w:abstractNumId="149">
    <w:nsid w:val="27179C0B"/>
    <w:multiLevelType w:val="hybridMultilevel"/>
    <w:lvl w:ilvl="0">
      <w:lvlJc w:val="left"/>
      <w:lvlText w:val="(%1)"/>
      <w:numFmt w:val="lowerLetter"/>
      <w:start w:val="2"/>
    </w:lvl>
  </w:abstractNum>
  <w:abstractNum w:abstractNumId="150">
    <w:nsid w:val="5E636063"/>
    <w:multiLevelType w:val="hybridMultilevel"/>
    <w:lvl w:ilvl="0">
      <w:lvlJc w:val="left"/>
      <w:lvlText w:val="%1"/>
      <w:numFmt w:val="decimal"/>
      <w:start w:val="1"/>
    </w:lvl>
    <w:lvl w:ilvl="1">
      <w:lvlJc w:val="left"/>
      <w:lvlText w:val="(%2)"/>
      <w:numFmt w:val="lowerLetter"/>
      <w:start w:val="3"/>
    </w:lvl>
  </w:abstractNum>
  <w:abstractNum w:abstractNumId="151">
    <w:nsid w:val="215641AF"/>
    <w:multiLevelType w:val="hybridMultilevel"/>
    <w:lvl w:ilvl="0">
      <w:lvlJc w:val="left"/>
      <w:lvlText w:val="%1."/>
      <w:numFmt w:val="decimal"/>
      <w:start w:val="3"/>
    </w:lvl>
    <w:lvl w:ilvl="1">
      <w:lvlJc w:val="left"/>
      <w:lvlText w:val="(%2)"/>
      <w:numFmt w:val="lowerLetter"/>
      <w:start w:val="1"/>
    </w:lvl>
  </w:abstractNum>
  <w:abstractNum w:abstractNumId="152">
    <w:nsid w:val="53280662"/>
    <w:multiLevelType w:val="hybridMultilevel"/>
    <w:lvl w:ilvl="0">
      <w:lvlJc w:val="left"/>
      <w:lvlText w:val="%1."/>
      <w:numFmt w:val="decimal"/>
      <w:start w:val="4"/>
    </w:lvl>
  </w:abstractNum>
  <w:abstractNum w:abstractNumId="153">
    <w:nsid w:val="46B24DBC"/>
    <w:multiLevelType w:val="hybridMultilevel"/>
    <w:lvl w:ilvl="0">
      <w:lvlJc w:val="left"/>
      <w:lvlText w:val="%1."/>
      <w:numFmt w:val="decimal"/>
      <w:start w:val="9"/>
    </w:lvl>
  </w:abstractNum>
  <w:abstractNum w:abstractNumId="154">
    <w:nsid w:val="75B52783"/>
    <w:multiLevelType w:val="hybridMultilevel"/>
    <w:lvl w:ilvl="0">
      <w:lvlJc w:val="left"/>
      <w:lvlText w:val="%1."/>
      <w:numFmt w:val="decimal"/>
      <w:start w:val="11"/>
    </w:lvl>
  </w:abstractNum>
  <w:abstractNum w:abstractNumId="155">
    <w:nsid w:val="57CE66B4"/>
    <w:multiLevelType w:val="hybridMultilevel"/>
    <w:lvl w:ilvl="0">
      <w:lvlJc w:val="left"/>
      <w:lvlText w:val="%1."/>
      <w:numFmt w:val="decimal"/>
      <w:start w:val="1"/>
    </w:lvl>
  </w:abstractNum>
  <w:abstractNum w:abstractNumId="156">
    <w:nsid w:val="67A70B69"/>
    <w:multiLevelType w:val="hybridMultilevel"/>
    <w:lvl w:ilvl="0">
      <w:lvlJc w:val="left"/>
      <w:lvlText w:val="%1."/>
      <w:numFmt w:val="decimal"/>
      <w:start w:val="2"/>
    </w:lvl>
    <w:lvl w:ilvl="1">
      <w:lvlJc w:val="left"/>
      <w:lvlText w:val="(%2)"/>
      <w:numFmt w:val="lowerLetter"/>
      <w:start w:val="1"/>
    </w:lvl>
  </w:abstractNum>
  <w:abstractNum w:abstractNumId="157">
    <w:nsid w:val="5953172F"/>
    <w:multiLevelType w:val="hybridMultilevel"/>
    <w:lvl w:ilvl="0">
      <w:lvlJc w:val="left"/>
      <w:lvlText w:val="(%1)"/>
      <w:numFmt w:val="lowerLetter"/>
      <w:start w:val="2"/>
    </w:lvl>
  </w:abstractNum>
  <w:abstractNum w:abstractNumId="158">
    <w:nsid w:val="27EDFE3A"/>
    <w:multiLevelType w:val="hybridMultilevel"/>
    <w:lvl w:ilvl="0">
      <w:lvlJc w:val="left"/>
      <w:lvlText w:val="%1"/>
      <w:numFmt w:val="decimal"/>
      <w:start w:val="1"/>
    </w:lvl>
    <w:lvl w:ilvl="1">
      <w:lvlJc w:val="left"/>
      <w:lvlText w:val="(%2)"/>
      <w:numFmt w:val="lowerLetter"/>
      <w:start w:val="3"/>
    </w:lvl>
  </w:abstractNum>
  <w:abstractNum w:abstractNumId="159">
    <w:nsid w:val="52AC7DFF"/>
    <w:multiLevelType w:val="hybridMultilevel"/>
    <w:lvl w:ilvl="0">
      <w:lvlJc w:val="left"/>
      <w:lvlText w:val="%1."/>
      <w:numFmt w:val="decimal"/>
      <w:start w:val="3"/>
    </w:lvl>
    <w:lvl w:ilvl="1">
      <w:lvlJc w:val="left"/>
      <w:lvlText w:val="(%2)"/>
      <w:numFmt w:val="lowerLetter"/>
      <w:start w:val="1"/>
    </w:lvl>
  </w:abstractNum>
  <w:abstractNum w:abstractNumId="160">
    <w:nsid w:val="C4C3AF"/>
    <w:multiLevelType w:val="hybridMultilevel"/>
    <w:lvl w:ilvl="0">
      <w:lvlJc w:val="left"/>
      <w:lvlText w:val="%1."/>
      <w:numFmt w:val="decimal"/>
      <w:start w:val="7"/>
    </w:lvl>
  </w:abstractNum>
  <w:abstractNum w:abstractNumId="161">
    <w:nsid w:val="44380727"/>
    <w:multiLevelType w:val="hybridMultilevel"/>
    <w:lvl w:ilvl="0">
      <w:lvlJc w:val="left"/>
      <w:lvlText w:val="%1."/>
      <w:numFmt w:val="decimal"/>
      <w:start w:val="9"/>
    </w:lvl>
  </w:abstractNum>
  <w:abstractNum w:abstractNumId="162">
    <w:nsid w:val="6C053B16"/>
    <w:multiLevelType w:val="hybridMultilevel"/>
    <w:lvl w:ilvl="0">
      <w:lvlJc w:val="left"/>
      <w:lvlText w:val="%1."/>
      <w:numFmt w:val="decimal"/>
      <w:start w:val="1"/>
    </w:lvl>
  </w:abstractNum>
  <w:abstractNum w:abstractNumId="163">
    <w:nsid w:val="4F294393"/>
    <w:multiLevelType w:val="hybridMultilevel"/>
    <w:lvl w:ilvl="0">
      <w:lvlJc w:val="left"/>
      <w:lvlText w:val="%1."/>
      <w:numFmt w:val="decimal"/>
      <w:start w:val="2"/>
    </w:lvl>
    <w:lvl w:ilvl="1">
      <w:lvlJc w:val="left"/>
      <w:lvlText w:val="(%2)"/>
      <w:numFmt w:val="lowerLetter"/>
      <w:start w:val="1"/>
    </w:lvl>
  </w:abstractNum>
  <w:abstractNum w:abstractNumId="164">
    <w:nsid w:val="5243BFAC"/>
    <w:multiLevelType w:val="hybridMultilevel"/>
    <w:lvl w:ilvl="0">
      <w:lvlJc w:val="left"/>
      <w:lvlText w:val="(%1)"/>
      <w:numFmt w:val="lowerLetter"/>
      <w:start w:val="2"/>
    </w:lvl>
  </w:abstractNum>
  <w:abstractNum w:abstractNumId="165">
    <w:nsid w:val="425EB207"/>
    <w:multiLevelType w:val="hybridMultilevel"/>
    <w:lvl w:ilvl="0">
      <w:lvlJc w:val="left"/>
      <w:lvlText w:val="%1"/>
      <w:numFmt w:val="decimal"/>
      <w:start w:val="1"/>
    </w:lvl>
    <w:lvl w:ilvl="1">
      <w:lvlJc w:val="left"/>
      <w:lvlText w:val="(%2)"/>
      <w:numFmt w:val="lowerLetter"/>
      <w:start w:val="3"/>
    </w:lvl>
  </w:abstractNum>
  <w:abstractNum w:abstractNumId="166">
    <w:nsid w:val="334A6F1F"/>
    <w:multiLevelType w:val="hybridMultilevel"/>
    <w:lvl w:ilvl="0">
      <w:lvlJc w:val="left"/>
      <w:lvlText w:val="%1."/>
      <w:numFmt w:val="decimal"/>
      <w:start w:val="3"/>
    </w:lvl>
    <w:lvl w:ilvl="1">
      <w:lvlJc w:val="left"/>
      <w:lvlText w:val="(%2)"/>
      <w:numFmt w:val="lowerLetter"/>
      <w:start w:val="1"/>
    </w:lvl>
  </w:abstractNum>
  <w:abstractNum w:abstractNumId="167">
    <w:nsid w:val="2E5B12B8"/>
    <w:multiLevelType w:val="hybridMultilevel"/>
    <w:lvl w:ilvl="0">
      <w:lvlJc w:val="left"/>
      <w:lvlText w:val="%1."/>
      <w:numFmt w:val="decimal"/>
      <w:start w:val="4"/>
    </w:lvl>
  </w:abstractNum>
  <w:abstractNum w:abstractNumId="168">
    <w:nsid w:val="5C03D76D"/>
    <w:multiLevelType w:val="hybridMultilevel"/>
    <w:lvl w:ilvl="0">
      <w:lvlJc w:val="left"/>
      <w:lvlText w:val="%1."/>
      <w:numFmt w:val="decimal"/>
      <w:start w:val="10"/>
    </w:lvl>
  </w:abstractNum>
  <w:abstractNum w:abstractNumId="169">
    <w:nsid w:val="66A48D11"/>
    <w:multiLevelType w:val="hybridMultilevel"/>
    <w:lvl w:ilvl="0">
      <w:lvlJc w:val="left"/>
      <w:lvlText w:val="%1."/>
      <w:numFmt w:val="decimal"/>
      <w:start w:val="1"/>
    </w:lvl>
  </w:abstractNum>
  <w:abstractNum w:abstractNumId="170">
    <w:nsid w:val="56C28E34"/>
    <w:multiLevelType w:val="hybridMultilevel"/>
    <w:lvl w:ilvl="0">
      <w:lvlJc w:val="left"/>
      <w:lvlText w:val="%1."/>
      <w:numFmt w:val="decimal"/>
      <w:start w:val="3"/>
    </w:lvl>
  </w:abstractNum>
  <w:abstractNum w:abstractNumId="171">
    <w:nsid w:val="13916F2D"/>
    <w:multiLevelType w:val="hybridMultilevel"/>
    <w:lvl w:ilvl="0">
      <w:lvlJc w:val="left"/>
      <w:lvlText w:val="%1."/>
      <w:numFmt w:val="decimal"/>
      <w:start w:val="4"/>
    </w:lvl>
  </w:abstractNum>
  <w:abstractNum w:abstractNumId="172">
    <w:nsid w:val="435D38D"/>
    <w:multiLevelType w:val="hybridMultilevel"/>
    <w:lvl w:ilvl="0">
      <w:lvlJc w:val="left"/>
      <w:lvlText w:val="%1."/>
      <w:numFmt w:val="decimal"/>
      <w:start w:val="10"/>
    </w:lvl>
  </w:abstractNum>
  <w:abstractNum w:abstractNumId="173">
    <w:nsid w:val="822C0EF"/>
    <w:multiLevelType w:val="hybridMultilevel"/>
    <w:lvl w:ilvl="0">
      <w:lvlJc w:val="left"/>
      <w:lvlText w:val="%1."/>
      <w:numFmt w:val="decimal"/>
      <w:start w:val="1"/>
    </w:lvl>
  </w:abstractNum>
  <w:abstractNum w:abstractNumId="174">
    <w:nsid w:val="57C5BB4F"/>
    <w:multiLevelType w:val="hybridMultilevel"/>
    <w:lvl w:ilvl="0">
      <w:lvlJc w:val="left"/>
      <w:lvlText w:val="%1."/>
      <w:numFmt w:val="decimal"/>
      <w:start w:val="3"/>
    </w:lvl>
  </w:abstractNum>
  <w:abstractNum w:abstractNumId="175">
    <w:nsid w:val="1803D089"/>
    <w:multiLevelType w:val="hybridMultilevel"/>
    <w:lvl w:ilvl="0">
      <w:lvlJc w:val="left"/>
      <w:lvlText w:val="%1."/>
      <w:numFmt w:val="decimal"/>
      <w:start w:val="4"/>
    </w:lvl>
  </w:abstractNum>
  <w:abstractNum w:abstractNumId="176">
    <w:nsid w:val="4F3A06D4"/>
    <w:multiLevelType w:val="hybridMultilevel"/>
    <w:lvl w:ilvl="0">
      <w:lvlJc w:val="left"/>
      <w:lvlText w:val="%1."/>
      <w:numFmt w:val="decimal"/>
      <w:start w:val="11"/>
    </w:lvl>
  </w:abstractNum>
  <w:abstractNum w:abstractNumId="177">
    <w:nsid w:val="59A377B6"/>
    <w:multiLevelType w:val="hybridMultilevel"/>
    <w:lvl w:ilvl="0">
      <w:lvlJc w:val="left"/>
      <w:lvlText w:val="(%1)"/>
      <w:numFmt w:val="lowerLetter"/>
      <w:start w:val="1"/>
    </w:lvl>
  </w:abstractNum>
  <w:abstractNum w:abstractNumId="178">
    <w:nsid w:val="48AEB063"/>
    <w:multiLevelType w:val="hybridMultilevel"/>
    <w:lvl w:ilvl="0">
      <w:lvlJc w:val="left"/>
      <w:lvlText w:val="(%1)"/>
      <w:numFmt w:val="lowerLetter"/>
      <w:start w:val="5"/>
    </w:lvl>
  </w:abstractNum>
  <w:abstractNum w:abstractNumId="179">
    <w:nsid w:val="24E135"/>
    <w:multiLevelType w:val="hybridMultilevel"/>
    <w:lvl w:ilvl="0">
      <w:lvlJc w:val="left"/>
      <w:lvlText w:val="(%1)"/>
      <w:numFmt w:val="lowerLetter"/>
      <w:start w:val="1"/>
    </w:lvl>
  </w:abstractNum>
  <w:abstractNum w:abstractNumId="180">
    <w:nsid w:val="BB13C1"/>
    <w:multiLevelType w:val="hybridMultilevel"/>
    <w:lvl w:ilvl="0">
      <w:lvlJc w:val="left"/>
      <w:lvlText w:val="(%1)"/>
      <w:numFmt w:val="lowerLetter"/>
      <w:start w:val="2"/>
    </w:lvl>
  </w:abstractNum>
  <w:abstractNum w:abstractNumId="181">
    <w:nsid w:val="271210C7"/>
    <w:multiLevelType w:val="hybridMultilevel"/>
    <w:lvl w:ilvl="0">
      <w:lvlJc w:val="left"/>
      <w:lvlText w:val="(%1)"/>
      <w:numFmt w:val="lowerLetter"/>
      <w:start w:val="1"/>
    </w:lvl>
  </w:abstractNum>
  <w:abstractNum w:abstractNumId="182">
    <w:nsid w:val="217B22E4"/>
    <w:multiLevelType w:val="hybridMultilevel"/>
    <w:lvl w:ilvl="0">
      <w:lvlJc w:val="left"/>
      <w:lvlText w:val="%1"/>
      <w:numFmt w:val="lowerLetter"/>
      <w:start w:val="1"/>
    </w:lvl>
    <w:lvl w:ilvl="1">
      <w:lvlJc w:val="left"/>
      <w:lvlText w:val="(%2)"/>
      <w:numFmt w:val="lowerLetter"/>
      <w:start w:val="1"/>
    </w:lvl>
  </w:abstractNum>
  <w:abstractNum w:abstractNumId="183">
    <w:nsid w:val="53E31A24"/>
    <w:multiLevelType w:val="hybridMultilevel"/>
    <w:lvl w:ilvl="0">
      <w:lvlJc w:val="left"/>
      <w:lvlText w:val="(%1)"/>
      <w:numFmt w:val="lowerLetter"/>
      <w:start w:val="24"/>
    </w:lvl>
    <w:lvl w:ilvl="1">
      <w:lvlJc w:val="left"/>
      <w:lvlText w:val="(%2)"/>
      <w:numFmt w:val="lowerLetter"/>
      <w:start w:val="2"/>
    </w:lvl>
  </w:abstractNum>
  <w:abstractNum w:abstractNumId="184">
    <w:nsid w:val="6DC45E83"/>
    <w:multiLevelType w:val="hybridMultilevel"/>
    <w:lvl w:ilvl="0">
      <w:lvlJc w:val="left"/>
      <w:lvlText w:val="(%1)"/>
      <w:numFmt w:val="lowerLetter"/>
      <w:start w:val="1"/>
    </w:lvl>
  </w:abstractNum>
  <w:abstractNum w:abstractNumId="185">
    <w:nsid w:val="17304A67"/>
    <w:multiLevelType w:val="hybridMultilevel"/>
    <w:lvl w:ilvl="0">
      <w:lvlJc w:val="left"/>
      <w:lvlText w:val="(%1)"/>
      <w:numFmt w:val="lowerLetter"/>
      <w:start w:val="1"/>
    </w:lvl>
  </w:abstractNum>
  <w:abstractNum w:abstractNumId="186">
    <w:nsid w:val="2BB180D8"/>
    <w:multiLevelType w:val="hybridMultilevel"/>
    <w:lvl w:ilvl="0">
      <w:lvlJc w:val="left"/>
      <w:lvlText w:val="(%1)"/>
      <w:numFmt w:val="lowerLetter"/>
      <w:start w:val="2"/>
    </w:lvl>
  </w:abstractNum>
  <w:abstractNum w:abstractNumId="187">
    <w:nsid w:val="556B69ED"/>
    <w:multiLevelType w:val="hybridMultilevel"/>
    <w:lvl w:ilvl="0">
      <w:lvlJc w:val="left"/>
      <w:lvlText w:val="(%1)"/>
      <w:numFmt w:val="lowerLetter"/>
      <w:start w:val="1"/>
    </w:lvl>
  </w:abstractNum>
  <w:abstractNum w:abstractNumId="188">
    <w:nsid w:val="70836196"/>
    <w:multiLevelType w:val="hybridMultilevel"/>
    <w:lvl w:ilvl="0">
      <w:lvlJc w:val="left"/>
      <w:lvlText w:val="(%1)"/>
      <w:numFmt w:val="lowerLetter"/>
      <w:start w:val="4"/>
    </w:lvl>
  </w:abstractNum>
  <w:abstractNum w:abstractNumId="189">
    <w:nsid w:val="539F7F12"/>
    <w:multiLevelType w:val="hybridMultilevel"/>
    <w:lvl w:ilvl="0">
      <w:lvlJc w:val="left"/>
      <w:lvlText w:val="(%1)"/>
      <w:numFmt w:val="lowerLetter"/>
      <w:start w:val="1"/>
    </w:lvl>
  </w:abstractNum>
  <w:abstractNum w:abstractNumId="190">
    <w:nsid w:val="2817E7EC"/>
    <w:multiLevelType w:val="hybridMultilevel"/>
    <w:lvl w:ilvl="0">
      <w:lvlJc w:val="left"/>
      <w:lvlText w:val="(%1)"/>
      <w:numFmt w:val="lowerLetter"/>
      <w:start w:val="1"/>
    </w:lvl>
  </w:abstractNum>
  <w:abstractNum w:abstractNumId="191">
    <w:nsid w:val="71482545"/>
    <w:multiLevelType w:val="hybridMultilevel"/>
    <w:lvl w:ilvl="0">
      <w:lvlJc w:val="left"/>
      <w:lvlText w:val="(%1)"/>
      <w:numFmt w:val="lowerRoman"/>
      <w:start w:val="1"/>
    </w:lvl>
  </w:abstractNum>
  <w:abstractNum w:abstractNumId="192">
    <w:nsid w:val="17D78639"/>
    <w:multiLevelType w:val="hybridMultilevel"/>
    <w:lvl w:ilvl="0">
      <w:lvlJc w:val="left"/>
      <w:lvlText w:val="(%1)"/>
      <w:numFmt w:val="lowerLetter"/>
      <w:start w:val="1"/>
    </w:lvl>
  </w:abstractNum>
  <w:abstractNum w:abstractNumId="193">
    <w:nsid w:val="141D2302"/>
    <w:multiLevelType w:val="hybridMultilevel"/>
    <w:lvl w:ilvl="0">
      <w:lvlJc w:val="left"/>
      <w:lvlText w:val="(%1)"/>
      <w:numFmt w:val="lowerLetter"/>
      <w:start w:val="6"/>
    </w:lvl>
  </w:abstractNum>
  <w:abstractNum w:abstractNumId="194">
    <w:nsid w:val="407168D8"/>
    <w:multiLevelType w:val="hybridMultilevel"/>
    <w:lvl w:ilvl="0">
      <w:lvlJc w:val="left"/>
      <w:lvlText w:val="(%1)"/>
      <w:numFmt w:val="lowerLetter"/>
      <w:start w:val="1"/>
    </w:lvl>
  </w:abstractNum>
  <w:abstractNum w:abstractNumId="195">
    <w:nsid w:val="6A1B45E5"/>
    <w:multiLevelType w:val="hybridMultilevel"/>
    <w:lvl w:ilvl="0">
      <w:lvlJc w:val="left"/>
      <w:lvlText w:val="(%1)"/>
      <w:numFmt w:val="lowerLetter"/>
      <w:start w:val="3"/>
    </w:lvl>
  </w:abstractNum>
  <w:abstractNum w:abstractNumId="196">
    <w:nsid w:val="567BD50A"/>
    <w:multiLevelType w:val="hybridMultilevel"/>
    <w:lvl w:ilvl="0">
      <w:lvlJc w:val="left"/>
      <w:lvlText w:val="(%1)"/>
      <w:numFmt w:val="lowerLetter"/>
      <w:start w:val="1"/>
    </w:lvl>
  </w:abstractNum>
  <w:abstractNum w:abstractNumId="197">
    <w:nsid w:val="73BBD7F8"/>
    <w:multiLevelType w:val="hybridMultilevel"/>
    <w:lvl w:ilvl="0">
      <w:lvlJc w:val="left"/>
      <w:lvlText w:val="(%1)"/>
      <w:numFmt w:val="lowerLetter"/>
      <w:start w:val="1"/>
    </w:lvl>
  </w:abstractNum>
  <w:abstractNum w:abstractNumId="198">
    <w:nsid w:val="1876589D"/>
    <w:multiLevelType w:val="hybridMultilevel"/>
    <w:lvl w:ilvl="0">
      <w:lvlJc w:val="left"/>
      <w:lvlText w:val="(%1)"/>
      <w:numFmt w:val="lowerLetter"/>
      <w:start w:val="2"/>
    </w:lvl>
  </w:abstractNum>
  <w:abstractNum w:abstractNumId="199">
    <w:nsid w:val="327FAC77"/>
    <w:multiLevelType w:val="hybridMultilevel"/>
    <w:lvl w:ilvl="0">
      <w:lvlJc w:val="left"/>
      <w:lvlText w:val="(%1)"/>
      <w:numFmt w:val="lowerLetter"/>
      <w:start w:val="1"/>
    </w:lvl>
  </w:abstractNum>
  <w:abstractNum w:abstractNumId="200">
    <w:nsid w:val="5A606509"/>
    <w:multiLevelType w:val="hybridMultilevel"/>
    <w:lvl w:ilvl="0">
      <w:lvlJc w:val="left"/>
      <w:lvlText w:val="(%1)"/>
      <w:numFmt w:val="lowerLetter"/>
      <w:start w:val="1"/>
    </w:lvl>
  </w:abstractNum>
  <w:abstractNum w:abstractNumId="201">
    <w:nsid w:val="6F38E6D1"/>
    <w:multiLevelType w:val="hybridMultilevel"/>
    <w:lvl w:ilvl="0">
      <w:lvlJc w:val="left"/>
      <w:lvlText w:val="(%1)"/>
      <w:numFmt w:val="lowerLetter"/>
      <w:start w:val="6"/>
    </w:lvl>
  </w:abstractNum>
  <w:abstractNum w:abstractNumId="202">
    <w:nsid w:val="46111BA5"/>
    <w:multiLevelType w:val="hybridMultilevel"/>
    <w:lvl w:ilvl="0">
      <w:lvlJc w:val="left"/>
      <w:lvlText w:val="(%1)"/>
      <w:numFmt w:val="lowerLetter"/>
      <w:start w:val="1"/>
    </w:lvl>
  </w:abstractNum>
  <w:abstractNum w:abstractNumId="203">
    <w:nsid w:val="5E963896"/>
    <w:multiLevelType w:val="hybridMultilevel"/>
    <w:lvl w:ilvl="0">
      <w:lvlJc w:val="left"/>
      <w:lvlText w:val="(%1)"/>
      <w:numFmt w:val="lowerLetter"/>
      <w:start w:val="1"/>
    </w:lvl>
  </w:abstractNum>
  <w:abstractNum w:abstractNumId="204">
    <w:nsid w:val="775BA7C1"/>
    <w:multiLevelType w:val="hybridMultilevel"/>
    <w:lvl w:ilvl="0">
      <w:lvlJc w:val="left"/>
      <w:lvlText w:val="(%1)"/>
      <w:numFmt w:val="lowerLetter"/>
      <w:start w:val="1"/>
    </w:lvl>
  </w:abstractNum>
  <w:abstractNum w:abstractNumId="205">
    <w:nsid w:val="1DD6D6F4"/>
    <w:multiLevelType w:val="hybridMultilevel"/>
    <w:lvl w:ilvl="0">
      <w:lvlJc w:val="left"/>
      <w:lvlText w:val="(%1)"/>
      <w:numFmt w:val="lowerRoman"/>
      <w:start w:val="1"/>
    </w:lvl>
  </w:abstractNum>
  <w:abstractNum w:abstractNumId="206">
    <w:nsid w:val="769A091F"/>
    <w:multiLevelType w:val="hybridMultilevel"/>
    <w:lvl w:ilvl="0">
      <w:lvlJc w:val="left"/>
      <w:lvlText w:val="%1."/>
      <w:numFmt w:val="decimal"/>
      <w:start w:val="1"/>
    </w:lvl>
  </w:abstractNum>
  <w:abstractNum w:abstractNumId="207">
    <w:nsid w:val="4695AE9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08">
    <w:nsid w:val="777A4EAA"/>
    <w:multiLevelType w:val="hybridMultilevel"/>
    <w:lvl w:ilvl="0">
      <w:lvlJc w:val="left"/>
      <w:lvlText w:val="(%1)"/>
      <w:numFmt w:val="upperLetter"/>
      <w:start w:val="2"/>
    </w:lvl>
    <w:lvl w:ilvl="1">
      <w:lvlJc w:val="left"/>
      <w:lvlText w:val="%2."/>
      <w:numFmt w:val="lowerLetter"/>
      <w:start w:val="5"/>
    </w:lvl>
  </w:abstractNum>
  <w:abstractNum w:abstractNumId="209">
    <w:nsid w:val="3F48B982"/>
    <w:multiLevelType w:val="hybridMultilevel"/>
    <w:lvl w:ilvl="0">
      <w:lvlJc w:val="left"/>
      <w:lvlText w:val="%1."/>
      <w:numFmt w:val="decimal"/>
      <w:start w:val="6"/>
    </w:lvl>
    <w:lvl w:ilvl="1">
      <w:lvlJc w:val="left"/>
      <w:lvlText w:val="%2"/>
      <w:numFmt w:val="lowerLetter"/>
      <w:start w:val="1"/>
    </w:lvl>
  </w:abstractNum>
  <w:abstractNum w:abstractNumId="210">
    <w:nsid w:val="46BA8FCA"/>
    <w:multiLevelType w:val="hybridMultilevel"/>
    <w:lvl w:ilvl="0">
      <w:lvlJc w:val="left"/>
      <w:lvlText w:val="%1."/>
      <w:numFmt w:val="decimal"/>
      <w:start w:val="7"/>
    </w:lvl>
    <w:lvl w:ilvl="1">
      <w:lvlJc w:val="left"/>
      <w:lvlText w:val="%2"/>
      <w:numFmt w:val="lowerLetter"/>
      <w:start w:val="1"/>
    </w:lvl>
  </w:abstractNum>
  <w:abstractNum w:abstractNumId="211">
    <w:nsid w:val="7835626C"/>
    <w:multiLevelType w:val="hybridMultilevel"/>
    <w:lvl w:ilvl="0">
      <w:lvlJc w:val="left"/>
      <w:lvlText w:val="%1."/>
      <w:numFmt w:val="decimal"/>
      <w:start w:val="8"/>
    </w:lvl>
  </w:abstractNum>
  <w:abstractNum w:abstractNumId="212">
    <w:nsid w:val="665ACA49"/>
    <w:multiLevelType w:val="hybridMultilevel"/>
    <w:lvl w:ilvl="0">
      <w:lvlJc w:val="left"/>
      <w:lvlText w:val="%1"/>
      <w:numFmt w:val="decimal"/>
      <w:start w:val="1"/>
    </w:lvl>
    <w:lvl w:ilvl="1">
      <w:lvlJc w:val="left"/>
      <w:lvlText w:val="%2."/>
      <w:numFmt w:val="decimal"/>
      <w:start w:val="9"/>
    </w:lvl>
  </w:abstractNum>
  <w:abstractNum w:abstractNumId="213">
    <w:nsid w:val="6835B2AE"/>
    <w:multiLevelType w:val="hybridMultilevel"/>
    <w:lvl w:ilvl="0">
      <w:lvlJc w:val="left"/>
      <w:lvlText w:val="%1."/>
      <w:numFmt w:val="decimal"/>
      <w:start w:val="10"/>
    </w:lvl>
    <w:lvl w:ilvl="1">
      <w:lvlJc w:val="left"/>
      <w:lvlText w:val="%2"/>
      <w:numFmt w:val="decimal"/>
      <w:start w:val="1"/>
    </w:lvl>
  </w:abstractNum>
  <w:abstractNum w:abstractNumId="214">
    <w:nsid w:val="4C187C90"/>
    <w:multiLevelType w:val="hybridMultilevel"/>
    <w:lvl w:ilvl="0">
      <w:lvlJc w:val="left"/>
      <w:lvlText w:val="%1."/>
      <w:numFmt w:val="decimal"/>
      <w:start w:val="11"/>
    </w:lvl>
  </w:abstractNum>
  <w:abstractNum w:abstractNumId="215">
    <w:nsid w:val="541F28CD"/>
    <w:multiLevelType w:val="hybridMultilevel"/>
    <w:lvl w:ilvl="0">
      <w:lvlJc w:val="left"/>
      <w:lvlText w:val="%1."/>
      <w:numFmt w:val="upperLetter"/>
      <w:start w:val="1"/>
    </w:lvl>
  </w:abstractNum>
  <w:abstractNum w:abstractNumId="216">
    <w:nsid w:val="7F65FD16"/>
    <w:multiLevelType w:val="hybridMultilevel"/>
    <w:lvl w:ilvl="0">
      <w:lvlJc w:val="left"/>
      <w:lvlText w:val="%1."/>
      <w:numFmt w:val="decimal"/>
      <w:start w:val="1"/>
    </w:lvl>
  </w:abstractNum>
  <w:abstractNum w:abstractNumId="217">
    <w:nsid w:val="77C9FD68"/>
    <w:multiLevelType w:val="hybridMultilevel"/>
    <w:lvl w:ilvl="0">
      <w:lvlJc w:val="left"/>
      <w:lvlText w:val="%1."/>
      <w:numFmt w:val="upperLetter"/>
      <w:start w:val="2"/>
    </w:lvl>
    <w:lvl w:ilvl="1">
      <w:lvlJc w:val="left"/>
      <w:lvlText w:val="%2."/>
      <w:numFmt w:val="decimal"/>
      <w:start w:val="1"/>
    </w:lvl>
    <w:lvl w:ilvl="2">
      <w:lvlJc w:val="left"/>
      <w:lvlText w:val="☐"/>
      <w:numFmt w:val="bullet"/>
      <w:start w:val="1"/>
    </w:lvl>
  </w:abstractNum>
  <w:abstractNum w:abstractNumId="218">
    <w:nsid w:val="298A92BA"/>
    <w:multiLevelType w:val="hybridMultilevel"/>
    <w:lvl w:ilvl="0">
      <w:lvlJc w:val="left"/>
      <w:lvlText w:val="☐"/>
      <w:numFmt w:val="bullet"/>
      <w:start w:val="1"/>
    </w:lvl>
  </w:abstractNum>
  <w:abstractNum w:abstractNumId="219">
    <w:nsid w:val="6FE95EAC"/>
    <w:multiLevelType w:val="hybridMultilevel"/>
    <w:lvl w:ilvl="0">
      <w:lvlJc w:val="left"/>
      <w:lvlText w:val="%1."/>
      <w:numFmt w:val="decimal"/>
      <w:start w:val="1"/>
    </w:lvl>
    <w:lvl w:ilvl="1">
      <w:lvlJc w:val="left"/>
      <w:lvlText w:val="(%2)"/>
      <w:numFmt w:val="lowerLetter"/>
      <w:start w:val="1"/>
    </w:lvl>
  </w:abstractNum>
  <w:abstractNum w:abstractNumId="220">
    <w:nsid w:val="4B697C7A"/>
    <w:multiLevelType w:val="hybridMultilevel"/>
    <w:lvl w:ilvl="0">
      <w:lvlJc w:val="left"/>
      <w:lvlText w:val="(%1)"/>
      <w:numFmt w:val="lowerLetter"/>
      <w:start w:val="2"/>
    </w:lvl>
  </w:abstractNum>
  <w:abstractNum w:abstractNumId="221">
    <w:nsid w:val="51A27AA6"/>
    <w:multiLevelType w:val="hybridMultilevel"/>
    <w:lvl w:ilvl="0">
      <w:lvlJc w:val="left"/>
      <w:lvlText w:val="%1."/>
      <w:numFmt w:val="decimal"/>
      <w:start w:val="3"/>
    </w:lvl>
    <w:lvl w:ilvl="1">
      <w:lvlJc w:val="left"/>
      <w:lvlText w:val="(%2)"/>
      <w:numFmt w:val="lowerLetter"/>
      <w:start w:val="1"/>
    </w:lvl>
  </w:abstractNum>
  <w:abstractNum w:abstractNumId="222">
    <w:nsid w:val="613183F2"/>
    <w:multiLevelType w:val="hybridMultilevel"/>
    <w:lvl w:ilvl="0">
      <w:lvlJc w:val="left"/>
      <w:lvlText w:val="%1"/>
      <w:numFmt w:val="decimal"/>
      <w:start w:val="1"/>
    </w:lvl>
    <w:lvl w:ilvl="1">
      <w:lvlJc w:val="left"/>
      <w:lvlText w:val="(%2)"/>
      <w:numFmt w:val="lowerLetter"/>
      <w:start w:val="5"/>
    </w:lvl>
  </w:abstractNum>
  <w:abstractNum w:abstractNumId="223">
    <w:nsid w:val="634102B4"/>
    <w:multiLevelType w:val="hybridMultilevel"/>
    <w:lvl w:ilvl="0">
      <w:lvlJc w:val="left"/>
      <w:lvlText w:val="%1."/>
      <w:numFmt w:val="decimal"/>
      <w:start w:val="4"/>
    </w:lvl>
    <w:lvl w:ilvl="1">
      <w:lvlJc w:val="left"/>
      <w:lvlText w:val="%2"/>
      <w:numFmt w:val="lowerLetter"/>
      <w:start w:val="1"/>
    </w:lvl>
  </w:abstractNum>
  <w:abstractNum w:abstractNumId="224">
    <w:nsid w:val="65BF9DA8"/>
    <w:multiLevelType w:val="hybridMultilevel"/>
    <w:lvl w:ilvl="0">
      <w:lvlJc w:val="left"/>
      <w:lvlText w:val="%1."/>
      <w:numFmt w:val="decimal"/>
      <w:start w:val="5"/>
    </w:lvl>
    <w:lvl w:ilvl="1">
      <w:lvlJc w:val="left"/>
      <w:lvlText w:val="(%2)"/>
      <w:numFmt w:val="lowerRoman"/>
      <w:start w:val="1"/>
    </w:lvl>
  </w:abstractNum>
  <w:abstractNum w:abstractNumId="225">
    <w:nsid w:val="21A2ECC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lowerLetter"/>
      <w:start w:val="35"/>
    </w:lvl>
  </w:abstractNum>
  <w:abstractNum w:abstractNumId="226">
    <w:nsid w:val="4D5C4899"/>
    <w:multiLevelType w:val="hybridMultilevel"/>
    <w:lvl w:ilvl="0">
      <w:lvlJc w:val="left"/>
      <w:lvlText w:val="(%1)"/>
      <w:numFmt w:val="lowerLetter"/>
      <w:start w:val="2"/>
    </w:lvl>
    <w:lvl w:ilvl="1">
      <w:lvlJc w:val="left"/>
      <w:lvlText w:val="(%2)"/>
      <w:numFmt w:val="lowerRoman"/>
      <w:start w:val="1"/>
    </w:lvl>
  </w:abstractNum>
  <w:abstractNum w:abstractNumId="227">
    <w:nsid w:val="3C3B72B2"/>
    <w:multiLevelType w:val="hybridMultilevel"/>
    <w:lvl w:ilvl="0">
      <w:lvlJc w:val="left"/>
      <w:lvlText w:val="%1"/>
      <w:numFmt w:val="lowerLetter"/>
      <w:start w:val="1"/>
    </w:lvl>
    <w:lvl w:ilvl="1">
      <w:lvlJc w:val="left"/>
      <w:lvlText w:val="(%2)"/>
      <w:numFmt w:val="lowerLetter"/>
      <w:start w:val="61"/>
    </w:lvl>
  </w:abstractNum>
  <w:abstractNum w:abstractNumId="228">
    <w:nsid w:val="155EC4C2"/>
    <w:multiLevelType w:val="hybridMultilevel"/>
    <w:lvl w:ilvl="0">
      <w:lvlJc w:val="left"/>
      <w:lvlText w:val="(%1)"/>
      <w:numFmt w:val="lowerLetter"/>
      <w:start w:val="3"/>
    </w:lvl>
    <w:lvl w:ilvl="1">
      <w:lvlJc w:val="left"/>
      <w:lvlText w:val="%2"/>
      <w:numFmt w:val="lowerLetter"/>
      <w:start w:val="1"/>
    </w:lvl>
  </w:abstractNum>
  <w:abstractNum w:abstractNumId="229">
    <w:nsid w:val="65D2A137"/>
    <w:multiLevelType w:val="hybridMultilevel"/>
    <w:lvl w:ilvl="0">
      <w:lvlJc w:val="left"/>
      <w:lvlText w:val="%1."/>
      <w:numFmt w:val="decimal"/>
      <w:start w:val="7"/>
    </w:lvl>
    <w:lvl w:ilvl="1">
      <w:lvlJc w:val="left"/>
      <w:lvlText w:val="(%2)"/>
      <w:numFmt w:val="lowerLetter"/>
      <w:start w:val="1"/>
    </w:lvl>
  </w:abstractNum>
  <w:abstractNum w:abstractNumId="230">
    <w:nsid w:val="6EBB1F2A"/>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231">
    <w:nsid w:val="6FBF29CB"/>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2"/>
    </w:lvl>
  </w:abstractNum>
  <w:abstractNum w:abstractNumId="232">
    <w:nsid w:val="550B8808"/>
    <w:multiLevelType w:val="hybridMultilevel"/>
    <w:lvl w:ilvl="0">
      <w:lvlJc w:val="left"/>
      <w:lvlText w:val="(%1)"/>
      <w:numFmt w:val="lowerLetter"/>
      <w:start w:val="3"/>
    </w:lvl>
  </w:abstractNum>
  <w:abstractNum w:abstractNumId="233">
    <w:nsid w:val="34CC3ACF"/>
    <w:multiLevelType w:val="hybridMultilevel"/>
    <w:lvl w:ilvl="0">
      <w:lvlJc w:val="left"/>
      <w:lvlText w:val="(%1)"/>
      <w:numFmt w:val="lowerLetter"/>
      <w:start w:val="6"/>
    </w:lvl>
  </w:abstractNum>
  <w:abstractNum w:abstractNumId="234">
    <w:nsid w:val="4E556261"/>
    <w:multiLevelType w:val="hybridMultilevel"/>
    <w:lvl w:ilvl="0">
      <w:lvlJc w:val="left"/>
      <w:lvlText w:val="(%1)"/>
      <w:numFmt w:val="lowerLetter"/>
      <w:start w:val="7"/>
    </w:lvl>
    <w:lvl w:ilvl="1">
      <w:lvlJc w:val="left"/>
      <w:lvlText w:val="(%2)"/>
      <w:numFmt w:val="lowerRoman"/>
      <w:start w:val="1"/>
    </w:lvl>
  </w:abstractNum>
  <w:abstractNum w:abstractNumId="235">
    <w:nsid w:val="4C672FC9"/>
    <w:multiLevelType w:val="hybridMultilevel"/>
    <w:lvl w:ilvl="0">
      <w:lvlJc w:val="left"/>
      <w:lvlText w:val="%1"/>
      <w:numFmt w:val="decimal"/>
      <w:start w:val="1"/>
    </w:lvl>
    <w:lvl w:ilvl="1">
      <w:lvlJc w:val="left"/>
      <w:lvlText w:val="(%2)"/>
      <w:numFmt w:val="lowerRoman"/>
      <w:start w:val="2"/>
    </w:lvl>
  </w:abstractNum>
  <w:abstractNum w:abstractNumId="236">
    <w:nsid w:val="52A311C3"/>
    <w:multiLevelType w:val="hybridMultilevel"/>
    <w:lvl w:ilvl="0">
      <w:lvlJc w:val="left"/>
      <w:lvlText w:val="%1."/>
      <w:numFmt w:val="decimal"/>
      <w:start w:val="9"/>
    </w:lvl>
    <w:lvl w:ilvl="1">
      <w:lvlJc w:val="left"/>
      <w:lvlText w:val="%2"/>
      <w:numFmt w:val="lowerRoman"/>
      <w:start w:val="1"/>
    </w:lvl>
  </w:abstractNum>
  <w:abstractNum w:abstractNumId="237">
    <w:nsid w:val="44EF6B80"/>
    <w:multiLevelType w:val="hybridMultilevel"/>
    <w:lvl w:ilvl="0">
      <w:lvlJc w:val="left"/>
      <w:lvlText w:val="%1."/>
      <w:numFmt w:val="decimal"/>
      <w:start w:val="10"/>
    </w:lvl>
  </w:abstractNum>
  <w:abstractNum w:abstractNumId="238">
    <w:nsid w:val="12FCDE5E"/>
    <w:multiLevelType w:val="hybridMultilevel"/>
    <w:lvl w:ilvl="0">
      <w:lvlJc w:val="left"/>
      <w:lvlText w:val="%1."/>
      <w:numFmt w:val="decimal"/>
      <w:start w:val="15"/>
    </w:lvl>
  </w:abstractNum>
  <w:abstractNum w:abstractNumId="239">
    <w:nsid w:val="4A1D606E"/>
    <w:multiLevelType w:val="hybridMultilevel"/>
    <w:lvl w:ilvl="0">
      <w:lvlJc w:val="left"/>
      <w:lvlText w:val="%1."/>
      <w:numFmt w:val="decimal"/>
      <w:start w:val="21"/>
    </w:lvl>
  </w:abstractNum>
  <w:abstractNum w:abstractNumId="240">
    <w:nsid w:val="4382503"/>
    <w:multiLevelType w:val="hybridMultilevel"/>
    <w:lvl w:ilvl="0">
      <w:lvlJc w:val="left"/>
      <w:lvlText w:val="%1."/>
      <w:numFmt w:val="decimal"/>
      <w:start w:val="26"/>
    </w:lvl>
  </w:abstractNum>
  <w:abstractNum w:abstractNumId="241">
    <w:nsid w:val="59B76E28"/>
    <w:multiLevelType w:val="hybridMultilevel"/>
    <w:lvl w:ilvl="0">
      <w:lvlJc w:val="left"/>
      <w:lvlText w:val="☐"/>
      <w:numFmt w:val="bullet"/>
      <w:start w:val="1"/>
    </w:lvl>
  </w:abstractNum>
  <w:abstractNum w:abstractNumId="242">
    <w:nsid w:val="4252C2DA"/>
    <w:multiLevelType w:val="hybridMultilevel"/>
    <w:lvl w:ilvl="0">
      <w:lvlJc w:val="left"/>
      <w:lvlText w:val="☐"/>
      <w:numFmt w:val="bullet"/>
      <w:start w:val="1"/>
    </w:lvl>
  </w:abstractNum>
  <w:abstractNum w:abstractNumId="243">
    <w:nsid w:val="6A92EF4C"/>
    <w:multiLevelType w:val="hybridMultilevel"/>
    <w:lvl w:ilvl="0">
      <w:lvlJc w:val="left"/>
      <w:lvlText w:val="☐"/>
      <w:numFmt w:val="bullet"/>
      <w:start w:val="1"/>
    </w:lvl>
  </w:abstractNum>
  <w:abstractNum w:abstractNumId="244">
    <w:nsid w:val="41ED20D7"/>
    <w:multiLevelType w:val="hybridMultilevel"/>
    <w:lvl w:ilvl="0">
      <w:lvlJc w:val="left"/>
      <w:lvlText w:val="%1."/>
      <w:numFmt w:val="decimal"/>
      <w:start w:val="1"/>
    </w:lvl>
    <w:lvl w:ilvl="1">
      <w:lvlJc w:val="left"/>
      <w:lvlText w:val="(%2)"/>
      <w:numFmt w:val="lowerLetter"/>
      <w:start w:val="1"/>
    </w:lvl>
  </w:abstractNum>
  <w:abstractNum w:abstractNumId="245">
    <w:nsid w:val="E6B3F6A"/>
    <w:multiLevelType w:val="hybridMultilevel"/>
    <w:lvl w:ilvl="0">
      <w:lvlJc w:val="left"/>
      <w:lvlText w:val="(%1)"/>
      <w:numFmt w:val="lowerLetter"/>
      <w:start w:val="2"/>
    </w:lvl>
  </w:abstractNum>
  <w:abstractNum w:abstractNumId="246">
    <w:nsid w:val="3EB21819"/>
    <w:multiLevelType w:val="hybridMultilevel"/>
    <w:lvl w:ilvl="0">
      <w:lvlJc w:val="left"/>
      <w:lvlText w:val="%1."/>
      <w:numFmt w:val="decimal"/>
      <w:start w:val="3"/>
    </w:lvl>
    <w:lvl w:ilvl="1">
      <w:lvlJc w:val="left"/>
      <w:lvlText w:val="(%2)"/>
      <w:numFmt w:val="lowerLetter"/>
      <w:start w:val="1"/>
    </w:lvl>
  </w:abstractNum>
  <w:abstractNum w:abstractNumId="247">
    <w:nsid w:val="41531DE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248">
    <w:nsid w:val="6353CD2"/>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6"/>
    </w:lvl>
  </w:abstractNum>
  <w:abstractNum w:abstractNumId="249">
    <w:nsid w:val="683CAAD3"/>
    <w:multiLevelType w:val="hybridMultilevel"/>
    <w:lvl w:ilvl="0">
      <w:lvlJc w:val="left"/>
      <w:lvlText w:val="%1."/>
      <w:numFmt w:val="decimal"/>
      <w:start w:val="5"/>
    </w:lvl>
    <w:lvl w:ilvl="1">
      <w:lvlJc w:val="left"/>
      <w:lvlText w:val="(%2)"/>
      <w:numFmt w:val="lowerRoman"/>
      <w:start w:val="1"/>
    </w:lvl>
  </w:abstractNum>
  <w:abstractNum w:abstractNumId="250">
    <w:nsid w:val="313C7C9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51">
    <w:nsid w:val="519EB94C"/>
    <w:multiLevelType w:val="hybridMultilevel"/>
    <w:lvl w:ilvl="0">
      <w:lvlJc w:val="left"/>
      <w:lvlText w:val="(%1)"/>
      <w:numFmt w:val="lowerRoman"/>
      <w:start w:val="3"/>
    </w:lvl>
  </w:abstractNum>
  <w:abstractNum w:abstractNumId="252">
    <w:nsid w:val="39DF2579"/>
    <w:multiLevelType w:val="hybridMultilevel"/>
    <w:lvl w:ilvl="0">
      <w:lvlJc w:val="left"/>
      <w:lvlText w:val="(%1)"/>
      <w:numFmt w:val="lowerLetter"/>
      <w:start w:val="2"/>
    </w:lvl>
    <w:lvl w:ilvl="1">
      <w:lvlJc w:val="left"/>
      <w:lvlText w:val="(%2)"/>
      <w:numFmt w:val="lowerRoman"/>
      <w:start w:val="1"/>
    </w:lvl>
  </w:abstractNum>
  <w:abstractNum w:abstractNumId="253">
    <w:nsid w:val="126E008B"/>
    <w:multiLevelType w:val="hybridMultilevel"/>
    <w:lvl w:ilvl="0">
      <w:lvlJc w:val="left"/>
      <w:lvlText w:val="%1"/>
      <w:numFmt w:val="lowerLetter"/>
      <w:start w:val="1"/>
    </w:lvl>
    <w:lvl w:ilvl="1">
      <w:lvlJc w:val="left"/>
      <w:lvlText w:val="(%2)"/>
      <w:numFmt w:val="lowerLetter"/>
      <w:start w:val="61"/>
    </w:lvl>
  </w:abstractNum>
  <w:abstractNum w:abstractNumId="254">
    <w:nsid w:val="34DFBC00"/>
    <w:multiLevelType w:val="hybridMultilevel"/>
    <w:lvl w:ilvl="0">
      <w:lvlJc w:val="left"/>
      <w:lvlText w:val="(%1)"/>
      <w:numFmt w:val="lowerLetter"/>
      <w:start w:val="3"/>
    </w:lvl>
    <w:lvl w:ilvl="1">
      <w:lvlJc w:val="left"/>
      <w:lvlText w:val="%2"/>
      <w:numFmt w:val="lowerLetter"/>
      <w:start w:val="1"/>
    </w:lvl>
  </w:abstractNum>
  <w:abstractNum w:abstractNumId="255">
    <w:nsid w:val="1F9EC322"/>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256">
    <w:nsid w:val="3410ED56"/>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257">
    <w:nsid w:val="23C049A"/>
    <w:multiLevelType w:val="hybridMultilevel"/>
    <w:lvl w:ilvl="0">
      <w:lvlJc w:val="left"/>
      <w:lvlText w:val="%1"/>
      <w:numFmt w:val="decimal"/>
      <w:start w:val="1"/>
    </w:lvl>
    <w:lvl w:ilvl="1">
      <w:lvlJc w:val="left"/>
      <w:lvlText w:val="(%2)"/>
      <w:numFmt w:val="lowerLetter"/>
      <w:start w:val="3"/>
    </w:lvl>
  </w:abstractNum>
  <w:abstractNum w:abstractNumId="258">
    <w:nsid w:val="5BDA35D4"/>
    <w:multiLevelType w:val="hybridMultilevel"/>
    <w:lvl w:ilvl="0">
      <w:lvlJc w:val="left"/>
      <w:lvlText w:val="%1."/>
      <w:numFmt w:val="decimal"/>
      <w:start w:val="8"/>
    </w:lvl>
    <w:lvl w:ilvl="1">
      <w:lvlJc w:val="left"/>
      <w:lvlText w:val="(%2)"/>
      <w:numFmt w:val="lowerLetter"/>
      <w:start w:val="1"/>
    </w:lvl>
  </w:abstractNum>
  <w:abstractNum w:abstractNumId="259">
    <w:nsid w:val="496FB218"/>
    <w:multiLevelType w:val="hybridMultilevel"/>
    <w:lvl w:ilvl="0">
      <w:lvlJc w:val="left"/>
      <w:lvlText w:val="(%1)"/>
      <w:numFmt w:val="lowerLetter"/>
      <w:start w:val="2"/>
    </w:lvl>
  </w:abstractNum>
  <w:abstractNum w:abstractNumId="260">
    <w:nsid w:val="680EA5D1"/>
    <w:multiLevelType w:val="hybridMultilevel"/>
    <w:lvl w:ilvl="0">
      <w:lvlJc w:val="left"/>
      <w:lvlText w:val="(%1)"/>
      <w:numFmt w:val="lowerLetter"/>
      <w:start w:val="6"/>
    </w:lvl>
  </w:abstractNum>
  <w:abstractNum w:abstractNumId="261">
    <w:nsid w:val="4A9554FE"/>
    <w:multiLevelType w:val="hybridMultilevel"/>
    <w:lvl w:ilvl="0">
      <w:lvlJc w:val="left"/>
      <w:lvlText w:val="(%1)"/>
      <w:numFmt w:val="lowerLetter"/>
      <w:start w:val="7"/>
    </w:lvl>
    <w:lvl w:ilvl="1">
      <w:lvlJc w:val="left"/>
      <w:lvlText w:val="(%2)"/>
      <w:numFmt w:val="lowerLetter"/>
      <w:start w:val="9"/>
    </w:lvl>
  </w:abstractNum>
  <w:abstractNum w:abstractNumId="262">
    <w:nsid w:val="392EDBE4"/>
    <w:multiLevelType w:val="hybridMultilevel"/>
    <w:lvl w:ilvl="0">
      <w:lvlJc w:val="left"/>
      <w:lvlText w:val="%1"/>
      <w:numFmt w:val="lowerRoman"/>
      <w:start w:val="1"/>
    </w:lvl>
    <w:lvl w:ilvl="1">
      <w:lvlJc w:val="left"/>
      <w:lvlText w:val="(%2)"/>
      <w:numFmt w:val="lowerRoman"/>
      <w:start w:val="2"/>
    </w:lvl>
  </w:abstractNum>
  <w:abstractNum w:abstractNumId="263">
    <w:nsid w:val="3D1A2DD9"/>
    <w:multiLevelType w:val="hybridMultilevel"/>
    <w:lvl w:ilvl="0">
      <w:lvlJc w:val="left"/>
      <w:lvlText w:val="(%1)"/>
      <w:numFmt w:val="lowerRoman"/>
      <w:start w:val="3"/>
    </w:lvl>
    <w:lvl w:ilvl="1">
      <w:lvlJc w:val="left"/>
      <w:lvlText w:val="%2"/>
      <w:numFmt w:val="lowerRoman"/>
      <w:start w:val="1"/>
    </w:lvl>
  </w:abstractNum>
  <w:abstractNum w:abstractNumId="264">
    <w:nsid w:val="7F618FCD"/>
    <w:multiLevelType w:val="hybridMultilevel"/>
    <w:lvl w:ilvl="0">
      <w:lvlJc w:val="left"/>
      <w:lvlText w:val="%1."/>
      <w:numFmt w:val="decimal"/>
      <w:start w:val="9"/>
    </w:lvl>
  </w:abstractNum>
  <w:abstractNum w:abstractNumId="265">
    <w:nsid w:val="7843E45"/>
    <w:multiLevelType w:val="hybridMultilevel"/>
    <w:lvl w:ilvl="0">
      <w:lvlJc w:val="left"/>
      <w:lvlText w:val="%1."/>
      <w:numFmt w:val="decimal"/>
      <w:start w:val="10"/>
    </w:lvl>
  </w:abstractNum>
  <w:abstractNum w:abstractNumId="266">
    <w:nsid w:val="9815DA3"/>
    <w:multiLevelType w:val="hybridMultilevel"/>
    <w:lvl w:ilvl="0">
      <w:lvlJc w:val="left"/>
      <w:lvlText w:val="%1."/>
      <w:numFmt w:val="decimal"/>
      <w:start w:val="15"/>
    </w:lvl>
  </w:abstractNum>
  <w:abstractNum w:abstractNumId="267">
    <w:nsid w:val="5204A191"/>
    <w:multiLevelType w:val="hybridMultilevel"/>
    <w:lvl w:ilvl="0">
      <w:lvlJc w:val="left"/>
      <w:lvlText w:val="%1."/>
      <w:numFmt w:val="decimal"/>
      <w:start w:val="21"/>
    </w:lvl>
  </w:abstractNum>
  <w:abstractNum w:abstractNumId="268">
    <w:nsid w:val="4C73A9C6"/>
    <w:multiLevelType w:val="hybridMultilevel"/>
    <w:lvl w:ilvl="0">
      <w:lvlJc w:val="left"/>
      <w:lvlText w:val="%1."/>
      <w:numFmt w:val="decimal"/>
      <w:start w:val="26"/>
    </w:lvl>
  </w:abstractNum>
  <w:abstractNum w:abstractNumId="269">
    <w:nsid w:val="1C7E3C01"/>
    <w:multiLevelType w:val="hybridMultilevel"/>
    <w:lvl w:ilvl="0">
      <w:lvlJc w:val="left"/>
      <w:lvlText w:val="☐"/>
      <w:numFmt w:val="bullet"/>
      <w:start w:val="1"/>
    </w:lvl>
  </w:abstractNum>
  <w:abstractNum w:abstractNumId="270">
    <w:nsid w:val="1C2201FF"/>
    <w:multiLevelType w:val="hybridMultilevel"/>
    <w:lvl w:ilvl="0">
      <w:lvlJc w:val="left"/>
      <w:lvlText w:val="☐"/>
      <w:numFmt w:val="bullet"/>
      <w:start w:val="1"/>
    </w:lvl>
    <w:lvl w:ilvl="1">
      <w:lvlJc w:val="left"/>
      <w:lvlText w:val="☐"/>
      <w:numFmt w:val="bullet"/>
      <w:start w:val="1"/>
    </w:lvl>
  </w:abstractNum>
  <w:abstractNum w:abstractNumId="271">
    <w:nsid w:val="50ABCEC9"/>
    <w:multiLevelType w:val="hybridMultilevel"/>
    <w:lvl w:ilvl="0">
      <w:lvlJc w:val="left"/>
      <w:lvlText w:val="%1."/>
      <w:numFmt w:val="decimal"/>
      <w:start w:val="1"/>
    </w:lvl>
    <w:lvl w:ilvl="1">
      <w:lvlJc w:val="left"/>
      <w:lvlText w:val="(%2)"/>
      <w:numFmt w:val="lowerLetter"/>
      <w:start w:val="1"/>
    </w:lvl>
  </w:abstractNum>
  <w:abstractNum w:abstractNumId="272">
    <w:nsid w:val="7635AA2A"/>
    <w:multiLevelType w:val="hybridMultilevel"/>
    <w:lvl w:ilvl="0">
      <w:lvlJc w:val="left"/>
      <w:lvlText w:val="%1"/>
      <w:numFmt w:val="decimal"/>
      <w:start w:val="1"/>
    </w:lvl>
    <w:lvl w:ilvl="1">
      <w:lvlJc w:val="left"/>
      <w:lvlText w:val="(%2)"/>
      <w:numFmt w:val="lowerLetter"/>
      <w:start w:val="2"/>
    </w:lvl>
  </w:abstractNum>
  <w:abstractNum w:abstractNumId="273">
    <w:nsid w:val="5E74C4D9"/>
    <w:multiLevelType w:val="hybridMultilevel"/>
    <w:lvl w:ilvl="0">
      <w:lvlJc w:val="left"/>
      <w:lvlText w:val="%1."/>
      <w:numFmt w:val="decimal"/>
      <w:start w:val="3"/>
    </w:lvl>
    <w:lvl w:ilvl="1">
      <w:lvlJc w:val="left"/>
      <w:lvlText w:val="(%2)"/>
      <w:numFmt w:val="lowerLetter"/>
      <w:start w:val="1"/>
    </w:lvl>
  </w:abstractNum>
  <w:abstractNum w:abstractNumId="274">
    <w:nsid w:val="3B3EBE15"/>
    <w:multiLevelType w:val="hybridMultilevel"/>
    <w:lvl w:ilvl="0">
      <w:lvlJc w:val="left"/>
      <w:lvlText w:val="%1"/>
      <w:numFmt w:val="lowerLetter"/>
      <w:start w:val="1"/>
    </w:lvl>
    <w:lvl w:ilvl="1">
      <w:lvlJc w:val="left"/>
      <w:lvlText w:val="(%2)"/>
      <w:numFmt w:val="lowerLetter"/>
      <w:start w:val="3"/>
    </w:lvl>
  </w:abstractNum>
  <w:abstractNum w:abstractNumId="275">
    <w:nsid w:val="3822CB01"/>
    <w:multiLevelType w:val="hybridMultilevel"/>
    <w:lvl w:ilvl="0">
      <w:lvlJc w:val="left"/>
      <w:lvlText w:val="(%1)"/>
      <w:numFmt w:val="lowerLetter"/>
      <w:start w:val="35"/>
    </w:lvl>
    <w:lvl w:ilvl="1">
      <w:lvlJc w:val="left"/>
      <w:lvlText w:val="%2"/>
      <w:numFmt w:val="lowerLetter"/>
      <w:start w:val="1"/>
    </w:lvl>
  </w:abstractNum>
  <w:abstractNum w:abstractNumId="276">
    <w:nsid w:val="6CE00443"/>
    <w:multiLevelType w:val="hybridMultilevel"/>
    <w:lvl w:ilvl="0">
      <w:lvlJc w:val="left"/>
      <w:lvlText w:val="%1"/>
      <w:numFmt w:val="decimal"/>
      <w:start w:val="1"/>
    </w:lvl>
    <w:lvl w:ilvl="1">
      <w:lvlJc w:val="left"/>
      <w:lvlText w:val="(%2)"/>
      <w:numFmt w:val="lowerLetter"/>
      <w:start w:val="6"/>
    </w:lvl>
  </w:abstractNum>
  <w:abstractNum w:abstractNumId="277">
    <w:nsid w:val="79F0D62F"/>
    <w:multiLevelType w:val="hybridMultilevel"/>
    <w:lvl w:ilvl="0">
      <w:lvlJc w:val="left"/>
      <w:lvlText w:val="%1."/>
      <w:numFmt w:val="decimal"/>
      <w:start w:val="4"/>
    </w:lvl>
    <w:lvl w:ilvl="1">
      <w:lvlJc w:val="left"/>
      <w:lvlText w:val="%2"/>
      <w:numFmt w:val="lowerLetter"/>
      <w:start w:val="1"/>
    </w:lvl>
  </w:abstractNum>
  <w:abstractNum w:abstractNumId="278">
    <w:nsid w:val="7975E8EE"/>
    <w:multiLevelType w:val="hybridMultilevel"/>
    <w:lvl w:ilvl="0">
      <w:lvlJc w:val="left"/>
      <w:lvlText w:val="%1"/>
      <w:numFmt w:val="lowerRoman"/>
      <w:start w:val="1"/>
    </w:lvl>
    <w:lvl w:ilvl="1">
      <w:lvlJc w:val="left"/>
      <w:lvlText w:val="(%2)"/>
      <w:numFmt w:val="lowerRoman"/>
      <w:start w:val="1"/>
    </w:lvl>
  </w:abstractNum>
  <w:abstractNum w:abstractNumId="279">
    <w:nsid w:val="73154115"/>
    <w:multiLevelType w:val="hybridMultilevel"/>
    <w:lvl w:ilvl="0">
      <w:lvlJc w:val="left"/>
      <w:lvlText w:val="(%1)"/>
      <w:numFmt w:val="lowerRoman"/>
      <w:start w:val="2"/>
    </w:lvl>
    <w:lvl w:ilvl="1">
      <w:lvlJc w:val="left"/>
      <w:lvlText w:val="(%2)"/>
      <w:numFmt w:val="lowerRoman"/>
      <w:start w:val="2"/>
    </w:lvl>
  </w:abstractNum>
  <w:abstractNum w:abstractNumId="280">
    <w:nsid w:val="622D8102"/>
    <w:multiLevelType w:val="hybridMultilevel"/>
    <w:lvl w:ilvl="0">
      <w:lvlJc w:val="left"/>
      <w:lvlText w:val="%1."/>
      <w:numFmt w:val="decimal"/>
      <w:start w:val="6"/>
    </w:lvl>
    <w:lvl w:ilvl="1">
      <w:lvlJc w:val="left"/>
      <w:lvlText w:val="(%2)"/>
      <w:numFmt w:val="lowerLetter"/>
      <w:start w:val="1"/>
    </w:lvl>
  </w:abstractNum>
  <w:abstractNum w:abstractNumId="281">
    <w:nsid w:val="2AB26587"/>
    <w:multiLevelType w:val="hybridMultilevel"/>
    <w:lvl w:ilvl="0">
      <w:lvlJc w:val="left"/>
      <w:lvlText w:val="(%1)"/>
      <w:numFmt w:val="lowerRoman"/>
      <w:start w:val="1"/>
    </w:lvl>
  </w:abstractNum>
  <w:abstractNum w:abstractNumId="282">
    <w:nsid w:val="44B3FA61"/>
    <w:multiLevelType w:val="hybridMultilevel"/>
    <w:lvl w:ilvl="0">
      <w:lvlJc w:val="left"/>
      <w:lvlText w:val="(%1)"/>
      <w:numFmt w:val="lowerLetter"/>
      <w:start w:val="2"/>
    </w:lvl>
    <w:lvl w:ilvl="1">
      <w:lvlJc w:val="left"/>
      <w:lvlText w:val="(%2)"/>
      <w:numFmt w:val="lowerRoman"/>
      <w:start w:val="1"/>
    </w:lvl>
  </w:abstractNum>
  <w:abstractNum w:abstractNumId="283">
    <w:nsid w:val="1C0CA67C"/>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284">
    <w:nsid w:val="3D206613"/>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285">
    <w:nsid w:val="7993B662"/>
    <w:multiLevelType w:val="hybridMultilevel"/>
    <w:lvl w:ilvl="0">
      <w:lvlJc w:val="left"/>
      <w:lvlText w:val="%1."/>
      <w:numFmt w:val="decimal"/>
      <w:start w:val="8"/>
    </w:lvl>
    <w:lvl w:ilvl="1">
      <w:lvlJc w:val="left"/>
      <w:lvlText w:val="(%2)"/>
      <w:numFmt w:val="lowerLetter"/>
      <w:start w:val="1"/>
    </w:lvl>
  </w:abstractNum>
  <w:abstractNum w:abstractNumId="286">
    <w:nsid w:val="3BAB699E"/>
    <w:multiLevelType w:val="hybridMultilevel"/>
    <w:lvl w:ilvl="0">
      <w:lvlJc w:val="left"/>
      <w:lvlText w:val="(%1)"/>
      <w:numFmt w:val="lowerLetter"/>
      <w:start w:val="4"/>
    </w:lvl>
  </w:abstractNum>
  <w:abstractNum w:abstractNumId="287">
    <w:nsid w:val="71315369"/>
    <w:multiLevelType w:val="hybridMultilevel"/>
    <w:lvl w:ilvl="0">
      <w:lvlJc w:val="left"/>
      <w:lvlText w:val="(%1)"/>
      <w:numFmt w:val="lowerLetter"/>
      <w:start w:val="6"/>
    </w:lvl>
  </w:abstractNum>
  <w:abstractNum w:abstractNumId="288">
    <w:nsid w:val="7BCFBAFC"/>
    <w:multiLevelType w:val="hybridMultilevel"/>
    <w:lvl w:ilvl="0">
      <w:lvlJc w:val="left"/>
      <w:lvlText w:val="(%1)"/>
      <w:numFmt w:val="lowerLetter"/>
      <w:start w:val="7"/>
    </w:lvl>
  </w:abstractNum>
  <w:abstractNum w:abstractNumId="289">
    <w:nsid w:val="17859F72"/>
    <w:multiLevelType w:val="hybridMultilevel"/>
    <w:lvl w:ilvl="0">
      <w:lvlJc w:val="left"/>
      <w:lvlText w:val="%1"/>
      <w:numFmt w:val="lowerLetter"/>
      <w:start w:val="1"/>
    </w:lvl>
    <w:lvl w:ilvl="1">
      <w:lvlJc w:val="left"/>
      <w:lvlText w:val="(%2)"/>
      <w:numFmt w:val="lowerLetter"/>
      <w:start w:val="8"/>
    </w:lvl>
    <w:lvl w:ilvl="2">
      <w:lvlJc w:val="left"/>
      <w:lvlText w:val="(%3)"/>
      <w:numFmt w:val="lowerRoman"/>
      <w:start w:val="1"/>
    </w:lvl>
  </w:abstractNum>
  <w:abstractNum w:abstractNumId="290">
    <w:nsid w:val="3AA10581"/>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291">
    <w:nsid w:val="63DE60CD"/>
    <w:multiLevelType w:val="hybridMultilevel"/>
    <w:lvl w:ilvl="0">
      <w:lvlJc w:val="left"/>
      <w:lvlText w:val="%1."/>
      <w:numFmt w:val="decimal"/>
      <w:start w:val="9"/>
    </w:lvl>
  </w:abstractNum>
  <w:abstractNum w:abstractNumId="292">
    <w:nsid w:val="621AF471"/>
    <w:multiLevelType w:val="hybridMultilevel"/>
    <w:lvl w:ilvl="0">
      <w:lvlJc w:val="left"/>
      <w:lvlText w:val="%1."/>
      <w:numFmt w:val="decimal"/>
      <w:start w:val="12"/>
    </w:lvl>
  </w:abstractNum>
  <w:abstractNum w:abstractNumId="293">
    <w:nsid w:val="73CFE165"/>
    <w:multiLevelType w:val="hybridMultilevel"/>
    <w:lvl w:ilvl="0">
      <w:lvlJc w:val="left"/>
      <w:lvlText w:val="%1."/>
      <w:numFmt w:val="decimal"/>
      <w:start w:val="17"/>
    </w:lvl>
  </w:abstractNum>
  <w:abstractNum w:abstractNumId="294">
    <w:nsid w:val="20F88EA6"/>
    <w:multiLevelType w:val="hybridMultilevel"/>
    <w:lvl w:ilvl="0">
      <w:lvlJc w:val="left"/>
      <w:lvlText w:val="%1."/>
      <w:numFmt w:val="decimal"/>
      <w:start w:val="22"/>
    </w:lvl>
  </w:abstractNum>
  <w:abstractNum w:abstractNumId="295">
    <w:nsid w:val="617C843E"/>
    <w:multiLevelType w:val="hybridMultilevel"/>
    <w:lvl w:ilvl="0">
      <w:lvlJc w:val="left"/>
      <w:lvlText w:val="%1."/>
      <w:numFmt w:val="decimal"/>
      <w:start w:val="28"/>
    </w:lvl>
  </w:abstractNum>
  <w:abstractNum w:abstractNumId="296">
    <w:nsid w:val="7B541FAB"/>
    <w:multiLevelType w:val="hybridMultilevel"/>
    <w:lvl w:ilvl="0">
      <w:lvlJc w:val="left"/>
      <w:lvlText w:val="☐"/>
      <w:numFmt w:val="bullet"/>
      <w:start w:val="1"/>
    </w:lvl>
  </w:abstractNum>
  <w:abstractNum w:abstractNumId="297">
    <w:nsid w:val="2A79EC49"/>
    <w:multiLevelType w:val="hybridMultilevel"/>
    <w:lvl w:ilvl="0">
      <w:lvlJc w:val="left"/>
      <w:lvlText w:val="☐"/>
      <w:numFmt w:val="bullet"/>
      <w:start w:val="1"/>
    </w:lvl>
  </w:abstractNum>
  <w:abstractNum w:abstractNumId="298">
    <w:nsid w:val="338125CF"/>
    <w:multiLevelType w:val="hybridMultilevel"/>
    <w:lvl w:ilvl="0">
      <w:lvlJc w:val="left"/>
      <w:lvlText w:val="☐"/>
      <w:numFmt w:val="bullet"/>
      <w:start w:val="1"/>
    </w:lvl>
  </w:abstractNum>
  <w:abstractNum w:abstractNumId="299">
    <w:nsid w:val="47C7C971"/>
    <w:multiLevelType w:val="hybridMultilevel"/>
    <w:lvl w:ilvl="0">
      <w:lvlJc w:val="left"/>
      <w:lvlText w:val="●"/>
      <w:numFmt w:val="bullet"/>
      <w:start w:val="1"/>
    </w:lvl>
  </w:abstractNum>
  <w:abstractNum w:abstractNumId="300">
    <w:nsid w:val="46F8284B"/>
    <w:multiLevelType w:val="hybridMultilevel"/>
    <w:lvl w:ilvl="0">
      <w:lvlJc w:val="left"/>
      <w:lvlText w:val="%1)"/>
      <w:numFmt w:val="lowerLetter"/>
      <w:start w:val="1"/>
    </w:lvl>
  </w:abstractNum>
  <w:abstractNum w:abstractNumId="301">
    <w:nsid w:val="4FA327CE"/>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302">
    <w:nsid w:val="1873983A"/>
    <w:multiLevelType w:val="hybridMultilevel"/>
    <w:lvl w:ilvl="0">
      <w:lvlJc w:val="left"/>
      <w:lvlText w:val="%1)"/>
      <w:numFmt w:val="lowerLetter"/>
      <w:start w:val="5"/>
    </w:lvl>
  </w:abstractNum>
  <w:abstractNum w:abstractNumId="303">
    <w:nsid w:val="3D2DD275"/>
    <w:multiLevelType w:val="hybridMultilevel"/>
    <w:lvl w:ilvl="0">
      <w:lvlJc w:val="left"/>
      <w:lvlText w:val="%1)"/>
      <w:numFmt w:val="lowerLetter"/>
      <w:start w:val="8"/>
    </w:lvl>
  </w:abstractNum>
  <w:abstractNum w:abstractNumId="304">
    <w:nsid w:val="2E17ECA7"/>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png"/><Relationship Id="rId402" Type="http://schemas.openxmlformats.org/officeDocument/2006/relationships/image" Target="media/image394.png"/><Relationship Id="rId403" Type="http://schemas.openxmlformats.org/officeDocument/2006/relationships/image" Target="media/image395.png"/><Relationship Id="rId404" Type="http://schemas.openxmlformats.org/officeDocument/2006/relationships/image" Target="media/image396.png"/><Relationship Id="rId405" Type="http://schemas.openxmlformats.org/officeDocument/2006/relationships/image" Target="media/image397.png"/><Relationship Id="rId406" Type="http://schemas.openxmlformats.org/officeDocument/2006/relationships/image" Target="media/image398.png"/><Relationship Id="rId407"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png"/><Relationship Id="rId410" Type="http://schemas.openxmlformats.org/officeDocument/2006/relationships/image" Target="media/image402.png"/><Relationship Id="rId411" Type="http://schemas.openxmlformats.org/officeDocument/2006/relationships/image" Target="media/image403.png"/><Relationship Id="rId412" Type="http://schemas.openxmlformats.org/officeDocument/2006/relationships/image" Target="media/image404.png"/><Relationship Id="rId413" Type="http://schemas.openxmlformats.org/officeDocument/2006/relationships/image" Target="media/image405.png"/><Relationship Id="rId414" Type="http://schemas.openxmlformats.org/officeDocument/2006/relationships/image" Target="media/image406.jpeg"/><Relationship Id="rId415" Type="http://schemas.openxmlformats.org/officeDocument/2006/relationships/image" Target="media/image407.png"/><Relationship Id="rId416" Type="http://schemas.openxmlformats.org/officeDocument/2006/relationships/image" Target="media/image408.jpeg"/><Relationship Id="rId417" Type="http://schemas.openxmlformats.org/officeDocument/2006/relationships/image" Target="media/image409.png"/><Relationship Id="rId418" Type="http://schemas.openxmlformats.org/officeDocument/2006/relationships/image" Target="media/image410.jpeg"/><Relationship Id="rId419" Type="http://schemas.openxmlformats.org/officeDocument/2006/relationships/image" Target="media/image411.png"/><Relationship Id="rId420" Type="http://schemas.openxmlformats.org/officeDocument/2006/relationships/image" Target="media/image412.jpeg"/><Relationship Id="rId421" Type="http://schemas.openxmlformats.org/officeDocument/2006/relationships/image" Target="media/image413.png"/><Relationship Id="rId36" Type="http://schemas.openxmlformats.org/officeDocument/2006/relationships/hyperlink" Target="https://www.sec.gov/Archives/edgar/data/1816736/000121390021007091/ea134758ex10-1_gemin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2021-02-11T15:35:53Z</dcterms:created>
  <dcterms:modified xsi:type="dcterms:W3CDTF">2021-02-11T15:35:53Z</dcterms:modified>
</cp:coreProperties>
</file>