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0001055951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321 ARSENAL STREE, SUITE 101</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OrbiMed Private Investments VIII, LP</w:t>
      </w:r>
    </w:p>
    <w:p>
      <w:pPr>
        <w:spacing w:after="0" w:line="56" w:lineRule="exact"/>
        <w:rPr>
          <w:sz w:val="24"/>
          <w:szCs w:val="24"/>
          <w:color w:val="auto"/>
        </w:rPr>
      </w:pPr>
    </w:p>
    <w:p>
      <w:pPr>
        <w:sectPr>
          <w:pgSz w:w="11900" w:h="16838" w:orient="portrait"/>
          <w:cols w:equalWidth="0" w:num="2">
            <w:col w:w="6360" w:space="720"/>
            <w:col w:w="41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Themis Trading LLC</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 Town Square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Chatham  NJ  07928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w w:val="96"/>
              </w:rPr>
              <w:t>746171</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67110619.74</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34765581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10/20/2025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12/29/2022</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Business</w:t>
            </w:r>
          </w:p>
        </w:tc>
        <w:tc>
          <w:tcPr>
            <w:tcW w:w="202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Issuer</w:t>
            </w:r>
          </w:p>
        </w:tc>
        <w:tc>
          <w:tcPr>
            <w:tcW w:w="22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746171</w:t>
            </w:r>
          </w:p>
        </w:tc>
        <w:tc>
          <w:tcPr>
            <w:tcW w:w="18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12/29/2022 Cash</w:t>
            </w:r>
          </w:p>
        </w:tc>
        <w:tc>
          <w:tcPr>
            <w:tcW w:w="0" w:type="dxa"/>
            <w:vAlign w:val="bottom"/>
          </w:tcPr>
          <w:p>
            <w:pPr>
              <w:spacing w:after="0"/>
              <w:rPr>
                <w:sz w:val="1"/>
                <w:szCs w:val="1"/>
                <w:color w:val="auto"/>
              </w:rPr>
            </w:pPr>
          </w:p>
        </w:tc>
      </w:tr>
      <w:tr>
        <w:trPr>
          <w:trHeight w:val="282"/>
        </w:trPr>
        <w:tc>
          <w:tcPr>
            <w:tcW w:w="250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Combination</w:t>
            </w:r>
          </w:p>
        </w:tc>
        <w:tc>
          <w:tcPr>
            <w:tcW w:w="2020" w:type="dxa"/>
            <w:vAlign w:val="bottom"/>
            <w:vMerge w:val="continue"/>
          </w:tcPr>
          <w:p>
            <w:pPr>
              <w:spacing w:after="0"/>
              <w:rPr>
                <w:sz w:val="24"/>
                <w:szCs w:val="24"/>
                <w:color w:val="auto"/>
              </w:rPr>
            </w:pPr>
          </w:p>
        </w:tc>
        <w:tc>
          <w:tcPr>
            <w:tcW w:w="2200" w:type="dxa"/>
            <w:vAlign w:val="bottom"/>
            <w:vMerge w:val="continue"/>
          </w:tcPr>
          <w:p>
            <w:pPr>
              <w:spacing w:after="0"/>
              <w:rPr>
                <w:sz w:val="24"/>
                <w:szCs w:val="24"/>
                <w:color w:val="auto"/>
              </w:rPr>
            </w:pPr>
          </w:p>
        </w:tc>
        <w:tc>
          <w:tcPr>
            <w:tcW w:w="1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292" w:lineRule="exact"/>
        <w:rPr>
          <w:sz w:val="20"/>
          <w:szCs w:val="20"/>
          <w:color w:val="auto"/>
        </w:rPr>
      </w:pPr>
    </w:p>
    <w:p>
      <w:pPr>
        <w:ind w:left="940" w:right="40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OrbiMed Capital GP VIII LLC is the general partner of OrbiMed Private Investments VIII, LP. OrbiMed Advisors LLC is the managing member of OrbiMed Capital GP VIII LLC.</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10/20/2025</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ind w:left="940" w:right="400" w:hanging="890"/>
        <w:spacing w:after="0" w:line="181" w:lineRule="auto"/>
        <w:rPr>
          <w:sz w:val="20"/>
          <w:szCs w:val="20"/>
          <w:color w:val="auto"/>
        </w:rPr>
      </w:pPr>
      <w:r>
        <w:rPr>
          <w:rFonts w:ascii="Times New Roman" w:cs="Times New Roman" w:eastAsia="Times New Roman" w:hAnsi="Times New Roman"/>
          <w:sz w:val="41"/>
          <w:szCs w:val="41"/>
          <w:color w:val="auto"/>
          <w:vertAlign w:val="subscript"/>
        </w:rPr>
        <w:t>Signature</w:t>
      </w:r>
      <w:r>
        <w:rPr>
          <w:rFonts w:ascii="Times New Roman" w:cs="Times New Roman" w:eastAsia="Times New Roman" w:hAnsi="Times New Roman"/>
          <w:sz w:val="21"/>
          <w:szCs w:val="21"/>
          <w:color w:val="auto"/>
        </w:rPr>
        <w:t xml:space="preserve"> /s/ Douglas Coon, Chief Compliance Officer, OrbiMed Advisors LLC, managing member of the general partner of OrbiMed Private Investments VIII, LP</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2025-10-20T19:53:28Z</dcterms:created>
  <dcterms:modified xsi:type="dcterms:W3CDTF">2025-10-20T19:53:28Z</dcterms:modified>
</cp:coreProperties>
</file>