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SCHEDULE 13D</w:t>
      </w:r>
    </w:p>
    <w:p>
      <w:pPr>
        <w:spacing w:after="0" w:line="200" w:lineRule="exact"/>
        <w:rPr>
          <w:sz w:val="24"/>
          <w:szCs w:val="24"/>
          <w:color w:val="auto"/>
        </w:rPr>
      </w:pPr>
    </w:p>
    <w:p>
      <w:pPr>
        <w:spacing w:after="0" w:line="30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3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GP VI LLC</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601 Lexington Avenue, 54th Floor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Receive Notices and Communications)</w:t>
      </w:r>
    </w:p>
    <w:p>
      <w:pPr>
        <w:spacing w:after="0" w:line="2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February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9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2"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86" w:lineRule="exact"/>
        <w:rPr>
          <w:sz w:val="24"/>
          <w:szCs w:val="24"/>
          <w:color w:val="auto"/>
        </w:rPr>
      </w:pPr>
    </w:p>
    <w:p>
      <w:pPr>
        <w:ind w:left="260" w:hanging="252"/>
        <w:spacing w:after="0" w:line="282" w:lineRule="auto"/>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320" w:top="698" w:right="439" w:bottom="1440" w:gutter="0" w:footer="0" w:header="0"/>
        </w:sectPr>
      </w:pPr>
    </w:p>
    <w:bookmarkStart w:id="1" w:name="page2"/>
    <w:bookmarkEnd w:id="1"/>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6027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36870G105</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7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2</w:t>
            </w: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gridSpan w:val="2"/>
            <w:vMerge w:val="continue"/>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2"/>
                <w:szCs w:val="22"/>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gridSpan w:val="3"/>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2"/>
                <w:szCs w:val="22"/>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00" w:type="dxa"/>
            <w:vAlign w:val="bottom"/>
            <w:tcBorders>
              <w:left w:val="single" w:sz="8" w:color="auto"/>
            </w:tcBorders>
            <w:vMerge w:val="continue"/>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2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500" w:type="dxa"/>
            <w:vAlign w:val="bottom"/>
            <w:tcBorders>
              <w:lef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2"/>
                <w:szCs w:val="22"/>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gridSpan w:val="3"/>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5,826,224</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5,826,224</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5,826,224</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2"/>
                <w:szCs w:val="22"/>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40" w:type="dxa"/>
            <w:vAlign w:val="bottom"/>
            <w:tcBorders>
              <w:bottom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12.9%*</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160" w:firstLine="8"/>
        <w:spacing w:after="0" w:line="261" w:lineRule="auto"/>
        <w:tabs>
          <w:tab w:leader="none" w:pos="10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45,301,990 shares of common stock outstanding of Gemini Therapeutics, Inc. (the “Issuer”), as set forth in the Issuer’s Periodic Report on Form 8-K filed with the Securities and Exchange Commission (“SEC”)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 w:name="page3"/>
    <w:bookmarkEnd w:id="2"/>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6027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36870G105</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GP VI LLC</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260" w:type="dxa"/>
            <w:vAlign w:val="bottom"/>
            <w:gridSpan w:val="3"/>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16"/>
                <w:szCs w:val="16"/>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260" w:type="dxa"/>
            <w:vAlign w:val="bottom"/>
            <w:gridSpan w:val="3"/>
            <w:vMerge w:val="continue"/>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5,826,224</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5,826,224</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5,826,224</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16"/>
                <w:szCs w:val="16"/>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260" w:type="dxa"/>
            <w:vAlign w:val="bottom"/>
            <w:gridSpan w:val="3"/>
            <w:vMerge w:val="continue"/>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12.9%*</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160" w:firstLine="8"/>
        <w:spacing w:after="0" w:line="261"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45,301,990 shares of common stock outstanding of Gemini Therapeutics, Inc. (the “Issuer”), as set forth in the Issuer’s Periodic Report on Form 8-K filed with the Securities and Exchange Commission (“SEC”)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Schedule 13D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relates to the common stock,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Gemini Therapeutics, Inc., a corporation organized under the laws of Delaware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 with its principal executive offices located at 300 One Kendall Square, 3rd Floor, Cambridge, Massachusetts 02139. The Shares are listed on the NASDAQ Global Select Market under the ticker symbol “GMTX”. Information given in response to each item shall be deemed incorporated by reference in all other items, as applicable.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5, 2021, the Issuer, completed the transactions contemplated by the Agreement and Plan of Merger Agreement, dated as of October 15, 2020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the Issuer, FSG Merger Sub, Inc., a Delaware corporation and a wholly-owned subsidiary of the Issuer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Gemini Therapeutics Sub, Inc., a Delaware corporation (“</w:t>
      </w:r>
      <w:r>
        <w:rPr>
          <w:rFonts w:ascii="Times New Roman" w:cs="Times New Roman" w:eastAsia="Times New Roman" w:hAnsi="Times New Roman"/>
          <w:sz w:val="18"/>
          <w:szCs w:val="18"/>
          <w:u w:val="single" w:color="auto"/>
          <w:color w:val="auto"/>
        </w:rPr>
        <w:t>Old Gemini</w:t>
      </w:r>
      <w:r>
        <w:rPr>
          <w:rFonts w:ascii="Times New Roman" w:cs="Times New Roman" w:eastAsia="Times New Roman" w:hAnsi="Times New Roman"/>
          <w:sz w:val="18"/>
          <w:szCs w:val="18"/>
          <w:color w:val="auto"/>
        </w:rPr>
        <w:t>”), and Shareholder Representative Services LLC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pursuant to which Merger Sub merged with and into Old Gemini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with Old Gemini surviving the merger as a wholly-owned subsidiary of the Issuer.</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firstLine="656"/>
        <w:spacing w:after="0" w:line="282"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 OrbiMed Advisors LLC (“</w:t>
      </w:r>
      <w:r>
        <w:rPr>
          <w:rFonts w:ascii="Times New Roman" w:cs="Times New Roman" w:eastAsia="Times New Roman" w:hAnsi="Times New Roman"/>
          <w:sz w:val="18"/>
          <w:szCs w:val="18"/>
          <w:u w:val="single" w:color="auto"/>
          <w:color w:val="auto"/>
        </w:rPr>
        <w:t>OrbiMed Advisors</w:t>
      </w:r>
      <w:r>
        <w:rPr>
          <w:rFonts w:ascii="Times New Roman" w:cs="Times New Roman" w:eastAsia="Times New Roman" w:hAnsi="Times New Roman"/>
          <w:sz w:val="18"/>
          <w:szCs w:val="18"/>
          <w:color w:val="auto"/>
        </w:rPr>
        <w:t>”) and OrbiMed Capital GP VI LLC (“</w:t>
      </w:r>
      <w:r>
        <w:rPr>
          <w:rFonts w:ascii="Times New Roman" w:cs="Times New Roman" w:eastAsia="Times New Roman" w:hAnsi="Times New Roman"/>
          <w:sz w:val="18"/>
          <w:szCs w:val="18"/>
          <w:u w:val="single" w:color="auto"/>
          <w:color w:val="auto"/>
        </w:rPr>
        <w:t>OrbiMed GP</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704"/>
        <w:spacing w:after="0" w:line="266" w:lineRule="auto"/>
        <w:tabs>
          <w:tab w:leader="none" w:pos="9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OrbiMed GP, a limited liability company organized under the laws of Delaware, is the general partner of a limited partnership as more particularly described in Item 6 below. OrbiMed GP has its principal offices at 601 Lexington Avenue, 54th Floor, New York, New York 10022.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and executive officers of OrbiMed Advisors and OrbiMed GP are set forth on Schedules I and II, respectively, attached hereto.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 I and II set forth the following information with respect to each such person:</w:t>
      </w:r>
    </w:p>
    <w:p>
      <w:pPr>
        <w:spacing w:after="0" w:line="207" w:lineRule="exact"/>
        <w:rPr>
          <w:sz w:val="20"/>
          <w:szCs w:val="20"/>
          <w:color w:val="auto"/>
        </w:rPr>
      </w:pPr>
    </w:p>
    <w:p>
      <w:pPr>
        <w:ind w:left="1280" w:hanging="624"/>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address;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principal occupation of employment and the name, principal business and address of any corporation or other organization in which such employment is conducted;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sz w:val="20"/>
          <w:szCs w:val="20"/>
          <w:color w:val="auto"/>
        </w:rPr>
      </w:pPr>
    </w:p>
    <w:p>
      <w:pPr>
        <w:jc w:val="both"/>
        <w:ind w:firstLine="656"/>
        <w:spacing w:after="0" w:line="261" w:lineRule="auto"/>
        <w:tabs>
          <w:tab w:leader="none" w:pos="9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 During the last five years, neither the Reporting Persons nor any Person named in Schedules I and II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OrbiMed Private Investments VI, LP (“</w:t>
      </w:r>
      <w:r>
        <w:rPr>
          <w:rFonts w:ascii="Times New Roman" w:cs="Times New Roman" w:eastAsia="Times New Roman" w:hAnsi="Times New Roman"/>
          <w:sz w:val="18"/>
          <w:szCs w:val="18"/>
          <w:u w:val="single" w:color="auto"/>
          <w:color w:val="auto"/>
        </w:rPr>
        <w:t>OPI VI</w:t>
      </w:r>
      <w:r>
        <w:rPr>
          <w:rFonts w:ascii="Times New Roman" w:cs="Times New Roman" w:eastAsia="Times New Roman" w:hAnsi="Times New Roman"/>
          <w:sz w:val="18"/>
          <w:szCs w:val="18"/>
          <w:color w:val="auto"/>
        </w:rPr>
        <w:t>”) purchased 510,000 shares of Common Stock for an aggregate purchase price of $5,100,000 pursuant to a subscription agreement between the Issuer and certain investors and as a result of the Closing, OPI VI received 5,316,224 Shares in exchange for shares of Old Gemini.</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source of funds for the purchases described in Item 1 was the working capital of OPI VI.</w:t>
      </w:r>
    </w:p>
    <w:p>
      <w:pPr>
        <w:spacing w:after="0" w:line="22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As a result of the transactions described in this Item 3, OrbiMed Advisors and OrbiMed GP may collectively be deemed to be the beneficial owners of approximately 12.9% of the outstanding Shares. OrbiMed GP, as the general partner of OPI VI, may be deemed to be the beneficial owner of approximately 12.9% of the outstanding Shares. OrbiMed Advisors, as the managing member of OrbiMed GP, may be deemed to be the beneficial owner of approximately 12.9% of the outstanding Shares. None of the Reporting Persons have acquired or disposed of any additional Shares since February 5,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statement relates to the acquisition of Shares by the Reporting Persons. The Shares acquired by the Reporting Persons were acquired for the purpose of making an investment in the Issuer and not with the intention of acquiring control of the Issuer’s business on behalf of the Reporting Persons’ respective advisory clients.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21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firstLine="709"/>
        <w:spacing w:after="0" w:line="255" w:lineRule="auto"/>
        <w:tabs>
          <w:tab w:leader="none" w:pos="9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As of the date of this filing, OPI VI, a limited partnership organized under the laws of Delaware, holds 5,826,224 Shares, constituting approximately 12.9% of the issued and outstanding Shares. OrbiMed GP is the general partner of OPI VI, pursuant to the terms of the limited partnership agreement of OPI VI, and OrbiMed Advisors is the managing member of OrbiMed GP, pursuant to the terms of the limited liability company agreement of OrbiMed GP. As a result, OrbiMed Advisors and OrbiMed GP share power to direct the vote and disposition of the Shares held by OPI VI and may be deemed directly or indirectly, including by reason of their mutual affiliation, to be the beneficial owners of the Shares held by OPI VI. OrbiMed Advisors exercises this investment and voting power through a management committee comprised of Carl L. Gordon, Jonathan T. Silverstein, and Sven H. Borho, each of whom disclaims beneficial ownership of the Shares held by OPI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OrbiMed Advisors and OrbiMed GP, pursuant to their authority under the limited partnership agreement of OPI VI, caused OPI VI to enter into the agreements referred to in Item 6 below.</w:t>
      </w:r>
    </w:p>
    <w:p>
      <w:pPr>
        <w:spacing w:after="0" w:line="162" w:lineRule="exact"/>
        <w:rPr>
          <w:sz w:val="20"/>
          <w:szCs w:val="20"/>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Item 3, the Reporting Persons have not effected any transactions during the past sixty (60) days in any Shares.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relationships between the Reporting Persons described in Items 2 and 5 above, OrbiMed GP is the general partner of OPI VI, pursuant to the terms of the limited partnership agreement of OPI VI. Pursuant to this agreement and relationship, OrbiMed GP has discretionary investment management authority with respect to the assets of OPI VI. Such authority includes the power to vote and otherwise dispose of securities held by OPI VI. The number of outstanding Shares of the Issuer attributable to OPI VI is 5,826,224 Shares. OrbiMed GP, pursuant to its authority under the limited partnership agreement of OPI VI, may be considered to hold indirectly 5,826,224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OrbiMed Advisors is the managing member of OrbiMed GP, pursuant to the terms of the limited liability company agreement of OrbiMed GP. Pursuant to these agreements and relationships, OrbiMed Advisors and OrbiMed GP have discretionary investment management authority with respect to the assets of OPI VI. Such authority includes the power of OrbiMed GP to vote and otherwise dispose of securities held by OPI VI. The number of outstanding Shares attributable to OPI VI is 5,826,224 Shares. OrbiMed Advisors, pursuant to its authority under the terms of the limited liability company agreement of OrbiMed GP, may also be considered to hold indirectly 5,826,224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Carl Gordon (“</w:t>
      </w:r>
      <w:r>
        <w:rPr>
          <w:rFonts w:ascii="Times New Roman" w:cs="Times New Roman" w:eastAsia="Times New Roman" w:hAnsi="Times New Roman"/>
          <w:sz w:val="18"/>
          <w:szCs w:val="18"/>
          <w:u w:val="single" w:color="auto"/>
          <w:color w:val="auto"/>
        </w:rPr>
        <w:t>Gordon</w:t>
      </w:r>
      <w:r>
        <w:rPr>
          <w:rFonts w:ascii="Times New Roman" w:cs="Times New Roman" w:eastAsia="Times New Roman" w:hAnsi="Times New Roman"/>
          <w:sz w:val="18"/>
          <w:szCs w:val="18"/>
          <w:color w:val="auto"/>
        </w:rPr>
        <w:t>”), a member of OrbiMed Advisors, is a member of the Board of Directors of the Issuer and, accordingly, OrbiMed Advisors and OrbiMed GP may have the ability to affect and influence control of the Issuer. From time to time, Gordon may receive stock options or other awards of equity-based compensation pursuant to the Issuer’s compensation arrangements for non-employee directors. Pursuant to an agreement with OrbiMed Advisors and OrbiMed GP, Gordon is obligated to transfer any securities issued under any such stock options or other awards, or the economic benefit thereof, to OrbiMed Advisors and OrbiMed GP, which will in turn ensure that such securities or economic benefits are provided to OPI VI.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the date of the Closing, the Issuer, Old Gemini, the FSDC Investors (as defined below) and the Major Gemini Investors (as defined below)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among other things, the FSDC Investors and the Major Gemini Investors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were granted certain registration rights with respect to registrable securities (as defined in the Registration Rights Agreement) held by them. The FSDC Investors include FS Development Holdings,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Robert Carey, Daniel Dubin and Deepka Pakianathan. The Major Gemini Investors include LV LP, LV(A) LP, LV Singapore, Atlas Venture Fund X, L.P., Atlas Venture Opportunity Fund I, L.P., OPI VI, and Wu Capital Investment LLC.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At any time after the Closing, and following the expiration of any lock-up to which an Investor may be subject, the Issuer will be required, upon the written request of either (i) FSDC Investors holding a majority of the Registrable Securities held by all FSDC Investors or (ii) Major Gemini Investors holding a majority of the Registrable Securities held by all Major Gemini Investors, to file a registration statement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22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Whenever the Issuer proposes to file a registration statement under the Securities Act, including a registration statement on Form S-3 as discussed below, other than with respect to certain excluded registrations, OPI VI will be entitled to notice of the registration and have the right, subject to limitations that the underwriters may impose on the number of Shares included in the registration, to include the Shares held by OPI VI in the registration.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S-3 Registration Rights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Issuer is required, to file a shelf registration statement pursuant to Rule 415 as soon as practicable after the Closing and use reasonable best efforts to effect the registration of all of the registrable securities then held by investors that are not covered by an effective registration statement as of the date that is 30 days after the Closing Date. At any time the Issuer has an effective shelf registration statement, if the Company shall receive a request from Investors holding registrable securities with an estimated market value of at least $5,000,000, to effect an underwritten shelf takedown, the Issuer shall use its reasonable best efforts to as expeditiously as possible to effect the underwritten shelf takedown.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Limits on demand registration rights and shelf registration rights.</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Issuer shall not be obligated to effect: (a) more than one (1) demand 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Gemini Investors, including those made under a shelf registration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a Lock-Up agreement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OPI VI agreed that it will not, during the period ending 180 days after the date of the IPO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 directly or indirectly (1) sell, assign, transfer, pledge, contract to sell, or otherwise dispose of, any Shares or securities convertible into or exercisable or exchangeable for Shares with respect to which OPI VI has or acquires the power of disposition or (2) enter into any swap or other agreement that transfers, in whole or in part, the economic risk of ownership of any such Shares.</w:t>
      </w:r>
    </w:p>
    <w:p>
      <w:pPr>
        <w:spacing w:after="0" w:line="18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After the Lock-Up Period expires, OPI VI’s Shares will be eligible for sale in the public market, subject to any applicable limitations under Rule 144 under the Securities Act, and other applicable U.S.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date of the Closing, the Issuer, Sponsor, and the Major Gemini Investors (collectively, the “</w:t>
      </w:r>
      <w:r>
        <w:rPr>
          <w:rFonts w:ascii="Times New Roman" w:cs="Times New Roman" w:eastAsia="Times New Roman" w:hAnsi="Times New Roman"/>
          <w:sz w:val="18"/>
          <w:szCs w:val="18"/>
          <w:u w:val="single" w:color="auto"/>
          <w:color w:val="auto"/>
        </w:rPr>
        <w:t>Voting Parties</w:t>
      </w:r>
      <w:r>
        <w:rPr>
          <w:rFonts w:ascii="Times New Roman" w:cs="Times New Roman" w:eastAsia="Times New Roman" w:hAnsi="Times New Roman"/>
          <w:sz w:val="18"/>
          <w:szCs w:val="18"/>
          <w:color w:val="auto"/>
        </w:rPr>
        <w:t>”) entered into a Voting Agreement, pursuant to which each Voting Party agrees to vote all voting securities of the Issuer that it owns from time to time and that it may vote in an election of the Company’s directors in accordance with the provisions of the Voting Agreement, whether at a regular or special meeting of stockholders.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Voting Agreement, the post-Closing Board shall be comprised of seven directors, which must include Jason Meyenburg, Dr. Jim Tananbaum, and Dr. Carl Gordon, divided into three classes, designated Class I, II and III, with Class I consisting of two directors, Class II consisting of three directors and Class III consisting of two Directors. Jean George and Dr. Carl Gordon shall constitute the initial members of Class I and shall be nominated in Class I, the members of which shall have an initial term that expires at the annual meeting of stockholders of New Gemini held in 2021; David Lubner, Dr. Tuyen Ong, and Jason Rhodes shall constitute the initial members of Class II and shall be nominated in Class II, the members of which shall have an initial term that expires at the annual meeting of stockholders of the Issuer held in 2022; and Jason Meyenburg and Dr. Jim Tananbaum shall constitute the initial members of Class III and shall be nominated in Class III, the members of which shall have an initial term that expires at the annual meeting of stockholders of the Issuer held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 w:name="page8"/>
    <w:bookmarkEnd w:id="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Voting Agreement, until the earlier of (i) fifth anniversary of the date of the Closing or (ii) the date on which Sponsor owns less than 1,217,563 shares of Common Stock, at each annual or special meeting of stockholders of the Issuer, Sponsor shall have the right to designate for election as a member of the Board, and the Board (including any committee thereof) shall nominate (and recommend for election and include such recommendation in a timely manner in any proxy statement or other applicable announcement to the Issuer’s stockholders), one individual to serve as a Class III Director. If Sponsor ceases to be entitled to nominate any directors, then such directors shall be nominated by the Board and approved by the holders of the outstanding shares of Common Stock.</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Voting Agreement, Old Gemini shall have the authority to appoint four directors to the Board, with such procedures as are determined by Old Gemini’s Board.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directors elected pursuant to the terms of the Voting Agreement shall be removed from the Board only upon the vote or written consent of the Voting Party that is entitled to nominate, appoint or elect such director. Upon any decrease in the rights of any such Voting Party to nominate, appoint or elect any director, the applicable Voting Party shall promptly cause the removal or resignation of an applicable directors if requested by the Board. Upon any individual elected to serve as a director pursuant to the Voting Agreement ceasing to be a member of the Board, whether by death, resignation or removal or otherwise, only the Voting Party that was entitled to nominate, appoint or elect such individual shall have the right to fill any resulting vacancy in the Board; provided that such Voting Party still has the right to nominate, appoint or elect the applicable director.</w:t>
      </w:r>
    </w:p>
    <w:p>
      <w:pPr>
        <w:spacing w:after="0" w:line="200" w:lineRule="exact"/>
        <w:rPr>
          <w:sz w:val="20"/>
          <w:szCs w:val="20"/>
          <w:color w:val="auto"/>
        </w:rPr>
      </w:pP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Lock-Up Agreement, and Voting Agreement does not purport to be complete and is qualified in its entirety by reference to the full text of the Registration Rights Agreement, Lock-Up Agreement, and Voting Agreement, which are filed as Exhibits 2 through 4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460" w:hanging="1344"/>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and OrbiMed Capital GP VI LLC.</w:t>
      </w:r>
    </w:p>
    <w:p>
      <w:pPr>
        <w:spacing w:after="0" w:line="198" w:lineRule="exact"/>
        <w:rPr>
          <w:rFonts w:ascii="Times New Roman" w:cs="Times New Roman" w:eastAsia="Times New Roman" w:hAnsi="Times New Roman"/>
          <w:sz w:val="18"/>
          <w:szCs w:val="18"/>
          <w:color w:val="auto"/>
        </w:rPr>
      </w:pPr>
    </w:p>
    <w:p>
      <w:pPr>
        <w:ind w:left="1460" w:right="140" w:hanging="1344"/>
        <w:spacing w:after="0" w:line="282" w:lineRule="auto"/>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(Incorporated by reference to Exhibit 10.1 to Amendment No. 1 to the Issuer’s Registration Statement on Form 8-A (SEC File No. 001-39438), filed with the Securities and Exchange Commission on February 5, 2021).</w:t>
      </w:r>
    </w:p>
    <w:p>
      <w:pPr>
        <w:spacing w:after="0" w:line="134" w:lineRule="exact"/>
        <w:rPr>
          <w:rFonts w:ascii="Times New Roman" w:cs="Times New Roman" w:eastAsia="Times New Roman" w:hAnsi="Times New Roman"/>
          <w:sz w:val="18"/>
          <w:szCs w:val="18"/>
          <w:color w:val="auto"/>
        </w:rPr>
      </w:pPr>
    </w:p>
    <w:p>
      <w:pPr>
        <w:ind w:left="1460" w:right="200" w:hanging="1344"/>
        <w:spacing w:after="0" w:line="282" w:lineRule="auto"/>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Agreement (Incorporated by reference to Exhibit 10.2 to the Issuer’s Current Report on Form 8-K (SEC File No. 001-39438), filed with the Securities and Exchange Commission on February 11, 2021).</w:t>
      </w:r>
    </w:p>
    <w:p>
      <w:pPr>
        <w:spacing w:after="0" w:line="134" w:lineRule="exact"/>
        <w:rPr>
          <w:rFonts w:ascii="Times New Roman" w:cs="Times New Roman" w:eastAsia="Times New Roman" w:hAnsi="Times New Roman"/>
          <w:sz w:val="18"/>
          <w:szCs w:val="18"/>
          <w:color w:val="auto"/>
        </w:rPr>
      </w:pPr>
    </w:p>
    <w:p>
      <w:pPr>
        <w:ind w:left="1460" w:right="440" w:hanging="1344"/>
        <w:spacing w:after="0" w:line="282" w:lineRule="auto"/>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Lockup Agreement (Incorporated by reference to Exhibit 10.3 to the Issuer’s Current Report on Form 8-K (SEC File No. 001-39438),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22, 2021</w:t>
            </w:r>
          </w:p>
        </w:tc>
        <w:tc>
          <w:tcPr>
            <w:tcW w:w="73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ORBIMED ADVISORS LLC</w:t>
            </w:r>
          </w:p>
        </w:tc>
        <w:tc>
          <w:tcPr>
            <w:tcW w:w="0" w:type="dxa"/>
            <w:vAlign w:val="bottom"/>
          </w:tcPr>
          <w:p>
            <w:pPr>
              <w:spacing w:after="0"/>
              <w:rPr>
                <w:sz w:val="1"/>
                <w:szCs w:val="1"/>
                <w:color w:val="auto"/>
              </w:rPr>
            </w:pPr>
          </w:p>
        </w:tc>
      </w:tr>
      <w:tr>
        <w:trPr>
          <w:trHeight w:val="729"/>
        </w:trPr>
        <w:tc>
          <w:tcPr>
            <w:tcW w:w="3860" w:type="dxa"/>
            <w:vAlign w:val="bottom"/>
          </w:tcPr>
          <w:p>
            <w:pPr>
              <w:spacing w:after="0"/>
              <w:rPr>
                <w:sz w:val="24"/>
                <w:szCs w:val="24"/>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4"/>
                <w:szCs w:val="24"/>
                <w:color w:val="auto"/>
              </w:rPr>
            </w:pPr>
          </w:p>
        </w:tc>
        <w:tc>
          <w:tcPr>
            <w:tcW w:w="73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ORBIMED CAPITAL GP VI LLC</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4"/>
                <w:szCs w:val="24"/>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4"/>
                <w:szCs w:val="24"/>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c>
          <w:tcPr>
            <w:tcW w:w="0" w:type="dxa"/>
            <w:vAlign w:val="bottom"/>
          </w:tcPr>
          <w:p>
            <w:pPr>
              <w:spacing w:after="0"/>
              <w:rPr>
                <w:sz w:val="1"/>
                <w:szCs w:val="1"/>
                <w:color w:val="auto"/>
              </w:rPr>
            </w:pPr>
          </w:p>
        </w:tc>
      </w:tr>
      <w:tr>
        <w:trPr>
          <w:trHeight w:val="3152"/>
        </w:trPr>
        <w:tc>
          <w:tcPr>
            <w:tcW w:w="38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0" w:lineRule="exact"/>
        <w:rPr>
          <w:sz w:val="20"/>
          <w:szCs w:val="20"/>
          <w:color w:val="auto"/>
        </w:rPr>
      </w:pPr>
    </w:p>
    <w:p>
      <w:pPr>
        <w:spacing w:after="0" w:line="245" w:lineRule="exact"/>
        <w:rPr>
          <w:sz w:val="20"/>
          <w:szCs w:val="20"/>
          <w:color w:val="auto"/>
        </w:rPr>
      </w:pPr>
    </w:p>
    <w:p>
      <w:pPr>
        <w:jc w:val="both"/>
        <w:ind w:left="80" w:right="340" w:firstLine="583"/>
        <w:spacing w:after="0" w:line="281" w:lineRule="auto"/>
        <w:rPr>
          <w:sz w:val="20"/>
          <w:szCs w:val="20"/>
          <w:color w:val="auto"/>
        </w:rPr>
      </w:pPr>
      <w:r>
        <w:rPr>
          <w:rFonts w:ascii="Times New Roman" w:cs="Times New Roman" w:eastAsia="Times New Roman" w:hAnsi="Times New Roman"/>
          <w:sz w:val="18"/>
          <w:szCs w:val="18"/>
          <w:color w:val="auto"/>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New York, NY 10022.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Reporting Person</w:t>
            </w:r>
          </w:p>
        </w:tc>
        <w:tc>
          <w:tcPr>
            <w:tcW w:w="136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Occupation</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Carl L. Gordon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Sven H. Borho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 and Swedish Citizen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Jonathan T. Silverstein</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 Carter Neild</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Geoffrey C. Hsu</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Scotland Stevens</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P. Bonita</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Trey Block</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1856"/>
        </w:trPr>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Capital GP VI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4871720</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820"/>
          </w:cols>
          <w:pgMar w:left="400" w:top="576" w:right="679" w:bottom="1440" w:gutter="0" w:footer="0" w:header="0"/>
        </w:sectPr>
      </w:pPr>
    </w:p>
    <w:bookmarkStart w:id="11" w:name="page12"/>
    <w:bookmarkEnd w:id="1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328295</wp:posOffset>
            </wp:positionV>
            <wp:extent cx="7132320" cy="1714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
        <w:spacing w:after="0"/>
        <w:tabs>
          <w:tab w:leader="none" w:pos="1324"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344" w:hanging="1344"/>
        <w:spacing w:after="0"/>
        <w:tabs>
          <w:tab w:leader="none" w:pos="13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and OrbiMed Capital GP VI LLC.</w:t>
      </w:r>
    </w:p>
    <w:p>
      <w:pPr>
        <w:spacing w:after="0" w:line="198" w:lineRule="exact"/>
        <w:rPr>
          <w:rFonts w:ascii="Times New Roman" w:cs="Times New Roman" w:eastAsia="Times New Roman" w:hAnsi="Times New Roman"/>
          <w:sz w:val="18"/>
          <w:szCs w:val="18"/>
          <w:color w:val="auto"/>
        </w:rPr>
      </w:pPr>
    </w:p>
    <w:p>
      <w:pPr>
        <w:ind w:left="1344" w:hanging="1344"/>
        <w:spacing w:after="0" w:line="282" w:lineRule="auto"/>
        <w:tabs>
          <w:tab w:leader="none" w:pos="13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(Incorporated by reference to Exhibit 10.1 to Amendment No. 1 to the Issuer’s Registration Statement on Form 8-A (SEC File No. 001-39438), filed with the Securities and Exchange Commission on February 5, 2021).</w:t>
      </w:r>
    </w:p>
    <w:p>
      <w:pPr>
        <w:spacing w:after="0" w:line="134" w:lineRule="exact"/>
        <w:rPr>
          <w:rFonts w:ascii="Times New Roman" w:cs="Times New Roman" w:eastAsia="Times New Roman" w:hAnsi="Times New Roman"/>
          <w:sz w:val="18"/>
          <w:szCs w:val="18"/>
          <w:color w:val="auto"/>
        </w:rPr>
      </w:pPr>
    </w:p>
    <w:p>
      <w:pPr>
        <w:ind w:left="1344" w:right="60" w:hanging="1344"/>
        <w:spacing w:after="0" w:line="282" w:lineRule="auto"/>
        <w:tabs>
          <w:tab w:leader="none" w:pos="13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Agreement (Incorporated by reference to Exhibit 10.2 to the Issuer’s Current Report on Form 8-K (SEC File No. 001-39438), filed with the Securities and Exchange Commission on February 11, 2021).</w:t>
      </w:r>
    </w:p>
    <w:p>
      <w:pPr>
        <w:spacing w:after="0" w:line="134" w:lineRule="exact"/>
        <w:rPr>
          <w:rFonts w:ascii="Times New Roman" w:cs="Times New Roman" w:eastAsia="Times New Roman" w:hAnsi="Times New Roman"/>
          <w:sz w:val="18"/>
          <w:szCs w:val="18"/>
          <w:color w:val="auto"/>
        </w:rPr>
      </w:pPr>
    </w:p>
    <w:p>
      <w:pPr>
        <w:ind w:left="1344" w:right="300" w:hanging="1344"/>
        <w:spacing w:after="0" w:line="282" w:lineRule="auto"/>
        <w:tabs>
          <w:tab w:leader="none" w:pos="13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Lockup Agreement (Incorporated by reference to Exhibit 10.3 to the Issuer’s Current Report on Form 8-K (SEC File No. 001-39438), filed with the Securities and Exchange Commission on 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1331595</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984"/>
          </w:cols>
          <w:pgMar w:left="436" w:top="576" w:right="47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jc w:val="both"/>
        <w:ind w:firstLine="706"/>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13D, dated February 22, 2021, with respect to the common shares of Gemini Therapeutics,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22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February 2021.</w:t>
      </w:r>
    </w:p>
    <w:p>
      <w:pPr>
        <w:spacing w:after="0" w:line="3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42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c>
          <w:tcPr>
            <w:tcW w:w="0" w:type="dxa"/>
            <w:vAlign w:val="bottom"/>
          </w:tcPr>
          <w:p>
            <w:pPr>
              <w:spacing w:after="0"/>
              <w:rPr>
                <w:sz w:val="1"/>
                <w:szCs w:val="1"/>
                <w:color w:val="auto"/>
              </w:rPr>
            </w:pPr>
          </w:p>
        </w:tc>
      </w:tr>
      <w:tr>
        <w:trPr>
          <w:trHeight w:val="486"/>
        </w:trPr>
        <w:tc>
          <w:tcPr>
            <w:tcW w:w="11240" w:type="dxa"/>
            <w:vAlign w:val="bottom"/>
            <w:gridSpan w:val="3"/>
          </w:tcPr>
          <w:p>
            <w:pPr>
              <w:ind w:left="5860"/>
              <w:spacing w:after="0"/>
              <w:rPr>
                <w:sz w:val="20"/>
                <w:szCs w:val="20"/>
                <w:color w:val="auto"/>
              </w:rPr>
            </w:pPr>
            <w:r>
              <w:rPr>
                <w:rFonts w:ascii="Times New Roman" w:cs="Times New Roman" w:eastAsia="Times New Roman" w:hAnsi="Times New Roman"/>
                <w:sz w:val="18"/>
                <w:szCs w:val="18"/>
                <w:color w:val="auto"/>
              </w:rPr>
              <w:t>ORBIMED CAPITAL GP VI LLC</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642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42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c>
          <w:tcPr>
            <w:tcW w:w="0" w:type="dxa"/>
            <w:vAlign w:val="bottom"/>
          </w:tcPr>
          <w:p>
            <w:pPr>
              <w:spacing w:after="0"/>
              <w:rPr>
                <w:sz w:val="1"/>
                <w:szCs w:val="1"/>
                <w:color w:val="auto"/>
              </w:rPr>
            </w:pPr>
          </w:p>
        </w:tc>
      </w:tr>
      <w:tr>
        <w:trPr>
          <w:trHeight w:val="2316"/>
        </w:trPr>
        <w:tc>
          <w:tcPr>
            <w:tcW w:w="64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lvl w:ilvl="1">
      <w:lvlJc w:val="left"/>
      <w:lvlText w:val="(%2)"/>
      <w:numFmt w:val="lowerLetter"/>
      <w:start w:val="2"/>
    </w:lvl>
  </w:abstractNum>
  <w:abstractNum w:abstractNumId="4">
    <w:nsid w:val="79E2A9E3"/>
    <w:multiLevelType w:val="hybridMultilevel"/>
    <w:lvl w:ilvl="0">
      <w:lvlJc w:val="left"/>
      <w:lvlText w:val="(%1)"/>
      <w:numFmt w:val="lowerRoman"/>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2021-02-22T14:49:26Z</dcterms:created>
  <dcterms:modified xsi:type="dcterms:W3CDTF">2021-02-22T14:49:26Z</dcterms:modified>
</cp:coreProperties>
</file>