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61595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560" w:hanging="552"/>
        <w:spacing w:after="0" w:line="180" w:lineRule="auto"/>
        <w:tabs>
          <w:tab w:leader="none" w:pos="560" w:val="left"/>
        </w:tabs>
        <w:numPr>
          <w:ilvl w:val="0"/>
          <w:numId w:val="1"/>
        </w:numPr>
        <w:rPr>
          <w:rFonts w:ascii="MS PGothic" w:cs="MS PGothic" w:eastAsia="MS PGothic" w:hAnsi="MS PGothic"/>
          <w:sz w:val="39"/>
          <w:szCs w:val="39"/>
          <w:color w:val="auto"/>
          <w:highlight w:val="black"/>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ind w:left="580" w:hanging="572"/>
        <w:spacing w:after="0" w:line="180" w:lineRule="auto"/>
        <w:tabs>
          <w:tab w:leader="none" w:pos="580" w:val="left"/>
        </w:tabs>
        <w:numPr>
          <w:ilvl w:val="0"/>
          <w:numId w:val="2"/>
        </w:numPr>
        <w:rPr>
          <w:rFonts w:ascii="MS PGothic" w:cs="MS PGothic" w:eastAsia="MS PGothic" w:hAnsi="MS PGothic"/>
          <w:sz w:val="36"/>
          <w:szCs w:val="36"/>
          <w:color w:val="auto"/>
          <w:highlight w:val="black"/>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75"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For the transition period from _____________________ to _____________________</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001-39438</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GEMINI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-269875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7" w:lineRule="exact"/>
        <w:rPr>
          <w:sz w:val="24"/>
          <w:szCs w:val="24"/>
          <w:color w:val="auto"/>
        </w:rPr>
      </w:pPr>
    </w:p>
    <w:tbl>
      <w:tblPr>
        <w:tblLayout w:type="fixed"/>
        <w:tblInd w:w="1480" w:type="dxa"/>
        <w:tblCellMar>
          <w:top w:w="0" w:type="dxa"/>
          <w:left w:w="0" w:type="dxa"/>
          <w:bottom w:w="0" w:type="dxa"/>
          <w:right w:w="0" w:type="dxa"/>
        </w:tblCellMar>
      </w:tblPr>
      <w:tr>
        <w:trPr>
          <w:trHeight w:val="211"/>
        </w:trPr>
        <w:tc>
          <w:tcPr>
            <w:tcW w:w="3020" w:type="dxa"/>
            <w:vAlign w:val="bottom"/>
          </w:tcPr>
          <w:p>
            <w:pPr>
              <w:jc w:val="center"/>
              <w:ind w:right="264"/>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85-1612845</w:t>
            </w:r>
          </w:p>
        </w:tc>
      </w:tr>
      <w:tr>
        <w:trPr>
          <w:trHeight w:val="135"/>
        </w:trPr>
        <w:tc>
          <w:tcPr>
            <w:tcW w:w="3020" w:type="dxa"/>
            <w:vAlign w:val="bottom"/>
          </w:tcPr>
          <w:p>
            <w:pPr>
              <w:jc w:val="center"/>
              <w:ind w:right="264"/>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2240" w:type="dxa"/>
            <w:vAlign w:val="bottom"/>
          </w:tcPr>
          <w:p>
            <w:pPr>
              <w:spacing w:after="0"/>
              <w:rPr>
                <w:sz w:val="11"/>
                <w:szCs w:val="11"/>
                <w:color w:val="auto"/>
              </w:rPr>
            </w:pPr>
          </w:p>
        </w:tc>
        <w:tc>
          <w:tcPr>
            <w:tcW w:w="2180" w:type="dxa"/>
            <w:vAlign w:val="bottom"/>
          </w:tcPr>
          <w:p>
            <w:pPr>
              <w:jc w:val="center"/>
              <w:ind w:left="113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3020" w:type="dxa"/>
            <w:vAlign w:val="bottom"/>
          </w:tcPr>
          <w:p>
            <w:pPr>
              <w:jc w:val="center"/>
              <w:ind w:right="26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240" w:type="dxa"/>
            <w:vAlign w:val="bottom"/>
          </w:tcPr>
          <w:p>
            <w:pPr>
              <w:spacing w:after="0"/>
              <w:rPr>
                <w:sz w:val="11"/>
                <w:szCs w:val="11"/>
                <w:color w:val="auto"/>
              </w:rPr>
            </w:pPr>
          </w:p>
        </w:tc>
        <w:tc>
          <w:tcPr>
            <w:tcW w:w="2180" w:type="dxa"/>
            <w:vAlign w:val="bottom"/>
          </w:tcPr>
          <w:p>
            <w:pPr>
              <w:jc w:val="center"/>
              <w:ind w:left="1130"/>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3020" w:type="dxa"/>
            <w:vAlign w:val="bottom"/>
          </w:tcPr>
          <w:p>
            <w:pPr>
              <w:jc w:val="center"/>
              <w:ind w:right="264"/>
              <w:spacing w:after="0"/>
              <w:rPr>
                <w:sz w:val="20"/>
                <w:szCs w:val="20"/>
                <w:color w:val="auto"/>
              </w:rPr>
            </w:pPr>
            <w:r>
              <w:rPr>
                <w:rFonts w:ascii="Arial" w:cs="Arial" w:eastAsia="Arial" w:hAnsi="Arial"/>
                <w:sz w:val="18"/>
                <w:szCs w:val="18"/>
                <w:b w:val="1"/>
                <w:bCs w:val="1"/>
                <w:color w:val="auto"/>
                <w:w w:val="92"/>
              </w:rPr>
              <w:t>300 One Kendall Square, 3</w:t>
            </w:r>
            <w:r>
              <w:rPr>
                <w:rFonts w:ascii="Arial" w:cs="Arial" w:eastAsia="Arial" w:hAnsi="Arial"/>
                <w:sz w:val="15"/>
                <w:szCs w:val="15"/>
                <w:b w:val="1"/>
                <w:bCs w:val="1"/>
                <w:color w:val="auto"/>
                <w:w w:val="92"/>
              </w:rPr>
              <w:t>rd</w:t>
            </w:r>
            <w:r>
              <w:rPr>
                <w:rFonts w:ascii="Arial" w:cs="Arial" w:eastAsia="Arial" w:hAnsi="Arial"/>
                <w:sz w:val="18"/>
                <w:szCs w:val="18"/>
                <w:b w:val="1"/>
                <w:bCs w:val="1"/>
                <w:color w:val="auto"/>
                <w:w w:val="92"/>
              </w:rPr>
              <w:t xml:space="preserve"> Floor</w:t>
            </w:r>
          </w:p>
        </w:tc>
        <w:tc>
          <w:tcPr>
            <w:tcW w:w="22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020" w:type="dxa"/>
            <w:vAlign w:val="bottom"/>
          </w:tcPr>
          <w:p>
            <w:pPr>
              <w:jc w:val="center"/>
              <w:ind w:right="284"/>
              <w:spacing w:after="0"/>
              <w:rPr>
                <w:sz w:val="20"/>
                <w:szCs w:val="20"/>
                <w:color w:val="auto"/>
              </w:rPr>
            </w:pPr>
            <w:r>
              <w:rPr>
                <w:rFonts w:ascii="Arial" w:cs="Arial" w:eastAsia="Arial" w:hAnsi="Arial"/>
                <w:sz w:val="18"/>
                <w:szCs w:val="18"/>
                <w:b w:val="1"/>
                <w:bCs w:val="1"/>
                <w:color w:val="auto"/>
                <w:w w:val="95"/>
              </w:rPr>
              <w:t>Cambridge, MA</w:t>
            </w:r>
          </w:p>
        </w:tc>
        <w:tc>
          <w:tcPr>
            <w:tcW w:w="44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02139</w:t>
            </w:r>
          </w:p>
        </w:tc>
      </w:tr>
      <w:tr>
        <w:trPr>
          <w:trHeight w:val="164"/>
        </w:trPr>
        <w:tc>
          <w:tcPr>
            <w:tcW w:w="3020" w:type="dxa"/>
            <w:vAlign w:val="bottom"/>
          </w:tcPr>
          <w:p>
            <w:pPr>
              <w:jc w:val="center"/>
              <w:ind w:right="2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240" w:type="dxa"/>
            <w:vAlign w:val="bottom"/>
          </w:tcPr>
          <w:p>
            <w:pPr>
              <w:spacing w:after="0"/>
              <w:rPr>
                <w:sz w:val="14"/>
                <w:szCs w:val="14"/>
                <w:color w:val="auto"/>
              </w:rPr>
            </w:pPr>
          </w:p>
        </w:tc>
        <w:tc>
          <w:tcPr>
            <w:tcW w:w="2180" w:type="dxa"/>
            <w:vAlign w:val="bottom"/>
          </w:tcPr>
          <w:p>
            <w:pPr>
              <w:jc w:val="center"/>
              <w:ind w:left="1130"/>
              <w:spacing w:after="0"/>
              <w:rPr>
                <w:sz w:val="20"/>
                <w:szCs w:val="20"/>
                <w:color w:val="auto"/>
              </w:rPr>
            </w:pPr>
            <w:r>
              <w:rPr>
                <w:rFonts w:ascii="Arial" w:cs="Arial" w:eastAsia="Arial" w:hAnsi="Arial"/>
                <w:sz w:val="13"/>
                <w:szCs w:val="13"/>
                <w:b w:val="1"/>
                <w:bCs w:val="1"/>
                <w:color w:val="auto"/>
                <w:w w:val="90"/>
              </w:rPr>
              <w:t>(Zip Code)</w:t>
            </w:r>
          </w:p>
        </w:tc>
      </w:tr>
    </w:tbl>
    <w:p>
      <w:pPr>
        <w:spacing w:after="0" w:line="79"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(617) 401-4400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Common stock, par value $0.0001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GMTX</w:t>
            </w:r>
          </w:p>
        </w:tc>
        <w:tc>
          <w:tcPr>
            <w:tcW w:w="12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The Nasdaq Global Market</w:t>
            </w:r>
          </w:p>
        </w:tc>
        <w:tc>
          <w:tcPr>
            <w:tcW w:w="0" w:type="dxa"/>
            <w:vAlign w:val="bottom"/>
          </w:tcPr>
          <w:p>
            <w:pPr>
              <w:spacing w:after="0"/>
              <w:rPr>
                <w:sz w:val="1"/>
                <w:szCs w:val="1"/>
                <w:color w:val="auto"/>
              </w:rPr>
            </w:pPr>
          </w:p>
        </w:tc>
      </w:tr>
    </w:tbl>
    <w:p>
      <w:pPr>
        <w:spacing w:after="0" w:line="94"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96"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47" w:lineRule="exact"/>
        <w:rPr>
          <w:sz w:val="24"/>
          <w:szCs w:val="24"/>
          <w:color w:val="auto"/>
        </w:rPr>
      </w:pPr>
    </w:p>
    <w:p>
      <w:pPr>
        <w:ind w:right="180" w:firstLine="510"/>
        <w:spacing w:after="0" w:line="223"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5"/>
          <w:szCs w:val="15"/>
          <w:color w:val="auto"/>
        </w:rPr>
        <w:t>☐</w:t>
      </w:r>
    </w:p>
    <w:p>
      <w:pPr>
        <w:spacing w:after="0" w:line="12" w:lineRule="exact"/>
        <w:rPr>
          <w:sz w:val="24"/>
          <w:szCs w:val="24"/>
          <w:color w:val="auto"/>
        </w:rPr>
      </w:pPr>
    </w:p>
    <w:p>
      <w:pPr>
        <w:jc w:val="both"/>
        <w:ind w:right="30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5240" w:type="dxa"/>
            <w:vAlign w:val="bottom"/>
          </w:tcPr>
          <w:p>
            <w:pPr>
              <w:ind w:left="312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0" w:lineRule="exact"/>
        <w:rPr>
          <w:sz w:val="24"/>
          <w:szCs w:val="24"/>
          <w:color w:val="auto"/>
        </w:rPr>
      </w:pPr>
    </w:p>
    <w:p>
      <w:pPr>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right="2120"/>
        <w:spacing w:after="0" w:line="23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As of August 10, 2021, the registrant had 43,109,472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some cases, you can identify forward-looking statements by terms such as “anticipate,” “believe,” “contemplate,” “continue,” “could,” “estimate,” “expect,” “intends,” “may,” “might,” “plan,” “possible,” “potential,” “predict,” “project,” “seek,” “should,” “target,” “will,” “would” or the negative of these terms or similar expressions, but the absence of these words does not mean that a statement is not forward-looking.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results of operations, business strategy, short- and long-term business operations and objectives, and financial needs.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referenced in the section titled “Risk Factors” and elsewhere in this Quarterly Report on Form 10-Q.</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forward-looking statements are made only as of the date of this Quarterly Report on Form 10-Q. 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Quarterly Report on Form 10-Q to conform these statements to actual results or to changes in our expectations.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in this Quarterly Report on Form 10-Q include, but are not limited to, statements about:</w:t>
      </w:r>
    </w:p>
    <w:p>
      <w:pPr>
        <w:spacing w:after="0" w:line="117" w:lineRule="exact"/>
        <w:rPr>
          <w:sz w:val="20"/>
          <w:szCs w:val="20"/>
          <w:color w:val="auto"/>
        </w:rPr>
      </w:pPr>
    </w:p>
    <w:p>
      <w:pPr>
        <w:ind w:left="7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acceptable safety and efficacy of our product candidates, including GEM103, our lead product candidate, and other positive results;</w:t>
      </w:r>
    </w:p>
    <w:p>
      <w:pPr>
        <w:spacing w:after="0" w:line="48"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progress and results of clinical trials for GEM103 and our other product candidates, including statements regarding the timing of initiation and completion of studies or trials and related preparatory work,</w:t>
      </w:r>
    </w:p>
    <w:p>
      <w:pPr>
        <w:spacing w:after="0" w:line="48"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period during which the results of the trials will become available, and our research and development programs;</w:t>
      </w:r>
    </w:p>
    <w:p>
      <w:pPr>
        <w:spacing w:after="0" w:line="10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w:t>
      </w:r>
    </w:p>
    <w:p>
      <w:pPr>
        <w:spacing w:after="0" w:line="103"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marketing approvals of our product candidates and to meet existing or future regulatory standards or comply with post-approval requirements;</w:t>
      </w:r>
    </w:p>
    <w:p>
      <w:pPr>
        <w:spacing w:after="0" w:line="48"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48"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0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expectations regarding our ability to obtain and maintain intellectual property protection;</w:t>
      </w:r>
    </w:p>
    <w:p>
      <w:pPr>
        <w:spacing w:after="0" w:line="103" w:lineRule="exact"/>
        <w:rPr>
          <w:rFonts w:ascii="Arial" w:cs="Arial" w:eastAsia="Arial" w:hAnsi="Arial"/>
          <w:sz w:val="18"/>
          <w:szCs w:val="18"/>
          <w:color w:val="auto"/>
        </w:rPr>
      </w:pPr>
    </w:p>
    <w:p>
      <w:pPr>
        <w:ind w:left="740" w:right="2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product candidates or technologies with significant commercial potential that are consistent with our commercial objectives;</w:t>
      </w:r>
    </w:p>
    <w:p>
      <w:pPr>
        <w:spacing w:after="0" w:line="48"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103"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position and expectations regarding developments and projections relating to our competitors and any competing therapies that are or become available;</w:t>
      </w:r>
    </w:p>
    <w:p>
      <w:pPr>
        <w:spacing w:after="0" w:line="48"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expectations regarding developments and projections relating to our competitors and industry;</w:t>
      </w:r>
    </w:p>
    <w:p>
      <w:pPr>
        <w:spacing w:after="0" w:line="10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be adversely impacted by other economic, business, and/or competitive factors;</w:t>
      </w:r>
    </w:p>
    <w:p>
      <w:pPr>
        <w:spacing w:after="0" w:line="10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exchange and interest rates;</w:t>
      </w:r>
    </w:p>
    <w:p>
      <w:pPr>
        <w:spacing w:after="0" w:line="10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and rely on third parties to assist in conducting our clinical trials and manufacturing our product candidate;</w:t>
      </w:r>
    </w:p>
    <w:p>
      <w:pPr>
        <w:spacing w:after="0" w:line="10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medical, commercial or management personnel;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ind w:left="368" w:hanging="368"/>
        <w:spacing w:after="0"/>
        <w:tabs>
          <w:tab w:leader="none" w:pos="368"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estimates regarding expenses, future revenue, capital requirements and needs for additional financing;</w:t>
      </w:r>
    </w:p>
    <w:p>
      <w:pPr>
        <w:spacing w:after="0" w:line="126" w:lineRule="exact"/>
        <w:rPr>
          <w:rFonts w:ascii="Arial" w:cs="Arial" w:eastAsia="Arial" w:hAnsi="Arial"/>
          <w:sz w:val="16"/>
          <w:szCs w:val="16"/>
          <w:color w:val="auto"/>
        </w:rPr>
      </w:pPr>
    </w:p>
    <w:p>
      <w:pPr>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03" w:lineRule="exact"/>
        <w:rPr>
          <w:rFonts w:ascii="Arial" w:cs="Arial" w:eastAsia="Arial" w:hAnsi="Arial"/>
          <w:sz w:val="18"/>
          <w:szCs w:val="18"/>
          <w:color w:val="auto"/>
        </w:rPr>
      </w:pPr>
    </w:p>
    <w:p>
      <w:pPr>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cash runway;</w:t>
      </w:r>
    </w:p>
    <w:p>
      <w:pPr>
        <w:spacing w:after="0" w:line="103" w:lineRule="exact"/>
        <w:rPr>
          <w:rFonts w:ascii="Arial" w:cs="Arial" w:eastAsia="Arial" w:hAnsi="Arial"/>
          <w:sz w:val="18"/>
          <w:szCs w:val="18"/>
          <w:color w:val="auto"/>
        </w:rPr>
      </w:pPr>
    </w:p>
    <w:p>
      <w:pPr>
        <w:ind w:left="368" w:hanging="368"/>
        <w:spacing w:after="0"/>
        <w:tabs>
          <w:tab w:leader="none" w:pos="36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to recognize the anticipated benefits of the Business Combination (as defined herein); and</w:t>
      </w:r>
    </w:p>
    <w:p>
      <w:pPr>
        <w:spacing w:after="0" w:line="115" w:lineRule="exact"/>
        <w:rPr>
          <w:rFonts w:ascii="Arial" w:cs="Arial" w:eastAsia="Arial" w:hAnsi="Arial"/>
          <w:sz w:val="17"/>
          <w:szCs w:val="17"/>
          <w:color w:val="auto"/>
        </w:rPr>
      </w:pPr>
    </w:p>
    <w:p>
      <w:pPr>
        <w:ind w:left="368" w:hanging="368"/>
        <w:spacing w:after="0"/>
        <w:tabs>
          <w:tab w:leader="none" w:pos="36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of the COVID-19 pandemic on the foregoing.</w:t>
      </w:r>
    </w:p>
    <w:p>
      <w:pPr>
        <w:spacing w:after="0" w:line="200" w:lineRule="exact"/>
        <w:rPr>
          <w:sz w:val="20"/>
          <w:szCs w:val="20"/>
          <w:color w:val="auto"/>
        </w:rPr>
      </w:pPr>
    </w:p>
    <w:p>
      <w:pPr>
        <w:spacing w:after="0" w:line="241" w:lineRule="exact"/>
        <w:rPr>
          <w:sz w:val="20"/>
          <w:szCs w:val="20"/>
          <w:color w:val="auto"/>
        </w:rPr>
      </w:pPr>
    </w:p>
    <w:p>
      <w:pPr>
        <w:ind w:left="5208"/>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67"/>
          </w:cols>
          <w:pgMar w:left="692" w:top="679"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8"/>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18"/>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6880" w:type="dxa"/>
            <w:vAlign w:val="bottom"/>
            <w:gridSpan w:val="9"/>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5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Operations and Comprehensive Loss</w:t>
              </w:r>
            </w:hyperlink>
          </w:p>
        </w:tc>
        <w:tc>
          <w:tcPr>
            <w:tcW w:w="378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6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Stockholders’ Equity (Deficit)</w:t>
              </w:r>
            </w:hyperlink>
          </w:p>
        </w:tc>
        <w:tc>
          <w:tcPr>
            <w:tcW w:w="42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Unaudited Condensed Consolidated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Quantitative and Qualitative Disclosures About Market Risk</w:t>
              </w:r>
            </w:hyperlink>
          </w:p>
        </w:tc>
        <w:tc>
          <w:tcPr>
            <w:tcW w:w="49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OTHER INFORMATION</w:t>
              </w:r>
            </w:hyperlink>
          </w:p>
        </w:tc>
        <w:tc>
          <w:tcPr>
            <w:tcW w:w="742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798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18"/>
                <w:szCs w:val="18"/>
                <w:color w:val="auto"/>
              </w:rPr>
            </w:pPr>
          </w:p>
        </w:tc>
        <w:tc>
          <w:tcPr>
            <w:tcW w:w="496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754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800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167,477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171,311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offering costs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172,422</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Term loan, current portion</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Convertible notes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Term loan, net of current portion and discount</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2,889</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14,740</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$0.0001 par value; 10,000,000 shares authorized; no shares issued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outstanding as of June 30, 2021 and December 31, 2020</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Common stock, $0.0001 par value; 250,000,000 shares authorized; 43,055,112 and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tcPr>
          <w:p>
            <w:pPr>
              <w:ind w:left="380"/>
              <w:spacing w:after="0"/>
              <w:rPr>
                <w:sz w:val="20"/>
                <w:szCs w:val="20"/>
                <w:color w:val="auto"/>
              </w:rPr>
            </w:pPr>
            <w:r>
              <w:rPr>
                <w:rFonts w:ascii="Arial" w:cs="Arial" w:eastAsia="Arial" w:hAnsi="Arial"/>
                <w:sz w:val="18"/>
                <w:szCs w:val="18"/>
                <w:color w:val="auto"/>
              </w:rPr>
              <w:t>15,565,380 shares issued and outstanding as of June 30, 2021 and December 31,</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2020,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305,994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90,958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(148,316)</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(112,821)</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stockholders' equity (deficit)</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157,682</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(21,861)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 (deficit)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172,422</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9560" w:type="dxa"/>
            <w:vAlign w:val="bottom"/>
            <w:gridSpan w:val="4"/>
          </w:tcPr>
          <w:p>
            <w:pPr>
              <w:ind w:left="30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7720" w:type="dxa"/>
            <w:vAlign w:val="bottom"/>
          </w:tcPr>
          <w:p>
            <w:pPr>
              <w:ind w:left="55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10,842</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5,528</w:t>
            </w:r>
          </w:p>
        </w:tc>
        <w:tc>
          <w:tcPr>
            <w:tcW w:w="140" w:type="dxa"/>
            <w:vAlign w:val="bottom"/>
          </w:tcPr>
          <w:p>
            <w:pPr>
              <w:spacing w:after="0"/>
              <w:rPr>
                <w:sz w:val="19"/>
                <w:szCs w:val="19"/>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22,628</w:t>
            </w:r>
          </w:p>
        </w:tc>
        <w:tc>
          <w:tcPr>
            <w:tcW w:w="2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13,745</w:t>
            </w: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5,478</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10,182</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32,810</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16,297</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(16,297)</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(1,969)</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(260)</w:t>
            </w: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r>
      <w:tr>
        <w:trPr>
          <w:trHeight w:val="230"/>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conversion of convertible notes</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(711)</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2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6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(16,447)</w:t>
            </w:r>
          </w:p>
        </w:tc>
        <w:tc>
          <w:tcPr>
            <w:tcW w:w="2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(6,773)</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(35,495)</w:t>
            </w:r>
          </w:p>
        </w:tc>
        <w:tc>
          <w:tcPr>
            <w:tcW w:w="26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(16,519)</w:t>
            </w:r>
          </w:p>
        </w:tc>
        <w:tc>
          <w:tcPr>
            <w:tcW w:w="120" w:type="dxa"/>
            <w:vAlign w:val="bottom"/>
            <w:tcBorders>
              <w:bottom w:val="single" w:sz="8" w:color="CFF0FC"/>
            </w:tcBorders>
          </w:tcPr>
          <w:p>
            <w:pPr>
              <w:spacing w:after="0"/>
              <w:rPr>
                <w:sz w:val="22"/>
                <w:szCs w:val="22"/>
                <w:color w:val="auto"/>
              </w:rPr>
            </w:pPr>
          </w:p>
        </w:tc>
      </w:tr>
      <w:tr>
        <w:trPr>
          <w:trHeight w:val="210"/>
        </w:trPr>
        <w:tc>
          <w:tcPr>
            <w:tcW w:w="5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(16,447)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(6,773)</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(35,495)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(16,519)</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w w:val="99"/>
              </w:rPr>
              <w:t>Net loss per share attributable to common stockholders, basic and diluted</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(0.38)</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(0.44)</w:t>
            </w:r>
          </w:p>
        </w:tc>
        <w:tc>
          <w:tcPr>
            <w:tcW w:w="3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(0.94)</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w:t>
            </w: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43,041,856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15,266,222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37,564,936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14,881,097</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tcPr>
          <w:p>
            <w:pPr>
              <w:jc w:val="center"/>
              <w:ind w:left="457"/>
              <w:spacing w:after="0"/>
              <w:rPr>
                <w:sz w:val="20"/>
                <w:szCs w:val="20"/>
                <w:color w:val="auto"/>
              </w:rPr>
            </w:pPr>
            <w:r>
              <w:rPr>
                <w:rFonts w:ascii="Arial" w:cs="Arial" w:eastAsia="Arial" w:hAnsi="Arial"/>
                <w:sz w:val="13"/>
                <w:szCs w:val="13"/>
                <w:b w:val="1"/>
                <w:bCs w:val="1"/>
                <w:color w:val="auto"/>
                <w:w w:val="84"/>
              </w:rPr>
              <w:t>Series B</w:t>
            </w:r>
          </w:p>
        </w:tc>
        <w:tc>
          <w:tcPr>
            <w:tcW w:w="5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0" w:type="dxa"/>
            <w:vAlign w:val="bottom"/>
            <w:gridSpan w:val="4"/>
          </w:tcPr>
          <w:p>
            <w:pPr>
              <w:jc w:val="right"/>
              <w:spacing w:after="0" w:line="135" w:lineRule="exact"/>
              <w:rPr>
                <w:sz w:val="20"/>
                <w:szCs w:val="20"/>
                <w:color w:val="auto"/>
              </w:rPr>
            </w:pPr>
            <w:r>
              <w:rPr>
                <w:rFonts w:ascii="Arial" w:cs="Arial" w:eastAsia="Arial" w:hAnsi="Arial"/>
                <w:sz w:val="13"/>
                <w:szCs w:val="13"/>
                <w:b w:val="1"/>
                <w:bCs w:val="1"/>
                <w:color w:val="auto"/>
              </w:rPr>
              <w:t>Series A</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80" w:type="dxa"/>
            <w:vAlign w:val="bottom"/>
            <w:tcBorders>
              <w:right w:val="single" w:sz="8" w:color="auto"/>
            </w:tcBorders>
            <w:gridSpan w:val="5"/>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Convertible Preferred</w:t>
            </w:r>
          </w:p>
        </w:tc>
        <w:tc>
          <w:tcPr>
            <w:tcW w:w="40" w:type="dxa"/>
            <w:vAlign w:val="bottom"/>
          </w:tcPr>
          <w:p>
            <w:pPr>
              <w:spacing w:after="0"/>
              <w:rPr>
                <w:sz w:val="11"/>
                <w:szCs w:val="11"/>
                <w:color w:val="auto"/>
              </w:rPr>
            </w:pPr>
          </w:p>
        </w:tc>
        <w:tc>
          <w:tcPr>
            <w:tcW w:w="1200" w:type="dxa"/>
            <w:vAlign w:val="bottom"/>
            <w:gridSpan w:val="4"/>
          </w:tcPr>
          <w:p>
            <w:pPr>
              <w:jc w:val="right"/>
              <w:ind w:right="117"/>
              <w:spacing w:after="0" w:line="135" w:lineRule="exact"/>
              <w:rPr>
                <w:sz w:val="20"/>
                <w:szCs w:val="20"/>
                <w:color w:val="auto"/>
              </w:rPr>
            </w:pPr>
            <w:r>
              <w:rPr>
                <w:rFonts w:ascii="Arial" w:cs="Arial" w:eastAsia="Arial" w:hAnsi="Arial"/>
                <w:sz w:val="13"/>
                <w:szCs w:val="13"/>
                <w:b w:val="1"/>
                <w:bCs w:val="1"/>
                <w:color w:val="auto"/>
              </w:rPr>
              <w:t>Old Gemini</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200"/>
              <w:spacing w:after="0" w:line="135" w:lineRule="exact"/>
              <w:rPr>
                <w:sz w:val="20"/>
                <w:szCs w:val="20"/>
                <w:color w:val="auto"/>
              </w:rPr>
            </w:pPr>
            <w:r>
              <w:rPr>
                <w:rFonts w:ascii="Arial" w:cs="Arial" w:eastAsia="Arial" w:hAnsi="Arial"/>
                <w:sz w:val="13"/>
                <w:szCs w:val="13"/>
                <w:b w:val="1"/>
                <w:bCs w:val="1"/>
                <w:color w:val="auto"/>
                <w:w w:val="88"/>
              </w:rPr>
              <w:t>Additional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3"/>
        </w:trPr>
        <w:tc>
          <w:tcPr>
            <w:tcW w:w="2000" w:type="dxa"/>
            <w:vAlign w:val="bottom"/>
          </w:tcPr>
          <w:p>
            <w:pPr>
              <w:spacing w:after="0"/>
              <w:rPr>
                <w:sz w:val="13"/>
                <w:szCs w:val="13"/>
                <w:color w:val="auto"/>
              </w:rPr>
            </w:pPr>
          </w:p>
        </w:tc>
        <w:tc>
          <w:tcPr>
            <w:tcW w:w="1740" w:type="dxa"/>
            <w:vAlign w:val="bottom"/>
            <w:gridSpan w:val="6"/>
          </w:tcPr>
          <w:p>
            <w:pPr>
              <w:jc w:val="right"/>
              <w:ind w:right="220"/>
              <w:spacing w:after="0"/>
              <w:rPr>
                <w:sz w:val="20"/>
                <w:szCs w:val="20"/>
                <w:color w:val="auto"/>
              </w:rPr>
            </w:pPr>
            <w:r>
              <w:rPr>
                <w:rFonts w:ascii="Arial" w:cs="Arial" w:eastAsia="Arial" w:hAnsi="Arial"/>
                <w:sz w:val="13"/>
                <w:szCs w:val="13"/>
                <w:b w:val="1"/>
                <w:bCs w:val="1"/>
                <w:color w:val="auto"/>
                <w:w w:val="87"/>
              </w:rPr>
              <w:t>Convertible Preferred Stock</w:t>
            </w:r>
          </w:p>
        </w:tc>
        <w:tc>
          <w:tcPr>
            <w:tcW w:w="960" w:type="dxa"/>
            <w:vAlign w:val="bottom"/>
            <w:gridSpan w:val="3"/>
          </w:tcPr>
          <w:p>
            <w:pPr>
              <w:jc w:val="center"/>
              <w:ind w:left="477"/>
              <w:spacing w:after="0"/>
              <w:rPr>
                <w:sz w:val="20"/>
                <w:szCs w:val="20"/>
                <w:color w:val="auto"/>
              </w:rPr>
            </w:pPr>
            <w:r>
              <w:rPr>
                <w:rFonts w:ascii="Arial" w:cs="Arial" w:eastAsia="Arial" w:hAnsi="Arial"/>
                <w:sz w:val="13"/>
                <w:szCs w:val="13"/>
                <w:b w:val="1"/>
                <w:bCs w:val="1"/>
                <w:color w:val="auto"/>
                <w:w w:val="84"/>
              </w:rPr>
              <w:t>Stock</w:t>
            </w:r>
          </w:p>
        </w:tc>
        <w:tc>
          <w:tcPr>
            <w:tcW w:w="5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4"/>
          </w:tcPr>
          <w:p>
            <w:pPr>
              <w:jc w:val="right"/>
              <w:ind w:right="1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jc w:val="right"/>
              <w:ind w:right="65"/>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paid-in</w:t>
            </w:r>
          </w:p>
        </w:tc>
        <w:tc>
          <w:tcPr>
            <w:tcW w:w="1120" w:type="dxa"/>
            <w:vAlign w:val="bottom"/>
            <w:gridSpan w:val="4"/>
          </w:tcPr>
          <w:p>
            <w:pPr>
              <w:ind w:left="20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6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3"/>
                <w:szCs w:val="13"/>
                <w:b w:val="1"/>
                <w:bCs w:val="1"/>
                <w:color w:val="auto"/>
                <w:w w:val="85"/>
              </w:rPr>
              <w:t>Amount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2"/>
                <w:szCs w:val="12"/>
                <w:color w:val="auto"/>
              </w:rPr>
            </w:pPr>
          </w:p>
        </w:tc>
        <w:tc>
          <w:tcPr>
            <w:tcW w:w="90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7"/>
              <w:spacing w:after="0" w:line="142" w:lineRule="exact"/>
              <w:rPr>
                <w:sz w:val="20"/>
                <w:szCs w:val="20"/>
                <w:color w:val="auto"/>
              </w:rPr>
            </w:pPr>
            <w:r>
              <w:rPr>
                <w:rFonts w:ascii="Arial" w:cs="Arial" w:eastAsia="Arial" w:hAnsi="Arial"/>
                <w:sz w:val="13"/>
                <w:szCs w:val="13"/>
                <w:b w:val="1"/>
                <w:bCs w:val="1"/>
                <w:color w:val="auto"/>
                <w:w w:val="87"/>
              </w:rPr>
              <w:t>capital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400"/>
              <w:spacing w:after="0" w:line="142" w:lineRule="exact"/>
              <w:rPr>
                <w:sz w:val="20"/>
                <w:szCs w:val="20"/>
                <w:color w:val="auto"/>
              </w:rPr>
            </w:pPr>
            <w:r>
              <w:rPr>
                <w:rFonts w:ascii="Arial" w:cs="Arial" w:eastAsia="Arial" w:hAnsi="Arial"/>
                <w:sz w:val="13"/>
                <w:szCs w:val="13"/>
                <w:b w:val="1"/>
                <w:bCs w:val="1"/>
                <w:color w:val="auto"/>
                <w:w w:val="99"/>
              </w:rPr>
              <w:t>deficit</w:t>
            </w: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89"/>
              </w:rPr>
              <w:t>(deficit)</w:t>
            </w:r>
          </w:p>
        </w:tc>
        <w:tc>
          <w:tcPr>
            <w:tcW w:w="0" w:type="dxa"/>
            <w:vAlign w:val="bottom"/>
          </w:tcPr>
          <w:p>
            <w:pPr>
              <w:spacing w:after="0"/>
              <w:rPr>
                <w:sz w:val="1"/>
                <w:szCs w:val="1"/>
                <w:color w:val="auto"/>
              </w:rPr>
            </w:pPr>
          </w:p>
        </w:tc>
      </w:tr>
      <w:tr>
        <w:trPr>
          <w:trHeight w:val="124"/>
        </w:trPr>
        <w:tc>
          <w:tcPr>
            <w:tcW w:w="2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Balance at December 31, 2019</w:t>
            </w:r>
          </w:p>
        </w:tc>
        <w:tc>
          <w:tcPr>
            <w:tcW w:w="7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(as previously reported)</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39,722,088</w:t>
            </w:r>
          </w:p>
        </w:tc>
        <w:tc>
          <w:tcPr>
            <w:tcW w:w="12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47,113</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9,916,375</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13,252</w:t>
            </w:r>
          </w:p>
        </w:tc>
        <w:tc>
          <w:tcPr>
            <w:tcW w:w="1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5,313,766</w:t>
            </w:r>
          </w:p>
        </w:tc>
        <w:tc>
          <w:tcPr>
            <w:tcW w:w="1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25"/>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1,182</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(71,984)</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(70,797)</w:t>
            </w:r>
          </w:p>
        </w:tc>
        <w:tc>
          <w:tcPr>
            <w:tcW w:w="0" w:type="dxa"/>
            <w:vAlign w:val="bottom"/>
          </w:tcPr>
          <w:p>
            <w:pPr>
              <w:spacing w:after="0"/>
              <w:rPr>
                <w:sz w:val="1"/>
                <w:szCs w:val="1"/>
                <w:color w:val="auto"/>
              </w:rPr>
            </w:pPr>
          </w:p>
        </w:tc>
      </w:tr>
      <w:tr>
        <w:trPr>
          <w:trHeight w:val="134"/>
        </w:trPr>
        <w:tc>
          <w:tcPr>
            <w:tcW w:w="2000" w:type="dxa"/>
            <w:vAlign w:val="bottom"/>
          </w:tcPr>
          <w:p>
            <w:pPr>
              <w:spacing w:after="0" w:line="134" w:lineRule="exact"/>
              <w:rPr>
                <w:sz w:val="20"/>
                <w:szCs w:val="20"/>
                <w:color w:val="auto"/>
              </w:rPr>
            </w:pPr>
            <w:r>
              <w:rPr>
                <w:rFonts w:ascii="Arial" w:cs="Arial" w:eastAsia="Arial" w:hAnsi="Arial"/>
                <w:sz w:val="13"/>
                <w:szCs w:val="13"/>
                <w:color w:val="auto"/>
              </w:rPr>
              <w:t>Retroactive application of the</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100"/>
              <w:spacing w:after="0" w:line="135" w:lineRule="exact"/>
              <w:rPr>
                <w:sz w:val="20"/>
                <w:szCs w:val="20"/>
                <w:color w:val="auto"/>
              </w:rPr>
            </w:pPr>
            <w:r>
              <w:rPr>
                <w:rFonts w:ascii="Arial" w:cs="Arial" w:eastAsia="Arial" w:hAnsi="Arial"/>
                <w:sz w:val="13"/>
                <w:szCs w:val="13"/>
                <w:color w:val="auto"/>
                <w:w w:val="91"/>
              </w:rPr>
              <w:t>recapitalization due to the Business</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100"/>
              <w:spacing w:after="0"/>
              <w:rPr>
                <w:sz w:val="20"/>
                <w:szCs w:val="20"/>
                <w:color w:val="auto"/>
              </w:rPr>
            </w:pPr>
            <w:r>
              <w:rPr>
                <w:rFonts w:ascii="Arial" w:cs="Arial" w:eastAsia="Arial" w:hAnsi="Arial"/>
                <w:sz w:val="13"/>
                <w:szCs w:val="13"/>
                <w:color w:val="auto"/>
              </w:rPr>
              <w:t>Combination (Note 3)</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(39,722,088)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(47,113)</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(9,916,375)</w:t>
            </w:r>
          </w:p>
        </w:tc>
        <w:tc>
          <w:tcPr>
            <w:tcW w:w="8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(13,252)</w:t>
            </w:r>
          </w:p>
        </w:tc>
        <w:tc>
          <w:tcPr>
            <w:tcW w:w="4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(5,313,766)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(5)</w:t>
            </w:r>
          </w:p>
        </w:tc>
        <w:tc>
          <w:tcPr>
            <w:tcW w:w="700" w:type="dxa"/>
            <w:vAlign w:val="bottom"/>
          </w:tcPr>
          <w:p>
            <w:pPr>
              <w:jc w:val="right"/>
              <w:spacing w:after="0"/>
              <w:rPr>
                <w:sz w:val="20"/>
                <w:szCs w:val="20"/>
                <w:color w:val="auto"/>
              </w:rPr>
            </w:pPr>
            <w:r>
              <w:rPr>
                <w:rFonts w:ascii="Arial" w:cs="Arial" w:eastAsia="Arial" w:hAnsi="Arial"/>
                <w:sz w:val="13"/>
                <w:szCs w:val="13"/>
                <w:color w:val="auto"/>
              </w:rPr>
              <w:t>11,979,586</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60,369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60,365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Balance at December 31, 2019,</w:t>
            </w:r>
          </w:p>
        </w:tc>
        <w:tc>
          <w:tcPr>
            <w:tcW w:w="7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effect of</w:t>
            </w: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7"/>
              </w:rPr>
              <w:t>Business Combination (Note 3)</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11,979,586</w:t>
            </w: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61,551</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(71,984)</w:t>
            </w: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(10,432)</w:t>
            </w:r>
          </w:p>
        </w:tc>
        <w:tc>
          <w:tcPr>
            <w:tcW w:w="0" w:type="dxa"/>
            <w:vAlign w:val="bottom"/>
          </w:tcPr>
          <w:p>
            <w:pPr>
              <w:spacing w:after="0"/>
              <w:rPr>
                <w:sz w:val="1"/>
                <w:szCs w:val="1"/>
                <w:color w:val="auto"/>
              </w:rPr>
            </w:pPr>
          </w:p>
        </w:tc>
      </w:tr>
      <w:tr>
        <w:trPr>
          <w:trHeight w:val="134"/>
        </w:trPr>
        <w:tc>
          <w:tcPr>
            <w:tcW w:w="2000" w:type="dxa"/>
            <w:vAlign w:val="bottom"/>
          </w:tcPr>
          <w:p>
            <w:pPr>
              <w:spacing w:after="0" w:line="134" w:lineRule="exact"/>
              <w:rPr>
                <w:sz w:val="20"/>
                <w:szCs w:val="20"/>
                <w:color w:val="auto"/>
              </w:rPr>
            </w:pPr>
            <w:r>
              <w:rPr>
                <w:rFonts w:ascii="Arial" w:cs="Arial" w:eastAsia="Arial" w:hAnsi="Arial"/>
                <w:sz w:val="13"/>
                <w:szCs w:val="13"/>
                <w:color w:val="auto"/>
              </w:rPr>
              <w:t>Issuance of Series B convertible</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line="135" w:lineRule="exact"/>
              <w:rPr>
                <w:sz w:val="20"/>
                <w:szCs w:val="20"/>
                <w:color w:val="auto"/>
              </w:rPr>
            </w:pPr>
            <w:r>
              <w:rPr>
                <w:rFonts w:ascii="Arial" w:cs="Arial" w:eastAsia="Arial" w:hAnsi="Arial"/>
                <w:sz w:val="13"/>
                <w:szCs w:val="13"/>
                <w:color w:val="auto"/>
              </w:rPr>
              <w:t>preferred</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100"/>
              <w:spacing w:after="0"/>
              <w:rPr>
                <w:sz w:val="20"/>
                <w:szCs w:val="20"/>
                <w:color w:val="auto"/>
              </w:rPr>
            </w:pPr>
            <w:r>
              <w:rPr>
                <w:rFonts w:ascii="Arial" w:cs="Arial" w:eastAsia="Arial" w:hAnsi="Arial"/>
                <w:sz w:val="13"/>
                <w:szCs w:val="13"/>
                <w:color w:val="auto"/>
                <w:w w:val="91"/>
              </w:rPr>
              <w:t>stock, net of issuance costs of $148</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3,242,655</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20,083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0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Issuance of common stock upon</w:t>
            </w: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exercise of</w:t>
            </w: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 options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17,932</w:t>
            </w: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3"/>
                <w:szCs w:val="13"/>
                <w:color w:val="auto"/>
                <w:w w:val="97"/>
              </w:rPr>
              <w:t>Vesting of restricted common stock</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14,470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FF0FC"/>
          </w:tcPr>
          <w:p>
            <w:pPr>
              <w:spacing w:after="0"/>
              <w:rPr>
                <w:sz w:val="20"/>
                <w:szCs w:val="20"/>
                <w:color w:val="auto"/>
              </w:rPr>
            </w:pPr>
            <w:r>
              <w:rPr>
                <w:rFonts w:ascii="Arial" w:cs="Arial" w:eastAsia="Arial" w:hAnsi="Arial"/>
                <w:sz w:val="13"/>
                <w:szCs w:val="13"/>
                <w:color w:val="auto"/>
                <w:w w:val="94"/>
              </w:rPr>
              <w:t>Stock-based compensation expense</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20"/>
                <w:szCs w:val="20"/>
                <w:color w:val="auto"/>
              </w:rPr>
            </w:pPr>
            <w:r>
              <w:rPr>
                <w:rFonts w:ascii="Arial" w:cs="Arial" w:eastAsia="Arial" w:hAnsi="Arial"/>
                <w:sz w:val="13"/>
                <w:szCs w:val="13"/>
                <w:color w:val="auto"/>
              </w:rPr>
              <w:t>Net loss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(9,746)</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(9,746)</w:t>
            </w:r>
          </w:p>
        </w:tc>
        <w:tc>
          <w:tcPr>
            <w:tcW w:w="0" w:type="dxa"/>
            <w:vAlign w:val="bottom"/>
          </w:tcPr>
          <w:p>
            <w:pPr>
              <w:spacing w:after="0"/>
              <w:rPr>
                <w:sz w:val="1"/>
                <w:szCs w:val="1"/>
                <w:color w:val="auto"/>
              </w:rPr>
            </w:pPr>
          </w:p>
        </w:tc>
      </w:tr>
      <w:tr>
        <w:trPr>
          <w:trHeight w:val="124"/>
        </w:trPr>
        <w:tc>
          <w:tcPr>
            <w:tcW w:w="200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w w:val="97"/>
              </w:rPr>
              <w:t>Balance at March 31, 2020, effect</w:t>
            </w:r>
          </w:p>
        </w:tc>
        <w:tc>
          <w:tcPr>
            <w:tcW w:w="7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4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of</w:t>
            </w: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0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7"/>
              </w:rPr>
              <w:t>Business Combination (Note 3)</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400" w:type="dxa"/>
            <w:vAlign w:val="bottom"/>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15,254,643</w:t>
            </w: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jc w:val="right"/>
              <w:ind w:right="225"/>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81,738</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(81,730)</w:t>
            </w:r>
          </w:p>
        </w:tc>
        <w:tc>
          <w:tcPr>
            <w:tcW w:w="1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Issuance of common stock upon</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right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0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line="135" w:lineRule="exact"/>
              <w:rPr>
                <w:sz w:val="20"/>
                <w:szCs w:val="20"/>
                <w:color w:val="auto"/>
              </w:rPr>
            </w:pPr>
            <w:r>
              <w:rPr>
                <w:rFonts w:ascii="Arial" w:cs="Arial" w:eastAsia="Arial" w:hAnsi="Arial"/>
                <w:sz w:val="13"/>
                <w:szCs w:val="13"/>
                <w:color w:val="auto"/>
              </w:rPr>
              <w:t>exercise of</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5,228</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FF0FC"/>
          </w:tcPr>
          <w:p>
            <w:pPr>
              <w:spacing w:after="0"/>
              <w:rPr>
                <w:sz w:val="20"/>
                <w:szCs w:val="20"/>
                <w:color w:val="auto"/>
              </w:rPr>
            </w:pPr>
            <w:r>
              <w:rPr>
                <w:rFonts w:ascii="Arial" w:cs="Arial" w:eastAsia="Arial" w:hAnsi="Arial"/>
                <w:sz w:val="13"/>
                <w:szCs w:val="13"/>
                <w:color w:val="auto"/>
                <w:w w:val="97"/>
              </w:rPr>
              <w:t>Vesting of restricted common stock</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14,470</w:t>
            </w: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20"/>
                <w:szCs w:val="20"/>
                <w:color w:val="auto"/>
              </w:rPr>
            </w:pPr>
            <w:r>
              <w:rPr>
                <w:rFonts w:ascii="Arial" w:cs="Arial" w:eastAsia="Arial" w:hAnsi="Arial"/>
                <w:sz w:val="13"/>
                <w:szCs w:val="13"/>
                <w:color w:val="auto"/>
                <w:w w:val="94"/>
              </w:rPr>
              <w:t>Stock-based compensation expense</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FF0FC"/>
          </w:tcPr>
          <w:p>
            <w:pPr>
              <w:spacing w:after="0"/>
              <w:rPr>
                <w:sz w:val="20"/>
                <w:szCs w:val="20"/>
                <w:color w:val="auto"/>
              </w:rPr>
            </w:pPr>
            <w:r>
              <w:rPr>
                <w:rFonts w:ascii="Arial" w:cs="Arial" w:eastAsia="Arial" w:hAnsi="Arial"/>
                <w:sz w:val="13"/>
                <w:szCs w:val="13"/>
                <w:color w:val="auto"/>
              </w:rPr>
              <w:t>Net loss</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(6,773)</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(6,773)</w:t>
            </w:r>
          </w:p>
        </w:tc>
        <w:tc>
          <w:tcPr>
            <w:tcW w:w="0" w:type="dxa"/>
            <w:vAlign w:val="bottom"/>
          </w:tcPr>
          <w:p>
            <w:pPr>
              <w:spacing w:after="0"/>
              <w:rPr>
                <w:sz w:val="1"/>
                <w:szCs w:val="1"/>
                <w:color w:val="auto"/>
              </w:rPr>
            </w:pPr>
          </w:p>
        </w:tc>
      </w:tr>
      <w:tr>
        <w:trPr>
          <w:trHeight w:val="124"/>
        </w:trPr>
        <w:tc>
          <w:tcPr>
            <w:tcW w:w="2000" w:type="dxa"/>
            <w:vAlign w:val="bottom"/>
          </w:tcPr>
          <w:p>
            <w:pPr>
              <w:spacing w:after="0" w:line="124" w:lineRule="exact"/>
              <w:rPr>
                <w:sz w:val="20"/>
                <w:szCs w:val="20"/>
                <w:color w:val="auto"/>
              </w:rPr>
            </w:pPr>
            <w:r>
              <w:rPr>
                <w:rFonts w:ascii="Arial" w:cs="Arial" w:eastAsia="Arial" w:hAnsi="Arial"/>
                <w:sz w:val="13"/>
                <w:szCs w:val="13"/>
                <w:b w:val="1"/>
                <w:bCs w:val="1"/>
                <w:color w:val="auto"/>
                <w:w w:val="93"/>
              </w:rPr>
              <w:t>Balance at June 30, 2020, effect of</w:t>
            </w: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00" w:type="dxa"/>
            <w:vAlign w:val="bottom"/>
          </w:tcPr>
          <w:p>
            <w:pPr>
              <w:ind w:left="100"/>
              <w:spacing w:after="0"/>
              <w:rPr>
                <w:sz w:val="20"/>
                <w:szCs w:val="20"/>
                <w:color w:val="auto"/>
              </w:rPr>
            </w:pPr>
            <w:r>
              <w:rPr>
                <w:rFonts w:ascii="Arial" w:cs="Arial" w:eastAsia="Arial" w:hAnsi="Arial"/>
                <w:sz w:val="13"/>
                <w:szCs w:val="13"/>
                <w:b w:val="1"/>
                <w:bCs w:val="1"/>
                <w:color w:val="auto"/>
                <w:w w:val="97"/>
              </w:rPr>
              <w:t>Business Combination (Note 3)</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40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15,274,341</w:t>
            </w:r>
          </w:p>
        </w:tc>
        <w:tc>
          <w:tcPr>
            <w:tcW w:w="200" w:type="dxa"/>
            <w:vAlign w:val="bottom"/>
          </w:tcPr>
          <w:p>
            <w:pPr>
              <w:spacing w:after="0"/>
              <w:rPr>
                <w:sz w:val="13"/>
                <w:szCs w:val="13"/>
                <w:color w:val="auto"/>
              </w:rPr>
            </w:pPr>
          </w:p>
        </w:tc>
        <w:tc>
          <w:tcPr>
            <w:tcW w:w="340" w:type="dxa"/>
            <w:vAlign w:val="bottom"/>
          </w:tcPr>
          <w:p>
            <w:pPr>
              <w:jc w:val="right"/>
              <w:ind w:right="225"/>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c>
          <w:tcPr>
            <w:tcW w:w="280" w:type="dxa"/>
            <w:vAlign w:val="bottom"/>
            <w:gridSpan w:val="2"/>
          </w:tcPr>
          <w:p>
            <w:pPr>
              <w:ind w:left="20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81,885</w:t>
            </w:r>
          </w:p>
        </w:tc>
        <w:tc>
          <w:tcPr>
            <w:tcW w:w="32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(88,503)</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(6,616)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1960" w:type="dxa"/>
            <w:vAlign w:val="bottom"/>
          </w:tcPr>
          <w:p>
            <w:pPr>
              <w:spacing w:after="0"/>
              <w:rPr>
                <w:sz w:val="11"/>
                <w:szCs w:val="11"/>
                <w:color w:val="auto"/>
              </w:rPr>
            </w:pPr>
          </w:p>
        </w:tc>
        <w:tc>
          <w:tcPr>
            <w:tcW w:w="100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rPr>
              <w:t>Series A</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4"/>
          </w:tcPr>
          <w:p>
            <w:pPr>
              <w:jc w:val="right"/>
              <w:spacing w:after="0" w:line="135" w:lineRule="exact"/>
              <w:rPr>
                <w:sz w:val="20"/>
                <w:szCs w:val="20"/>
                <w:color w:val="auto"/>
              </w:rPr>
            </w:pPr>
            <w:r>
              <w:rPr>
                <w:rFonts w:ascii="Arial" w:cs="Arial" w:eastAsia="Arial" w:hAnsi="Arial"/>
                <w:sz w:val="13"/>
                <w:szCs w:val="13"/>
                <w:b w:val="1"/>
                <w:bCs w:val="1"/>
                <w:color w:val="auto"/>
              </w:rPr>
              <w:t>Series B</w:t>
            </w: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jc w:val="right"/>
              <w:ind w:right="125"/>
              <w:spacing w:after="0" w:line="135" w:lineRule="exact"/>
              <w:rPr>
                <w:sz w:val="20"/>
                <w:szCs w:val="20"/>
                <w:color w:val="auto"/>
              </w:rPr>
            </w:pPr>
            <w:r>
              <w:rPr>
                <w:rFonts w:ascii="Arial" w:cs="Arial" w:eastAsia="Arial" w:hAnsi="Arial"/>
                <w:sz w:val="13"/>
                <w:szCs w:val="13"/>
                <w:b w:val="1"/>
                <w:bCs w:val="1"/>
                <w:color w:val="auto"/>
              </w:rPr>
              <w:t>Old Gemini</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200"/>
              <w:spacing w:after="0" w:line="135" w:lineRule="exact"/>
              <w:rPr>
                <w:sz w:val="20"/>
                <w:szCs w:val="20"/>
                <w:color w:val="auto"/>
              </w:rPr>
            </w:pPr>
            <w:r>
              <w:rPr>
                <w:rFonts w:ascii="Arial" w:cs="Arial" w:eastAsia="Arial" w:hAnsi="Arial"/>
                <w:sz w:val="13"/>
                <w:szCs w:val="13"/>
                <w:b w:val="1"/>
                <w:bCs w:val="1"/>
                <w:color w:val="auto"/>
                <w:w w:val="88"/>
              </w:rPr>
              <w:t>Additional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3"/>
        </w:trPr>
        <w:tc>
          <w:tcPr>
            <w:tcW w:w="1960" w:type="dxa"/>
            <w:vAlign w:val="bottom"/>
          </w:tcPr>
          <w:p>
            <w:pPr>
              <w:spacing w:after="0"/>
              <w:rPr>
                <w:sz w:val="13"/>
                <w:szCs w:val="13"/>
                <w:color w:val="auto"/>
              </w:rPr>
            </w:pPr>
          </w:p>
        </w:tc>
        <w:tc>
          <w:tcPr>
            <w:tcW w:w="174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w w:val="87"/>
              </w:rPr>
              <w:t>Convertible Preferred Stock</w:t>
            </w:r>
          </w:p>
        </w:tc>
        <w:tc>
          <w:tcPr>
            <w:tcW w:w="1720" w:type="dxa"/>
            <w:vAlign w:val="bottom"/>
            <w:tcBorders>
              <w:right w:val="single" w:sz="8" w:color="auto"/>
            </w:tcBorders>
            <w:gridSpan w:val="6"/>
          </w:tcPr>
          <w:p>
            <w:pPr>
              <w:jc w:val="right"/>
              <w:ind w:right="200"/>
              <w:spacing w:after="0"/>
              <w:rPr>
                <w:sz w:val="20"/>
                <w:szCs w:val="20"/>
                <w:color w:val="auto"/>
              </w:rPr>
            </w:pPr>
            <w:r>
              <w:rPr>
                <w:rFonts w:ascii="Arial" w:cs="Arial" w:eastAsia="Arial" w:hAnsi="Arial"/>
                <w:sz w:val="13"/>
                <w:szCs w:val="13"/>
                <w:b w:val="1"/>
                <w:bCs w:val="1"/>
                <w:color w:val="auto"/>
                <w:w w:val="87"/>
              </w:rPr>
              <w:t>Convertible Preferred Stock</w:t>
            </w:r>
          </w:p>
        </w:tc>
        <w:tc>
          <w:tcPr>
            <w:tcW w:w="60" w:type="dxa"/>
            <w:vAlign w:val="bottom"/>
          </w:tcPr>
          <w:p>
            <w:pPr>
              <w:spacing w:after="0"/>
              <w:rPr>
                <w:sz w:val="13"/>
                <w:szCs w:val="13"/>
                <w:color w:val="auto"/>
              </w:rPr>
            </w:pPr>
          </w:p>
        </w:tc>
        <w:tc>
          <w:tcPr>
            <w:tcW w:w="1200" w:type="dxa"/>
            <w:vAlign w:val="bottom"/>
            <w:gridSpan w:val="3"/>
          </w:tcPr>
          <w:p>
            <w:pPr>
              <w:jc w:val="right"/>
              <w:ind w:right="25"/>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3"/>
          </w:tcPr>
          <w:p>
            <w:pPr>
              <w:jc w:val="right"/>
              <w:ind w:right="44"/>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b w:val="1"/>
                <w:bCs w:val="1"/>
                <w:color w:val="auto"/>
                <w:w w:val="89"/>
              </w:rPr>
              <w:t>paid-in</w:t>
            </w:r>
          </w:p>
        </w:tc>
        <w:tc>
          <w:tcPr>
            <w:tcW w:w="1040" w:type="dxa"/>
            <w:vAlign w:val="bottom"/>
            <w:gridSpan w:val="4"/>
          </w:tcPr>
          <w:p>
            <w:pPr>
              <w:ind w:left="200"/>
              <w:spacing w:after="0"/>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7"/>
              <w:spacing w:after="0" w:line="142"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rPr>
              <w:t>Shares</w:t>
            </w: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3"/>
                <w:szCs w:val="13"/>
                <w:b w:val="1"/>
                <w:bCs w:val="1"/>
                <w:color w:val="auto"/>
              </w:rPr>
              <w:t>Shares</w:t>
            </w: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7"/>
              <w:spacing w:after="0" w:line="142" w:lineRule="exact"/>
              <w:rPr>
                <w:sz w:val="20"/>
                <w:szCs w:val="20"/>
                <w:color w:val="auto"/>
              </w:rPr>
            </w:pPr>
            <w:r>
              <w:rPr>
                <w:rFonts w:ascii="Arial" w:cs="Arial" w:eastAsia="Arial" w:hAnsi="Arial"/>
                <w:sz w:val="13"/>
                <w:szCs w:val="13"/>
                <w:b w:val="1"/>
                <w:bCs w:val="1"/>
                <w:color w:val="auto"/>
                <w:w w:val="87"/>
              </w:rPr>
              <w:t>capital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78"/>
              <w:spacing w:after="0" w:line="142" w:lineRule="exact"/>
              <w:rPr>
                <w:sz w:val="20"/>
                <w:szCs w:val="20"/>
                <w:color w:val="auto"/>
              </w:rPr>
            </w:pPr>
            <w:r>
              <w:rPr>
                <w:rFonts w:ascii="Arial" w:cs="Arial" w:eastAsia="Arial" w:hAnsi="Arial"/>
                <w:sz w:val="13"/>
                <w:szCs w:val="13"/>
                <w:b w:val="1"/>
                <w:bCs w:val="1"/>
                <w:color w:val="auto"/>
                <w:w w:val="99"/>
              </w:rPr>
              <w:t>deficit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3"/>
                <w:szCs w:val="13"/>
                <w:b w:val="1"/>
                <w:bCs w:val="1"/>
                <w:color w:val="auto"/>
                <w:w w:val="89"/>
              </w:rPr>
              <w:t>(deficit)</w:t>
            </w:r>
          </w:p>
        </w:tc>
        <w:tc>
          <w:tcPr>
            <w:tcW w:w="0" w:type="dxa"/>
            <w:vAlign w:val="bottom"/>
          </w:tcPr>
          <w:p>
            <w:pPr>
              <w:spacing w:after="0"/>
              <w:rPr>
                <w:sz w:val="1"/>
                <w:szCs w:val="1"/>
                <w:color w:val="auto"/>
              </w:rPr>
            </w:pPr>
          </w:p>
        </w:tc>
      </w:tr>
      <w:tr>
        <w:trPr>
          <w:trHeight w:val="124"/>
        </w:trPr>
        <w:tc>
          <w:tcPr>
            <w:tcW w:w="196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Balance at December 31, 2020</w:t>
            </w:r>
          </w:p>
        </w:tc>
        <w:tc>
          <w:tcPr>
            <w:tcW w:w="7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96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(as previously reported)</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39,722,088</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47,113</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24,790,938</w:t>
            </w:r>
          </w:p>
        </w:tc>
        <w:tc>
          <w:tcPr>
            <w:tcW w:w="12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33,336</w:t>
            </w:r>
          </w:p>
        </w:tc>
        <w:tc>
          <w:tcPr>
            <w:tcW w:w="1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6,900,493</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jc w:val="right"/>
              <w:ind w:right="205"/>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FF0FC"/>
          </w:tcPr>
          <w:p>
            <w:pPr>
              <w:jc w:val="right"/>
              <w:ind w:right="224"/>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10,504</w:t>
            </w:r>
          </w:p>
        </w:tc>
        <w:tc>
          <w:tcPr>
            <w:tcW w:w="32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38"/>
              <w:spacing w:after="0"/>
              <w:rPr>
                <w:sz w:val="20"/>
                <w:szCs w:val="20"/>
                <w:color w:val="auto"/>
              </w:rPr>
            </w:pPr>
            <w:r>
              <w:rPr>
                <w:rFonts w:ascii="Arial" w:cs="Arial" w:eastAsia="Arial" w:hAnsi="Arial"/>
                <w:sz w:val="13"/>
                <w:szCs w:val="13"/>
                <w:color w:val="auto"/>
              </w:rPr>
              <w:t>(112,821)</w:t>
            </w: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(102,310)</w:t>
            </w:r>
          </w:p>
        </w:tc>
        <w:tc>
          <w:tcPr>
            <w:tcW w:w="0" w:type="dxa"/>
            <w:vAlign w:val="bottom"/>
          </w:tcPr>
          <w:p>
            <w:pPr>
              <w:spacing w:after="0"/>
              <w:rPr>
                <w:sz w:val="1"/>
                <w:szCs w:val="1"/>
                <w:color w:val="auto"/>
              </w:rPr>
            </w:pPr>
          </w:p>
        </w:tc>
      </w:tr>
      <w:tr>
        <w:trPr>
          <w:trHeight w:val="134"/>
        </w:trPr>
        <w:tc>
          <w:tcPr>
            <w:tcW w:w="1960" w:type="dxa"/>
            <w:vAlign w:val="bottom"/>
          </w:tcPr>
          <w:p>
            <w:pPr>
              <w:spacing w:after="0" w:line="134" w:lineRule="exact"/>
              <w:rPr>
                <w:sz w:val="20"/>
                <w:szCs w:val="20"/>
                <w:color w:val="auto"/>
              </w:rPr>
            </w:pPr>
            <w:r>
              <w:rPr>
                <w:rFonts w:ascii="Arial" w:cs="Arial" w:eastAsia="Arial" w:hAnsi="Arial"/>
                <w:sz w:val="13"/>
                <w:szCs w:val="13"/>
                <w:color w:val="auto"/>
              </w:rPr>
              <w:t>Retroactive application of the</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100"/>
              <w:spacing w:after="0" w:line="135" w:lineRule="exact"/>
              <w:rPr>
                <w:sz w:val="20"/>
                <w:szCs w:val="20"/>
                <w:color w:val="auto"/>
              </w:rPr>
            </w:pPr>
            <w:r>
              <w:rPr>
                <w:rFonts w:ascii="Arial" w:cs="Arial" w:eastAsia="Arial" w:hAnsi="Arial"/>
                <w:sz w:val="13"/>
                <w:szCs w:val="13"/>
                <w:color w:val="auto"/>
              </w:rPr>
              <w:t>recapitalization due to the</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3"/>
                <w:szCs w:val="13"/>
                <w:color w:val="auto"/>
              </w:rPr>
              <w:t>Business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00"/>
              <w:spacing w:after="0"/>
              <w:rPr>
                <w:sz w:val="20"/>
                <w:szCs w:val="20"/>
                <w:color w:val="auto"/>
              </w:rPr>
            </w:pPr>
            <w:r>
              <w:rPr>
                <w:rFonts w:ascii="Arial" w:cs="Arial" w:eastAsia="Arial" w:hAnsi="Arial"/>
                <w:sz w:val="13"/>
                <w:szCs w:val="13"/>
                <w:color w:val="auto"/>
              </w:rPr>
              <w:t>Combination (Note 3)</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(39,722,088)</w:t>
            </w:r>
          </w:p>
        </w:tc>
        <w:tc>
          <w:tcPr>
            <w:tcW w:w="6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(47,113)</w:t>
            </w: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(24,790,938)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(33,336)</w:t>
            </w:r>
          </w:p>
        </w:tc>
        <w:tc>
          <w:tcPr>
            <w:tcW w:w="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(6,900,493)</w:t>
            </w:r>
          </w:p>
        </w:tc>
        <w:tc>
          <w:tcPr>
            <w:tcW w:w="320" w:type="dxa"/>
            <w:vAlign w:val="bottom"/>
          </w:tcPr>
          <w:p>
            <w:pPr>
              <w:spacing w:after="0"/>
              <w:rPr>
                <w:sz w:val="12"/>
                <w:szCs w:val="12"/>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3"/>
                <w:szCs w:val="13"/>
                <w:color w:val="auto"/>
              </w:rPr>
              <w:t>(7)</w:t>
            </w:r>
          </w:p>
        </w:tc>
        <w:tc>
          <w:tcPr>
            <w:tcW w:w="680" w:type="dxa"/>
            <w:vAlign w:val="bottom"/>
          </w:tcPr>
          <w:p>
            <w:pPr>
              <w:jc w:val="right"/>
              <w:spacing w:after="0"/>
              <w:rPr>
                <w:sz w:val="20"/>
                <w:szCs w:val="20"/>
                <w:color w:val="auto"/>
              </w:rPr>
            </w:pPr>
            <w:r>
              <w:rPr>
                <w:rFonts w:ascii="Arial" w:cs="Arial" w:eastAsia="Arial" w:hAnsi="Arial"/>
                <w:sz w:val="13"/>
                <w:szCs w:val="13"/>
                <w:color w:val="auto"/>
              </w:rPr>
              <w:t>15,565,380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80,454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80,449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96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3"/>
                <w:szCs w:val="13"/>
                <w:b w:val="1"/>
                <w:bCs w:val="1"/>
                <w:color w:val="auto"/>
              </w:rPr>
              <w:t>Balance at December 31, 2020,</w:t>
            </w:r>
          </w:p>
        </w:tc>
        <w:tc>
          <w:tcPr>
            <w:tcW w:w="7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spacing w:after="0"/>
              <w:rPr>
                <w:sz w:val="10"/>
                <w:szCs w:val="10"/>
                <w:color w:val="auto"/>
              </w:rPr>
            </w:pPr>
          </w:p>
        </w:tc>
        <w:tc>
          <w:tcPr>
            <w:tcW w:w="180" w:type="dxa"/>
            <w:vAlign w:val="bottom"/>
            <w:tcBorders>
              <w:top w:val="single" w:sz="8" w:color="CFF0FC"/>
              <w:right w:val="single" w:sz="8" w:color="auto"/>
            </w:tcBorders>
            <w:shd w:val="clear" w:color="auto" w:fill="CFF0FC"/>
          </w:tcPr>
          <w:p>
            <w:pPr>
              <w:spacing w:after="0"/>
              <w:rPr>
                <w:sz w:val="10"/>
                <w:szCs w:val="10"/>
                <w:color w:val="auto"/>
              </w:rPr>
            </w:pPr>
          </w:p>
        </w:tc>
        <w:tc>
          <w:tcPr>
            <w:tcW w:w="6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3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34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500" w:type="dxa"/>
            <w:vAlign w:val="bottom"/>
            <w:tcBorders>
              <w:top w:val="single" w:sz="8" w:color="auto"/>
            </w:tcBorders>
            <w:shd w:val="clear" w:color="auto" w:fill="CFF0FC"/>
          </w:tcPr>
          <w:p>
            <w:pPr>
              <w:spacing w:after="0"/>
              <w:rPr>
                <w:sz w:val="10"/>
                <w:szCs w:val="10"/>
                <w:color w:val="auto"/>
              </w:rPr>
            </w:pPr>
          </w:p>
        </w:tc>
        <w:tc>
          <w:tcPr>
            <w:tcW w:w="20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effect of</w:t>
            </w: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6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w w:val="95"/>
              </w:rPr>
              <w:t>Business Combination (Note 3)</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15,565,380</w:t>
            </w:r>
          </w:p>
        </w:tc>
        <w:tc>
          <w:tcPr>
            <w:tcW w:w="2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90,958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38"/>
              <w:spacing w:after="0"/>
              <w:rPr>
                <w:sz w:val="20"/>
                <w:szCs w:val="20"/>
                <w:color w:val="auto"/>
              </w:rPr>
            </w:pPr>
            <w:r>
              <w:rPr>
                <w:rFonts w:ascii="Arial" w:cs="Arial" w:eastAsia="Arial" w:hAnsi="Arial"/>
                <w:sz w:val="13"/>
                <w:szCs w:val="13"/>
                <w:color w:val="auto"/>
              </w:rPr>
              <w:t>(112,821)</w:t>
            </w: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(21,861)</w:t>
            </w:r>
          </w:p>
        </w:tc>
        <w:tc>
          <w:tcPr>
            <w:tcW w:w="0" w:type="dxa"/>
            <w:vAlign w:val="bottom"/>
          </w:tcPr>
          <w:p>
            <w:pPr>
              <w:spacing w:after="0"/>
              <w:rPr>
                <w:sz w:val="1"/>
                <w:szCs w:val="1"/>
                <w:color w:val="auto"/>
              </w:rPr>
            </w:pPr>
          </w:p>
        </w:tc>
      </w:tr>
      <w:tr>
        <w:trPr>
          <w:trHeight w:val="134"/>
        </w:trPr>
        <w:tc>
          <w:tcPr>
            <w:tcW w:w="1960" w:type="dxa"/>
            <w:vAlign w:val="bottom"/>
          </w:tcPr>
          <w:p>
            <w:pPr>
              <w:spacing w:after="0" w:line="134" w:lineRule="exact"/>
              <w:rPr>
                <w:sz w:val="20"/>
                <w:szCs w:val="20"/>
                <w:color w:val="auto"/>
              </w:rPr>
            </w:pPr>
            <w:r>
              <w:rPr>
                <w:rFonts w:ascii="Arial" w:cs="Arial" w:eastAsia="Arial" w:hAnsi="Arial"/>
                <w:sz w:val="13"/>
                <w:szCs w:val="13"/>
                <w:color w:val="auto"/>
              </w:rPr>
              <w:t>Issuance of common stock upon</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3"/>
                <w:szCs w:val="13"/>
                <w:color w:val="auto"/>
              </w:rPr>
              <w:t>Business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100"/>
              <w:spacing w:after="0" w:line="135" w:lineRule="exact"/>
              <w:rPr>
                <w:sz w:val="20"/>
                <w:szCs w:val="20"/>
                <w:color w:val="auto"/>
              </w:rPr>
            </w:pPr>
            <w:r>
              <w:rPr>
                <w:rFonts w:ascii="Arial" w:cs="Arial" w:eastAsia="Arial" w:hAnsi="Arial"/>
                <w:sz w:val="13"/>
                <w:szCs w:val="13"/>
                <w:color w:val="auto"/>
                <w:w w:val="91"/>
              </w:rPr>
              <w:t>Combination, net of issuance costs</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00"/>
              <w:spacing w:after="0"/>
              <w:rPr>
                <w:sz w:val="20"/>
                <w:szCs w:val="20"/>
                <w:color w:val="auto"/>
              </w:rPr>
            </w:pPr>
            <w:r>
              <w:rPr>
                <w:rFonts w:ascii="Arial" w:cs="Arial" w:eastAsia="Arial" w:hAnsi="Arial"/>
                <w:sz w:val="13"/>
                <w:szCs w:val="13"/>
                <w:color w:val="auto"/>
              </w:rPr>
              <w:t>(Note 3)</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25,041,150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97"/>
              </w:rPr>
              <w:t>195,880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195,882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60" w:type="dxa"/>
            <w:vAlign w:val="bottom"/>
            <w:shd w:val="clear" w:color="auto" w:fill="CFF0FC"/>
          </w:tcPr>
          <w:p>
            <w:pPr>
              <w:spacing w:after="0" w:line="134" w:lineRule="exact"/>
              <w:rPr>
                <w:sz w:val="20"/>
                <w:szCs w:val="20"/>
                <w:color w:val="auto"/>
              </w:rPr>
            </w:pPr>
            <w:r>
              <w:rPr>
                <w:rFonts w:ascii="Arial" w:cs="Arial" w:eastAsia="Arial" w:hAnsi="Arial"/>
                <w:sz w:val="13"/>
                <w:szCs w:val="13"/>
                <w:color w:val="auto"/>
              </w:rPr>
              <w:t>Conversion of promissory notes</w:t>
            </w: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tcBorders>
              <w:right w:val="single" w:sz="8" w:color="auto"/>
            </w:tcBorders>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rPr>
              <w:t>(Note 3)</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2,341,316</w:t>
            </w: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14,515</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60" w:type="dxa"/>
            <w:vAlign w:val="bottom"/>
          </w:tcPr>
          <w:p>
            <w:pPr>
              <w:spacing w:after="0" w:line="134" w:lineRule="exact"/>
              <w:rPr>
                <w:sz w:val="20"/>
                <w:szCs w:val="20"/>
                <w:color w:val="auto"/>
              </w:rPr>
            </w:pPr>
            <w:r>
              <w:rPr>
                <w:rFonts w:ascii="Arial" w:cs="Arial" w:eastAsia="Arial" w:hAnsi="Arial"/>
                <w:sz w:val="13"/>
                <w:szCs w:val="13"/>
                <w:color w:val="auto"/>
              </w:rPr>
              <w:t>Issuance of common stock upon</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3"/>
                <w:szCs w:val="13"/>
                <w:color w:val="auto"/>
              </w:rPr>
              <w:t>exercise of</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00"/>
              <w:spacing w:after="0"/>
              <w:rPr>
                <w:sz w:val="20"/>
                <w:szCs w:val="20"/>
                <w:color w:val="auto"/>
              </w:rPr>
            </w:pPr>
            <w:r>
              <w:rPr>
                <w:rFonts w:ascii="Arial" w:cs="Arial" w:eastAsia="Arial" w:hAnsi="Arial"/>
                <w:sz w:val="13"/>
                <w:szCs w:val="13"/>
                <w:color w:val="auto"/>
              </w:rPr>
              <w:t>warrants (Note 3)</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15,257</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w w:val="95"/>
              </w:rPr>
              <w:t>Vesting of restricted common stock</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35,561</w:t>
            </w: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960" w:type="dxa"/>
            <w:vAlign w:val="bottom"/>
          </w:tcPr>
          <w:p>
            <w:pPr>
              <w:spacing w:after="0" w:line="134" w:lineRule="exact"/>
              <w:rPr>
                <w:sz w:val="20"/>
                <w:szCs w:val="20"/>
                <w:color w:val="auto"/>
              </w:rPr>
            </w:pPr>
            <w:r>
              <w:rPr>
                <w:rFonts w:ascii="Arial" w:cs="Arial" w:eastAsia="Arial" w:hAnsi="Arial"/>
                <w:sz w:val="13"/>
                <w:szCs w:val="13"/>
                <w:color w:val="auto"/>
              </w:rPr>
              <w:t>Issuance of common stock upon</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3"/>
                <w:szCs w:val="13"/>
                <w:color w:val="auto"/>
              </w:rPr>
              <w:t>exercise of</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3,480</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w w:val="92"/>
              </w:rPr>
              <w:t>Stock-based compensation expense</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1,593</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20"/>
                <w:szCs w:val="20"/>
                <w:color w:val="auto"/>
              </w:rPr>
            </w:pPr>
            <w:r>
              <w:rPr>
                <w:rFonts w:ascii="Arial" w:cs="Arial" w:eastAsia="Arial" w:hAnsi="Arial"/>
                <w:sz w:val="13"/>
                <w:szCs w:val="13"/>
                <w:color w:val="auto"/>
              </w:rPr>
              <w:t>Net loss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8"/>
              <w:spacing w:after="0"/>
              <w:rPr>
                <w:sz w:val="20"/>
                <w:szCs w:val="20"/>
                <w:color w:val="auto"/>
              </w:rPr>
            </w:pPr>
            <w:r>
              <w:rPr>
                <w:rFonts w:ascii="Arial" w:cs="Arial" w:eastAsia="Arial" w:hAnsi="Arial"/>
                <w:sz w:val="13"/>
                <w:szCs w:val="13"/>
                <w:color w:val="auto"/>
              </w:rPr>
              <w:t>(19,048)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(19,048)</w:t>
            </w:r>
          </w:p>
        </w:tc>
        <w:tc>
          <w:tcPr>
            <w:tcW w:w="0" w:type="dxa"/>
            <w:vAlign w:val="bottom"/>
          </w:tcPr>
          <w:p>
            <w:pPr>
              <w:spacing w:after="0"/>
              <w:rPr>
                <w:sz w:val="1"/>
                <w:szCs w:val="1"/>
                <w:color w:val="auto"/>
              </w:rPr>
            </w:pPr>
          </w:p>
        </w:tc>
      </w:tr>
      <w:tr>
        <w:trPr>
          <w:trHeight w:val="142"/>
        </w:trPr>
        <w:tc>
          <w:tcPr>
            <w:tcW w:w="196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March 31, 2021</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43,002,144</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jc w:val="right"/>
              <w:ind w:right="224"/>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7"/>
              </w:rPr>
              <w:t>303,026</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(131,869</w:t>
            </w:r>
          </w:p>
        </w:tc>
        <w:tc>
          <w:tcPr>
            <w:tcW w:w="120" w:type="dxa"/>
            <w:vAlign w:val="bottom"/>
            <w:tcBorders>
              <w:top w:val="single" w:sz="8" w:color="CFF0FC"/>
              <w:bottom w:val="single" w:sz="8" w:color="CFF0FC"/>
            </w:tcBorders>
            <w:shd w:val="clear" w:color="auto" w:fill="CFF0FC"/>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171,161</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3"/>
                <w:szCs w:val="13"/>
                <w:color w:val="auto"/>
              </w:rPr>
              <w:t>Issuance of common stock upon</w:t>
            </w: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9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960" w:type="dxa"/>
            <w:vAlign w:val="bottom"/>
          </w:tcPr>
          <w:p>
            <w:pPr>
              <w:spacing w:after="0" w:line="135" w:lineRule="exact"/>
              <w:rPr>
                <w:sz w:val="20"/>
                <w:szCs w:val="20"/>
                <w:color w:val="auto"/>
              </w:rPr>
            </w:pPr>
            <w:r>
              <w:rPr>
                <w:rFonts w:ascii="Arial" w:cs="Arial" w:eastAsia="Arial" w:hAnsi="Arial"/>
                <w:sz w:val="13"/>
                <w:szCs w:val="13"/>
                <w:color w:val="auto"/>
              </w:rPr>
              <w:t>exercise of</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00"/>
              <w:spacing w:after="0"/>
              <w:rPr>
                <w:sz w:val="20"/>
                <w:szCs w:val="20"/>
                <w:color w:val="auto"/>
              </w:rPr>
            </w:pPr>
            <w:r>
              <w:rPr>
                <w:rFonts w:ascii="Arial" w:cs="Arial" w:eastAsia="Arial" w:hAnsi="Arial"/>
                <w:sz w:val="13"/>
                <w:szCs w:val="13"/>
                <w:color w:val="auto"/>
              </w:rPr>
              <w:t>stock options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52,968</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w w:val="92"/>
              </w:rPr>
              <w:t>Stock-based compensation expense</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20"/>
                <w:szCs w:val="20"/>
                <w:color w:val="auto"/>
              </w:rPr>
            </w:pPr>
            <w:r>
              <w:rPr>
                <w:rFonts w:ascii="Arial" w:cs="Arial" w:eastAsia="Arial" w:hAnsi="Arial"/>
                <w:sz w:val="13"/>
                <w:szCs w:val="13"/>
                <w:color w:val="auto"/>
              </w:rPr>
              <w:t>Net loss</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38"/>
              <w:spacing w:after="0"/>
              <w:rPr>
                <w:sz w:val="20"/>
                <w:szCs w:val="20"/>
                <w:color w:val="auto"/>
              </w:rPr>
            </w:pPr>
            <w:r>
              <w:rPr>
                <w:rFonts w:ascii="Arial" w:cs="Arial" w:eastAsia="Arial" w:hAnsi="Arial"/>
                <w:sz w:val="13"/>
                <w:szCs w:val="13"/>
                <w:color w:val="auto"/>
              </w:rPr>
              <w:t>(16,447)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(16,447)</w:t>
            </w:r>
          </w:p>
        </w:tc>
        <w:tc>
          <w:tcPr>
            <w:tcW w:w="0" w:type="dxa"/>
            <w:vAlign w:val="bottom"/>
          </w:tcPr>
          <w:p>
            <w:pPr>
              <w:spacing w:after="0"/>
              <w:rPr>
                <w:sz w:val="1"/>
                <w:szCs w:val="1"/>
                <w:color w:val="auto"/>
              </w:rPr>
            </w:pPr>
          </w:p>
        </w:tc>
      </w:tr>
      <w:tr>
        <w:trPr>
          <w:trHeight w:val="142"/>
        </w:trPr>
        <w:tc>
          <w:tcPr>
            <w:tcW w:w="196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 at June 30, 2021</w:t>
            </w: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FF0FC"/>
              <w:bottom w:val="single" w:sz="8" w:color="CFF0FC"/>
              <w:right w:val="single" w:sz="8" w:color="auto"/>
            </w:tcBorders>
            <w:shd w:val="clear" w:color="auto" w:fill="CFF0FC"/>
          </w:tcPr>
          <w:p>
            <w:pPr>
              <w:spacing w:after="0"/>
              <w:rPr>
                <w:sz w:val="12"/>
                <w:szCs w:val="12"/>
                <w:color w:val="auto"/>
              </w:rPr>
            </w:pPr>
          </w:p>
        </w:tc>
        <w:tc>
          <w:tcPr>
            <w:tcW w:w="60" w:type="dxa"/>
            <w:vAlign w:val="bottom"/>
            <w:tcBorders>
              <w:top w:val="single" w:sz="8" w:color="CFF0FC"/>
              <w:bottom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32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6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43,055,112</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340" w:type="dxa"/>
            <w:vAlign w:val="bottom"/>
            <w:tcBorders>
              <w:top w:val="single" w:sz="8" w:color="auto"/>
              <w:bottom w:val="single" w:sz="8" w:color="auto"/>
            </w:tcBorders>
            <w:shd w:val="clear" w:color="auto" w:fill="CFF0FC"/>
          </w:tcPr>
          <w:p>
            <w:pPr>
              <w:jc w:val="right"/>
              <w:ind w:right="224"/>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7"/>
              </w:rPr>
              <w:t>305,994</w:t>
            </w:r>
          </w:p>
        </w:tc>
        <w:tc>
          <w:tcPr>
            <w:tcW w:w="20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(148,316</w:t>
            </w:r>
          </w:p>
        </w:tc>
        <w:tc>
          <w:tcPr>
            <w:tcW w:w="120" w:type="dxa"/>
            <w:vAlign w:val="bottom"/>
            <w:tcBorders>
              <w:top w:val="single" w:sz="8" w:color="CFF0FC"/>
              <w:bottom w:val="single" w:sz="8" w:color="CFF0FC"/>
            </w:tcBorders>
            <w:shd w:val="clear" w:color="auto" w:fill="CFF0FC"/>
          </w:tcPr>
          <w:p>
            <w:pPr>
              <w:jc w:val="right"/>
              <w:ind w:right="3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157,682</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(35,495)</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(16,519)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Depreciation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Non-cash interest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warrant liability</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Loss on conversion of convertible notes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Accretion of discount on convertible notes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(3,272)</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740"/>
              <w:spacing w:after="0"/>
              <w:rPr>
                <w:sz w:val="20"/>
                <w:szCs w:val="20"/>
                <w:color w:val="auto"/>
              </w:rPr>
            </w:pPr>
            <w:r>
              <w:rPr>
                <w:rFonts w:ascii="Arial" w:cs="Arial" w:eastAsia="Arial" w:hAnsi="Arial"/>
                <w:sz w:val="18"/>
                <w:szCs w:val="18"/>
                <w:color w:val="auto"/>
              </w:rPr>
              <w:t>Deferred offering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(559)</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(110)</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(30,935)</w:t>
            </w:r>
          </w:p>
        </w:tc>
        <w:tc>
          <w:tcPr>
            <w:tcW w:w="2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(16,914)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Business Combination,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195,882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Series B convertible preferred stock, net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20,084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term loan</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(2,083)</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193,909</w:t>
            </w:r>
          </w:p>
        </w:tc>
        <w:tc>
          <w:tcPr>
            <w:tcW w:w="2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20,103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Increase in cash, cash equivalents and restricted cash</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162,974</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167,800</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Cash paid for interest</w:t>
            </w: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Borders>
              <w:bottom w:val="single" w:sz="8" w:color="CFF0FC"/>
            </w:tcBorders>
          </w:tcPr>
          <w:p>
            <w:pPr>
              <w:spacing w:after="0"/>
              <w:rPr>
                <w:sz w:val="23"/>
                <w:szCs w:val="23"/>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Conversion of convertible notes to Series B preferred stock</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14,515</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Exercise of warrants</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80" w:type="dxa"/>
            <w:vAlign w:val="bottom"/>
            <w:tcBorders>
              <w:bottom w:val="single" w:sz="8" w:color="CFF0FC"/>
            </w:tcBorders>
          </w:tcPr>
          <w:p>
            <w:pPr>
              <w:spacing w:after="0"/>
              <w:rPr>
                <w:sz w:val="21"/>
                <w:szCs w:val="21"/>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Gemini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1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Gemini Therapeutics, Inc. (the “Company” or “Gemini”) is a clinical-stage precision medicine company developing novel therapeutic compounds to treat genetically defined, age-related macular degeneration. The Company was founded on March 3, 2015 and is currently located in Cambridge, Massachusetts.</w:t>
      </w:r>
    </w:p>
    <w:p>
      <w:pPr>
        <w:spacing w:after="0" w:line="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Unless the context otherwise requires, references in these notes to “Gemini”, “the Company”, “we”, “us” and “our” and any related terms are intended to mean Gemini Therapeutics, Inc. and its consolidated subsidiary following the Business Combination (as defined below).</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its inception, the Company has devoted substantially all its efforts and financial resources to organizing and staffing the Company, business planning, raising capital, discovering product candidates and securing related intellectual property rights and conducting research and development activities for our product candidates. The Company’s lead product candidate, GEM103, is currently in Phase 2a clinical development and its other product candidates and research initiatives are in preclinical or earlier stages of development.</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5, 2021 (the “Closing Date”), FS Development Corporation, a Delaware corporation (“FSDC”), consummated the previously announced business combination (the “Business Combination”) pursuant to the terms of the Agreement and Plan of Merger, dated as of October 15, 2020 (as amended, supplemented or otherwise modified from time to time, the “Merger Agreement”),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Business Combination, certain investors purchased an aggregate of $95.1 million of the Company’s Common Stock in a private placement of public equity (the “PIPE Financing”). Together with FSDC’s cash resources and funding of the PIPE Financing, the Company received net proceeds of approximately $195.9 million.</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additional information on the Business Combination, please refer to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these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Risks and Liquidity</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uncertainty of product development and commercialization, lack of marketing and sales history, development by its competitors of new technological innovations, dependence on key personnel, market acceptance of products, product liability, protection of proprietary technology, ability to raise additional financing, compliance with government regulations, and the impact of the novel coronavirus disease (“COVID-19”) pandemic. If the Company does not successfully commercialize any of its product candidates, it will be unable to generate recurring product revenue or achieve profitability.</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product candidates are in development and will require significant additional 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is dependent upon the services of its employees, consultants, third-party contract research organizations and other third-party organizations.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jc w:val="both"/>
        <w:spacing w:after="0" w:line="269" w:lineRule="auto"/>
        <w:rPr>
          <w:sz w:val="20"/>
          <w:szCs w:val="20"/>
          <w:color w:val="auto"/>
        </w:rPr>
      </w:pPr>
      <w:r>
        <w:rPr>
          <w:rFonts w:ascii="Arial" w:cs="Arial" w:eastAsia="Arial" w:hAnsi="Arial"/>
          <w:sz w:val="17"/>
          <w:szCs w:val="17"/>
          <w:color w:val="auto"/>
        </w:rPr>
        <w:t>Prior to the Business Combination, the Company primarily financed its operations through the sale of convertible preferred stock, borrowings under convertible promissory notes and borrowings under loan agreements. The Company believes that its $167.5 million of cash and cash equivalents as of June 30, 2021 will enable it to fund its planned operations for at least twelve months from the issuance date of these condensed consolidated financial statements, though the Company may pursue additional cash resources through public or private equity or debt financings. Management’s expectations with respect to its ability to fund current planned operations is based on estimates that are subject to risks and uncertainties. Its operating plan may change as a result of many factors currently unknown to management and there can be no assurance that the current operating plan will be achieved in the time frame anticipated by the Company, and it may need to seek additional funds sooner than anticipated. If adequate funds are not available to the Company on a timely basis, management may be required to delay, limit, reduce or terminate certain of its research, product development or future commercialization efforts, obtain funds through arrangements with collaborators on terms unfavorable to the Company, or pursue merger or acquisition strategies, all of which could adversely affect the holdings or the rights of its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COVID-19 Pandemic</w:t>
      </w:r>
    </w:p>
    <w:p>
      <w:pPr>
        <w:spacing w:after="0" w:line="18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2020, the World Health Organization declared the COVID-19 outbreak a pandemic. The COVID-19 outbreak and the increased prevalence of variants of the virus,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COVID-19 pandemic has resulted in and will likely continue to result in significant disruptions to the global economy, and businesses and capital markets around the world. The Company cannot predict the future progression or full impact of the outbreak and its effects on the Company’s business and operations.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its third-party contract manufacturers (“CMOs”), contract research organizations (“CROs”) and clinical sites have experienced and may continue to experience disruptions in supply of product candidates and/or procurement of items that are essential for the Company’s research and development activities, including raw materials used in the manufacturing of its product candidates, medical and laboratory supplies used in its clinical trials or preclinical studies or animals that are used for preclinical testing, in each case, for which there may be shortages because of ongoing efforts to address the outbreak.</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Additionally, the Company has enrolled, and will seek to enroll, patients in its clinical trials at sites located both in the United States and internationally. Most of the Company’s clinical trial sites are in areas affected by COVID-19 and, as a result, its trials have been and may continue to be impacted. The Company cannot predict how long or impactful these delays may be on its clinical trials. In addition, even if sites are initiating and actively recruiting, the Company may face difficulties recruiting or retaining patients in its clinical trials if patients are affected by the virus or are unable to or are fearful of visiting or traveling to clinical trial sites because of the outbreak. Prolonged delays or closure to enrollment in the Company’s trials or patient discontinuations could have a material adverse impact on its clinical trial plans and timelines. In addition, the Company’s ability to collect and verify data requested of patients enrolled in its clinical trials during this pandemic is being impacted to varying degrees. Clinical trial data collection continues for each of the Company’s clinical trials but at a slower pace, and with challenges and interruptions in data collection, including, in some instances, disruption of collection of complete study data. This could have a material adverse impact on the Company’s data quality and analysis. In addition, clinical trial sites may be unable or unwilling to initiate a new trial if factors relevant to the pandemic render this impracticable. These COVID-19 related issues may prolong the time required to conduct ongoing clinical trials and/or impact the quality of the data obtained from one or more of these studies.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not incurred impairment losses in the carrying values of its assets as a result of the COVID-19 pandemic, and it is not aware of any specific related event or circumstance that would require it to revise its estimates reflected in these condensed consolidated financial statements. Although the COVID-19 pandemic did not have a significant impact on the Company’s condensed consolidated financial results in the second quarter of 2021, the full extent to which the COVID-19 pandemic will impact the Company’s business, results of operations, financial condition and cash flows will depend on future developments that are highly uncertain, and the estimates of the impact on the Company’s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5, 2021, Old Gemini and FSDC completed the Business Combination pursuant to the Merger Agreement with Old Gemini surviving the merger as a wholly owned subsidiary of FSDC. Net proceeds from the Business Combination totaled approximately $195.9 million, which included funds held in FSDC’s trust account and the completion of the concurrent PIPE Financing.</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accordance with the terms and subject to the conditions of the Merger Agreement, at the effective time of the Merger, (i) all shares of Old Gemini’s Series B Preferred Stock (including shares of Series B Preferred Stock issued upon conversion of outstanding convertible promissory notes), Series A Preferred Stock and Common Stock (collectively, “Old Gemini Stock”) issued and outstanding immediately prior to the effective time of the Merger, whether vested or unvested, were converted into the right to receive their pro rata portion of the 17,942,274 shares of FSDC Class A Common Stock (the “Common Stock”) issued as Merger consideration (the “Merger Consideration”), provided that 2,150,000 shares of Common Stock are held in escrow for a period of 12 months from the Closing Date to satisfy any indemnification obligations of Old Gemini under the Merger Agreement; (ii) each option exercisable for Old Gemini Stock that was outstanding immediately prior to effective time of the Merger was assumed and continues in full force and effect on the same terms and conditions as were previously applicable to such options, subject to adjustments to exercise price and number of shares Common Stock issuable upon exercise based on the final conversion ratio calculated in accordance with the Merger Agreement, and (iii) 4,264,341 shares of Common Stock were reserved for issuance under the newly adopted 2021 Stock Option and Incentive Plan (the “2021 Plan”).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jc w:val="both"/>
        <w:spacing w:after="0" w:line="289" w:lineRule="auto"/>
        <w:rPr>
          <w:sz w:val="20"/>
          <w:szCs w:val="20"/>
          <w:color w:val="auto"/>
        </w:rPr>
      </w:pPr>
      <w:r>
        <w:rPr>
          <w:rFonts w:ascii="Arial" w:cs="Arial" w:eastAsia="Arial" w:hAnsi="Arial"/>
          <w:sz w:val="16"/>
          <w:szCs w:val="16"/>
          <w:color w:val="auto"/>
        </w:rPr>
        <w:t>The Company accounted for the Business Combination as a reverse recapitalization, which is the equivalent of Old Gemini issuing stock for the net assets of FSDC, accompanied by a recapitalization, with FSDC treated as the acquired company for accounting purposes. The determination of FSDC as the “acquired” company for accounting purposes was primarily based on the fact that subsequent to the Business Combination, shareholders of Old Gemini prior to the Business Combination have a majority of the voting power of the combined company, the operations of Old Gemini will comprise all of the ongoing operations of the combined entity, and Old Gemini’s senior management will comprise all of the senior management of the combined company.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0.2180 shares of the Company, the “Conversion Ratio”).</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Business Combination, the Company incurred equity issuance costs and other costs considered direct and incremental to the transaction totaling $21.0 million, consisting of legal, accounting, financial advisory and other professional fees. These amounts are reflected within additional paid-in capital in the condensed consolidated balance sheet as of June 30, 2021.</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Financing</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Concurrent with the execution of the Business Combination, the Company entered into subscription agreements with certain investors (the “PIPE Investors”) pursuant to which the PIPE Investors subscribed for and purchased an aggregate of 9,506,000 shares of Common Stock for an aggregate purchase price of $95.1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Net Proceeds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elements of the net proceeds from the Business Combination as of June 30, 2021 (in thousands):</w:t>
      </w:r>
    </w:p>
    <w:p>
      <w:pPr>
        <w:sectPr>
          <w:pgSz w:w="11900" w:h="16838" w:orient="portrait"/>
          <w:cols w:equalWidth="0" w:num="1">
            <w:col w:w="11240"/>
          </w:cols>
          <w:pgMar w:left="320" w:top="517" w:right="3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Cash - FSDC Trust Account and cash (net of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Cash - PIPE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60" w:right="3420" w:hanging="246"/>
        <w:spacing w:after="0" w:line="307" w:lineRule="auto"/>
        <w:rPr>
          <w:sz w:val="20"/>
          <w:szCs w:val="20"/>
          <w:color w:val="auto"/>
        </w:rPr>
      </w:pPr>
      <w:r>
        <w:rPr>
          <w:rFonts w:ascii="Arial" w:cs="Arial" w:eastAsia="Arial" w:hAnsi="Arial"/>
          <w:sz w:val="18"/>
          <w:szCs w:val="18"/>
          <w:color w:val="auto"/>
        </w:rPr>
        <w:t>Less: Equity issuance costs and other costs paid prior to June 30, 2021 Net proceeds from the Business Combination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Shares Issued</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300" w:hanging="129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121,782</w:t>
      </w:r>
    </w:p>
    <w:p>
      <w:pPr>
        <w:spacing w:after="0" w:line="23"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95,060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00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5" w:lineRule="exact"/>
        <w:rPr>
          <w:sz w:val="20"/>
          <w:szCs w:val="20"/>
          <w:color w:val="auto"/>
        </w:rPr>
      </w:pPr>
    </w:p>
    <w:p>
      <w:pPr>
        <w:ind w:left="1300" w:hanging="129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195,882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0015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1200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657" w:lineRule="exact"/>
        <w:rPr>
          <w:sz w:val="20"/>
          <w:szCs w:val="20"/>
          <w:color w:val="auto"/>
        </w:rPr>
      </w:pPr>
    </w:p>
    <w:p>
      <w:pPr>
        <w:sectPr>
          <w:pgSz w:w="11900" w:h="16838" w:orient="portrait"/>
          <w:cols w:equalWidth="0" w:num="2">
            <w:col w:w="8500" w:space="720"/>
            <w:col w:w="2020"/>
          </w:cols>
          <w:pgMar w:left="320" w:top="517" w:right="3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The following table summarizes the number of shares of Common Stock outstanding immediately following the consummation of the Business Combination: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FSDC shares outstanding prior to the Business Combination</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15,535,150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issued pursuant to the PIPE Financing</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9,506,000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Business Combination and PIPE Financing shares</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25,041,150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Conversion of Old Gemini Series A preferred stock for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8,657,869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Conversion of Old Gemini Series B preferred stock for common stock</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7,744,785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Conversion of Old Gemini common stock for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1,539,603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exercise of warrants</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60" w:type="dxa"/>
            <w:vAlign w:val="bottom"/>
          </w:tcPr>
          <w:p>
            <w:pPr>
              <w:ind w:left="260"/>
              <w:spacing w:after="0"/>
              <w:rPr>
                <w:sz w:val="20"/>
                <w:szCs w:val="20"/>
                <w:color w:val="auto"/>
              </w:rPr>
            </w:pPr>
            <w:r>
              <w:rPr>
                <w:rFonts w:ascii="Arial" w:cs="Arial" w:eastAsia="Arial" w:hAnsi="Arial"/>
                <w:sz w:val="18"/>
                <w:szCs w:val="18"/>
                <w:color w:val="auto"/>
              </w:rPr>
              <w:t>Total shares of the Company's common stock outstanding immediately following</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60" w:type="dxa"/>
            <w:vAlign w:val="bottom"/>
          </w:tcPr>
          <w:p>
            <w:pPr>
              <w:ind w:left="380"/>
              <w:spacing w:after="0"/>
              <w:rPr>
                <w:sz w:val="20"/>
                <w:szCs w:val="20"/>
                <w:color w:val="auto"/>
              </w:rPr>
            </w:pPr>
            <w:r>
              <w:rPr>
                <w:rFonts w:ascii="Arial" w:cs="Arial" w:eastAsia="Arial" w:hAnsi="Arial"/>
                <w:sz w:val="18"/>
                <w:szCs w:val="18"/>
                <w:color w:val="auto"/>
              </w:rPr>
              <w:t>the Business Combination</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42,998,664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60" w:type="dxa"/>
            <w:vAlign w:val="bottom"/>
            <w:vMerge w:val="restart"/>
          </w:tcPr>
          <w:p>
            <w:pPr>
              <w:ind w:left="5580"/>
              <w:spacing w:after="0"/>
              <w:rPr>
                <w:sz w:val="20"/>
                <w:szCs w:val="20"/>
                <w:color w:val="auto"/>
              </w:rPr>
            </w:pPr>
            <w:r>
              <w:rPr>
                <w:rFonts w:ascii="Arial" w:cs="Arial" w:eastAsia="Arial" w:hAnsi="Arial"/>
                <w:sz w:val="18"/>
                <w:szCs w:val="18"/>
                <w:color w:val="auto"/>
              </w:rPr>
              <w:t>8</w:t>
            </w: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92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6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2" w:name="page13"/>
    <w:bookmarkEnd w:id="12"/>
    <w:p>
      <w:pPr>
        <w:ind w:right="7680" w:firstLine="8"/>
        <w:spacing w:after="0" w:line="464" w:lineRule="auto"/>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spacing w:after="0" w:line="272" w:lineRule="auto"/>
        <w:rPr>
          <w:sz w:val="20"/>
          <w:szCs w:val="20"/>
          <w:color w:val="auto"/>
        </w:rPr>
      </w:pPr>
      <w:r>
        <w:rPr>
          <w:rFonts w:ascii="Arial" w:cs="Arial" w:eastAsia="Arial" w:hAnsi="Arial"/>
          <w:sz w:val="17"/>
          <w:szCs w:val="17"/>
          <w:color w:val="auto"/>
        </w:rPr>
        <w:t>The accompanying unaudited condensed consolidated financial statements include those of the Company and its subsidiary, Gemini Therapeutics Sub, Inc., after elimination of all intercompany accounts and transactions. The accompanying unaudited condensed consolidated financial statements and notes hereto have been prepared in conformity with the rules and regulations of the Securities and Exchange Commission (“SEC”) for interim financial reporting and, therefore, omit or condense certain footnotes and other information normally included in financial statements prepared in accordance with accounting principles generally accepted in the United States of America (“GAAP”) as set forth in the Financial Accounting Standards Board’s (“FASB”). Any reference in these notes to applicable guidance is meant to refer to the authoritative GAAP as found in the Accounting Standards Codification (“ASC”) and Accounting Standards Updates (“ASU”) of the FASB.</w:t>
      </w:r>
    </w:p>
    <w:p>
      <w:pPr>
        <w:spacing w:after="0" w:line="13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the opinion of management, all adjustments necessary for a fair statement of the financial information, which are of a normal and recurring nature, have been made for the interim periods reported. Results of operations for the three and six months ended June 30, 2021 and 2020 are not necessarily indicative of the results for the entire fiscal year or any other period. The condensed consolidated financial information for the three and six months ended June 30, 2021 and 2020 have been prepared on the same basis as and should be read in conjunction with Old Gemini’s audited financial statements and notes thereto for the year ended December 31, 2020 included in the Company’s Form 8-K/A as filed with the SEC on March 29, 2021.</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a result of the Business Combination,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For additional information regarding the Business Combination, please refer to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these condensed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unaudited condensed consolidated financial statements in conformity with GAAP requires management to make estimates and assumptions that effect the reported amounts of assets and liabilities and disclosure of contingent assets and liabilities at the date of the financial statements and the reported amounts of expenses during the reporting periods. Significant estimates contained within these financial statements include, but are not limited to, the accruals of research and development expenses, share-based awards utilized for stock-based compensation purposes and, prior to the Business Combination, the estimated fair value of the Company’s common stock and warrant liability.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Actual results may differ materially from those estimates or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considers all highly liquid investments with an original maturity of three months or less at the time of initial purchase to be cash equivalents. The objectives of the Company’s cash management policy are to safeguard and preserve funds to maintain liquidity sufficient to meet the Company’s cash flow requirements and to attain a market rate of return. The Company’s cash equivalents consist of amounts invested in money market mutual funds as of June 30, 2021 and December 31, 2020.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Restricted cash amounted to $323 thousand as of June 30, 2021 and December 31, 2020, which consists of $100 thousand to collateralize the Company’s credit card and $223 thousand to collateralize its irrevocable standby letter of credit for its facility lease arrangement. The letter of credit is in the name of the landlord and is required to fulfill lease requirements in the event the Company should default on its lease obligation.</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reconciliation of the cash and cash equivalents and restricted cash as presented in the Company’s balance sheets to the Company’s statements of cash flows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480" w:type="dxa"/>
            <w:vAlign w:val="bottom"/>
            <w:tcBorders>
              <w:bottom w:val="single" w:sz="8" w:color="CFF0FC"/>
            </w:tcBorders>
          </w:tcPr>
          <w:p>
            <w:pPr>
              <w:spacing w:after="0"/>
              <w:rPr>
                <w:sz w:val="20"/>
                <w:szCs w:val="20"/>
                <w:color w:val="auto"/>
              </w:rPr>
            </w:pPr>
          </w:p>
        </w:tc>
        <w:tc>
          <w:tcPr>
            <w:tcW w:w="3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3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167,477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3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w:t>
            </w:r>
          </w:p>
        </w:tc>
        <w:tc>
          <w:tcPr>
            <w:tcW w:w="3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167,800</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240" w:type="dxa"/>
            <w:vAlign w:val="bottom"/>
            <w:vMerge w:val="restart"/>
          </w:tcPr>
          <w:p>
            <w:pPr>
              <w:jc w:val="right"/>
              <w:ind w:right="197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48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Concentration of credit risk and of significant suppliers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Financial instruments that potentially expose the Company to concentrations of credit risk consist primarily of cash and cash equivalents. The Company maintains deposits in accredited financial institutions in amounts that could exceed federally insured limits. Cash equivalents are invested in money market funds. The Company maintains each of its cash balances with high-quality and accredited financial institutions and accordingly, such funds are not exposed to unusual credit risk beyond the normal credit risk associated with commercial banking relationships.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are stated at cost, less accumulated depreciation. Depreciation is computed on a straight-line basis over the estimated useful lives of the assets. The estimated useful lives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676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8"/>
              </w:rPr>
              <w:t>3 years</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760" w:type="dxa"/>
            <w:vAlign w:val="bottom"/>
          </w:tcPr>
          <w:p>
            <w:pPr>
              <w:jc w:val="center"/>
              <w:ind w:left="1110"/>
              <w:spacing w:after="0"/>
              <w:rPr>
                <w:sz w:val="20"/>
                <w:szCs w:val="20"/>
                <w:color w:val="auto"/>
              </w:rPr>
            </w:pPr>
            <w:r>
              <w:rPr>
                <w:rFonts w:ascii="Arial" w:cs="Arial" w:eastAsia="Arial" w:hAnsi="Arial"/>
                <w:sz w:val="18"/>
                <w:szCs w:val="18"/>
                <w:color w:val="auto"/>
                <w:w w:val="88"/>
              </w:rPr>
              <w:t>5 years</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6760" w:type="dxa"/>
            <w:vAlign w:val="bottom"/>
            <w:shd w:val="clear" w:color="auto" w:fill="CCEEFF"/>
          </w:tcPr>
          <w:p>
            <w:pPr>
              <w:jc w:val="center"/>
              <w:ind w:left="1110"/>
              <w:spacing w:after="0"/>
              <w:rPr>
                <w:sz w:val="20"/>
                <w:szCs w:val="20"/>
                <w:color w:val="auto"/>
              </w:rPr>
            </w:pPr>
            <w:r>
              <w:rPr>
                <w:rFonts w:ascii="Arial" w:cs="Arial" w:eastAsia="Arial" w:hAnsi="Arial"/>
                <w:sz w:val="18"/>
                <w:szCs w:val="18"/>
                <w:color w:val="auto"/>
                <w:w w:val="88"/>
              </w:rPr>
              <w:t>3 years</w:t>
            </w:r>
          </w:p>
        </w:tc>
      </w:tr>
      <w:tr>
        <w:trPr>
          <w:trHeight w:val="202"/>
        </w:trPr>
        <w:tc>
          <w:tcPr>
            <w:tcW w:w="448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6760" w:type="dxa"/>
            <w:vAlign w:val="bottom"/>
          </w:tcPr>
          <w:p>
            <w:pPr>
              <w:jc w:val="center"/>
              <w:ind w:left="1110"/>
              <w:spacing w:after="0" w:line="201" w:lineRule="exact"/>
              <w:rPr>
                <w:sz w:val="20"/>
                <w:szCs w:val="20"/>
                <w:color w:val="auto"/>
              </w:rPr>
            </w:pPr>
            <w:r>
              <w:rPr>
                <w:rFonts w:ascii="Arial" w:cs="Arial" w:eastAsia="Arial" w:hAnsi="Arial"/>
                <w:sz w:val="18"/>
                <w:szCs w:val="18"/>
                <w:color w:val="auto"/>
                <w:w w:val="90"/>
              </w:rPr>
              <w:t>Shorter of the useful life of the asset</w:t>
            </w:r>
          </w:p>
        </w:tc>
      </w:tr>
      <w:tr>
        <w:trPr>
          <w:trHeight w:val="230"/>
        </w:trPr>
        <w:tc>
          <w:tcPr>
            <w:tcW w:w="4480" w:type="dxa"/>
            <w:vAlign w:val="bottom"/>
          </w:tcPr>
          <w:p>
            <w:pPr>
              <w:spacing w:after="0"/>
              <w:rPr>
                <w:sz w:val="20"/>
                <w:szCs w:val="20"/>
                <w:color w:val="auto"/>
              </w:rPr>
            </w:pPr>
          </w:p>
        </w:tc>
        <w:tc>
          <w:tcPr>
            <w:tcW w:w="6760" w:type="dxa"/>
            <w:vAlign w:val="bottom"/>
          </w:tcPr>
          <w:p>
            <w:pPr>
              <w:jc w:val="center"/>
              <w:ind w:left="1110"/>
              <w:spacing w:after="0"/>
              <w:rPr>
                <w:sz w:val="20"/>
                <w:szCs w:val="20"/>
                <w:color w:val="auto"/>
              </w:rPr>
            </w:pPr>
            <w:r>
              <w:rPr>
                <w:rFonts w:ascii="Arial" w:cs="Arial" w:eastAsia="Arial" w:hAnsi="Arial"/>
                <w:sz w:val="18"/>
                <w:szCs w:val="18"/>
                <w:color w:val="auto"/>
                <w:w w:val="90"/>
              </w:rPr>
              <w:t>or the life of the lease</w:t>
            </w:r>
          </w:p>
        </w:tc>
      </w:tr>
    </w:tbl>
    <w:p>
      <w:pPr>
        <w:spacing w:after="0" w:line="24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for capital assets not yet placed in service are capitalized and depreciated once placed into service. Upon retirement or sale, the cost of assets disposed of and the related accumulated depreciation are removed from the accounts and any resulting gain or loss is included in loss from operations. Expenditures for normal, recurring or periodic repairs and maintenance activities are charged to expense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Long-lived assets, comprised of property and equipment,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additional paid-in capital generated as a result of the offering. Should the in-process equity financing be abandoned, the deferred offering costs will be expensed immediately as a charge to operating expenses in the condensed consolidated statements of operations and comprehensive loss. The Company had no deferred offering costs as of June 30, 2021. As of December 31, 2020, the Company recorded deferred offering costs of $2.6 million related to the costs incurred in connection with the Business Combination.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classified and disclosed in one of the following three levels of the fair value hierarchy, of which the first two are considered observable and the last is considered unobservable:</w:t>
      </w:r>
    </w:p>
    <w:p>
      <w:pPr>
        <w:spacing w:after="0" w:line="1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Level 1 – Quoted prices in active markets that are identical assets or liabilities.</w:t>
      </w:r>
    </w:p>
    <w:p>
      <w:pPr>
        <w:spacing w:after="0" w:line="185" w:lineRule="exact"/>
        <w:rPr>
          <w:sz w:val="20"/>
          <w:szCs w:val="20"/>
          <w:color w:val="auto"/>
        </w:rPr>
      </w:pPr>
    </w:p>
    <w:p>
      <w:pPr>
        <w:jc w:val="both"/>
        <w:ind w:left="280"/>
        <w:spacing w:after="0" w:line="263" w:lineRule="auto"/>
        <w:rPr>
          <w:sz w:val="20"/>
          <w:szCs w:val="20"/>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3" w:lineRule="exact"/>
        <w:rPr>
          <w:sz w:val="20"/>
          <w:szCs w:val="20"/>
          <w:color w:val="auto"/>
        </w:rPr>
      </w:pPr>
    </w:p>
    <w:p>
      <w:pPr>
        <w:jc w:val="both"/>
        <w:ind w:left="280"/>
        <w:spacing w:after="0" w:line="277" w:lineRule="auto"/>
        <w:rPr>
          <w:sz w:val="20"/>
          <w:szCs w:val="20"/>
          <w:color w:val="auto"/>
        </w:rPr>
      </w:pPr>
      <w:r>
        <w:rPr>
          <w:rFonts w:ascii="Arial" w:cs="Arial" w:eastAsia="Arial" w:hAnsi="Arial"/>
          <w:sz w:val="18"/>
          <w:szCs w:val="18"/>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cash equivalents and preferred stock warrant liability (outstanding as of December 31, 2020 only) are carried at fair value, determined according to the fair value hierarchy described above (see Note 5). The carrying values of the Company’s prepaid expenses and other current assets and accounts payable and accrued expenses approximate their fair values due to the short-term nature of these assets and liabilities. The carrying value of the Company’s term loan as of June 30, 2021 and December 31, 2020 (see Note 7) approximated fair value based on interest rates currently available to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the Company’s term loan was recorded net of issuance costs and discount relating to the issuance of warrants. The debt discounts are amortized over the term of the debt using the effective interest method and recognized as interest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2019, concurrent with the Company’s term loan agreement (see Note 7), the Company issued warrants to purchase shares of Old Gemini’s Series A preferred stock. The Company accounted for the warrants to purchase Series A preferred stock as a liability as these warrants were freestanding financial instruments that may have required the Company to transfer assets upon exercise. The fair value of the warrants classified as liabilities is estimated using the Black-Scholes Option Pricing Model and adjusted to fair value at the end of each reporting period. Changes in the fair value of the warrant are recognized as a component of other income (expense) in the condensed consolidated statements of operations and comprehensive loss. The estimates in the Black-Scholes Option Pricing Model are based, in part, on subjective assumptions, including, stock price volatility, term of the warrants, risk-free interest rate, dividend yield and the fair value of the preferred stock underlying the warrants. Such assumptions could differ materially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At the closing of the Business Combination, the warrants were automatically exercised for 15,257 shares of the Company’s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Company’s singular focus is the development of novel therapies for genetically defined, age-related macular degeneration. The Company has determined that it operates as a single operating segment and has one reportable segment. The Company’s long-lived assets are located in the United States.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contract costs and accruals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include employee payroll, consulting, contract research, depreciation, rent and other corporate costs attributable to research and development activities and are expensed as incurred.</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Upfront payments and milestone payments made for the licensing of technology are expensed as research and development expenses in the period in which they are incurred. Nonrefundable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or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Patent costs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all patent-related costs incurred in connection with filing and prosecuting patent applications. It records such costs within general and administrative expenses in its accompanying statements of operations and comprehensive loss.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measures all stock-based awards granted to employees, directors and non-employees based on the fair value on the date of grant and recognizes compensation expense of those awards over the requisite service period, which is generally the vesting period of the respective award. Forfeitures are accounted for as they occur. The Company grants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The Company estimates the probability that certain performance criteria will be met and does not recognize compensation expense until it is probable that the performance-based vesting condition will be achieved.</w:t>
      </w:r>
    </w:p>
    <w:p>
      <w:pPr>
        <w:spacing w:after="0" w:line="1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Preferred and Common Stock</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Prior to the completion of the Business Combination transaction, given that there had been no public market for the Company’s common stock, the estimated fair value of its common stock was determined by its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The Company’s common stock valuations were prepared using an option pricing method, or OPM, or a hybrid method, both of which used market approaches to estimate its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the Company’s common stock based upon an analysis of its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the Company’s common stock. These estimates and assumptions include a number of objective and subjective factors, including external market conditions, the prices at which the Company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closing of the Business Combination, the fair value of each share of common stock underlying stock-based awards is determined based on the closing price of the Company’s common stock as reported by Nasdaq on the date of grant.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Stock Option Awards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each restricted common stock award is estimated on the date of grant based on the fair value of the Company’s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w:t>
      </w:r>
    </w:p>
    <w:p>
      <w:pPr>
        <w:spacing w:after="0" w:line="1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Business Combination, the Company was a private company and, therefore, lacked company-specific historical and implied volatility information for its stock. Therefore, it estimated its expected stock price volatility based on the historical volatility of publicly traded peer companies and expects to continue to do so until such time as it has adequate historical data regarding the volatility of its own traded stock price. The expected term of the Company’s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color w:val="auto"/>
        </w:rPr>
        <w:t>award for time periods approximately equal to the expected term of the award. Expected dividend yield is based on the fact that the Company has never paid cash dividends on common stock and does not expect to pay any cash dividends in the foreseeable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analyzing carryback capacity in periods with taxable income, reversal of existing taxable temporary differences and estimating the future taxable profits expected and considering prudent and feasible tax planning strategies.</w:t>
      </w:r>
    </w:p>
    <w:p>
      <w:pPr>
        <w:spacing w:after="0" w:line="1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To the extent an income tax provision is necessary, the provision for income taxes would include the effects of any resulting tax reserves, or unrecognized tax benefits, that are considered appropriate as well as the related net interest and penalties.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condensed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calculates earnings per share in accordance with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The two-class method of computing earnings per share is required for entities that have participating securities. Under the two-class method, net income is allocated between ordinary shares and participating securities based on dividends declared (or accumulated) and participating rights in undistributed earnings as if all the earnings for the reporting period had been distributed.</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Basic net loss per share attributable to common stockholders is computed by dividing the net loss attributable to common stockholders by the weighted average number of common shares outstanding for the period. Diluted net loss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 average number of common shares outstanding for the period, including potential dilutive common stock. For purpose of this calculation, outstanding options, unvested restricted common stock and convertible preferred stock are considered potential dilutive common stock and are excluded from the computation of net loss per share as their effect is anti-dilutive.</w:t>
      </w:r>
    </w:p>
    <w:p>
      <w:pPr>
        <w:spacing w:after="0" w:line="1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be outstanding if their effect is anti-dilutive. The Company reported a net loss attributable to common stockholders for the three and six months ended June 30, 2021 and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qualifies as an “emerging growth company” (“EGC”), as defined in the Jumpstart Our Business Startups Act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avail itself of the extended transition period and, therefore, while the Company is an EGC it will not be subject to new or revised accounting standards at the same time that they become applicable to other public companies that are not EGCs, unless it chooses to early adopt a new or revised accounting standard. As a result of this election, the condensed consolidated financial statements may not be comparable to companies that comply with public company FASB standards’ effective 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(“ASU 2018-18”). The amendments in this update clarify that certain transactions between collaborative arrangement participants should be accounted for as revenue when the collaborative arrangement participant is a customer in the context of a unit of account and precludes recognizing as revenue consideration received from a collaborative arrangement participant if the participant is not a customer. This standard became effective for the Company on January 1, 2021 and did not have a material impact on its condensed consolidated financial statements as the Company had no transactions applicable to this guidance; however, the standard may impact how the Company accounts for certain business transactions in the future.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Amendments to the FASB Accounting Standards Codification (</w:t>
      </w:r>
      <w:r>
        <w:rPr>
          <w:rFonts w:ascii="Arial" w:cs="Arial" w:eastAsia="Arial" w:hAnsi="Arial"/>
          <w:sz w:val="16"/>
          <w:szCs w:val="16"/>
          <w:color w:val="auto"/>
        </w:rPr>
        <w:t>“ASU 2016-02”), which replaces the existing guidance for leases. ASU 2016-02 requires the identification of arrangements that should be accounted for as leases by lessees. In general, for lease arrangements exceeding a twelve-month term, these arrangements must now be recognized as assets and liabilities on the balance sheet of the lessee. Under ASU 2016-02, a right-of-use asset and a lease liability will be recorded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The guidance is effective for annual reporting periods beginning after December 15, 2021 and interim periods beginning after December 15, 2022, and early adoption is permitted. The Company is currently evaluating the impact that the adoption of ASU 2016-02 will have on its financial statements.</w:t>
      </w:r>
    </w:p>
    <w:p>
      <w:pPr>
        <w:spacing w:after="0" w:line="1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w:t>
      </w:r>
      <w:r>
        <w:rPr>
          <w:rFonts w:ascii="Arial" w:cs="Arial" w:eastAsia="Arial" w:hAnsi="Arial"/>
          <w:sz w:val="17"/>
          <w:szCs w:val="17"/>
          <w:color w:val="auto"/>
        </w:rPr>
        <w:t>—</w:t>
      </w:r>
      <w:r>
        <w:rPr>
          <w:rFonts w:ascii="Arial" w:cs="Arial" w:eastAsia="Arial" w:hAnsi="Arial"/>
          <w:sz w:val="17"/>
          <w:szCs w:val="17"/>
          <w:i w:val="1"/>
          <w:iCs w:val="1"/>
          <w:color w:val="auto"/>
        </w:rPr>
        <w:t>Credit Losses (Topic 326)—Measurement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has been subsequently amended by ASU No. 2018-19, ASU No. 2019-04, ASU No. 2019-05, ASU No. 2019-10, ASU No. 2019-11 and</w:t>
      </w:r>
      <w:r>
        <w:rPr>
          <w:rFonts w:ascii="Arial" w:cs="Arial" w:eastAsia="Arial" w:hAnsi="Arial"/>
          <w:sz w:val="17"/>
          <w:szCs w:val="17"/>
          <w:i w:val="1"/>
          <w:iCs w:val="1"/>
          <w:color w:val="auto"/>
        </w:rPr>
        <w:t xml:space="preserve"> </w:t>
      </w:r>
      <w:r>
        <w:rPr>
          <w:rFonts w:ascii="Arial" w:cs="Arial" w:eastAsia="Arial" w:hAnsi="Arial"/>
          <w:sz w:val="17"/>
          <w:szCs w:val="17"/>
          <w:color w:val="auto"/>
        </w:rPr>
        <w:t>ASU No. 2020-3 (“ASU 2016-13”). The provisions of ASU 2016-13 modify the impairment model to utilize an expected loss methodology in place of the currently used incurred loss methodology and require a consideration of a broader range of reasonable and supportable information to inform credit loss estimates. ASU 2016-13 is effective for the Company on January 1, 2023, with early adoption permitted. The Company is currently evaluating the potential impact that ASU 2016-13 may have on its financial statements and related disclosures.</w:t>
      </w:r>
    </w:p>
    <w:p>
      <w:pPr>
        <w:spacing w:after="0" w:line="1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is intended to simplify the accounting for income taxes. ASU 2019-12 removes certain exceptions to the general principles in Topic 740 and also clarifies and amends existing guidance to improve consistent application. The new standard will be effective for annual reporting periods beginning after December 15, 2021. The Company is currently evaluating the potential impact ASU 2018-18 will have on its financial statements.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in Entity’s Own Equity (Subtopic 815-40) </w:t>
      </w:r>
      <w:r>
        <w:rPr>
          <w:rFonts w:ascii="Arial" w:cs="Arial" w:eastAsia="Arial" w:hAnsi="Arial"/>
          <w:sz w:val="18"/>
          <w:szCs w:val="18"/>
          <w:color w:val="auto"/>
        </w:rPr>
        <w:t>(“ASU 2020-06”), which reduces the number of accounting models for convertible 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convertible preferred stock as well as amends the derivatives scope exception for contracts in an entity’s own equity. ASU 2020-06 is effective for the Company on January 1, 2024, with early adoption permitted. The Company is currently evaluating the potential impact that this standard may have on its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tables present information about the Company’s financial assets and liabilities measured at fair value (in thousands) on a recurring basis and indicate the level of the fair value hierarchy used to determine such fair values: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June 30, 2021</w:t>
            </w: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940" w:type="dxa"/>
            <w:vAlign w:val="bottom"/>
          </w:tcPr>
          <w:p>
            <w:pPr>
              <w:jc w:val="right"/>
              <w:ind w:right="21"/>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Money market funds in 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166,594</w:t>
            </w:r>
          </w:p>
        </w:tc>
        <w:tc>
          <w:tcPr>
            <w:tcW w:w="240" w:type="dxa"/>
            <w:vAlign w:val="bottom"/>
          </w:tcPr>
          <w:p>
            <w:pPr>
              <w:spacing w:after="0"/>
              <w:rPr>
                <w:sz w:val="19"/>
                <w:szCs w:val="19"/>
                <w:color w:val="auto"/>
              </w:rPr>
            </w:pPr>
          </w:p>
        </w:tc>
        <w:tc>
          <w:tcPr>
            <w:tcW w:w="940" w:type="dxa"/>
            <w:vAlign w:val="bottom"/>
          </w:tcPr>
          <w:p>
            <w:pPr>
              <w:jc w:val="right"/>
              <w:ind w:right="781"/>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166,594</w:t>
            </w:r>
          </w:p>
        </w:tc>
        <w:tc>
          <w:tcPr>
            <w:tcW w:w="100" w:type="dxa"/>
            <w:vAlign w:val="bottom"/>
          </w:tcPr>
          <w:p>
            <w:pPr>
              <w:spacing w:after="0"/>
              <w:rPr>
                <w:sz w:val="19"/>
                <w:szCs w:val="19"/>
                <w:color w:val="auto"/>
              </w:rPr>
            </w:pPr>
          </w:p>
        </w:tc>
      </w:tr>
      <w:tr>
        <w:trPr>
          <w:trHeight w:val="223"/>
        </w:trPr>
        <w:tc>
          <w:tcPr>
            <w:tcW w:w="57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166,594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801"/>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166,594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Arial" w:cs="Arial" w:eastAsia="Arial" w:hAnsi="Arial"/>
                <w:sz w:val="18"/>
                <w:szCs w:val="18"/>
                <w:b w:val="1"/>
                <w:bCs w:val="1"/>
                <w:color w:val="auto"/>
              </w:rPr>
              <w:t>December 31, 2020</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940" w:type="dxa"/>
            <w:vAlign w:val="bottom"/>
          </w:tcPr>
          <w:p>
            <w:pPr>
              <w:jc w:val="right"/>
              <w:ind w:right="24"/>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Money market funds in cash and cash equivalents</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4,015</w:t>
            </w:r>
          </w:p>
        </w:tc>
        <w:tc>
          <w:tcPr>
            <w:tcW w:w="240" w:type="dxa"/>
            <w:vAlign w:val="bottom"/>
          </w:tcPr>
          <w:p>
            <w:pPr>
              <w:spacing w:after="0"/>
              <w:rPr>
                <w:sz w:val="19"/>
                <w:szCs w:val="19"/>
                <w:color w:val="auto"/>
              </w:rPr>
            </w:pPr>
          </w:p>
        </w:tc>
        <w:tc>
          <w:tcPr>
            <w:tcW w:w="940" w:type="dxa"/>
            <w:vAlign w:val="bottom"/>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744"/>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ind w:right="744"/>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4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44"/>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76</w:t>
            </w:r>
          </w:p>
        </w:tc>
        <w:tc>
          <w:tcPr>
            <w:tcW w:w="4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84"/>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76</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12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The values of cash equivalents are classified as Level 1 measurements under the fair value hierarchy, as these assets have been valued using quoted market prices in active markets and do not have any restrictions on redemption. As of June 30, 2021 and December 31, 2020, cash equivalents were comprised of funds in money market accounts. There were no transfers or reclassifications between Level 1, Level 2 and Level 3 during the three and six months ended June 30, 2021.</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value of the warrant liability is classified as a Level 3 measurement under the fair value hierarchy, as this liability has been valued based on significant inputs not observable in the market.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to purchase Series A Preferred Stock</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February 2019, concurrent with the Company’s term loan agreement, the Company issued warrants to purchase 15,257 shares of Old Gemini’s Series A preferred stock. The warrants had an exercise price of $5.46 per share and expired in February 2029, representing a contractual term of ten years from issuance. At the closing of the Business Combination, the warrants were automatically exercised for 15,257 shares of the Company’s common stock.</w:t>
      </w:r>
    </w:p>
    <w:p>
      <w:pPr>
        <w:spacing w:after="0" w:line="1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warrants was recorded as a liability on the date of issuance and was revalued at the end of each reporting period until being exercised upon the closing of the Business Combination.</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a summary of the activities of the Company’s Series A preferred stock warrant liability, which represents a recurring measurement that is classified within Level 3 of the fair value hierarchy wherein fair value is estimated using significant unobservable inputs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2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181"/>
              <w:spacing w:after="0"/>
              <w:rPr>
                <w:sz w:val="20"/>
                <w:szCs w:val="20"/>
                <w:color w:val="auto"/>
              </w:rPr>
            </w:pPr>
            <w:r>
              <w:rPr>
                <w:rFonts w:ascii="Arial" w:cs="Arial" w:eastAsia="Arial" w:hAnsi="Arial"/>
                <w:sz w:val="18"/>
                <w:szCs w:val="18"/>
                <w:b w:val="1"/>
                <w:bCs w:val="1"/>
                <w:color w:val="auto"/>
              </w:rPr>
              <w:t>Six Months Ended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w w:val="97"/>
              </w:rPr>
              <w:t>June 30,</w:t>
            </w: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581"/>
              <w:spacing w:after="0"/>
              <w:rPr>
                <w:sz w:val="20"/>
                <w:szCs w:val="20"/>
                <w:color w:val="auto"/>
              </w:rPr>
            </w:pPr>
            <w:r>
              <w:rPr>
                <w:rFonts w:ascii="Arial" w:cs="Arial" w:eastAsia="Arial" w:hAnsi="Arial"/>
                <w:sz w:val="18"/>
                <w:szCs w:val="18"/>
                <w:b w:val="1"/>
                <w:bCs w:val="1"/>
                <w:color w:val="auto"/>
              </w:rPr>
              <w:t>June 30,</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Beginning warrant liability balance</w:t>
            </w:r>
          </w:p>
        </w:tc>
        <w:tc>
          <w:tcPr>
            <w:tcW w:w="840" w:type="dxa"/>
            <w:vAlign w:val="bottom"/>
            <w:shd w:val="clear" w:color="auto" w:fill="CFF0FC"/>
          </w:tcPr>
          <w:p>
            <w:pPr>
              <w:jc w:val="right"/>
              <w:ind w:right="678"/>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1"/>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Pr>
          <w:p>
            <w:pPr>
              <w:spacing w:after="0"/>
              <w:rPr>
                <w:sz w:val="20"/>
                <w:szCs w:val="20"/>
                <w:color w:val="auto"/>
              </w:rPr>
            </w:pPr>
            <w:r>
              <w:rPr>
                <w:rFonts w:ascii="Arial" w:cs="Arial" w:eastAsia="Arial" w:hAnsi="Arial"/>
                <w:sz w:val="18"/>
                <w:szCs w:val="18"/>
                <w:color w:val="auto"/>
              </w:rPr>
              <w:t>Change in fair value</w:t>
            </w: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30"/>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Warrant exercise</w:t>
            </w:r>
          </w:p>
        </w:tc>
        <w:tc>
          <w:tcPr>
            <w:tcW w:w="8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(76)</w:t>
            </w: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Pr>
          <w:p>
            <w:pPr>
              <w:spacing w:after="0"/>
              <w:rPr>
                <w:sz w:val="20"/>
                <w:szCs w:val="20"/>
                <w:color w:val="auto"/>
              </w:rPr>
            </w:pPr>
            <w:r>
              <w:rPr>
                <w:rFonts w:ascii="Arial" w:cs="Arial" w:eastAsia="Arial" w:hAnsi="Arial"/>
                <w:sz w:val="18"/>
                <w:szCs w:val="18"/>
                <w:b w:val="1"/>
                <w:bCs w:val="1"/>
                <w:color w:val="auto"/>
              </w:rPr>
              <w:t>Ending warrant liability balance</w:t>
            </w:r>
          </w:p>
        </w:tc>
        <w:tc>
          <w:tcPr>
            <w:tcW w:w="840" w:type="dxa"/>
            <w:vAlign w:val="bottom"/>
            <w:tcBorders>
              <w:top w:val="single" w:sz="8" w:color="auto"/>
              <w:bottom w:val="single" w:sz="8" w:color="auto"/>
            </w:tcBorders>
          </w:tcPr>
          <w:p>
            <w:pPr>
              <w:jc w:val="right"/>
              <w:ind w:right="678"/>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1"/>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6. Accrued expenses and other current liabilities</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92"/>
        </w:trPr>
        <w:tc>
          <w:tcPr>
            <w:tcW w:w="7720" w:type="dxa"/>
            <w:vAlign w:val="bottom"/>
          </w:tcPr>
          <w:p>
            <w:pPr>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7"/>
        </w:trPr>
        <w:tc>
          <w:tcPr>
            <w:tcW w:w="77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1,644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external research and development</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2,809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interest</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other</w:t>
            </w:r>
          </w:p>
        </w:tc>
        <w:tc>
          <w:tcPr>
            <w:tcW w:w="1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5,013</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2019, the Company entered into a term loan facility of up to $10.0 million (the “Term Loan”) with Silicon Valley Bank (“SVB”). The proceeds were used for general corporate and working capital purposes. Concurrent with the Term Loan, the Company issued SVB warrants to purchase 15,257 shares of the Company’s Series A preferred stock at an exercise price of $5.46 (see Note 5). As of June 30, 2021 and December 31, 2020, the Company had $7.9 million and $10.0 million, respectively, in principal outstanding under the Term Loan.</w:t>
      </w:r>
    </w:p>
    <w:p>
      <w:pPr>
        <w:spacing w:after="0" w:line="16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Term Loan is governed by a loan and security agreement, dated February 8, 2019, between the Company and SVB (the “SVB Loan Agreement”). The SVB Loan Agreement provided for two separate tranches under which the Company could borrow. The first tranche for $7.5 million was available as single term loan advance until January 31, 2020. The second tranche was also available until January 31, 2020 as single term loan advance for $2.5 million and required that the Company meet a certain milestone event. On April 18, 2019, the Company borrowed $7.5 million under the first tranche, and on December 17, 2019, the Company borrowed $2.5 million under the second tranche having satisfied the milestone requirement.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8"/>
          <w:szCs w:val="18"/>
          <w:color w:val="auto"/>
        </w:rPr>
        <w:t>The Term Loan initially matured on July 1, 2022 and accrues interest at a floating rate per annum equal to the greater of 3.75% or the prime rate minus 1.5% (1.75% as of June 30, 2021). The Term Loan initially provided for monthly interest-only payments until July 31, 2020. Thereafter, payments are payable in equal monthly installments of principal, plus all accrued and unpaid interest. The Company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7, 2020, the Company entered into a deferral agreement with SVB to defer scheduled principal repayments on its term loan by six months. The deferral agreement was offered to the Company in connection with SVB’s venture debt relief initiative, which was started due to the COVID-19 pandemic. The Company’s first principal payment under its credit facility occurred in February 2021. The required monthly interest-only payment was not impacted by the deferral. The Term Loan’s new maturity date is January 1, 2023. After considering the debt guidance in ASC 470, the Company concluded that it did not meet the indicators of a troubled debt restructuring and accounted for the deferral of principal payment as a debt modification. Since there were no fees paid to SVB in connection with the deferral agreement, the modification had no impact to the Company’s financial statements.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loan term (whether at maturity, by prepayment in full or otherwise), the Company is required to pay a final end of term charge to SVB in the amount of 4.0% of the aggregate original principal amount advanced by SVB. The amount of the end of term charge is being accrued over the loan term as interest expense. As of June 30, 2021 and December 31, 2020, the Company accrued $308 thousand and $239 thousand, respectively, related to the end of term charge, which has been classified within other long-term liabilities.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SVB Loan Agreement includes a provision under which SVB may accelerate the scheduled maturities of the Term Loan under conditions that are not objectively determinable. The Company evaluated the likelihood of such acceleration and determined that it is not probable and classified the Term Loan on the balance sheet in accordance with the repayment schedule as of June 30,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As of June 30, 2021, scheduled principal payments for the Term Loan are as follows (in thousands):</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926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740" w:type="dxa"/>
            <w:vAlign w:val="bottom"/>
            <w:gridSpan w:val="2"/>
            <w:shd w:val="clear" w:color="auto" w:fill="CFF0FC"/>
          </w:tcPr>
          <w:p>
            <w:pPr>
              <w:jc w:val="right"/>
              <w:ind w:right="609"/>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100" w:type="dxa"/>
            <w:vAlign w:val="bottom"/>
            <w:shd w:val="clear" w:color="auto" w:fill="CFF0FC"/>
          </w:tcPr>
          <w:p>
            <w:pPr>
              <w:spacing w:after="0"/>
              <w:rPr>
                <w:sz w:val="19"/>
                <w:szCs w:val="19"/>
                <w:color w:val="auto"/>
              </w:rPr>
            </w:pP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Total principal</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7,917</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discounts</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Carrying amount</w:t>
            </w:r>
          </w:p>
        </w:tc>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(5,000)</w:t>
            </w:r>
          </w:p>
        </w:tc>
      </w:tr>
      <w:tr>
        <w:trPr>
          <w:trHeight w:val="223"/>
        </w:trPr>
        <w:tc>
          <w:tcPr>
            <w:tcW w:w="9260" w:type="dxa"/>
            <w:vAlign w:val="bottom"/>
          </w:tcPr>
          <w:p>
            <w:pPr>
              <w:spacing w:after="0"/>
              <w:rPr>
                <w:sz w:val="20"/>
                <w:szCs w:val="20"/>
                <w:color w:val="auto"/>
              </w:rPr>
            </w:pPr>
            <w:r>
              <w:rPr>
                <w:rFonts w:ascii="Arial" w:cs="Arial" w:eastAsia="Arial" w:hAnsi="Arial"/>
                <w:sz w:val="18"/>
                <w:szCs w:val="18"/>
                <w:color w:val="auto"/>
              </w:rPr>
              <w:t>Long-term portion</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approximately $121 thousand and $107 thousand for the three months ended June 30, 2021 and 2020, respectively, and approximately $259 thousand and $260 thousand for the six months ended June 30, 2021 and 2020,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promissory notes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21, 2020, Old Gemini entered into a purchase agreement with various investors to issue $14.0 million in convertible promissory notes (the “Notes”). The Notes accrued simple interest at 8% per annum. The Company determined that a beneficial conversion feature (“BCF”) exists and should be recognized on the issuance date. The Company recorded the Notes at the original issuance price, net of the BCF discount. The BCF discount was accreted to the face value of the Notes over the period from the issuance date until the maturity date, offset against interest expense.</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Notes served as a bridge loan prior to the PIPE Financing that was completed in connection with the closing of the Business Combination. The Notes were intended to automatically convert into shares of common stock issued in the PIPE Financing at a per share conversion price equal to the lowest per share price paid for such shares of common stock in the PIPE Financing.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 and the Notes liability was extinguished. The Company recorded other expense of $0.7 million for the difference between the reacquisition price of the Notes and the net carrying amount of the Notes in the condensed consolidated statements of operations and comprehensive loss for the six months ended June 30, 2021.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As of December 31, 2020, the carrying value of the Notes was as follows (in thousands):</w:t>
            </w:r>
          </w:p>
        </w:tc>
        <w:tc>
          <w:tcPr>
            <w:tcW w:w="1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2140" w:type="dxa"/>
            <w:vAlign w:val="bottom"/>
            <w:gridSpan w:val="2"/>
            <w:shd w:val="clear" w:color="auto" w:fill="CFF0FC"/>
          </w:tcPr>
          <w:p>
            <w:pPr>
              <w:jc w:val="right"/>
              <w:ind w:right="54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Unamortized discount (beneficial conversion feature)</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(2,311)</w:t>
            </w:r>
          </w:p>
        </w:tc>
      </w:tr>
      <w:tr>
        <w:trPr>
          <w:trHeight w:val="223"/>
        </w:trPr>
        <w:tc>
          <w:tcPr>
            <w:tcW w:w="7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Carrying amount</w:t>
            </w:r>
          </w:p>
        </w:tc>
        <w:tc>
          <w:tcPr>
            <w:tcW w:w="14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11,689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Less current portion</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(11,689)</w:t>
            </w:r>
          </w:p>
        </w:tc>
      </w:tr>
      <w:tr>
        <w:trPr>
          <w:trHeight w:val="223"/>
        </w:trPr>
        <w:tc>
          <w:tcPr>
            <w:tcW w:w="7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portion</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2021, the Company recognized interest expense of $0 and $1.7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 (Deficit)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condensed consolidated statement of stockholders’ equity (deficit) has been retroactively adjusted for all periods presented to reflect the Business Combination and reverse recapitalization as defined in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closing of the Business Combination, pursuant to the terms of the Amended and Restated Certificate of Incorporation dated February 5, 2021, the Company authorized 10,000,000 shares of preferred stock with a par value $0.0001 per share. The Company’s board of directors has the authority, without further action by the stockholders, to issue such shares of preferred stock in one or more series, to establish from time to time the number of shares to be included in each such series, and to fix the designations, powers, voting, and other rights, preferences and privileges of the shares. There were no issued and outstanding shares of preferred stock as of June 30, 2021.</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closing of the Business Combination, all previously issued and outstanding Series A convertible preferred stock and Series B convertible preferred stock were exchanged for common stock of the Company pursuant to the Conversion Ratio established in the Merger Agreement. All fractional shares were rounded down.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the term of the Amended and Restated Certificate of Incorporation, the Company authorized 250,000,000 shares of common stock with a par value of $0.0001 per share. Immediately following the closing of the Business Combination and as of June 30, 2021, there were 42,998,664 and 43,055,112 shares of common stock issued and outstanding, respectively.</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As discussed in Note 3, </w:t>
      </w:r>
      <w:r>
        <w:rPr>
          <w:rFonts w:ascii="Arial" w:cs="Arial" w:eastAsia="Arial" w:hAnsi="Arial"/>
          <w:sz w:val="16"/>
          <w:szCs w:val="16"/>
          <w:i w:val="1"/>
          <w:iCs w:val="1"/>
          <w:color w:val="auto"/>
        </w:rPr>
        <w:t>Business Combination</w:t>
      </w:r>
      <w:r>
        <w:rPr>
          <w:rFonts w:ascii="Arial" w:cs="Arial" w:eastAsia="Arial" w:hAnsi="Arial"/>
          <w:sz w:val="16"/>
          <w:szCs w:val="16"/>
          <w:color w:val="auto"/>
        </w:rPr>
        <w:t>, the Company has retroactively adjusted the shares issued and outstanding prior to February 5, 2021 to give effect to the Conversion Ratio established in the Merger Agreement to determine the number of shares of common stock into which they were converted.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Each share of common stock entitles the holder to one vote on all matters submitted to a vote of the Company’s stockholders.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Common stockholders are entitled to receive dividends, as may be declared by the board of directors. No dividends have been declared to date.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10. Equity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Old Gemini Equity Incentive Plan</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Old Gemini’s 2017 Stock Option and Grant Plan, as amended (the “2017 Plan”), provided for the Company to grant qualified incentive options, nonqualified options, stock grants and other stock-based awards to employees and non-employees to purchase the Company’s common stock. The 2017 Plan was administered by the board of directors, or at the discretion of the board of directors, by a committee of the board of directors.</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exercise price for incentive options was determined at the discretion of the board of directors. All incentive options granted to any person possessing less than 10% of the total combined voting power of all classes of stock may not have an exercise price of less than 100% of the fair market value of the common stock on the grant date. All incentive options granted to any person possessing more than 10% of the total combined voting power of all classes of stock may not have an exercise price of less than 110% of the fair market value of the common stock on the grant date.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option term for incentive awards may not be greater than ten years from the date of the grant. Incentive options granted to persons possessing more than 10% of the total combined voting power of all classes of stock may not have an option term of greater than five years from the date of the grant. The vesting period for equity-based awards under the 2017 Plan was determined at the discretion of the board of directors, which was generally four years. For awards granted to employees and non-employees with four-year vesting terms, 25% of the option vests on the first anniversary of the grant date and the remaining stock vest equally each month for three years thereafter.</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completion of the Business Combination, the Company ceased granting awards under the 2017 Plan. All awards under the 2017 Plan continue in full force and effect on the same terms and conditions as were previously applicable to such awards, subject to adjustments to the exercise price and number of shares of common stock issuable upon exercise based on the Conversion Ratio.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Awards</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Each Old Gemini option from the 2017 Plan and each option from Old Gemini’s 2015 Stock Option and Grant Plan (the “2015 Plan”) that was outstanding immediately prior to the Business Combination, whether vested or unvested, was converted into an option to purchase a number of shares of common stock (each such option, an "Exchanged Option") equal to the product (rounded down to the nearest whole number) of (i) the number of shares of Old Gemini common stock subject to such Old Gemini option immediately prior to the Business Combination and (ii) the Conversion Ratio, at an exercise price per share (rounded up to the nearest whole cent) equal to (A) the exercise price per share of such Old Gemini option immediately prior to the consummation of the Business Combination, divided by (B) the Conversion Ratio. Each Exchanged Option will continue to be governed by the same terms and conditions (including vesting and exercisability terms) as were applicable to the corresponding former Old Gemini option immediately prior to the consummation of the Business Combination. All stock option activity was retroactively restated to reflect the Exchanged Options.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the Closing Date, the 10,567,508 options and 163,157 restricted stock units (“RSUs”) outstanding under the 2017 Plan and 2015 Plan were converted into 2,303,309 options and 35,561 RSUs upon completion of the Business Combination after effect of the Conversion Ratio. This effect of the Conversion Ratio has been retroactively adjusted throughout the Company’s unaudited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Gemini Equity Incentive Plan</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February 3, 2021, FSDC’s stockholders approved the 2021 Stock Option and Incentive Plan (the “2021 Plan”), pursuant to which 4,264,341 shares of common stock were reserved for issuance. The 2021 Plan provides for the Company to grant incentive stock options or nonqualified stock options for the purchase of common stock, stock appreciation rights, restricted stock awards, restricted stock units, unrestricted stock awards, cash-based awards and dividend equivalent rights to employees, officers, directors and consultants of Gemini. Incentive stock options may only be granted to employees. The 2021 Plan is administered by the plan administrator, which is the Compensation Committee of Gemini’s board of directors, provided therein, which has discretionary authority, subject only to the express provisions of the 2021 Plan, to interpret the 2021 Plan; determine eligibility for and grant awards; determine form of settlement of awards (whether in cash, shares of stock, other property or a combination of the foregoing), determine, modify or waive the terms and conditions of any award; prescribe forms, rules and procedures; and otherwise do all things necessary to carry out the purposes of the 2021 Plan. As of June 30, 2021, 498,602 shares remained available for future issuance under the 2021 Plan.</w:t>
      </w:r>
    </w:p>
    <w:p>
      <w:pPr>
        <w:spacing w:after="0" w:line="1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exercise price of each award granted under the 2021 Plan requiring exercise will be 100% of the fair market value of stock subject to the award, determined as of the date of the grant, or such higher amount as the plan administrator may determine in connection with the grant, and the term of stock option may not be greater than ten years. The vesting and other restrictions are determined at the discretion of the plan administrator.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2021 Inducement Plan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12, 2021, the Company’s board of directors approved the 2021 Inducement Plan. The 2021 Inducement Plan is a non-stockholder approved stock plan under which the Company grants equity awards to induce highly-qualified prospective officers and employees who are not currently employed by the Company to accept employment and provide them with a proprietary interest in the Company. The Company intends that the 2021 Inducement Plan be reserved for persons to whom the Company may issue securities without stockholder approval as an inducement pursuant to Rule 5635(c)(4) of the Marketplace Rules of the NASDAQ Stock Market, Inc. The 2021 Inducement Plan is administered by the board of directors or the Compensation Committee of the board, which determines the types of awards to be granted, including the number of shares subject to the awards, the exercise price and the vesting schedule. Awards granted under the 2021 Inducement Plan expire no later than ten years from the date of grant. As of June 30, 2021, 983,949 shares were available for issuance under the 2021 Inducement Plan.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stock-based compensation expense in the following expense categories of its condensed consolidated statements of operations and comprehensive loss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3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1,303</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1,959</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c>
          <w:tcPr>
            <w:tcW w:w="2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2,862</w:t>
            </w:r>
          </w:p>
        </w:tc>
        <w:tc>
          <w:tcPr>
            <w:tcW w:w="2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138</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4,455</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Business Combination, the Company has retroactively restated the weighted average shares outstanding prior to February 5, 2021 to give effect to the Conversion Ratio.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460" w:type="dxa"/>
            <w:vAlign w:val="bottom"/>
            <w:gridSpan w:val="5"/>
          </w:tcPr>
          <w:p>
            <w:pPr>
              <w:ind w:left="3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stockholders</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(6,773)</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(35,495)</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(16,519)</w:t>
            </w:r>
          </w:p>
        </w:tc>
        <w:tc>
          <w:tcPr>
            <w:tcW w:w="120" w:type="dxa"/>
            <w:vAlign w:val="bottom"/>
            <w:shd w:val="clear" w:color="auto" w:fill="CFF0FC"/>
          </w:tcPr>
          <w:p>
            <w:pPr>
              <w:spacing w:after="0"/>
              <w:rPr>
                <w:sz w:val="19"/>
                <w:szCs w:val="19"/>
                <w:color w:val="auto"/>
              </w:rPr>
            </w:pPr>
          </w:p>
        </w:tc>
      </w:tr>
      <w:tr>
        <w:trPr>
          <w:trHeight w:val="223"/>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43,041,856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15,266,222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37,564,936</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14,881,097</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9"/>
              </w:rPr>
              <w:t>Net loss per share attributable to common stockholders-basic and diluted</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(0.94)</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unvested restricted common shares have been excluded from the computation of basic net loss per share attributable to common stockholders.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potentially dilutive securities, which include options and unvested restricted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340" w:type="dxa"/>
            <w:vAlign w:val="bottom"/>
            <w:tcBorders>
              <w:bottom w:val="single" w:sz="8" w:color="auto"/>
            </w:tcBorders>
            <w:gridSpan w:val="3"/>
          </w:tcPr>
          <w:p>
            <w:pPr>
              <w:ind w:left="1160"/>
              <w:spacing w:after="0"/>
              <w:rPr>
                <w:sz w:val="20"/>
                <w:szCs w:val="20"/>
                <w:color w:val="auto"/>
              </w:rPr>
            </w:pPr>
            <w:r>
              <w:rPr>
                <w:rFonts w:ascii="Arial" w:cs="Arial" w:eastAsia="Arial" w:hAnsi="Arial"/>
                <w:sz w:val="18"/>
                <w:szCs w:val="18"/>
                <w:b w:val="1"/>
                <w:bCs w:val="1"/>
                <w:color w:val="auto"/>
                <w:w w:val="95"/>
              </w:rPr>
              <w:t>As of June 30,</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295,907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6,506,146</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1,782,292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Warrants to purchase shares of Series A preferred stock (as converted to common stock)</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6,506,146</w:t>
            </w:r>
          </w:p>
        </w:tc>
        <w:tc>
          <w:tcPr>
            <w:tcW w:w="2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jc w:val="right"/>
              <w:ind w:right="1910"/>
              <w:spacing w:after="0"/>
              <w:rPr>
                <w:sz w:val="20"/>
                <w:szCs w:val="20"/>
                <w:color w:val="auto"/>
              </w:rPr>
            </w:pPr>
            <w:r>
              <w:rPr>
                <w:rFonts w:ascii="Arial" w:cs="Arial" w:eastAsia="Arial" w:hAnsi="Arial"/>
                <w:sz w:val="18"/>
                <w:szCs w:val="18"/>
                <w:color w:val="auto"/>
              </w:rPr>
              <w:t>19</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7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7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ind w:right="8460" w:firstLine="8"/>
        <w:spacing w:after="0" w:line="464" w:lineRule="auto"/>
        <w:tabs>
          <w:tab w:leader="none" w:pos="2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Commitments</w:t>
      </w:r>
    </w:p>
    <w:p>
      <w:pPr>
        <w:jc w:val="both"/>
        <w:spacing w:after="0" w:line="257" w:lineRule="auto"/>
        <w:rPr>
          <w:sz w:val="20"/>
          <w:szCs w:val="20"/>
          <w:color w:val="auto"/>
        </w:rPr>
      </w:pPr>
      <w:r>
        <w:rPr>
          <w:rFonts w:ascii="Arial" w:cs="Arial" w:eastAsia="Arial" w:hAnsi="Arial"/>
          <w:sz w:val="18"/>
          <w:szCs w:val="18"/>
          <w:color w:val="auto"/>
        </w:rPr>
        <w:t>The Company’s long-term contractual obligations include commitments entered into in the normal course of business. The Company’s most significant contracts relate to agreements with clinical research organizations (“CROs”) for clinical trials and preclinical studies and clinical manufacturing organizations (“CMOs”), which the Company enters into in the normal course of business. The contracts with CROs and CMOs are generally cancellable, with notice, at the Company’s option. The Company also has commitments related to facility leases, debt obligations, license agreements and other purchase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2017, the Company entered into a Research Collaboration and License Agreement with Sanquin Blood Supply Foundation (the “2017 License Agreement”) to develop antibodies that bind and enhance the activity of CFH. As consideration for the license, the Company paid a one-time, non-refundable upfront payment of $100 thousand. The 2017 License Agreement includes additional consideration upon the achievement of certain development and commercial milestones (i.e., once net sales targets exceed certain thresholds) totaling up to an aggregate amount of $29.0 million. Finally, the Company is required to make royalty payments of between 1.25% and 2.50% of net product sales if commercialization is achieved. The financial statements as of June 30, 2021 do not include liabilities with respect to this agreement as the Company has not yet generated revenue and the achievement of certain milestones is not probable.</w:t>
      </w:r>
    </w:p>
    <w:p>
      <w:pPr>
        <w:spacing w:after="0" w:line="1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2018, the Company entered into a Cell Line License Agreement with Life Technologies Corporation (the “2018 License Agreement”) to obtain non-exclusive use of 293 H cells in support of GEM-103 manufacturing activities. As consideration for the license, the Company paid a one-time, non-refundable, non-creditable initial license fee of $75 thousand. In addition, an annual non-refundable, non-creditable development fee of $65 thousand is due on each anniversary date. The 2018 License Agreement includes additional consideration of $275 thousand contingent upon future commercialization of each licensed product. As the Company has not yet generated revenue from operations, no provision was included in the financial statements with respect to the additional consideration under the 2018 License Agreement as of June 30, 2021.</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2019, the Company entered into a second Cell Line License Agreement with Life Technologies Corporation (the “2019 License Agreement”) to obtain non-exclusive use of a CTS Viral Production cell line for producing genetically engineered adeno-associated virus particles to be used in human therapeutics. As consideration for the license, the Company paid a one-time, non-refundable, non-creditable initial license fee of $100 thousand. In addition, an annual non-refundable, non-creditable development fee of $80 thousand is due on each anniversary date, beginning on the second anniversary date. The 2019 License Agreement includes additional consideration of $350 thousand contingent upon future commercialization of each licensed product. As the Company has not yet generated revenue from operations, no provision was included in the financial statements with respect to the additional consideration under the 2019 License Agreement as of June 30, 2021.</w:t>
      </w:r>
    </w:p>
    <w:p>
      <w:pPr>
        <w:spacing w:after="0" w:line="1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October 2018, the Company entered into a Master License Agreement with Avitide, Inc. (the “2018 Master License Agreement”) to license, on an exclusive basis, certain of Avitide’s affinity chromatography resins comprised of proprietary ligands. As consideration for the license, the Company paid an upfront license fee of $200 thousand. In addition, an annual license fee of $75 thousand is due on each anniversary date. The 2018 Master License Agreement includes additional consideration upon the achievement of certain development, commercial and sales milestones totaling up to $700 thousand, $2.2 million and $7.0 million, respectively. Finally, the Company is required to make royalty payments of 1.25% of net product sales if commercialization is achieved. The financial statements as of June 30, 2021 do not include liabilities with respect to additional consideration under this agreement as the Company has not yet generated revenue and the achievement of certain milestones is not probable.</w:t>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June 2019, the Company entered into a GPEx-Derived Cell Line Sale Agreement with Catalent Pharma Solutions, LLC (the “2019 Sale Agreement”) to purchase all right, title and interest in and to the GPEx Cell Line. As consideration for the GPEx Cell Line, the Company is required to make one-time milestone payments totaling up to $1.3 million in aggregate, as well as a contingent annual fee upon commercialization (1% of net sales, or $100 thousand, whichever is greater) and other fees after certain milestones are reached. Certain milestone payments may be waived if Catalent manufactures &gt;50% of the total product required for the relevant clinical trial. The financial statements as of June 30, 2021 do not include liabilities with respect to this agreement as the Company has not yet generated revenue and the achievement of certain milestones is not probable.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indemnification arrangements could have a material effect on its financial position, results of operations or cash flows, and it has not accrued any liabilities related to such obligations in its condensed consolidated financial statements as of June 30, 2021 .</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may become involved in legal proceedings arising in the ordinary course of business. As of June 30, 2021, the Company was not a party to any material legal matters or claims.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engaged a firm managed by an executive of the Company for professional services related to accounting, finance and other administrative functions. For the three and six months ended June 30, 2021, the costs incurred under this arrangement totaled $0 and $105 thousand, respectively, of which $95 thousand was recorded in stockholders’ equity (deficit) as a reduction to additional paid-in capital as a result of the Business Combination and $10 thousand was recorded as general and administrative expense in the accompanying condensed consolidated statements of operations and comprehensive loss. As of June 30, 2021 and December 31, 2020, amounts owed under this arrangement totaled $0 and $257 thousand, respectively, and is included in accounts payable and/or accrued expenses in the accompanying consolidated balance sheet for each period. The executive of the Company associated with this firm resigned from the Company in February 2021.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notes thereto appearing elsewhere in this Quarterly Report on Form 10-Q and Old Gemini’s audited financial statements and notes thereto for the year ended December 31, 2020 included in our Form 8-K/A as filed with the Securities and Exchange Commission on March 29, 2021.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our actual results could differ materially from the results described in or implied by the forward-looking statements contained in the following discussion and analysis.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Management’s Discussion &amp; Analysis of Financial Condition and Results of Operations section to “Gemini,” “we,” “us,” “our” and other similar terms refer to Old Gemini (as defined below) prior to the Business Combination (as defined below) and to Gemini and its consolidated subsidiaries after giving effect to the Business Combination.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clinical-stage precision medicine company developing novel therapeutic compounds to treat genetically defined, age-related macular degeneration (“AMD”). Our lead product candidate, GEM103, is a recombinant form of the human complement factor H protein (“CFH”) and is designed to address complement hyperactivity and overall dysregulation caused by loss of function mutations thus restoring retinal health in patients with AMD. Native CFH serves multiple functions in maintaining retinal health, including regulating lipid metabolism in the retina, protecting the retina against lipid and protein by-products of oxidative stress, and regulating the complement system, which is part of the innate immune system. This multifaceted regulation plays an integral role in engagement and maintenance of complement-mediated immune responses that are involved in pathogen defense and cellular debris clearance.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inception in 2015, we have devoted substantially all our efforts and financial resources to organizing and staffing our company, business planning, raising capital, discovering product candidates and securing related intellectual property rights and conducting research and development activities for our product candidates. We do not have any products approved for sale, and we have not generated any revenue from product sales. We may never be able to develop or commercialize a marketable product.</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lead product candidate, GEM103, is in Phase 2a clinical development and our other product candidates and research initiatives are in preclinical or earlier stages of development. Our ability to generate revenue from product sales sufficient to achieve profitability will depend heavily on the successful development and eventual commercialization of one or more of our product candidates. We have not yet successfully completed any pivotal clinical trials, nor have we obtained any regulatory approvals, manufactured a commercial-scale drug, or conducted sales and marketing activities. Prior to the Business Combination (as defined below), we primarily financed our operations through the sale of convertible preferred stock, borrowings under convertible promissory notes and borrowings from our term loan facility with Silicon Valley Bank, (“SVB”).</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&amp; liquidity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date, we have not had any products approved for sale and have not generated any revenue from product sales and do not expect to do so for several years, if at all. All of our programs are still in preclinical or clinical development. Our ability to generate product revenue will depend on the successful development and eventual commercialization of one or more of our product candidates.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incurred significant operating losses since inception. Our net losses were $40.8 million for the year ended December 31, 2020 and $35.5 million for the six months ended June 30, 2021. As of June 30, 2021, we had an accumulated deficit of $148.3 million. We expect to continue to incur net losses for the foreseeable future and expect our research and development expenses and general and administrative expenses to continue to increase. We expect that our expenses and capital requirements will increase substantially in connection with our ongoing development activities, particularly if and as we:</w:t>
      </w:r>
    </w:p>
    <w:p>
      <w:pPr>
        <w:spacing w:after="0" w:line="157" w:lineRule="exact"/>
        <w:rPr>
          <w:sz w:val="20"/>
          <w:szCs w:val="20"/>
          <w:color w:val="auto"/>
        </w:rPr>
      </w:pPr>
    </w:p>
    <w:p>
      <w:pPr>
        <w:jc w:val="both"/>
        <w:ind w:left="540" w:right="2820" w:hanging="262"/>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development activities for GEM103, our first product candidate being tested in AMD, including the completion of our Phase 2a clinical trial in geographic atrophy, the ongoing Phase 2a clinical trial in patients with macular atrophy receiving anti-VEGF therapy and the initiation of a Phase 2b or Phase 3 clinical trial in geographic atrophy;</w:t>
      </w:r>
    </w:p>
    <w:p>
      <w:pPr>
        <w:spacing w:after="0" w:line="186"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research and development activities allowing us to nominate our CFH potentiating antibody as a product candidate;</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research and development activities allowing us to nominate our CFH AAV as a product candidate;</w:t>
      </w:r>
    </w:p>
    <w:p>
      <w:pPr>
        <w:spacing w:after="0" w:line="225"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current and potential future product candidates;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540" w:hanging="26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clinical, quality control, medical, scientific and other technical personnel to support our clinical and research operations;</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undertake any pre-commercialization activities to establish sales, marketing and distribution capabilities for any product candidates for which we may receive regulatory approval;</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a growing employee base; and</w:t>
      </w:r>
    </w:p>
    <w:p>
      <w:pPr>
        <w:spacing w:after="0" w:line="225" w:lineRule="exact"/>
        <w:rPr>
          <w:rFonts w:ascii="Arial" w:cs="Arial" w:eastAsia="Arial" w:hAnsi="Arial"/>
          <w:sz w:val="18"/>
          <w:szCs w:val="18"/>
          <w:color w:val="auto"/>
        </w:rPr>
      </w:pPr>
    </w:p>
    <w:p>
      <w:pPr>
        <w:ind w:left="540" w:right="2820" w:hanging="262"/>
        <w:spacing w:after="0" w:line="308"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research and development programs and any future commercialization efforts.</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Furthermore, as a result of the Business Combination, we expect to incur additional costs associated with operating as a public company, including significant legal, accounting, investor relations and other expenses that we did not incur as a private company.</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private and public equity offerings, debt financings or other capital sources, which may include collaborations with other companies or other strategic transactions. To the extent that we raise additional capital through the sale of private or public equity or convertible debt securities, existing ownership interests will be diluted, and the terms of these securities may include liquidation or other preferences that adversely affect the rights of the holders of our common stock.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or other strategic transactions with third parties, we may have to relinquish valuable rights to our technologies, future revenue streams, research programs or drug candidates, or grant licenses on terms that may not be favorable to us.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believe that our cash resources will enable us to fund our operating expenses and capital expenditure requirements into 2023. Our belief with respect to our ability to fund operations is based on estimates that are subject to risks and uncertainties. If actual results are different from our estimates, we may need to seek additional funding sooner that would otherwise be expected. There can be no assurance that we will be able to obtain additional funding on acceptable terms, if at all. Our future viability beyond that point is dependent on our ability to raise additional capital to finance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the World Health Organization declared the novel coronavirus (“COVID-19”) outbreak a pandemic. The COVID-19 outbreak and the increased prevalence of variants of the virus,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COVID-19 pandemic has resulted in and will likely continue to result in significant disruptions to the global economy, and businesses and capital markets around the world. The Company cannot predict the future progression or full impact of the outbreak and its effects on the Company’s business and operations.</w:t>
      </w:r>
    </w:p>
    <w:p>
      <w:pPr>
        <w:spacing w:after="0" w:line="15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and our third-party contract manufacturers (“CMOs”), contract research organizations (“CROs”) and clinical sites have experienced and may continue to experience disruptions in supply of product candidates and/or procuring items that are essential for our research and development activities, including raw materials used in the manufacturing of our product candidates, medical and laboratory supplies used in our clinical trials or preclinical studies or animals that are used for preclinical testing, in each case, for which there may be shortages because of ongoing efforts to address the outbreak.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jc w:val="both"/>
        <w:spacing w:after="0" w:line="269" w:lineRule="auto"/>
        <w:rPr>
          <w:sz w:val="20"/>
          <w:szCs w:val="20"/>
          <w:color w:val="auto"/>
        </w:rPr>
      </w:pPr>
      <w:r>
        <w:rPr>
          <w:rFonts w:ascii="Arial" w:cs="Arial" w:eastAsia="Arial" w:hAnsi="Arial"/>
          <w:sz w:val="17"/>
          <w:szCs w:val="17"/>
          <w:color w:val="auto"/>
        </w:rPr>
        <w:t>Additionally, we have enrolled, and will seek to enroll, patients in our clinical trials at sites located both in the United States and internationally. Most of our clinical trial sites are in areas affected by COVID-19 and, as a result, our trials have been and may continue to be impacted. We cannot predict how long or impactful these delays may be on our clinical trials. In addition, even if sites are initiating and actively recruiting, we may face difficulties recruiting or retaining patients in our clinical trials if patients are affected by the virus or are unable to or are fearful of visiting or traveling to our clinical trial sites because of the outbreak. Prolonged delays or closure to enrollment in our trials or patient discontinuations could have a material adverse impact on our clinical trial plans and timelines. In addition, our ability to collect and verify data requested of patients enrolled in our clinical trials during this pandemic is being impacted to varying degrees by COVID-19. Clinical trial data collection continues for each of our clinical trials but at a slower pace, and with challenges and interruptions in data collection, including, in some instances, disruption of collection of complete study data. This could have a material adverse impact on our data quality and analysis. In addition, clinical trial sites may be unable or unwilling to initiate a new trial if factors relevant to the pandemic render this impracticable. These COVID-19 related issues may prolong the time required to conduct our ongoing clinical trials and/or impact the quality of the data obtained from one or more of these studies.</w:t>
      </w:r>
    </w:p>
    <w:p>
      <w:pPr>
        <w:spacing w:after="0" w:line="15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not incurred impairment losses in the carrying values of our assets as a result of the COVID-19 pandemic, and we are not aware of any specific related event or circumstance that would require us to revise our estimates reflected in our condensed consolidated financial statements. Although the COVID-19 pandemic did not have a significant impact on our financial results in the second quarter of 2021, the full extent to which the COVID-19 pandemic will impact our business, results of operations, financial condition and cash flows will depend on future developments that are highly uncertain, and the estimates of the impact on our business may change based on new information that may emerge concerning COVID-19, including the duration of the pandemic, any potential subsequent waves or strains of COVID-19 infection, the effectiveness, distribution and acceptance of COVID-19 vaccines and the actions to contain it or treat its impact and the economic impact on local, regional, national and international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February 5, 2021 (the “Closing Date”), FS Development Corporation, a Delaware corporation (“FSDC”), consummated the previously announced business combination (the “Business Combination”) pursuant to the terms of the Agreement and Plan of Merger, dated as of October 15, 2020 (as amended, supplemented or otherwise modified from time to time, the “Merger Agreement”), by and among Gemini Therapeutics, Inc., a Delaware corporation (“Old Gemini”), Shareholder Representative Services LLC, a Colorado limited liability company solely in its capacity as the representative, agent and attorney-in-fact of the Company Securityholders (the “Stockholders’ Representative”), FSDC and FSG Merger Sub Inc., a Delaware corporation (“Merger Sub”).</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FSDC was incorporated in Delaware on June 25, 2020 and was formed for the purpose of effecting a merger, capital stock exchange, asset acquisition, stock purchase, reorganization or similar business combination with one or more businesses.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day prior to the Closing Date, Old Gemini changed its name to “Gemini Therapeutics Sub, Inc.” Pursuant to the Merger Agreement, on the Closing Date, (i) FSDC changed its name to “Gemini Therapeutics, Inc.”, and (ii) Old Gemini merged with and into Merger Sub (the “Merger”), with Old Gemini as the surviving company in the Merger and, after giving effect to such Merger, Old Gemini becoming a wholly-owned subsidiary of Gemini. Upon the closing of the Business Combination, and pursuant to the terms of the Merger Agreement, the existing shareholders of Old Gemini exchanged their interests for shares of common stock of Gemini.</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Business Combination, certain investors purchased an aggregate of $95.1 million of our Common Stock in a private placement of public equity (the “PIPE Financing”). Together with FSDC’s cash resources and funding of the PIPE Financing, we received net proceeds of approximately $195.9 million.</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accounted for the Business Combination as a reverse recapitalization, which is the equivalent of Old Gemini issuing stock for the net assets of FSDC, accompanied by a recapitalization, with FSDC treated as the acquired company for accounting purposes. The net assets of FSDC were stated at historical cost with no goodwill or other intangible assets recorded. Reported results from operations included herein prior to the Business Combination are those of Old Gemini. The shares and corresponding capital amounts and loss per share related to Old Gemini’s outstanding convertible preferred stock and common stock prior to the Business Combination have been retroactively restated to reflect the conversion ratio established in the Merger Agreement (1.00 Old Gemini share for 0.2180 shares of the Company), or the Conversion Ratio.</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additional information on the Business Combination, please read Note 3, </w:t>
      </w:r>
      <w:r>
        <w:rPr>
          <w:rFonts w:ascii="Arial" w:cs="Arial" w:eastAsia="Arial" w:hAnsi="Arial"/>
          <w:sz w:val="18"/>
          <w:szCs w:val="18"/>
          <w:i w:val="1"/>
          <w:iCs w:val="1"/>
          <w:color w:val="auto"/>
        </w:rPr>
        <w:t>Business Combination</w:t>
      </w:r>
      <w:r>
        <w:rPr>
          <w:rFonts w:ascii="Arial" w:cs="Arial" w:eastAsia="Arial" w:hAnsi="Arial"/>
          <w:sz w:val="18"/>
          <w:szCs w:val="18"/>
          <w:color w:val="auto"/>
        </w:rPr>
        <w:t>, to our unaudited condensed consolidated financial statements included elsewhere in this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8, 2019, we entered into a term loan facility of up to $10.0 million (the “Term Loan”) with SVB. The proceeds were used for general corporate and working capital purposes. Concurrent with the Term Loan, we issued SVB warrants to purchase 15,257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8" w:name="page29"/>
    <w:bookmarkEnd w:id="28"/>
    <w:p>
      <w:pPr>
        <w:jc w:val="both"/>
        <w:ind w:right="20"/>
        <w:spacing w:after="0" w:line="263" w:lineRule="auto"/>
        <w:rPr>
          <w:sz w:val="20"/>
          <w:szCs w:val="20"/>
          <w:color w:val="auto"/>
        </w:rPr>
      </w:pPr>
      <w:r>
        <w:rPr>
          <w:rFonts w:ascii="Arial" w:cs="Arial" w:eastAsia="Arial" w:hAnsi="Arial"/>
          <w:sz w:val="18"/>
          <w:szCs w:val="18"/>
          <w:color w:val="auto"/>
        </w:rPr>
        <w:t>of Old Gemini’s Series A preferred stock at an exercise price of $5.46. At the closing of the Business Combination, these warrants were automatically exercised for 15,257 shares of our common stock. As of June 30, 2021 and December 31, 2020, we had $7.9 million and $10.0 million, respectively, in principal outstanding under the Term Loan.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Term Loan is governed by a loan and security agreement, dated February 8, 2019, between Gemini and SVB (the “SVB Loan Agreement”). The SVB Loan Agreement provided for two separate tranches under which we could borrow. The first tranche for $7.5 million was available as single term loan advance until January 31, 2020. The second tranche was also available until January 31, 2020 as single term loan advance for $2.5 million and required that we meet a certain milestone event. On April 18, 2019, we borrowed $7.5 million under the first tranche, and on December 17, 2019, we borrowed $2.5 million under the second tranche having satisfied the milestone requirement.</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Term Loan matures on January 1, 2023 and accrues interest at a floating rate per annum equal to the greater of 3.75% or the prime rate minus 1.5% (1.75% as of June 30, 2021). The Term Loan provides for monthly interest-only payments until February 2021. Thereafter, payments are payable in equal monthly installments of principal, plus all accrued and unpaid interest. We may prepay the Term Loan in whole upon 5 days’ prior written notice to SVB. Any such prepayment of the Term Loan is subject to a prepayment charge of 0.5% of the then outstanding principal balance. Amounts outstanding during an event of default are payable upon SVB’s demand and will accrue interest at an additional rate of 5.0% per annum of the past due amount outstanding.</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7, 2020, we entered into a deferral agreement with SVB to defer scheduled principal repayments on its term loan by six months. The deferral agreement was offered in connection with SVB’s venture debt relief initiative, which was started due to the COVID-19 pandemic. Our first principal payment under our credit facility occurred in February 2021. The required monthly interest-only payment was not impacted by the deferral. The Term Loan’s new maturity date is January 1, 2023.</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end of the loan term (whether at maturity, by prepayment in full or otherwise), we are required to pay a final end of term charge to SVB in the amount of 4.0% of the aggregate original principal amount advanced by SVB.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21, 2020, we entered into a purchase agreement with existing investors to issue $14.0 million in convertible promissory notes, (the “Notes”). The Notes accrue simple interest at 8% per annum and mature on February 21, 2021. The Notes served as a bridge loan prior to the PIPE Financing that was completed in connection with the closing of the Business Combination. The Notes were amended to allow for the principal and interest to convert to shares of Series B preferred stock prior to the closing of the Business Combination. Accordingly, immediately prior to the closing of the Business Combination, the outstanding principal and interest under the Notes converted into 2,341,316 shares of Series B preferred stock at a per share conversion price of $6.1986.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in the near future, if at all. If our development efforts are successful and we commercialize our products, or if we enter into collaboration or license agreements with third parties, we may generate revenue in the future from product sales, as well as upfront, milestone and royalty payments from such collaboration or license agreements, or a combination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research activities, including drug discovery efforts and the development of our product candidates. We expense research and development costs as incurred, which include:</w:t>
      </w:r>
    </w:p>
    <w:p>
      <w:pPr>
        <w:spacing w:after="0" w:line="170" w:lineRule="exact"/>
        <w:rPr>
          <w:sz w:val="20"/>
          <w:szCs w:val="20"/>
          <w:color w:val="auto"/>
        </w:rPr>
      </w:pPr>
    </w:p>
    <w:p>
      <w:pPr>
        <w:ind w:left="540" w:right="2820" w:hanging="262"/>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to conduct the necessary preclinical studies and clinical trials required to obtain regulatory approval;</w:t>
      </w:r>
    </w:p>
    <w:p>
      <w:pPr>
        <w:spacing w:after="0" w:line="170" w:lineRule="exact"/>
        <w:rPr>
          <w:rFonts w:ascii="Arial" w:cs="Arial" w:eastAsia="Arial" w:hAnsi="Arial"/>
          <w:sz w:val="18"/>
          <w:szCs w:val="18"/>
          <w:color w:val="auto"/>
        </w:rPr>
      </w:pPr>
    </w:p>
    <w:p>
      <w:pPr>
        <w:jc w:val="both"/>
        <w:ind w:left="540" w:right="2800" w:hanging="262"/>
        <w:spacing w:after="0" w:line="311"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expenses incurred under agreements with CROs that are primarily engaged in the oversight and conduct of our drug discovery efforts and preclinical studies, clinical trials and CMOs that are primarily engaged to provide preclinical and clinical drug substance and product for our research and development programs;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ind w:left="540" w:right="2820" w:hanging="262"/>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costs related to acquiring and manufacturing materials in connection with our drug discovery efforts and preclinical studies and clinical trial materials, including manufacturing validation batches, as well as investigative sites and consultants that conduct our clinical trials, preclinical studies and other scientific development services;</w:t>
      </w:r>
    </w:p>
    <w:p>
      <w:pPr>
        <w:spacing w:after="0" w:line="186" w:lineRule="exact"/>
        <w:rPr>
          <w:rFonts w:ascii="Arial" w:cs="Arial" w:eastAsia="Arial" w:hAnsi="Arial"/>
          <w:sz w:val="18"/>
          <w:szCs w:val="18"/>
          <w:color w:val="auto"/>
        </w:rPr>
      </w:pPr>
    </w:p>
    <w:p>
      <w:pPr>
        <w:ind w:left="540" w:hanging="26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made in cash or equity securities under third-party licensing, acquisition and option agreements;</w:t>
      </w:r>
    </w:p>
    <w:p>
      <w:pPr>
        <w:spacing w:after="0" w:line="225"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employee-related expenses, including salaries and benefits, travel and stock-based compensation expense for employees engaged in research and development functions;</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allocated facilities-related costs, depreciation and other expenses, which include rent and utilities.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 external development costs as incurred. Any advance payments that we make for goods or services to be received in the future for use in research and development activities are recorded as prepaid expenses. Such amounts are expensed as the related goods are delivered or the related services are performed, or until it is no longer expected that the goods will be delivered or the services rendered. We estimate and accrue for the value of goods and services received from CROs and other third parties each reporting period based on an evaluation of the progress to completion of specific tasks using information provided to us by our service providers.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track our research and development expenses on a program-by-program basis. Our direct external research and development expenses consist primarily of external costs, such as fees paid to outside consultants, CROs, CMOs and research laboratories in connection with our preclinical development, process development, manufacturing and clinical development activities. We do not allocate employee costs, costs associated with our discovery efforts, laboratory supplies, and facilities, including depreciation or other indirect costs, to specific programs because these costs are deployed across multiple programs and, as such, are not separately classified. We use internal resources primarily to conduct our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continue to increase substantially over the next several years as we continue our existing, and commence additional, planned clinical trials for GEM103, as well as conduct other preclinical and clinical development, including submitting regulatory filings for our other product candidates. We also expect our discovery research efforts and related personnel costs will increase and, as a result, we expect our research and development expenses, including costs associated with stock-based compensation, will increase above historical levels. In addition, we may incur additional expenses related to milestone and royalty payments payable to third parties with whom we may enter into license, acquisition and option agreements to acquire the rights to future product candidates.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The successful development and commercialization of our product candidates is highly uncertain. This uncertainty is due to the numerous risks and uncertainties associated with product development and commercialization, including the uncertainty of the following:</w:t>
      </w:r>
    </w:p>
    <w:p>
      <w:pPr>
        <w:spacing w:after="0" w:line="171" w:lineRule="exact"/>
        <w:rPr>
          <w:sz w:val="20"/>
          <w:szCs w:val="20"/>
          <w:color w:val="auto"/>
        </w:rPr>
      </w:pPr>
    </w:p>
    <w:p>
      <w:pPr>
        <w:ind w:left="540" w:right="2820" w:hanging="262"/>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outcome and costs of our preclinical development activities, clinical trials and other research and development activities;</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an appropriate safety and efficacy profile with IND enabling studies;</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225"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 including the FDA and non-U.S. regulators;</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jc w:val="both"/>
        <w:ind w:left="540" w:right="2800" w:hanging="262"/>
        <w:spacing w:after="0" w:line="263"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product successfully;</w:t>
      </w:r>
    </w:p>
    <w:p>
      <w:pPr>
        <w:spacing w:after="0" w:line="183"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and timely delivery of clinical-grade and commercial-grade drug formulations that can be used in our clinical trials and for commercial launch;</w:t>
      </w:r>
    </w:p>
    <w:p>
      <w:pPr>
        <w:spacing w:after="0" w:line="170" w:lineRule="exact"/>
        <w:rPr>
          <w:rFonts w:ascii="Arial" w:cs="Arial" w:eastAsia="Arial" w:hAnsi="Arial"/>
          <w:sz w:val="18"/>
          <w:szCs w:val="18"/>
          <w:color w:val="auto"/>
        </w:rPr>
      </w:pPr>
    </w:p>
    <w:p>
      <w:pPr>
        <w:ind w:left="540" w:hanging="26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225"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70"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 candidates following approval, if any, of our product candidates.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change in any of these variables with respect to any of our programs would significantly change the costs, timing and viability associated with that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General and administrative expenses consist primarily of employee-related expenses, including salaries and related benefits, travel and stock-based compensation for personnel in executive, business development, finance, human resources, legal, information technology and administrative functions. General and administrative expenses also include direct and allocated facility-related costs as well as insurance costs and professional fees for legal, patent, consulting, investor and public relations, accounting and audit services. We expense general and administrative costs as incurred.</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our general and administrative expenses will continue to increase in the future as we increase our headcount to support the continued development of our product candidates. We also anticipate that we will continue to incur increased accounting, audit, legal, regulatory, compliance and director and officer insurance costs as well as investor and public relations expenses associated with operating as a public company. We also expect to incur additional intellectual property-related expenses as we file patent applications to protect innovations arising from our research and development activities. 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consists of interest accrued on our term loan entered into on February 8, 2019 and the Notes, including the accretion of the beneficial conversion feature discount recognized on the issuance date of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consists of income earned on our cash, cash equivalents and restricted cash.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conversion of convertible notes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Immediately prior to the closing of the Business Combination, the outstanding principal and interest under the Notes converted into shares of Series B preferred stock, and we recorded other expense equal to the difference between the reacquisition price of the Notes and the net carrying amount of the Notes in the condensed consolidated statements of operations and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2019, in conjunction with our term loan, we issued warrants to purchase 15,257 shares of Old Gemini’s Series A preferred stock. We accounted for, and classified, these warrants as a liability on our balance sheet because the warrants were freestanding financial instruments. We remeasured this liability to fair value at each reporting date and recognized changes in the fair value of the warrant liability in our statements of operations. At the closing of the Business Combination, these warrants were automatically exercised for 15,257 shares of our common stock.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not recorded any significant amounts related to income tax expense, we have not recognized any reserves related to uncertain tax positions, nor have we recorded any income tax benefits for the majority of our net losses we have incurred to date or for our research and development tax credits.</w:t>
      </w:r>
    </w:p>
    <w:p>
      <w:pPr>
        <w:spacing w:after="0" w:line="12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account for income taxes using the asset and liability method, which requires the recognition of deferred tax assets and liabilities for the expected future tax consequences of events that have been included in the financial statements or our tax returns. Deferred tax assets and liabilities are determined based on the difference between the financial statement carrying amounts and tax bases of existing assets and liabilities and for loss and credit carryforwards, which are measured using the enacted tax rates and laws in effect in the years in which the differences are expected to reverse. The realization of our deferred tax assets is dependent upon the generation of future taxable income, the amount and timing of which are uncertain. Valuation allowances are provided, if, based upon the weight of available evidence, it is more likely than not that some or all of the deferred tax assets will not be realized. We continue to maintain a full valuation allowance against all of our net deferred tax assets based on our evaluation of all available evidence. We file income tax returns in the U.S. federal tax jurisdiction and state jurisdictions and may become subject to income tax audit and adjustments by related tax authorities. Our tax return period for U.S. federal income taxes for the tax years since 2017 remain open to examination under the statute of limitations by the Internal Revenue Service and state jurisdictions. We record reserves for potential tax payments to various tax authorities related to uncertain tax positions, if any. The nature of uncertain tax positions is subject to significant judgment by management and subject to change, which may be substantial. These reserves are based on a determination of whether and how much a tax benefit taken by us in our tax filings or positions is more likely than not to be realized following the resolution of any potential contingencies related to the tax benefit. We develop our assessment of uncertain tax positions, and the associated cumulative probabilities, using internal expertise and assistance from third-party experts. As additional information becomes available, estimates are revised and refined. Differences between estimates and final settlement may occur resulting in additional tax expense. Potential interest and penalties associated with such uncertain tax positions is recorded as a component of our provision for income taxes. To date, no amounts are being presented as an uncertain tax position.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2021 and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June 30,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80" w:type="dxa"/>
            <w:vAlign w:val="bottom"/>
            <w:gridSpan w:val="6"/>
          </w:tcPr>
          <w:p>
            <w:pPr>
              <w:jc w:val="right"/>
              <w:ind w:right="10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10,842</w:t>
            </w:r>
          </w:p>
        </w:tc>
        <w:tc>
          <w:tcPr>
            <w:tcW w:w="160" w:type="dxa"/>
            <w:vAlign w:val="bottom"/>
          </w:tcPr>
          <w:p>
            <w:pPr>
              <w:spacing w:after="0"/>
              <w:rPr>
                <w:sz w:val="19"/>
                <w:szCs w:val="19"/>
                <w:color w:val="auto"/>
              </w:rPr>
            </w:pP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5,528</w:t>
            </w:r>
          </w:p>
        </w:tc>
        <w:tc>
          <w:tcPr>
            <w:tcW w:w="280" w:type="dxa"/>
            <w:vAlign w:val="bottom"/>
          </w:tcPr>
          <w:p>
            <w:pPr>
              <w:spacing w:after="0"/>
              <w:rPr>
                <w:sz w:val="19"/>
                <w:szCs w:val="19"/>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expenses were $10.8 million for the three months ended June 30, 2021, compared to $5.5 million for the three months ended June 30, 2020. The increase of $5.3 million was primarily due to an increase in external research and development costs related to clinical trial activities of GEM103. In addition, research and development personnel costs were higher period over period, including stock-based compensation, due to an increase in headcount in our research and development function to support the advancement of our programs.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were $5.5 million for the three months ended June 30, 2021, compared to $1.1 million for the three months ended June 30, 2020. The increase of $4.4 million was primarily due to higher personnel-related costs, including stock-based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ind w:right="100"/>
        <w:spacing w:after="0" w:line="461" w:lineRule="auto"/>
        <w:rPr>
          <w:sz w:val="20"/>
          <w:szCs w:val="20"/>
          <w:color w:val="auto"/>
        </w:rPr>
      </w:pPr>
      <w:r>
        <w:rPr>
          <w:rFonts w:ascii="Arial" w:cs="Arial" w:eastAsia="Arial" w:hAnsi="Arial"/>
          <w:sz w:val="18"/>
          <w:szCs w:val="18"/>
          <w:color w:val="auto"/>
        </w:rPr>
        <w:t xml:space="preserve">compensation, in support of organizational growth and higher legal and other professional fees incurred in connection with operating as a public company. </w:t>
      </w:r>
      <w:r>
        <w:rPr>
          <w:rFonts w:ascii="Arial" w:cs="Arial" w:eastAsia="Arial" w:hAnsi="Arial"/>
          <w:sz w:val="18"/>
          <w:szCs w:val="18"/>
          <w:i w:val="1"/>
          <w:iCs w:val="1"/>
          <w:color w:val="auto"/>
        </w:rPr>
        <w:t>Interest expense</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$0.1 million for each of the three months ended June 30, 2021 and 2020 and consisted of interest expense associated with our Term Loan with SVB.</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was less than $0.1 million for the three months ended June 30, 2021 and consisted of interest income associated with our money market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was less than $0.1 million for the three months ended June 30, 2021 and consisted of foreign currency exchange loss.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2021 and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six months ended June 30,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6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22,628</w:t>
            </w:r>
          </w:p>
        </w:tc>
        <w:tc>
          <w:tcPr>
            <w:tcW w:w="160" w:type="dxa"/>
            <w:vAlign w:val="bottom"/>
          </w:tcPr>
          <w:p>
            <w:pPr>
              <w:spacing w:after="0"/>
              <w:rPr>
                <w:sz w:val="19"/>
                <w:szCs w:val="19"/>
                <w:color w:val="auto"/>
              </w:rPr>
            </w:pP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13,745</w:t>
            </w:r>
          </w:p>
        </w:tc>
        <w:tc>
          <w:tcPr>
            <w:tcW w:w="280" w:type="dxa"/>
            <w:vAlign w:val="bottom"/>
          </w:tcPr>
          <w:p>
            <w:pPr>
              <w:spacing w:after="0"/>
              <w:rPr>
                <w:sz w:val="19"/>
                <w:szCs w:val="19"/>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32,810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2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conversion of convertible notes</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30"/>
        </w:trPr>
        <w:tc>
          <w:tcPr>
            <w:tcW w:w="6620" w:type="dxa"/>
            <w:vAlign w:val="bottom"/>
          </w:tcPr>
          <w:p>
            <w:pPr>
              <w:ind w:left="260"/>
              <w:spacing w:after="0"/>
              <w:rPr>
                <w:sz w:val="20"/>
                <w:szCs w:val="20"/>
                <w:color w:val="auto"/>
              </w:rPr>
            </w:pPr>
            <w:r>
              <w:rPr>
                <w:rFonts w:ascii="Arial" w:cs="Arial" w:eastAsia="Arial" w:hAnsi="Arial"/>
                <w:sz w:val="18"/>
                <w:szCs w:val="18"/>
                <w:color w:val="auto"/>
              </w:rPr>
              <w:t>Change in fair value of warrant liability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(35,495)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(16,519)</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Research and development expenses were $22.6 million for the six months ended June 30, 2021, compared to $13.7 million for the six months ended June 30, 2020. The increase of $8.9 million was primarily due to an increase in external research and development costs related to clinical trial activities of GEM103. In addition, research and development personnel costs were higher period over period, including stock-based compensation, due to an increase in headcount in our research and development function to support the advancement of our programs.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were $10.2 million for the six months ended June 30, 2021, compared to $2.6 million for the six months ended June 30, 2020. The increase of $7.6 million was primarily due to higher personnel-related costs, including stock-based compensation, in support of organizational growth and higher legal and other professional fees incurred in connection with operating as a public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was $2.0 million for the six months ended June 30, 2021, compared to $0.3 million for the six months ended June 30, 2020. The increase of $1.7 million is due to the accretion of the beneficial conversion feature discount recognized at the issuance date of the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Interest income</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was less than $0.1 million for each of the six months ended June 30, 2021 and 2020 and consisted of interest income associated with our money market funds.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conversion of convertible notes</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loss on conversion of convertible notes reflects the difference between the reacquisition price of the Notes and the net carrying amount of the Notes at the time that the Notes converted into shares of Series B preferred stock immediately prior to the closing of the Business Combination.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warrant liability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change in fair value of warrant liability reflects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reduction of the fair value of the Series A preferred stock warrant.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Other expense was less than $0.1 million for the six months ended June 30, 2021 and consisted of foreign currency exchange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and capital</w:t>
      </w:r>
    </w:p>
    <w:p>
      <w:pPr>
        <w:spacing w:after="0" w:line="1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inception, we have not generated any revenue from any product sales or any other sources and have incurred significant operating losses and negative cash flows from our operations. We have not yet commercialized any of our product candidates and do not expect to generate revenue from sales of any product candidates for several years, if at all. Prior to the Business Combination, we funded our operations to date primarily with proceeds from the sale of preferred stock, borrowings under convertible promissory notes and borrowings under loan agreements. Through June 30, 2021, we have received gross proceeds of $76.0 million from sales of our preferred stock, gross proceeds of $16.9 million from borrowings under convertible promissory notes and $10.0 million of cash proceeds from our term loan with SVB. In connection with the Business Combination, we received net proceeds of $195.9 million.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we had cash and cash equivalents of $167.5 million. We have incurred operating losses and experienced negative operating cash flows since inception, and we anticipate that we will continue to incur losses for at least the foreseeable future. Our net losses totaled $40.8 million for the year ended December 31, 2020 and $35.5 million for the six months ended June 30, 2021. As of June 30, 2021, we had an accumulated deficit of $148.3 million.</w:t>
      </w:r>
    </w:p>
    <w:p>
      <w:pPr>
        <w:spacing w:after="0" w:line="14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Continued cash generation is highly dependent on our ability to finance our operations through a combination of equity offerings, debt financings, collaboration arrangements and strategic transactions. Due to our significant research and development expenditures, we have experienced periods of negative cash flows from operations as we have yet to generate any revenue. For the six months ended June 30, 2021, we experienced a loss from operations and negative cash flows from operations. We anticipate incurring operating losses and negative cash flows from operations for the foreseeable future, particularly as we move forward with our clinical-stage programs.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Until required for use in our business, we typically invest our cash in investments that are highly liquid, readily convertible to cash with original maturities of 90 days or less at the date of purchase. We attempt to minimize the risks related to our cash and cash equivalents by maintaining balances in accounts only with accredited financial institutions and, consequently, we do not believe we are subject to unusual credit risk beyond the normal credit risk associated with ordinary commercial banking relationships.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2021 and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55"/>
        </w:trPr>
        <w:tc>
          <w:tcPr>
            <w:tcW w:w="4940" w:type="dxa"/>
            <w:vAlign w:val="bottom"/>
            <w:tcBorders>
              <w:bottom w:val="single" w:sz="8" w:color="CFF0FC"/>
            </w:tcBorders>
          </w:tcPr>
          <w:p>
            <w:pPr>
              <w:spacing w:after="0"/>
              <w:rPr>
                <w:sz w:val="13"/>
                <w:szCs w:val="13"/>
                <w:color w:val="auto"/>
              </w:rPr>
            </w:pPr>
          </w:p>
        </w:tc>
        <w:tc>
          <w:tcPr>
            <w:tcW w:w="2780" w:type="dxa"/>
            <w:vAlign w:val="bottom"/>
            <w:tcBorders>
              <w:bottom w:val="single" w:sz="8" w:color="CFF0FC"/>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7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(30,935)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78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193,909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Pr>
          <w:p>
            <w:pPr>
              <w:ind w:left="260"/>
              <w:spacing w:after="0"/>
              <w:rPr>
                <w:sz w:val="20"/>
                <w:szCs w:val="20"/>
                <w:color w:val="auto"/>
              </w:rPr>
            </w:pPr>
            <w:r>
              <w:rPr>
                <w:rFonts w:ascii="Arial" w:cs="Arial" w:eastAsia="Arial" w:hAnsi="Arial"/>
                <w:sz w:val="18"/>
                <w:szCs w:val="18"/>
                <w:color w:val="auto"/>
              </w:rPr>
              <w:t>Net increase in cash, cash equivalents and restricted cash</w:t>
            </w:r>
          </w:p>
        </w:tc>
        <w:tc>
          <w:tcPr>
            <w:tcW w:w="278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162,974</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780" w:type="dxa"/>
            <w:vAlign w:val="bottom"/>
            <w:vMerge w:val="restart"/>
          </w:tcPr>
          <w:p>
            <w:pPr>
              <w:jc w:val="right"/>
              <w:ind w:right="1910"/>
              <w:spacing w:after="0"/>
              <w:rPr>
                <w:sz w:val="20"/>
                <w:szCs w:val="20"/>
                <w:color w:val="auto"/>
              </w:rPr>
            </w:pPr>
            <w:r>
              <w:rPr>
                <w:rFonts w:ascii="Arial" w:cs="Arial" w:eastAsia="Arial" w:hAnsi="Arial"/>
                <w:sz w:val="18"/>
                <w:szCs w:val="18"/>
                <w:color w:val="auto"/>
              </w:rPr>
              <w:t>30</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do not generate any cash inflows from our operating activities. Our cash flows from operating activities are significantly influenced by our use of cash for operating expenses and working capital requirements to support the business. We have historically experienced negative cash flows from operating activities as we invested in developing our platform, drug discovery efforts and related infrastructure.</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 months ended June 30, 2021, we used cash in operating activities of $30.9 million, reflecting a net loss of $35.5 million, partially offset by non-cash charges of $7.1 million and a net change of $2.5 million in our operating assets and liabilities. The non-cash charges consist primarily of $4.5 million of stock-based compensation expense, $1.6 million accretion of the discount on the Notes, $0.7 million of expense related to the conversion of the Notes and $0.2 million of non-cash interest expense. The net change in our operating assets and liabilities was primarily due to an increase in prepaid expenses and other current currents, other assets and accounts payable, partially offset by a decrease in deferred offering costs and accrued expenses and other current liabilities.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we used cash in operating activities of $16.9 million, reflecting a net loss of $16.5 million, and a net decrease in accounts payable and accrued expenses and other current liabilities.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8" w:lineRule="exact"/>
        <w:rPr>
          <w:sz w:val="20"/>
          <w:szCs w:val="20"/>
          <w:color w:val="auto"/>
        </w:rPr>
      </w:pPr>
    </w:p>
    <w:p>
      <w:pPr>
        <w:ind w:right="1920"/>
        <w:spacing w:after="0" w:line="453" w:lineRule="auto"/>
        <w:rPr>
          <w:sz w:val="20"/>
          <w:szCs w:val="20"/>
          <w:color w:val="auto"/>
        </w:rPr>
      </w:pPr>
      <w:r>
        <w:rPr>
          <w:rFonts w:ascii="Arial" w:cs="Arial" w:eastAsia="Arial" w:hAnsi="Arial"/>
          <w:sz w:val="18"/>
          <w:szCs w:val="18"/>
          <w:color w:val="auto"/>
        </w:rPr>
        <w:t xml:space="preserve">During the six months ended June 30, 2021 and 2020, we did not generate any cash inflows or outflows from investing activities. </w:t>
      </w:r>
      <w:r>
        <w:rPr>
          <w:rFonts w:ascii="Arial" w:cs="Arial" w:eastAsia="Arial" w:hAnsi="Arial"/>
          <w:sz w:val="18"/>
          <w:szCs w:val="18"/>
          <w:i w:val="1"/>
          <w:iCs w:val="1"/>
          <w:color w:val="auto"/>
        </w:rPr>
        <w:t>Financing activities</w:t>
      </w: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 months ended June 30, 2021, net cash provided by financing activities was $193.9 million, consisting primarily of $195.9 million of net proceeds received in connection with the Business Combination, partially offset by principal payments made on our term loan.</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June 30, 2020, net cash provided by financing activities was $20.1 million, consisting primarily of the net proceeds received from the issuance of our Series B preferred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use of cash is to fund operating expenses, primarily related to our research and development activities. Cash used to fund operating expenses is impacted by the timing of when we pay these expenses, as reflected in the change in our outstanding accounts payable, accrued expenses and prepaid expenses.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we expect to incur additional costs associated with operating as a public company, including significant legal, accounting, investor relations and other expenses that we did not incur as a private company. The timing and amount of our operating expenditures will depend largely on our ability to:</w:t>
      </w:r>
    </w:p>
    <w:p>
      <w:pPr>
        <w:spacing w:after="0" w:line="146" w:lineRule="exact"/>
        <w:rPr>
          <w:sz w:val="20"/>
          <w:szCs w:val="20"/>
          <w:color w:val="auto"/>
        </w:rPr>
      </w:pPr>
    </w:p>
    <w:p>
      <w:pPr>
        <w:ind w:left="540" w:hanging="26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preclinical development of our early-stage programs and clinical trials of our product candidates;</w:t>
      </w:r>
    </w:p>
    <w:p>
      <w:pPr>
        <w:spacing w:after="0" w:line="184" w:lineRule="exact"/>
        <w:rPr>
          <w:rFonts w:ascii="Arial" w:cs="Arial" w:eastAsia="Arial" w:hAnsi="Arial"/>
          <w:sz w:val="18"/>
          <w:szCs w:val="18"/>
          <w:color w:val="auto"/>
        </w:rPr>
      </w:pPr>
    </w:p>
    <w:p>
      <w:pPr>
        <w:ind w:left="540" w:right="20"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manufacture, or have manufactured on our behalf, our preclinical and clinical drug material and develop processes for late stage and commercial manufacturing;</w:t>
      </w:r>
    </w:p>
    <w:p>
      <w:pPr>
        <w:spacing w:after="0" w:line="129" w:lineRule="exact"/>
        <w:rPr>
          <w:rFonts w:ascii="Arial" w:cs="Arial" w:eastAsia="Arial" w:hAnsi="Arial"/>
          <w:sz w:val="18"/>
          <w:szCs w:val="18"/>
          <w:color w:val="auto"/>
        </w:rPr>
      </w:pPr>
    </w:p>
    <w:p>
      <w:pPr>
        <w:ind w:left="540" w:hanging="26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184" w:lineRule="exact"/>
        <w:rPr>
          <w:rFonts w:ascii="Arial" w:cs="Arial" w:eastAsia="Arial" w:hAnsi="Arial"/>
          <w:sz w:val="18"/>
          <w:szCs w:val="18"/>
          <w:color w:val="auto"/>
        </w:rPr>
      </w:pPr>
    </w:p>
    <w:p>
      <w:pPr>
        <w:ind w:left="540"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sales, marketing, medical affairs and distribution infrastructure to commercialize any product candidates for which we may obtain marketing approval and intend to commercialize on our own;</w:t>
      </w:r>
    </w:p>
    <w:p>
      <w:pPr>
        <w:spacing w:after="0" w:line="129" w:lineRule="exact"/>
        <w:rPr>
          <w:rFonts w:ascii="Arial" w:cs="Arial" w:eastAsia="Arial" w:hAnsi="Arial"/>
          <w:sz w:val="18"/>
          <w:szCs w:val="18"/>
          <w:color w:val="auto"/>
        </w:rPr>
      </w:pPr>
    </w:p>
    <w:p>
      <w:pPr>
        <w:ind w:left="540" w:hanging="26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w:t>
      </w:r>
    </w:p>
    <w:p>
      <w:pPr>
        <w:spacing w:after="0" w:line="184" w:lineRule="exact"/>
        <w:rPr>
          <w:rFonts w:ascii="Arial" w:cs="Arial" w:eastAsia="Arial" w:hAnsi="Arial"/>
          <w:sz w:val="18"/>
          <w:szCs w:val="18"/>
          <w:color w:val="auto"/>
        </w:rPr>
      </w:pPr>
    </w:p>
    <w:p>
      <w:pPr>
        <w:ind w:left="540"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129" w:lineRule="exact"/>
        <w:rPr>
          <w:rFonts w:ascii="Arial" w:cs="Arial" w:eastAsia="Arial" w:hAnsi="Arial"/>
          <w:sz w:val="18"/>
          <w:szCs w:val="18"/>
          <w:color w:val="auto"/>
        </w:rPr>
      </w:pPr>
    </w:p>
    <w:p>
      <w:pPr>
        <w:ind w:left="540" w:hanging="26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maintain, expand and protect our intellectual property portfolio;</w:t>
      </w:r>
    </w:p>
    <w:p>
      <w:pPr>
        <w:spacing w:after="0" w:line="184" w:lineRule="exact"/>
        <w:rPr>
          <w:rFonts w:ascii="Arial" w:cs="Arial" w:eastAsia="Arial" w:hAnsi="Arial"/>
          <w:sz w:val="18"/>
          <w:szCs w:val="18"/>
          <w:color w:val="auto"/>
        </w:rPr>
      </w:pPr>
    </w:p>
    <w:p>
      <w:pPr>
        <w:ind w:left="540" w:right="20" w:hanging="26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the costs of preparing, filing and prosecuting patent applications, maintaining and protecting our intellectual property rights, including enforcing and defending intellectual property related claims; and</w:t>
      </w:r>
    </w:p>
    <w:p>
      <w:pPr>
        <w:spacing w:after="0" w:line="129" w:lineRule="exact"/>
        <w:rPr>
          <w:rFonts w:ascii="Arial" w:cs="Arial" w:eastAsia="Arial" w:hAnsi="Arial"/>
          <w:sz w:val="18"/>
          <w:szCs w:val="18"/>
          <w:color w:val="auto"/>
        </w:rPr>
      </w:pPr>
    </w:p>
    <w:p>
      <w:pPr>
        <w:ind w:left="540" w:hanging="26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 the costs of operating as a public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jc w:val="both"/>
        <w:spacing w:after="0" w:line="257"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we had cash and cash equivalents of $167.5 million. We believe that our cash and cash equivalents will enable us to fund our operating expenses and capital expenditure requirements into 2023. We have based this estimate on assumptions that may prove to be wrong, and we could utilize our available capital resources sooner than we expect.</w:t>
      </w:r>
    </w:p>
    <w:p>
      <w:pPr>
        <w:spacing w:after="0" w:line="14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Until such time as we can generate substantial product revenue, if ever,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biologic product candidates, we are unable to estimate the exact amount of our working capital requirements. Our future funding requirements will depend on and could increase significantly as a result of many factors, including:</w:t>
      </w:r>
    </w:p>
    <w:p>
      <w:pPr>
        <w:spacing w:after="0" w:line="143" w:lineRule="exact"/>
        <w:rPr>
          <w:sz w:val="20"/>
          <w:szCs w:val="20"/>
          <w:color w:val="auto"/>
        </w:rPr>
      </w:pPr>
    </w:p>
    <w:p>
      <w:pPr>
        <w:ind w:left="540" w:hanging="262"/>
        <w:spacing w:after="0"/>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trials;</w:t>
      </w:r>
    </w:p>
    <w:p>
      <w:pPr>
        <w:spacing w:after="0" w:line="196" w:lineRule="exact"/>
        <w:rPr>
          <w:rFonts w:ascii="Arial" w:cs="Arial" w:eastAsia="Arial" w:hAnsi="Arial"/>
          <w:sz w:val="17"/>
          <w:szCs w:val="17"/>
          <w:color w:val="auto"/>
        </w:rPr>
      </w:pPr>
    </w:p>
    <w:p>
      <w:pPr>
        <w:ind w:left="540" w:hanging="26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84" w:lineRule="exact"/>
        <w:rPr>
          <w:rFonts w:ascii="Arial" w:cs="Arial" w:eastAsia="Arial" w:hAnsi="Arial"/>
          <w:sz w:val="18"/>
          <w:szCs w:val="18"/>
          <w:color w:val="auto"/>
        </w:rPr>
      </w:pPr>
    </w:p>
    <w:p>
      <w:pPr>
        <w:ind w:left="540" w:hanging="262"/>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costs, timing and ability to manufacture our product candidates to supply our clinical and preclinical development efforts and our clinical trials;</w:t>
      </w:r>
    </w:p>
    <w:p>
      <w:pPr>
        <w:spacing w:after="0" w:line="207" w:lineRule="exact"/>
        <w:rPr>
          <w:rFonts w:ascii="Arial" w:cs="Arial" w:eastAsia="Arial" w:hAnsi="Arial"/>
          <w:sz w:val="16"/>
          <w:szCs w:val="16"/>
          <w:color w:val="auto"/>
        </w:rPr>
      </w:pPr>
    </w:p>
    <w:p>
      <w:pPr>
        <w:ind w:left="540" w:hanging="262"/>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129" w:lineRule="exact"/>
        <w:rPr>
          <w:rFonts w:ascii="Arial" w:cs="Arial" w:eastAsia="Arial" w:hAnsi="Arial"/>
          <w:sz w:val="18"/>
          <w:szCs w:val="18"/>
          <w:color w:val="auto"/>
        </w:rPr>
      </w:pPr>
    </w:p>
    <w:p>
      <w:pPr>
        <w:ind w:left="540" w:hanging="26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manufacturing commercial-grade product and necessary inventory to support commercial launch;</w:t>
      </w:r>
    </w:p>
    <w:p>
      <w:pPr>
        <w:spacing w:after="0" w:line="184" w:lineRule="exact"/>
        <w:rPr>
          <w:rFonts w:ascii="Arial" w:cs="Arial" w:eastAsia="Arial" w:hAnsi="Arial"/>
          <w:sz w:val="18"/>
          <w:szCs w:val="18"/>
          <w:color w:val="auto"/>
        </w:rPr>
      </w:pPr>
    </w:p>
    <w:p>
      <w:pPr>
        <w:ind w:left="540" w:hanging="26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receive additional non-dilutive funding, including grants from organizations and foundations;</w:t>
      </w:r>
    </w:p>
    <w:p>
      <w:pPr>
        <w:spacing w:after="0" w:line="184" w:lineRule="exact"/>
        <w:rPr>
          <w:rFonts w:ascii="Arial" w:cs="Arial" w:eastAsia="Arial" w:hAnsi="Arial"/>
          <w:sz w:val="18"/>
          <w:szCs w:val="18"/>
          <w:color w:val="auto"/>
        </w:rPr>
      </w:pPr>
    </w:p>
    <w:p>
      <w:pPr>
        <w:ind w:left="540" w:hanging="26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revenue, if any, received from commercial sale of our products, should any of our product candidates receive marketing approval;</w:t>
      </w:r>
    </w:p>
    <w:p>
      <w:pPr>
        <w:spacing w:after="0" w:line="184" w:lineRule="exact"/>
        <w:rPr>
          <w:rFonts w:ascii="Arial" w:cs="Arial" w:eastAsia="Arial" w:hAnsi="Arial"/>
          <w:sz w:val="18"/>
          <w:szCs w:val="18"/>
          <w:color w:val="auto"/>
        </w:rPr>
      </w:pPr>
    </w:p>
    <w:p>
      <w:pPr>
        <w:ind w:left="540" w:hanging="262"/>
        <w:spacing w:after="0" w:line="277"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obtaining, maintaining, expanding and enforcing our intellectual property rights and defending intellectual property-related claims;</w:t>
      </w:r>
    </w:p>
    <w:p>
      <w:pPr>
        <w:spacing w:after="0" w:line="129" w:lineRule="exact"/>
        <w:rPr>
          <w:rFonts w:ascii="Arial" w:cs="Arial" w:eastAsia="Arial" w:hAnsi="Arial"/>
          <w:sz w:val="18"/>
          <w:szCs w:val="18"/>
          <w:color w:val="auto"/>
        </w:rPr>
      </w:pPr>
    </w:p>
    <w:p>
      <w:pPr>
        <w:ind w:left="540" w:hanging="26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 and</w:t>
      </w:r>
    </w:p>
    <w:p>
      <w:pPr>
        <w:spacing w:after="0" w:line="184" w:lineRule="exact"/>
        <w:rPr>
          <w:rFonts w:ascii="Arial" w:cs="Arial" w:eastAsia="Arial" w:hAnsi="Arial"/>
          <w:sz w:val="18"/>
          <w:szCs w:val="18"/>
          <w:color w:val="auto"/>
        </w:rPr>
      </w:pPr>
    </w:p>
    <w:p>
      <w:pPr>
        <w:ind w:left="540" w:hanging="26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generally accepted accounting principles in the United States (“GAAP”). The preparation of our financial statements and related disclosures requires us to make estimates and judgments that affect the reported amounts of assets, liabilities, costs and expenses. We base our estimates on historical experience, known trends and events and various other factors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18"/>
          <w:szCs w:val="18"/>
          <w:color w:val="auto"/>
        </w:rPr>
        <w:t>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4 to the unaudited condensed consolidated financial statements appearing elsewhere in this Quarterly Report on Form 10-Q, we believe that the following accounting policies are those most critical to the judgments and estimates used in the preparation of our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financial statements based on facts and circumstances known to us at that time. We periodically confirm the accuracy of the estimates with the service providers and make adjustments if necessary. Examples of estimated accrued research and development expenses include fees paid to:</w:t>
      </w:r>
    </w:p>
    <w:p>
      <w:pPr>
        <w:spacing w:after="0" w:line="166" w:lineRule="exact"/>
        <w:rPr>
          <w:sz w:val="20"/>
          <w:szCs w:val="20"/>
          <w:color w:val="auto"/>
        </w:rPr>
      </w:pPr>
    </w:p>
    <w:p>
      <w:pPr>
        <w:ind w:left="540" w:hanging="26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vendors, including research laboratories, in connection with preclinical development activities;</w:t>
      </w:r>
    </w:p>
    <w:p>
      <w:pPr>
        <w:spacing w:after="0" w:line="225" w:lineRule="exact"/>
        <w:rPr>
          <w:rFonts w:ascii="Arial" w:cs="Arial" w:eastAsia="Arial" w:hAnsi="Arial"/>
          <w:sz w:val="18"/>
          <w:szCs w:val="18"/>
          <w:color w:val="auto"/>
        </w:rPr>
      </w:pPr>
    </w:p>
    <w:p>
      <w:pPr>
        <w:ind w:left="540" w:hanging="26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studies and clinical trials; and</w:t>
      </w:r>
    </w:p>
    <w:p>
      <w:pPr>
        <w:spacing w:after="0" w:line="225" w:lineRule="exact"/>
        <w:rPr>
          <w:rFonts w:ascii="Arial" w:cs="Arial" w:eastAsia="Arial" w:hAnsi="Arial"/>
          <w:sz w:val="18"/>
          <w:szCs w:val="18"/>
          <w:color w:val="auto"/>
        </w:rPr>
      </w:pPr>
    </w:p>
    <w:p>
      <w:pPr>
        <w:ind w:left="540" w:right="2820" w:hanging="262"/>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studies and clinical trial materials.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base our expenses related to preclinical studies and clinical trials on our estimates of the services received and efforts expended pursuant to quotes and contracts with multiple research institutions and CROs that supply,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our estimated accruals have not differed materially from actual costs incurred.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all stock-based awards granted to employees, directors and non-employees based on the fair value on the date of grant and recognize compensation expense of those awards over the requisite service period, which is generally the vesting period of the respective award. Forfeitures are accounted for as they occur. We grant stock options and restricted stock awards that are subject to either service or performance-based vesting conditions. Compensation expense related to awards to employees and non-employees with performance-based vesting conditions is recognized based on the grant date fair value over the requisite service period using the accelerated attribution method to the extent achievement of the performance condition is probable. We estimate the probability that certain performance criteria will be met and do not recognize compensation expense until it is probable that the performance-based vesting condition will be achieved.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Preferred and Common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Prior to the completion of the Business Combination, given there had been no public market for our common stock, the estimated fair value of our common stock was determined by our most recently available third-party valuations of common stock. These third-party valuations were performed in accordance with the guidance outlined in the American Institute of Certified Public Accountants’ Accounting and Valuation Guide,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Our common stock valuations were prepared using an option pricing method, or OPM, or a hybrid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both of which used market approaches to estimate enterprise value. The OPM treats common stock and preferred stock as call options on the total equity value of a company, with exercise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jc w:val="both"/>
        <w:spacing w:after="0" w:line="268" w:lineRule="auto"/>
        <w:rPr>
          <w:sz w:val="20"/>
          <w:szCs w:val="20"/>
          <w:color w:val="auto"/>
        </w:rPr>
      </w:pPr>
      <w:r>
        <w:rPr>
          <w:rFonts w:ascii="Arial" w:cs="Arial" w:eastAsia="Arial" w:hAnsi="Arial"/>
          <w:sz w:val="17"/>
          <w:szCs w:val="17"/>
          <w:color w:val="auto"/>
        </w:rPr>
        <w:t>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A discount for lack of marketability of the common stock is then applied to arrive at an indication of value for the common stock. The hybrid method is a probability-weighted expected return method, or PWERM, where the equity value in one or more scenarios is calculated using an OPM. The PWERM is a scenario-based methodology that estimates the fair value of our common stock based upon an analysis of our future values,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There are significant judgments and estimates inherent in the determination of the fair value of our common stock. These estimates and assumptions include a number of objective and subjective factors, including external market conditions, the prices at which we sold shares of preferred securities, the superior rights and preferences of securities senior to the common securities at the time of, and the likelihood of, achieving a liquidity event, such as an initial public offering or sale. Significant changes to the key assumptions used in the valuations could result in different fair values of common stock at each valuation date.</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closing of the Business Combination, the fair value of each share of common stock underlying stock-based awards is determined based on the closing price of our common stock as reported by Nasdaq on the date of grant.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 – Stock Option Awards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fair value of each restricted common stock award is estimated on the date of grant based on the fair value of our common stock on that same date. The fair value of each option grant is estimated on the date of grant using the Black-Scholes option pricing model, which requires inputs based on certain subjective assumptions, including the expected stock price volatility, the expected term of the award, the risk-free interest rate and expected dividends.</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Prior to the Business Combination, we were a private company and, therefore, lack company-specific historical and implied volatility information for our common stock. Therefore, we estimated our expected stock price volatility based on the historical volatility of publicly traded peer companies and expect to continue to do so until such time as we have adequate historical data regarding the volatility of ours own traded stock price. The expected term of options has been determined utilizing the “simplified” method for awards that qualify as “plain-vanilla” options. The expected term of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based on the fact that we have never paid cash dividends on common stock and does not expect to pay any cash dividends in the foreseeable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we did not have any off-balance sheet arrangements, as defined in the rules and regulations of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Refer to Note 4,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unaudited condensed consolidated financial statements included elsewhere in this Quarterly Report on Form 10-Q for information regarding recently issued accounting pronouncements.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the same time that they become applicable to other public companies that are not emerging growth companies, unless we choose to early adopt a new or revised accounting standard.</w:t>
      </w:r>
    </w:p>
    <w:p>
      <w:pPr>
        <w:spacing w:after="0" w:line="1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 in the ordinary course of our business. These risks primarily relate to changes in interest rates.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cash and cash equivalents as of June 30, 2021 consisted of cash and a money market fund account. Because of the short-term nature of our money market fund, a sudden change in market interest rates would not be expected to have a material impact on our financial position or results of operations.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2021, the principal amount of our term loan was $7.9 million. The following table is an estimate of our interest expense based upon our floating rate term loan that could result from hypothetical interest rate changes, based on debt levels as of June 30,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Hypothetical Change in Interest Rates (i)</w:t>
            </w: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Annual Impact to Interest Expense</w:t>
            </w:r>
          </w:p>
        </w:tc>
      </w:tr>
      <w:tr>
        <w:trPr>
          <w:trHeight w:val="202"/>
        </w:trPr>
        <w:tc>
          <w:tcPr>
            <w:tcW w:w="5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1-percent increase</w:t>
            </w:r>
          </w:p>
        </w:tc>
        <w:tc>
          <w:tcPr>
            <w:tcW w:w="220" w:type="dxa"/>
            <w:vAlign w:val="bottom"/>
          </w:tcPr>
          <w:p>
            <w:pPr>
              <w:spacing w:after="0"/>
              <w:rPr>
                <w:sz w:val="17"/>
                <w:szCs w:val="17"/>
                <w:color w:val="auto"/>
              </w:rPr>
            </w:pPr>
          </w:p>
        </w:tc>
        <w:tc>
          <w:tcPr>
            <w:tcW w:w="5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$80,000 increase</w:t>
            </w:r>
          </w:p>
        </w:tc>
      </w:tr>
      <w:tr>
        <w:trPr>
          <w:trHeight w:val="230"/>
        </w:trPr>
        <w:tc>
          <w:tcPr>
            <w:tcW w:w="57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1-percent decrease</w:t>
            </w:r>
          </w:p>
        </w:tc>
        <w:tc>
          <w:tcPr>
            <w:tcW w:w="5500" w:type="dxa"/>
            <w:vAlign w:val="bottom"/>
          </w:tcPr>
          <w:p>
            <w:pPr>
              <w:jc w:val="center"/>
              <w:spacing w:after="0"/>
              <w:rPr>
                <w:sz w:val="20"/>
                <w:szCs w:val="20"/>
                <w:color w:val="auto"/>
              </w:rPr>
            </w:pPr>
            <w:r>
              <w:rPr>
                <w:rFonts w:ascii="Arial" w:cs="Arial" w:eastAsia="Arial" w:hAnsi="Arial"/>
                <w:sz w:val="18"/>
                <w:szCs w:val="18"/>
                <w:color w:val="auto"/>
                <w:w w:val="92"/>
              </w:rPr>
              <w:t>No Impact</w:t>
            </w:r>
          </w:p>
        </w:tc>
      </w:tr>
    </w:tbl>
    <w:p>
      <w:pPr>
        <w:spacing w:after="0" w:line="202" w:lineRule="exact"/>
        <w:rPr>
          <w:sz w:val="20"/>
          <w:szCs w:val="20"/>
          <w:color w:val="auto"/>
        </w:rPr>
      </w:pPr>
    </w:p>
    <w:p>
      <w:pPr>
        <w:ind w:left="340" w:right="2820" w:hanging="278"/>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pay a floating rate per annum equal to the greater of 3.75% or the prime rate minus 1.5%. See Note 7 to our unaudited condensed consolidated financial statements for further information.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not currently exposed to significant market risk related to changes in foreign currency exchange rates; however, we have contracted with and may continue to contract with foreign vendors. Our operations may be subject to fluctuations in foreign currency exchange rates in the future.</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Inflation would generally affect us by increasing our cost of labor and clinical trial costs. We do not believe that inflation had a material effect on our business, financial condition or results of operations during the three and six months ended June 30, 2021 and the year ended December 31,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of June 30, 2021, our principal executive officer and principal financial officer, after evaluating the effectiveness of our “disclosure controls and procedures” (as defined in the Exchange Act Rule 13a-15(e), or Rule 15d-15(e)), with the participation of our management, have each concluded that, as of the end of the period covered by this Quarterly Report on Form 10-Q, our disclosure controls and procedures were effective and were designed to ensure that information we are required to disclose in the reports that we file or submit under the Securities Exchange Act of 1934, as amended,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Securities and Exchange Commission rules and forms. It should be noted that any system of controls is designed to provide reasonable, but not absolute, assurances that the system will achieve its stated goals under all reasonably foreseeable circumstances. Our principal executive officer and principal financial officer have each concluded that our disclosure controls and procedures as of June 30, 2021 are effective at a level that provides such reasonable assurances.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internal control over financial reporting (as such term is defined in Exchange Act Rules 13a-15(f) and 15d-15(f)) that occurred during the three months ended June 30, 2021 that have materially affected, or that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matters discussed in this Quarterly Report on Form 10-Q include forward-looking statements that involve risks or uncertainties. These statements are neither promises nor guarantees, but are based on various assumptions by management regarding future circumstances, over many of which the Company has little or no control. A number of important risks and uncertainties, including those identified under the caption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Item 1A of our Annual Report on Form 10-K for the period ended December 31, 2020 and under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in our Form 8-K/A as filed with the SEC on March 29, 2021 and in subsequent filings, could cause our actual results to differ materially from those in the forward-looking statements. There are no material changes to the risk factors described in our Annual Report on Form 10-K for the period ended December 31, 2020 and our Form 8-K/A as filed with the SEC on March 29, 2021. We may disclose changes to such factors or disclose additional factors from time to time in our future filings with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Recent Sales of Unregistered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701 of Regulation S-K was previously included in our Quarterly Report on Form 10-Q filed on May 13,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Issuer Purchases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Exhibits </w:t>
      </w:r>
      <w:r>
        <w:rPr>
          <w:rFonts w:ascii="Arial" w:cs="Arial" w:eastAsia="Arial" w:hAnsi="Arial"/>
          <w:sz w:val="18"/>
          <w:szCs w:val="18"/>
          <w:b w:val="1"/>
          <w:bCs w:val="1"/>
          <w:color w:val="auto"/>
        </w:rPr>
        <w:t>Registration No. 333-249785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jc w:val="right"/>
              <w:ind w:right="112"/>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20" w:type="dxa"/>
            <w:vAlign w:val="bottom"/>
            <w:gridSpan w:val="11"/>
            <w:vMerge w:val="restart"/>
          </w:tcPr>
          <w:p>
            <w:pPr>
              <w:ind w:left="31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620" w:type="dxa"/>
            <w:vAlign w:val="bottom"/>
            <w:tcBorders>
              <w:bottom w:val="single" w:sz="8" w:color="auto"/>
            </w:tcBorders>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9820" w:type="dxa"/>
            <w:vAlign w:val="bottom"/>
            <w:tcBorders>
              <w:bottom w:val="single" w:sz="8" w:color="0000EE"/>
            </w:tcBorders>
            <w:gridSpan w:val="10"/>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Amended and Restated Articles of Incorporation of Gemini Therapeutics, Inc. (incorporated by reference to Annex B to the Registrant’s</w:t>
              </w:r>
            </w:hyperlink>
          </w:p>
        </w:tc>
        <w:tc>
          <w:tcPr>
            <w:tcW w:w="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67">
              <w:r>
                <w:rPr>
                  <w:rFonts w:ascii="Arial" w:cs="Arial" w:eastAsia="Arial" w:hAnsi="Arial"/>
                  <w:sz w:val="18"/>
                  <w:szCs w:val="18"/>
                  <w:color w:val="0000EE"/>
                  <w:w w:val="90"/>
                </w:rPr>
                <w:t>Proxy Statement/Prospectus on Form S-4 (Registration No. 333-249785)).</w:t>
              </w:r>
            </w:hyperlink>
          </w:p>
        </w:tc>
        <w:tc>
          <w:tcPr>
            <w:tcW w:w="48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9100" w:type="dxa"/>
            <w:vAlign w:val="bottom"/>
            <w:tcBorders>
              <w:bottom w:val="single" w:sz="8" w:color="0000EE"/>
            </w:tcBorders>
            <w:gridSpan w:val="7"/>
          </w:tcPr>
          <w:p>
            <w:pPr>
              <w:spacing w:after="0"/>
              <w:rPr>
                <w:rFonts w:ascii="Arial" w:cs="Arial" w:eastAsia="Arial" w:hAnsi="Arial"/>
                <w:sz w:val="18"/>
                <w:szCs w:val="18"/>
                <w:color w:val="0000EE"/>
                <w:w w:val="90"/>
              </w:rPr>
            </w:pPr>
            <w:hyperlink r:id="rId67">
              <w:r>
                <w:rPr>
                  <w:rFonts w:ascii="Arial" w:cs="Arial" w:eastAsia="Arial" w:hAnsi="Arial"/>
                  <w:sz w:val="18"/>
                  <w:szCs w:val="18"/>
                  <w:color w:val="0000EE"/>
                  <w:w w:val="90"/>
                </w:rPr>
                <w:t>Amended and Restated By-laws of Gemini Therapeutics, Inc. (incorporated by reference to Annex C to the Registrant’s Proxy</w:t>
              </w:r>
            </w:hyperlink>
          </w:p>
        </w:tc>
        <w:tc>
          <w:tcPr>
            <w:tcW w:w="1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Statement/Prospectus on Form S-4 (Registration No. 333-249785)).</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jc w:val="right"/>
              <w:ind w:right="332"/>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0200" w:type="dxa"/>
            <w:vAlign w:val="bottom"/>
            <w:gridSpan w:val="12"/>
          </w:tcPr>
          <w:p>
            <w:pPr>
              <w:spacing w:after="0"/>
              <w:rPr>
                <w:rFonts w:ascii="Arial" w:cs="Arial" w:eastAsia="Arial" w:hAnsi="Arial"/>
                <w:sz w:val="18"/>
                <w:szCs w:val="18"/>
                <w:color w:val="0000EE"/>
                <w:w w:val="93"/>
              </w:rPr>
            </w:pPr>
            <w:hyperlink r:id="rId68">
              <w:r>
                <w:rPr>
                  <w:rFonts w:ascii="Arial" w:cs="Arial" w:eastAsia="Arial" w:hAnsi="Arial"/>
                  <w:sz w:val="18"/>
                  <w:szCs w:val="18"/>
                  <w:color w:val="0000EE"/>
                  <w:w w:val="93"/>
                </w:rPr>
                <w:t>Form of Specimen Common Stock Certificate (incorporated by reference to Exhibit 4.1 to Form S-4/A (Registration No. 333-249785) filed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68">
              <w:r>
                <w:rPr>
                  <w:rFonts w:ascii="Arial" w:cs="Arial" w:eastAsia="Arial" w:hAnsi="Arial"/>
                  <w:sz w:val="18"/>
                  <w:szCs w:val="18"/>
                  <w:color w:val="0000EE"/>
                  <w:w w:val="89"/>
                </w:rPr>
                <w:t>on January 19, 2021).</w:t>
              </w:r>
            </w:hyperlink>
          </w:p>
        </w:tc>
        <w:tc>
          <w:tcPr>
            <w:tcW w:w="8460" w:type="dxa"/>
            <w:vAlign w:val="bottom"/>
            <w:tcBorders>
              <w:top w:val="single" w:sz="8" w:color="0000EE"/>
            </w:tcBorders>
            <w:gridSpan w:val="10"/>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0200" w:type="dxa"/>
            <w:vAlign w:val="bottom"/>
            <w:gridSpan w:val="1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Employment Agreement, dated as of April 12, 2021, by and between Gemini Therapeutics, Inc. and Dr. Samuel Barone.</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10200" w:type="dxa"/>
            <w:vAlign w:val="bottom"/>
            <w:gridSpan w:val="12"/>
          </w:tcPr>
          <w:p>
            <w:pPr>
              <w:spacing w:after="0"/>
              <w:rPr>
                <w:rFonts w:ascii="Arial" w:cs="Arial" w:eastAsia="Arial" w:hAnsi="Arial"/>
                <w:sz w:val="18"/>
                <w:szCs w:val="18"/>
                <w:color w:val="0000EE"/>
                <w:w w:val="96"/>
              </w:rPr>
            </w:pPr>
            <w:hyperlink w:anchor="page62">
              <w:r>
                <w:rPr>
                  <w:rFonts w:ascii="Arial" w:cs="Arial" w:eastAsia="Arial" w:hAnsi="Arial"/>
                  <w:sz w:val="18"/>
                  <w:szCs w:val="18"/>
                  <w:color w:val="0000EE"/>
                  <w:w w:val="96"/>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Adopted Pursuant to Section 302 of the Sarbanes-Oxley Act of 2002.</w:t>
              </w:r>
            </w:hyperlink>
          </w:p>
        </w:tc>
        <w:tc>
          <w:tcPr>
            <w:tcW w:w="5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95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6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980" w:type="dxa"/>
            <w:vAlign w:val="bottom"/>
            <w:gridSpan w:val="3"/>
            <w:shd w:val="clear" w:color="auto" w:fill="0000EE"/>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 w:type="dxa"/>
            <w:vAlign w:val="bottom"/>
          </w:tcPr>
          <w:p>
            <w:pPr>
              <w:jc w:val="right"/>
              <w:ind w:right="232"/>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87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Certification pursuant to 18 U.S.C. Section 1350, as Adopted Pursuant to Section 906 of the Sarbanes-Oxley Act of 2002.</w:t>
              </w:r>
            </w:hyperlink>
          </w:p>
        </w:tc>
        <w:tc>
          <w:tcPr>
            <w:tcW w:w="14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1"/>
                <w:szCs w:val="21"/>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19"/>
                <w:szCs w:val="19"/>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19"/>
                <w:szCs w:val="19"/>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19"/>
                <w:szCs w:val="19"/>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19"/>
                <w:szCs w:val="19"/>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18"/>
                <w:szCs w:val="18"/>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840" w:type="dxa"/>
            <w:vAlign w:val="bottom"/>
          </w:tcPr>
          <w:p>
            <w:pPr>
              <w:jc w:val="right"/>
              <w:ind w:right="252"/>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10200" w:type="dxa"/>
            <w:vAlign w:val="bottom"/>
            <w:gridSpan w:val="12"/>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942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GEMINI THERAPEUTICS, INC.</w:t>
      </w:r>
    </w:p>
    <w:p>
      <w:pPr>
        <w:spacing w:after="0" w:line="252" w:lineRule="exact"/>
        <w:rPr>
          <w:sz w:val="20"/>
          <w:szCs w:val="20"/>
          <w:color w:val="auto"/>
        </w:rPr>
      </w:pPr>
    </w:p>
    <w:p>
      <w:pPr>
        <w:spacing w:after="0"/>
        <w:tabs>
          <w:tab w:leader="none" w:pos="5680" w:val="left"/>
          <w:tab w:leader="none" w:pos="7860" w:val="left"/>
        </w:tabs>
        <w:rPr>
          <w:sz w:val="20"/>
          <w:szCs w:val="20"/>
          <w:color w:val="auto"/>
        </w:rPr>
      </w:pPr>
      <w:r>
        <w:rPr>
          <w:rFonts w:ascii="Arial" w:cs="Arial" w:eastAsia="Arial" w:hAnsi="Arial"/>
          <w:sz w:val="18"/>
          <w:szCs w:val="18"/>
          <w:color w:val="auto"/>
        </w:rPr>
        <w:t>Date: August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Jason Meyenburg</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Gemini Therapeutics, Inc.</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August 12, 2021</w:t>
            </w:r>
          </w:p>
        </w:tc>
        <w:tc>
          <w:tcPr>
            <w:tcW w:w="2440" w:type="dxa"/>
            <w:vAlign w:val="bottom"/>
          </w:tcPr>
          <w:p>
            <w:pPr>
              <w:jc w:val="right"/>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Piekos</w:t>
            </w:r>
          </w:p>
        </w:tc>
      </w:tr>
      <w:tr>
        <w:trPr>
          <w:trHeight w:val="205"/>
        </w:trPr>
        <w:tc>
          <w:tcPr>
            <w:tcW w:w="35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2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89"/>
              </w:rPr>
              <w:t>Brian Piekos</w:t>
            </w:r>
          </w:p>
        </w:tc>
      </w:tr>
      <w:tr>
        <w:trPr>
          <w:trHeight w:val="230"/>
        </w:trPr>
        <w:tc>
          <w:tcPr>
            <w:tcW w:w="35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16"/>
        </w:trPr>
        <w:tc>
          <w:tcPr>
            <w:tcW w:w="3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financial officer)</w:t>
            </w:r>
          </w:p>
        </w:tc>
      </w:tr>
      <w:tr>
        <w:trPr>
          <w:trHeight w:val="234"/>
        </w:trPr>
        <w:tc>
          <w:tcPr>
            <w:tcW w:w="35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Gemini Therapeutics, Inc.</w:t>
            </w:r>
          </w:p>
        </w:tc>
      </w:tr>
      <w:tr>
        <w:trPr>
          <w:trHeight w:val="648"/>
        </w:trPr>
        <w:tc>
          <w:tcPr>
            <w:tcW w:w="3580" w:type="dxa"/>
            <w:vAlign w:val="bottom"/>
          </w:tcPr>
          <w:p>
            <w:pPr>
              <w:spacing w:after="0"/>
              <w:rPr>
                <w:sz w:val="24"/>
                <w:szCs w:val="24"/>
                <w:color w:val="auto"/>
              </w:rPr>
            </w:pPr>
          </w:p>
        </w:tc>
        <w:tc>
          <w:tcPr>
            <w:tcW w:w="2440" w:type="dxa"/>
            <w:vAlign w:val="bottom"/>
          </w:tcPr>
          <w:p>
            <w:pPr>
              <w:jc w:val="right"/>
              <w:ind w:right="210"/>
              <w:spacing w:after="0"/>
              <w:rPr>
                <w:sz w:val="20"/>
                <w:szCs w:val="20"/>
                <w:color w:val="auto"/>
              </w:rPr>
            </w:pPr>
            <w:r>
              <w:rPr>
                <w:rFonts w:ascii="Arial" w:cs="Arial" w:eastAsia="Arial" w:hAnsi="Arial"/>
                <w:sz w:val="18"/>
                <w:szCs w:val="18"/>
                <w:color w:val="auto"/>
              </w:rPr>
              <w:t>38</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AGREEMENT</w:t>
      </w:r>
    </w:p>
    <w:p>
      <w:pPr>
        <w:spacing w:after="0" w:line="188" w:lineRule="exact"/>
        <w:rPr>
          <w:sz w:val="20"/>
          <w:szCs w:val="20"/>
          <w:color w:val="auto"/>
        </w:rPr>
      </w:pPr>
    </w:p>
    <w:p>
      <w:pPr>
        <w:ind w:right="540" w:firstLine="864"/>
        <w:spacing w:after="0" w:line="250" w:lineRule="auto"/>
        <w:rPr>
          <w:sz w:val="20"/>
          <w:szCs w:val="20"/>
          <w:color w:val="auto"/>
        </w:rPr>
      </w:pPr>
      <w:r>
        <w:rPr>
          <w:rFonts w:ascii="Arial" w:cs="Arial" w:eastAsia="Arial" w:hAnsi="Arial"/>
          <w:sz w:val="22"/>
          <w:szCs w:val="22"/>
          <w:color w:val="auto"/>
        </w:rPr>
        <w:t>This Employment Agreement (“Agreement”) is made as of March 24, 2021 between Gemini Therapeutics, Inc., a Delaware corporation (the “Company”), and Dr. Sam Barone (the “Executive”).</w:t>
      </w:r>
    </w:p>
    <w:p>
      <w:pPr>
        <w:spacing w:after="0" w:line="175" w:lineRule="exact"/>
        <w:rPr>
          <w:sz w:val="20"/>
          <w:szCs w:val="20"/>
          <w:color w:val="auto"/>
        </w:rPr>
      </w:pPr>
    </w:p>
    <w:p>
      <w:pPr>
        <w:jc w:val="both"/>
        <w:ind w:right="80" w:firstLine="864"/>
        <w:spacing w:after="0" w:line="297" w:lineRule="auto"/>
        <w:rPr>
          <w:sz w:val="20"/>
          <w:szCs w:val="20"/>
          <w:color w:val="auto"/>
        </w:rPr>
      </w:pPr>
      <w:r>
        <w:rPr>
          <w:rFonts w:ascii="Arial" w:cs="Arial" w:eastAsia="Arial" w:hAnsi="Arial"/>
          <w:sz w:val="19"/>
          <w:szCs w:val="19"/>
          <w:color w:val="auto"/>
        </w:rPr>
        <w:t>WHEREAS, the Company desires to employ the Executive and the Executive desires to be employed by the Company on the terms and conditions contained herein commencing on April 12, 2021, unless another date is agreed to by the parties. The Executive’s first day of employment under this Agreement shall be the “Effective Date” of this Agreement;</w:t>
      </w:r>
    </w:p>
    <w:p>
      <w:pPr>
        <w:spacing w:after="0" w:line="134" w:lineRule="exact"/>
        <w:rPr>
          <w:sz w:val="20"/>
          <w:szCs w:val="20"/>
          <w:color w:val="auto"/>
        </w:rPr>
      </w:pPr>
    </w:p>
    <w:p>
      <w:pPr>
        <w:ind w:right="300" w:firstLine="864"/>
        <w:spacing w:after="0" w:line="328" w:lineRule="auto"/>
        <w:rPr>
          <w:sz w:val="20"/>
          <w:szCs w:val="20"/>
          <w:color w:val="auto"/>
        </w:rPr>
      </w:pPr>
      <w:r>
        <w:rPr>
          <w:rFonts w:ascii="Arial" w:cs="Arial" w:eastAsia="Arial" w:hAnsi="Arial"/>
          <w:sz w:val="19"/>
          <w:szCs w:val="19"/>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05" w:lineRule="exact"/>
        <w:rPr>
          <w:sz w:val="20"/>
          <w:szCs w:val="20"/>
          <w:color w:val="auto"/>
        </w:rPr>
      </w:pPr>
    </w:p>
    <w:p>
      <w:pPr>
        <w:ind w:left="1680" w:hanging="808"/>
        <w:spacing w:after="0"/>
        <w:tabs>
          <w:tab w:leader="none" w:pos="168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80" w:firstLine="1735"/>
        <w:spacing w:after="0" w:line="236" w:lineRule="auto"/>
        <w:tabs>
          <w:tab w:leader="none" w:pos="2615"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Company shall employ the Executive and the Executive shall be employed by the Company pursuant to this Agreement commencing as of the Effective Date and continuing until such employment is terminated in accordance with the provisions hereof (the “Term”). The Executive’s employment with the Company shall be “at will,” meaning that the Executive’s employment may be terminated by the Company or the Executive at any time and for any reason subject to the terms of this Agreement.</w:t>
      </w:r>
    </w:p>
    <w:p>
      <w:pPr>
        <w:spacing w:after="0" w:line="187" w:lineRule="exact"/>
        <w:rPr>
          <w:rFonts w:ascii="Arial" w:cs="Arial" w:eastAsia="Arial" w:hAnsi="Arial"/>
          <w:sz w:val="22"/>
          <w:szCs w:val="22"/>
          <w:color w:val="auto"/>
        </w:rPr>
      </w:pPr>
    </w:p>
    <w:p>
      <w:pPr>
        <w:ind w:firstLine="1735"/>
        <w:spacing w:after="0" w:line="273" w:lineRule="auto"/>
        <w:tabs>
          <w:tab w:leader="none" w:pos="2627"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During the Term, the Executive shall serve as the Chief Medical Officer for the Company and shall have such powers and duties as may from time to time be prescribed by the Chief Executive Officer of the Company (the “CEO”). The Executive shall devote his full working time and efforts to the business and affairs of the Company. Notwithstanding the foregoing, the Executive may serve on other boards of directors, with the approval of the Board of Directors of the Company (the “Board”) or a committee of the Board, or engage in religious, charitable or other community activities as long as such services and activities are disclosed to the Board and do not interfere with the Executive’s performance of his duties to the Company. As of the Effective Date, the Company has approved (i) the Executive’s continuing service on the Board of Director for Halodine, LLC a commercial-stage pharmaceutical company focused on resistance-free antiviral, antifungal and antibacterial topical drugs, as well as (ii) the Executive’s providing up to 4 days per month of ophthalmologic patient care activities, provided that such days are approved in advance by the CEO or the Company’s Chief People Officer and that the provision of such patient care activities do not conflict with the Executive’s employment with the Company.</w:t>
      </w:r>
    </w:p>
    <w:p>
      <w:pPr>
        <w:spacing w:after="0" w:line="155" w:lineRule="exact"/>
        <w:rPr>
          <w:rFonts w:ascii="Arial" w:cs="Arial" w:eastAsia="Arial" w:hAnsi="Arial"/>
          <w:sz w:val="19"/>
          <w:szCs w:val="19"/>
          <w:color w:val="auto"/>
        </w:rPr>
      </w:pPr>
    </w:p>
    <w:p>
      <w:pPr>
        <w:ind w:left="1680" w:hanging="808"/>
        <w:spacing w:after="0"/>
        <w:tabs>
          <w:tab w:leader="none" w:pos="168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80" w:firstLine="1735"/>
        <w:spacing w:after="0" w:line="287" w:lineRule="auto"/>
        <w:tabs>
          <w:tab w:leader="none" w:pos="2615"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Term, the Executive’s initial annual base salary shall be paid at the rate of $425,000 per year. The Executive’s base salary shall be reviewed annually by the Board or the Compensation Committee of the Board (the “Compensation Committee”). The base salary in effect at any given time is referred to herein as “Base Salary.” The Base Salary shall be payable in a manner that is consistent with the Company’s usual payroll practices for senior executives.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20" w:firstLine="1735"/>
        <w:spacing w:after="0" w:line="287" w:lineRule="auto"/>
        <w:tabs>
          <w:tab w:leader="none" w:pos="2607"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Incentive Compensation</w:t>
      </w:r>
      <w:r>
        <w:rPr>
          <w:rFonts w:ascii="Arial" w:cs="Arial" w:eastAsia="Arial" w:hAnsi="Arial"/>
          <w:sz w:val="19"/>
          <w:szCs w:val="19"/>
          <w:color w:val="auto"/>
        </w:rPr>
        <w:t>. During the Term, the Executive shall be eligible to receive cash incentive compensation as determined by the Board or the Compensation Committee from time to time. The Executive’s target annual incentive compensation shall be 40% of the Base Salary (the “Target Bonus”). Except as otherwise provided herein, to earn incentive compensation, the Executive must be employed by the Company on the day such incentive compensation is paid.</w:t>
      </w:r>
    </w:p>
    <w:p>
      <w:pPr>
        <w:spacing w:after="0" w:line="142" w:lineRule="exact"/>
        <w:rPr>
          <w:rFonts w:ascii="Arial" w:cs="Arial" w:eastAsia="Arial" w:hAnsi="Arial"/>
          <w:sz w:val="19"/>
          <w:szCs w:val="19"/>
          <w:color w:val="auto"/>
        </w:rPr>
      </w:pPr>
    </w:p>
    <w:p>
      <w:pPr>
        <w:ind w:left="-20" w:right="120" w:firstLine="1735"/>
        <w:spacing w:after="0" w:line="245" w:lineRule="auto"/>
        <w:tabs>
          <w:tab w:leader="none" w:pos="2595"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Equity Compensation</w:t>
      </w:r>
      <w:r>
        <w:rPr>
          <w:rFonts w:ascii="Arial" w:cs="Arial" w:eastAsia="Arial" w:hAnsi="Arial"/>
          <w:sz w:val="21"/>
          <w:szCs w:val="21"/>
          <w:color w:val="auto"/>
        </w:rPr>
        <w:t>. As an inducement to your employment with the Company, subject to final approval by the Board or a committee thereof, of the Company will grant to the Executive following the Effective Date a non-qualified stock option to purchase up to 255,212 shares of the Company’s common stock (the “Inducement Award”). The exercise price or purchase price per share of the Inducement Award will be equal to the fair market value of the Company’s common stock on the date of grant. The shares underlying the Inducement Award will be subject to a four-year vesting schedule with 25% of the shares subject to each award vesting on the one year anniversary of the first day of the month immediately following the Effective Date and the remainder vesting ratably on a monthly basis over the following 36 months, subject to continued employment as of each such vesting date. The Equity Award will be subject to the terms of the Company’s 2021 Inducement Equity Grant Plan (the “Inducement Plan”) and the equity award agreement between the Executive and the Company, which shall govern.</w:t>
      </w:r>
    </w:p>
    <w:p>
      <w:pPr>
        <w:spacing w:after="0" w:line="180" w:lineRule="exact"/>
        <w:rPr>
          <w:rFonts w:ascii="Arial" w:cs="Arial" w:eastAsia="Arial" w:hAnsi="Arial"/>
          <w:sz w:val="21"/>
          <w:szCs w:val="21"/>
          <w:color w:val="auto"/>
        </w:rPr>
      </w:pPr>
    </w:p>
    <w:p>
      <w:pPr>
        <w:ind w:left="-20" w:right="60" w:firstLine="1735"/>
        <w:spacing w:after="0" w:line="245" w:lineRule="auto"/>
        <w:tabs>
          <w:tab w:leader="none" w:pos="2607"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Sign-On Bonus</w:t>
      </w:r>
      <w:r>
        <w:rPr>
          <w:rFonts w:ascii="Arial" w:cs="Arial" w:eastAsia="Arial" w:hAnsi="Arial"/>
          <w:sz w:val="21"/>
          <w:szCs w:val="21"/>
          <w:color w:val="auto"/>
        </w:rPr>
        <w:t>. On the Company’s first regular payroll date following the Effective Date (and provided that you remain employed by the Company on such date), the Company shall pay you a signing bonus of $100,000 less applicable deductions and withholdings (the “</w:t>
      </w:r>
      <w:r>
        <w:rPr>
          <w:rFonts w:ascii="Arial" w:cs="Arial" w:eastAsia="Arial" w:hAnsi="Arial"/>
          <w:sz w:val="21"/>
          <w:szCs w:val="21"/>
          <w:b w:val="1"/>
          <w:bCs w:val="1"/>
          <w:color w:val="auto"/>
        </w:rPr>
        <w:t>Sign-On Bonus</w:t>
      </w:r>
      <w:r>
        <w:rPr>
          <w:rFonts w:ascii="Arial" w:cs="Arial" w:eastAsia="Arial" w:hAnsi="Arial"/>
          <w:sz w:val="21"/>
          <w:szCs w:val="21"/>
          <w:color w:val="auto"/>
        </w:rPr>
        <w:t>”). If within one year of the Effective Date either (i) you resign from employment with the Company for any reason other than Good Reason (as defined below), or (ii) you are terminated by the Company for Cause (as defined below), then you agree that you will repay 100% of the Sign-On Bonus to the Company within ten (10) days from the Date of Termination (as defined below). If within two years of the Effective Date either (i) you resign from employment with the Company for any reason other than Good Reason, or (ii) you are terminated by the Company for Cause, then you agree that you will repay fifty percent (50%) of the Sign-On Bonus to the Company within ten (10) days from the Date of Termination.</w:t>
      </w:r>
    </w:p>
    <w:p>
      <w:pPr>
        <w:spacing w:after="0" w:line="184" w:lineRule="exact"/>
        <w:rPr>
          <w:rFonts w:ascii="Arial" w:cs="Arial" w:eastAsia="Arial" w:hAnsi="Arial"/>
          <w:sz w:val="21"/>
          <w:szCs w:val="21"/>
          <w:color w:val="auto"/>
        </w:rPr>
      </w:pPr>
    </w:p>
    <w:p>
      <w:pPr>
        <w:jc w:val="both"/>
        <w:ind w:left="-20" w:right="420" w:firstLine="1735"/>
        <w:spacing w:after="0"/>
        <w:tabs>
          <w:tab w:leader="none" w:pos="2595"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Executive shall be entitled to receive prompt reimbursement for all reasonable expenses incurred by them during the Term in performing services hereunder, in accordance with the policies and procedures then in effect and established by the Company for its senior executives.</w:t>
      </w:r>
    </w:p>
    <w:p>
      <w:pPr>
        <w:spacing w:after="0" w:line="186" w:lineRule="exact"/>
        <w:rPr>
          <w:rFonts w:ascii="Arial" w:cs="Arial" w:eastAsia="Arial" w:hAnsi="Arial"/>
          <w:sz w:val="22"/>
          <w:szCs w:val="22"/>
          <w:color w:val="auto"/>
        </w:rPr>
      </w:pPr>
    </w:p>
    <w:p>
      <w:pPr>
        <w:ind w:left="-20" w:firstLine="1735"/>
        <w:spacing w:after="0" w:line="238" w:lineRule="auto"/>
        <w:tabs>
          <w:tab w:leader="none" w:pos="2571"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 During the Term, the Executive shall be eligible to participate in or receive benefits under the Company’s policies and employee benefit plans in effect from time to time, subject to the terms of such policies and plans and to the Company’s ability to amend, modify, replace or terminate such policies and plans, including with respect to paid time off.</w:t>
      </w:r>
    </w:p>
    <w:p>
      <w:pPr>
        <w:spacing w:after="0" w:line="184" w:lineRule="exact"/>
        <w:rPr>
          <w:rFonts w:ascii="Arial" w:cs="Arial" w:eastAsia="Arial" w:hAnsi="Arial"/>
          <w:sz w:val="22"/>
          <w:szCs w:val="22"/>
          <w:color w:val="auto"/>
        </w:rPr>
      </w:pPr>
    </w:p>
    <w:p>
      <w:pPr>
        <w:ind w:left="-20" w:right="520" w:firstLine="1735"/>
        <w:spacing w:after="0"/>
        <w:tabs>
          <w:tab w:leader="none" w:pos="2607"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Relocation</w:t>
      </w:r>
      <w:r>
        <w:rPr>
          <w:rFonts w:ascii="Arial" w:cs="Arial" w:eastAsia="Arial" w:hAnsi="Arial"/>
          <w:sz w:val="22"/>
          <w:szCs w:val="22"/>
          <w:color w:val="auto"/>
        </w:rPr>
        <w:t>. At such time as requested by the Compensation Committee of the Board (the “Compensation Committee”) or the Board, following the ending (or easing) of the COVID-19 pandemic, Executive shall be present in the Company’s offices, currently located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217170</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361" w:right="339" w:bottom="1440" w:gutter="0" w:footer="0" w:header="0"/>
        </w:sectPr>
      </w:pPr>
    </w:p>
    <w:bookmarkStart w:id="44" w:name="page45"/>
    <w:bookmarkEnd w:id="44"/>
    <w:p>
      <w:pPr>
        <w:spacing w:after="0" w:line="273" w:lineRule="auto"/>
        <w:rPr>
          <w:sz w:val="20"/>
          <w:szCs w:val="20"/>
          <w:color w:val="auto"/>
        </w:rPr>
      </w:pPr>
      <w:r>
        <w:rPr>
          <w:rFonts w:ascii="Arial" w:cs="Arial" w:eastAsia="Arial" w:hAnsi="Arial"/>
          <w:sz w:val="19"/>
          <w:szCs w:val="19"/>
          <w:color w:val="auto"/>
        </w:rPr>
        <w:t>Cambridge, Massachusetts (the “Corporate Office”), for three to four days per week, and to allow for such presence in the Company’s offices, the Company will provide you with a living expense allowance, in an amount in agreement with Company policy and as reviewed and agreed to by CEO (the “Living Expense Allowance”). The Living Expense Allowance shall be paid monthly in arears within the first ten (10) days of each month. No substantiation for the Living Expense Allowance will be required beyond your personal certification that you physically are located and work in the Corporate Office. The Company will comply with any tax reporting obligations and you will be responsible for any tax payment obligations. You will not be eligible to receive any other reimbursement for living expenses other than reimbursement for reasonable out-of-pocket travel and business expenses incurred in accordance with the Company’s expense reimbursement policy. Notwithstanding the foregoing, the Compensation Committee or the Board will have the right to periodically reassess this requirement, and at any time following the ending (or easing) of the COVID-19 pandemic, the Compensation Committee or the Board may require that Executive relocate his primary residence to the Greater Boston Area.</w:t>
      </w:r>
    </w:p>
    <w:p>
      <w:pPr>
        <w:spacing w:after="0" w:line="155" w:lineRule="exact"/>
        <w:rPr>
          <w:sz w:val="20"/>
          <w:szCs w:val="20"/>
          <w:color w:val="auto"/>
        </w:rPr>
      </w:pPr>
    </w:p>
    <w:p>
      <w:pPr>
        <w:ind w:right="240" w:firstLine="1735"/>
        <w:spacing w:after="0" w:line="287" w:lineRule="auto"/>
        <w:tabs>
          <w:tab w:leader="none" w:pos="2627" w:val="left"/>
        </w:tabs>
        <w:numPr>
          <w:ilvl w:val="1"/>
          <w:numId w:val="23"/>
        </w:numPr>
        <w:rPr>
          <w:rFonts w:ascii="Arial" w:cs="Arial" w:eastAsia="Arial" w:hAnsi="Arial"/>
          <w:sz w:val="19"/>
          <w:szCs w:val="19"/>
          <w:color w:val="auto"/>
        </w:rPr>
      </w:pPr>
      <w:r>
        <w:rPr>
          <w:rFonts w:ascii="Arial" w:cs="Arial" w:eastAsia="Arial" w:hAnsi="Arial"/>
          <w:sz w:val="19"/>
          <w:szCs w:val="19"/>
          <w:u w:val="single" w:color="auto"/>
          <w:color w:val="auto"/>
        </w:rPr>
        <w:t>Withholding; Tax Effect</w:t>
      </w:r>
      <w:r>
        <w:rPr>
          <w:rFonts w:ascii="Arial" w:cs="Arial" w:eastAsia="Arial" w:hAnsi="Arial"/>
          <w:sz w:val="19"/>
          <w:szCs w:val="19"/>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142" w:lineRule="exact"/>
        <w:rPr>
          <w:rFonts w:ascii="Arial" w:cs="Arial" w:eastAsia="Arial" w:hAnsi="Arial"/>
          <w:sz w:val="19"/>
          <w:szCs w:val="19"/>
          <w:color w:val="auto"/>
        </w:rPr>
      </w:pPr>
    </w:p>
    <w:p>
      <w:pPr>
        <w:ind w:right="20" w:firstLine="872"/>
        <w:spacing w:after="0" w:line="250" w:lineRule="auto"/>
        <w:tabs>
          <w:tab w:leader="none" w:pos="1674"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During the Term, the Executive’s employment hereunder may be terminated without any breach of this Agreement under the following circumstances:</w:t>
      </w:r>
    </w:p>
    <w:p>
      <w:pPr>
        <w:spacing w:after="0" w:line="174" w:lineRule="exact"/>
        <w:rPr>
          <w:rFonts w:ascii="Arial" w:cs="Arial" w:eastAsia="Arial" w:hAnsi="Arial"/>
          <w:sz w:val="22"/>
          <w:szCs w:val="22"/>
          <w:color w:val="auto"/>
        </w:rPr>
      </w:pPr>
    </w:p>
    <w:p>
      <w:pPr>
        <w:ind w:left="2620" w:hanging="885"/>
        <w:spacing w:after="0"/>
        <w:tabs>
          <w:tab w:leader="none" w:pos="2620"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The Executive’s employment hereunder shall terminate upon his death.</w:t>
      </w:r>
    </w:p>
    <w:p>
      <w:pPr>
        <w:spacing w:after="0" w:line="206" w:lineRule="exact"/>
        <w:rPr>
          <w:rFonts w:ascii="Arial" w:cs="Arial" w:eastAsia="Arial" w:hAnsi="Arial"/>
          <w:sz w:val="22"/>
          <w:szCs w:val="22"/>
          <w:color w:val="auto"/>
        </w:rPr>
      </w:pPr>
    </w:p>
    <w:p>
      <w:pPr>
        <w:ind w:firstLine="1735"/>
        <w:spacing w:after="0" w:line="272" w:lineRule="auto"/>
        <w:tabs>
          <w:tab w:leader="none" w:pos="2627"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The Company may terminate the Executive’s employment if they are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Americans with Disabilities Act, 42 U.S.C. §12101 </w:t>
      </w:r>
      <w:r>
        <w:rPr>
          <w:rFonts w:ascii="Arial" w:cs="Arial" w:eastAsia="Arial" w:hAnsi="Arial"/>
          <w:sz w:val="19"/>
          <w:szCs w:val="19"/>
          <w:i w:val="1"/>
          <w:iCs w:val="1"/>
          <w:color w:val="auto"/>
        </w:rPr>
        <w:t>et seq.</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45" w:name="page46"/>
    <w:bookmarkEnd w:id="45"/>
    <w:p>
      <w:pPr>
        <w:ind w:left="-40" w:right="20" w:firstLine="1735"/>
        <w:spacing w:after="0" w:line="271" w:lineRule="auto"/>
        <w:tabs>
          <w:tab w:leader="none" w:pos="2575"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they were retained in his position; (iii) unsatisfactory performance by the Executive of a material responsibility (other than by reason of the Executive’s physical or mental illness, incapacity or disability) as reasonably determined by the CEO, which has continued for not less than 30 days following written notice from the CEO that identifies the unsatisfactory performance; (iv) a breach by the Executive of any of the provisions contained in Section 8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ind w:left="-40" w:right="120" w:firstLine="1735"/>
        <w:spacing w:after="0" w:line="238" w:lineRule="auto"/>
        <w:tabs>
          <w:tab w:leader="none" w:pos="2587"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184" w:lineRule="exact"/>
        <w:rPr>
          <w:rFonts w:ascii="Arial" w:cs="Arial" w:eastAsia="Arial" w:hAnsi="Arial"/>
          <w:sz w:val="22"/>
          <w:szCs w:val="22"/>
          <w:color w:val="auto"/>
        </w:rPr>
      </w:pPr>
    </w:p>
    <w:p>
      <w:pPr>
        <w:ind w:left="-40" w:firstLine="1735"/>
        <w:spacing w:after="0" w:line="271" w:lineRule="auto"/>
        <w:tabs>
          <w:tab w:leader="none" w:pos="2575"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his employment hereunder at any time for any reason, including for Good Reason. For purposes of this offer letter, “Good Reason” shall mean that the Executive has complied with the “Good Reason Process” (hereinafter defined) following the occurrence of any of the following events: (i) reduction of the Executive’s Base Salary without the Executive’s prior consent (other than in connection with, and substantially proportionate to, reductions by the Company of the compensation of the Company’s management employees); (ii) material diminution in the Executive’s responsibilities, authority, or duties, without the Executive’s prior consent; (iii) unless the Executive and the Company mutually agree the remote work location for the Executive, relocation of the Company’s offices more than 100 miles away from the current location without the Executive’s prior consent; or (iv) any material breach by the Company or any successor thereto of this Agreement. “Good Reason Process” shall mean that (i) the Executive has reasonably determined in good faith that a “Good Reason” condition has occurred; (ii) the Executive has notified the Company in writing of the first occurrence of the Good Reason condition within 90 days of the first occurrence of such condition; (iii) the Executive has cooperated in good faith with the Company’s efforts, for a period not less than 30 days following such notice (the “Cure Period”), to remedy the condition; (iv) notwithstanding such efforts, the Good Reason condition continues to exist; and (v) the Executive terminates his employment within 30 days after the end of the Cure Period. If the Company cures the Good Reason condition during the Cure Period, Good Reason shall be deemed not to have occurred.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217170</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60" w:top="361" w:right="359" w:bottom="1440" w:gutter="0" w:footer="0" w:header="0"/>
        </w:sectPr>
      </w:pPr>
    </w:p>
    <w:bookmarkStart w:id="46" w:name="page47"/>
    <w:bookmarkEnd w:id="46"/>
    <w:p>
      <w:pPr>
        <w:jc w:val="both"/>
        <w:ind w:left="-20" w:right="20" w:firstLine="1735"/>
        <w:spacing w:after="0" w:line="252" w:lineRule="auto"/>
        <w:tabs>
          <w:tab w:leader="none" w:pos="2571"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73" w:lineRule="exact"/>
        <w:rPr>
          <w:rFonts w:ascii="Arial" w:cs="Arial" w:eastAsia="Arial" w:hAnsi="Arial"/>
          <w:sz w:val="21"/>
          <w:szCs w:val="21"/>
          <w:color w:val="auto"/>
        </w:rPr>
      </w:pPr>
    </w:p>
    <w:p>
      <w:pPr>
        <w:ind w:left="-20" w:right="40" w:firstLine="1735"/>
        <w:spacing w:after="0" w:line="245" w:lineRule="auto"/>
        <w:tabs>
          <w:tab w:leader="none" w:pos="2607" w:val="left"/>
        </w:tabs>
        <w:numPr>
          <w:ilvl w:val="1"/>
          <w:numId w:val="26"/>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or the date otherwise specified by the Company in the Notice of Termination; and (iv) if the Executive’s employment is terminated by the Executive under Section 3(e), 30 days after the date on which a Notice of Termination is given.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84" w:lineRule="exact"/>
        <w:rPr>
          <w:rFonts w:ascii="Arial" w:cs="Arial" w:eastAsia="Arial" w:hAnsi="Arial"/>
          <w:sz w:val="21"/>
          <w:szCs w:val="21"/>
          <w:color w:val="auto"/>
        </w:rPr>
      </w:pPr>
    </w:p>
    <w:p>
      <w:pPr>
        <w:ind w:left="-20" w:firstLine="872"/>
        <w:spacing w:after="0" w:line="234" w:lineRule="auto"/>
        <w:tabs>
          <w:tab w:leader="none" w:pos="1654"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Termination Generally</w:t>
      </w:r>
      <w:r>
        <w:rPr>
          <w:rFonts w:ascii="Arial" w:cs="Arial" w:eastAsia="Arial" w:hAnsi="Arial"/>
          <w:sz w:val="22"/>
          <w:szCs w:val="22"/>
          <w:color w:val="auto"/>
        </w:rPr>
        <w:t>. If the Executive’s employment with the Company is terminated for any reason, the Company shall pay or provide to the Executive (or to his authorized representative or estate) (i) any Base Salary earned through the Date of Termination, unpaid expense reimbursements (subject to, and in accordance with, Section 2(c) of this Agreement)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90" w:lineRule="exact"/>
        <w:rPr>
          <w:rFonts w:ascii="Arial" w:cs="Arial" w:eastAsia="Arial" w:hAnsi="Arial"/>
          <w:sz w:val="22"/>
          <w:szCs w:val="22"/>
          <w:color w:val="auto"/>
        </w:rPr>
      </w:pPr>
    </w:p>
    <w:p>
      <w:pPr>
        <w:ind w:left="-20" w:right="80" w:firstLine="872"/>
        <w:spacing w:after="0" w:line="274" w:lineRule="auto"/>
        <w:tabs>
          <w:tab w:leader="none" w:pos="1654"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the Executive for Good Reason</w:t>
      </w:r>
      <w:r>
        <w:rPr>
          <w:rFonts w:ascii="Arial" w:cs="Arial" w:eastAsia="Arial" w:hAnsi="Arial"/>
          <w:sz w:val="19"/>
          <w:szCs w:val="19"/>
          <w:color w:val="auto"/>
        </w:rPr>
        <w:t>. During the Term, if the Executive’s employment is terminated by the Company without Cause or by the Executive for Good Reason, then the Company shall pay the Executive his Accrued Benefit. In addition, subject to the Executive (i) signing a separation agreement and release in a form and manner satisfactory to the Company, which shall include, without limitation, a general release of claims in favor of the Company and related persons and entities, a reaffirmation of the Executive’s post-employment obligations, and in the Company’s sole discretion, a one year noncompetition agreement, and shall provide that, if the Executive breaches any of the postemployment obligations, all payment of the Severance Amount shall immediately cease (the “Separation Agreement and Release”), and (ii) the Separation Agreement and Release becoming irrevocable, all within 60 days after the Date of Termination (or such period as set forth in the Separation Agreement and Release):</w:t>
      </w:r>
    </w:p>
    <w:p>
      <w:pPr>
        <w:spacing w:after="0" w:line="158" w:lineRule="exact"/>
        <w:rPr>
          <w:sz w:val="20"/>
          <w:szCs w:val="20"/>
          <w:color w:val="auto"/>
        </w:rPr>
      </w:pPr>
    </w:p>
    <w:p>
      <w:pPr>
        <w:ind w:left="860" w:right="120" w:firstLine="1586"/>
        <w:spacing w:after="0" w:line="238" w:lineRule="auto"/>
        <w:tabs>
          <w:tab w:leader="none" w:pos="3306"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shall pay the Executive an amount equal to the sum of (i) nine (9) months of the Executive’s Base Salary and (ii) pro rata portion of the Target Bonus earned by the Executive for the current calendar year measured from the first day of such calendar year through the Date of Termination (the “Severance Amount”);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217170</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40" w:top="361" w:right="339" w:bottom="1440" w:gutter="0" w:footer="0" w:header="0"/>
        </w:sectPr>
      </w:pPr>
    </w:p>
    <w:bookmarkStart w:id="47" w:name="page48"/>
    <w:bookmarkEnd w:id="47"/>
    <w:p>
      <w:pPr>
        <w:ind w:left="880" w:right="80" w:firstLine="1586"/>
        <w:spacing w:after="0" w:line="273" w:lineRule="auto"/>
        <w:tabs>
          <w:tab w:leader="none" w:pos="3386" w:val="left"/>
        </w:tabs>
        <w:numPr>
          <w:ilvl w:val="1"/>
          <w:numId w:val="29"/>
        </w:numPr>
        <w:rPr>
          <w:rFonts w:ascii="Arial" w:cs="Arial" w:eastAsia="Arial" w:hAnsi="Arial"/>
          <w:sz w:val="19"/>
          <w:szCs w:val="19"/>
          <w:color w:val="auto"/>
        </w:rPr>
      </w:pPr>
      <w:r>
        <w:rPr>
          <w:rFonts w:ascii="Arial" w:cs="Arial" w:eastAsia="Arial" w:hAnsi="Arial"/>
          <w:sz w:val="19"/>
          <w:szCs w:val="19"/>
          <w:color w:val="auto"/>
        </w:rPr>
        <w:t>subject to the Executive’s proper election to receive benefits under the Consolidated Omnibus Budget Reconciliation Act of 1985, as amended (“COBRA”), the Company shall all amounts necessary to provide health insurance to the Executive if the Executive had remained employed by the Company until the earliest of</w:t>
      </w:r>
    </w:p>
    <w:p>
      <w:pPr>
        <w:spacing w:after="0" w:line="1" w:lineRule="exact"/>
        <w:rPr>
          <w:rFonts w:ascii="Arial" w:cs="Arial" w:eastAsia="Arial" w:hAnsi="Arial"/>
          <w:sz w:val="19"/>
          <w:szCs w:val="19"/>
          <w:color w:val="auto"/>
        </w:rPr>
      </w:pPr>
    </w:p>
    <w:p>
      <w:pPr>
        <w:ind w:left="880" w:right="120" w:hanging="8"/>
        <w:spacing w:after="0" w:line="272" w:lineRule="auto"/>
        <w:tabs>
          <w:tab w:leader="none" w:pos="1234"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nine (9) month anniversary of the Date of Termination; (B) the Executive’s eligibility for group medical plan benefits under any other employer’s group medical plan; or (C) the cessation of the Executive’s continuation rights under COBRA; provided, however, if the Company determines that it cannot pay such amounts without potentially violating applicable law (including, without limitation, Section 2716 of the Public Health Service Act), then the Company will convert such payments to payroll payments directly to the Executive for the time period specified above. Such payments shall be subject to tax- related deductions and withholdings and paid on the Company’s regular payroll dates. For the avoidance of doubt, the taxable payments described above may be used for any purpose, including, but not limited to, continuation coverage under COBRA.</w:t>
      </w:r>
    </w:p>
    <w:p>
      <w:pPr>
        <w:spacing w:after="0" w:line="161" w:lineRule="exact"/>
        <w:rPr>
          <w:sz w:val="20"/>
          <w:szCs w:val="20"/>
          <w:color w:val="auto"/>
        </w:rPr>
      </w:pPr>
    </w:p>
    <w:p>
      <w:pPr>
        <w:ind w:right="60"/>
        <w:spacing w:after="0" w:line="270" w:lineRule="auto"/>
        <w:rPr>
          <w:sz w:val="20"/>
          <w:szCs w:val="20"/>
          <w:color w:val="auto"/>
        </w:rPr>
      </w:pPr>
      <w:r>
        <w:rPr>
          <w:rFonts w:ascii="Arial" w:cs="Arial" w:eastAsia="Arial" w:hAnsi="Arial"/>
          <w:sz w:val="19"/>
          <w:szCs w:val="19"/>
          <w:color w:val="auto"/>
        </w:rPr>
        <w:t>The amounts payable under this Section 5(i) shall be paid out in substantially equal installments in accordance with the Company’s payroll practice over nine (9)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188" w:lineRule="exact"/>
        <w:rPr>
          <w:sz w:val="20"/>
          <w:szCs w:val="20"/>
          <w:color w:val="auto"/>
        </w:rPr>
      </w:pPr>
    </w:p>
    <w:p>
      <w:pPr>
        <w:ind w:right="40" w:firstLine="872"/>
        <w:spacing w:after="0" w:line="275" w:lineRule="auto"/>
        <w:tabs>
          <w:tab w:leader="none" w:pos="1674"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Change in Control Payment</w:t>
      </w:r>
      <w:r>
        <w:rPr>
          <w:rFonts w:ascii="Arial" w:cs="Arial" w:eastAsia="Arial" w:hAnsi="Arial"/>
          <w:sz w:val="19"/>
          <w:szCs w:val="19"/>
          <w:color w:val="auto"/>
        </w:rPr>
        <w:t>. The provisions of this Section 6 set forth certain terms of an agreement reached between the Executive and the Company regarding the Executive’s rights and obligations upon the occurrence of a Change in Control of the Company.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5 regarding severance pay and benefits upon a termination of employment, if such termination of employment occurs within 12 months after the occurrence of the first event constituting a Change in Control (the “Change in Control Period”). These provisions shall terminate and be of no further force or effect beginning after the Change in Control Period has ended.</w:t>
      </w:r>
    </w:p>
    <w:p>
      <w:pPr>
        <w:spacing w:after="0" w:line="157" w:lineRule="exact"/>
        <w:rPr>
          <w:rFonts w:ascii="Arial" w:cs="Arial" w:eastAsia="Arial" w:hAnsi="Arial"/>
          <w:sz w:val="19"/>
          <w:szCs w:val="19"/>
          <w:color w:val="auto"/>
        </w:rPr>
      </w:pPr>
    </w:p>
    <w:p>
      <w:pPr>
        <w:ind w:right="260" w:firstLine="1735"/>
        <w:spacing w:after="0" w:line="287" w:lineRule="auto"/>
        <w:tabs>
          <w:tab w:leader="none" w:pos="2615"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During the Term, if during the Change in Control Period, the Executive’s employment is terminated by the Company without Cause or by the Executive for Good Reason, then, subject to the signing of the Separation Agreement and Release by the Executive and the Separation Agreement and Release becoming irrevocable, the time frame set forth in the Separation Agreement and Release but in no event more than 60 days after the Date of Termination:</w:t>
      </w:r>
    </w:p>
    <w:p>
      <w:pPr>
        <w:spacing w:after="0" w:line="142" w:lineRule="exact"/>
        <w:rPr>
          <w:rFonts w:ascii="Arial" w:cs="Arial" w:eastAsia="Arial" w:hAnsi="Arial"/>
          <w:sz w:val="19"/>
          <w:szCs w:val="19"/>
          <w:color w:val="auto"/>
        </w:rPr>
      </w:pPr>
    </w:p>
    <w:p>
      <w:pPr>
        <w:ind w:left="880" w:firstLine="1586"/>
        <w:spacing w:after="0"/>
        <w:tabs>
          <w:tab w:leader="none" w:pos="3326" w:val="left"/>
        </w:tabs>
        <w:numPr>
          <w:ilvl w:val="2"/>
          <w:numId w:val="31"/>
        </w:numPr>
        <w:rPr>
          <w:rFonts w:ascii="Arial" w:cs="Arial" w:eastAsia="Arial" w:hAnsi="Arial"/>
          <w:sz w:val="22"/>
          <w:szCs w:val="22"/>
          <w:color w:val="auto"/>
        </w:rPr>
      </w:pPr>
      <w:r>
        <w:rPr>
          <w:rFonts w:ascii="Arial" w:cs="Arial" w:eastAsia="Arial" w:hAnsi="Arial"/>
          <w:sz w:val="22"/>
          <w:szCs w:val="22"/>
          <w:color w:val="auto"/>
        </w:rPr>
        <w:t>the Company shall pay the Executive a lump sum in cash in an amount equal the sum of one times the sum of (A) the Executive’s then current Base Salary (or the Executive’s Base Salary in effect immediately prior to the Change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8" w:name="page49"/>
    <w:bookmarkEnd w:id="48"/>
    <w:p>
      <w:pPr>
        <w:ind w:left="880" w:right="120"/>
        <w:spacing w:after="0" w:line="250" w:lineRule="auto"/>
        <w:rPr>
          <w:sz w:val="20"/>
          <w:szCs w:val="20"/>
          <w:color w:val="auto"/>
        </w:rPr>
      </w:pPr>
      <w:r>
        <w:rPr>
          <w:rFonts w:ascii="Arial" w:cs="Arial" w:eastAsia="Arial" w:hAnsi="Arial"/>
          <w:sz w:val="22"/>
          <w:szCs w:val="22"/>
          <w:color w:val="auto"/>
        </w:rPr>
        <w:t>Control, if higher) plus (B) the Executive’s Target Bonus for the then-current year (the “Change in Control Payment”); and</w:t>
      </w:r>
    </w:p>
    <w:p>
      <w:pPr>
        <w:spacing w:after="0" w:line="175" w:lineRule="exact"/>
        <w:rPr>
          <w:sz w:val="20"/>
          <w:szCs w:val="20"/>
          <w:color w:val="auto"/>
        </w:rPr>
      </w:pPr>
    </w:p>
    <w:p>
      <w:pPr>
        <w:ind w:left="880" w:right="80" w:firstLine="1586"/>
        <w:spacing w:after="0" w:line="273" w:lineRule="auto"/>
        <w:tabs>
          <w:tab w:leader="none" w:pos="3386"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any applicable option agreement or other stock-based award agreement, all stock options and other stock-based awards subject to vesting held by the Executive (the “Equity Awards”) shall immediately accelerate and become fully exercisable or nonforfeitable as of the later of (i) the Date of Termination or (ii) the Effective Date of the Separation Agreement and Release (the “Accelerated Vesting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termination or forfeiture of the unvested portion of such Equity Awards that would otherwise occur on the Date of Termination in the absence of this Agreement will be delayed until the Effective Date of the Separation Agreement and Release and will only occur if the vesting pursuant to this subsection does not occur due to the absence of the Separation Agreement and Release becoming fully effective within the time period set forth therein. Notwithstanding the foregoing, no additional vesting of the Equity Awards shall occur during the period between the Executive’s Date of Termination and the Accelerated Vesting Date; and</w:t>
      </w:r>
    </w:p>
    <w:p>
      <w:pPr>
        <w:spacing w:after="0" w:line="160" w:lineRule="exact"/>
        <w:rPr>
          <w:rFonts w:ascii="Arial" w:cs="Arial" w:eastAsia="Arial" w:hAnsi="Arial"/>
          <w:sz w:val="19"/>
          <w:szCs w:val="19"/>
          <w:color w:val="auto"/>
        </w:rPr>
      </w:pPr>
    </w:p>
    <w:p>
      <w:pPr>
        <w:ind w:left="880" w:right="200" w:firstLine="1586"/>
        <w:spacing w:after="0" w:line="273" w:lineRule="auto"/>
        <w:tabs>
          <w:tab w:leader="none" w:pos="3446" w:val="left"/>
        </w:tabs>
        <w:numPr>
          <w:ilvl w:val="0"/>
          <w:numId w:val="32"/>
        </w:numPr>
        <w:rPr>
          <w:rFonts w:ascii="Arial" w:cs="Arial" w:eastAsia="Arial" w:hAnsi="Arial"/>
          <w:sz w:val="19"/>
          <w:szCs w:val="19"/>
          <w:color w:val="auto"/>
        </w:rPr>
      </w:pPr>
      <w:r>
        <w:rPr>
          <w:rFonts w:ascii="Arial" w:cs="Arial" w:eastAsia="Arial" w:hAnsi="Arial"/>
          <w:sz w:val="19"/>
          <w:szCs w:val="19"/>
          <w:color w:val="auto"/>
        </w:rPr>
        <w:t>subject to the Executive’s proper election to receive benefits under COBRA, the Company shall pay all amounts necessary to provide health insurance to the Executive if the Executive had remained employed by the Company until the earliest of (A) the twelve (12) month anniversary of the Date of Termination; (B) the Executive’s eligibility for group medical plan benefits under any other employer’s group medical plan; or (C) the cessation of the Executive’s continuation rights under COBRA; provided, however, if the Company determines that it cannot pay such amounts without potentially violating applicable law (including, without limitation, Section 2716 of the Public Health Service Act), then the Company will convert such payments to payroll payments directly to the Executive for the time period specified above. Such payments shall be subject to tax-related deductions and withholdings and paid on the Company’s regular payroll dates. For the avoidance of doubt, the taxable payments described above may be used for any purpose, including, but not limited to, continuation coverage under COBRA.</w:t>
      </w:r>
    </w:p>
    <w:p>
      <w:pPr>
        <w:spacing w:after="0" w:line="161" w:lineRule="exact"/>
        <w:rPr>
          <w:sz w:val="20"/>
          <w:szCs w:val="20"/>
          <w:color w:val="auto"/>
        </w:rPr>
      </w:pPr>
    </w:p>
    <w:p>
      <w:pPr>
        <w:jc w:val="both"/>
        <w:ind w:right="140"/>
        <w:spacing w:after="0" w:line="297" w:lineRule="auto"/>
        <w:rPr>
          <w:sz w:val="20"/>
          <w:szCs w:val="20"/>
          <w:color w:val="auto"/>
        </w:rPr>
      </w:pPr>
      <w:r>
        <w:rPr>
          <w:rFonts w:ascii="Arial" w:cs="Arial" w:eastAsia="Arial" w:hAnsi="Arial"/>
          <w:sz w:val="19"/>
          <w:szCs w:val="19"/>
          <w:color w:val="auto"/>
        </w:rPr>
        <w:t>The amounts payable under this Section 6(a)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34" w:lineRule="exact"/>
        <w:rPr>
          <w:sz w:val="20"/>
          <w:szCs w:val="20"/>
          <w:color w:val="auto"/>
        </w:rPr>
      </w:pPr>
    </w:p>
    <w:p>
      <w:pPr>
        <w:ind w:left="2640" w:hanging="905"/>
        <w:spacing w:after="0"/>
        <w:tabs>
          <w:tab w:leader="none" w:pos="2640"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Additional Limitation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880" w:firstLine="1586"/>
        <w:spacing w:after="0" w:line="277" w:lineRule="auto"/>
        <w:tabs>
          <w:tab w:leader="none" w:pos="3326" w:val="left"/>
        </w:tabs>
        <w:numPr>
          <w:ilvl w:val="1"/>
          <w:numId w:val="33"/>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9" w:name="page50"/>
    <w:bookmarkEnd w:id="49"/>
    <w:p>
      <w:pPr>
        <w:ind w:left="880" w:right="60"/>
        <w:spacing w:after="0" w:line="274" w:lineRule="auto"/>
        <w:rPr>
          <w:sz w:val="20"/>
          <w:szCs w:val="20"/>
          <w:color w:val="auto"/>
        </w:rPr>
      </w:pPr>
      <w:r>
        <w:rPr>
          <w:rFonts w:ascii="Arial" w:cs="Arial" w:eastAsia="Arial" w:hAnsi="Arial"/>
          <w:sz w:val="19"/>
          <w:szCs w:val="19"/>
          <w:color w:val="auto"/>
        </w:rPr>
        <w:t>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58" w:lineRule="exact"/>
        <w:rPr>
          <w:sz w:val="20"/>
          <w:szCs w:val="20"/>
          <w:color w:val="auto"/>
        </w:rPr>
      </w:pPr>
    </w:p>
    <w:p>
      <w:pPr>
        <w:ind w:left="880" w:firstLine="1586"/>
        <w:spacing w:after="0" w:line="277" w:lineRule="auto"/>
        <w:tabs>
          <w:tab w:leader="none" w:pos="3386" w:val="left"/>
        </w:tabs>
        <w:numPr>
          <w:ilvl w:val="1"/>
          <w:numId w:val="34"/>
        </w:numPr>
        <w:rPr>
          <w:rFonts w:ascii="Arial" w:cs="Arial" w:eastAsia="Arial" w:hAnsi="Arial"/>
          <w:sz w:val="19"/>
          <w:szCs w:val="19"/>
          <w:color w:val="auto"/>
        </w:rPr>
      </w:pPr>
      <w:r>
        <w:rPr>
          <w:rFonts w:ascii="Arial" w:cs="Arial" w:eastAsia="Arial" w:hAnsi="Arial"/>
          <w:sz w:val="19"/>
          <w:szCs w:val="19"/>
          <w:color w:val="auto"/>
        </w:rPr>
        <w:t>For purposes of this Section 6(b),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1" w:lineRule="exact"/>
        <w:rPr>
          <w:rFonts w:ascii="Arial" w:cs="Arial" w:eastAsia="Arial" w:hAnsi="Arial"/>
          <w:sz w:val="19"/>
          <w:szCs w:val="19"/>
          <w:color w:val="auto"/>
        </w:rPr>
      </w:pPr>
    </w:p>
    <w:p>
      <w:pPr>
        <w:ind w:left="880" w:firstLine="1586"/>
        <w:spacing w:after="0" w:line="235" w:lineRule="auto"/>
        <w:tabs>
          <w:tab w:leader="none" w:pos="3446"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determination as to whether a reduction in the Aggregate Payments shall be made pursuant to Section 6(b)(i)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87" w:lineRule="exact"/>
        <w:rPr>
          <w:rFonts w:ascii="Arial" w:cs="Arial" w:eastAsia="Arial" w:hAnsi="Arial"/>
          <w:sz w:val="22"/>
          <w:szCs w:val="22"/>
          <w:color w:val="auto"/>
        </w:rPr>
      </w:pPr>
    </w:p>
    <w:p>
      <w:pPr>
        <w:ind w:left="2620" w:hanging="885"/>
        <w:spacing w:after="0"/>
        <w:tabs>
          <w:tab w:leader="none" w:pos="262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Section 6, the following terms shall have the following meanings:</w:t>
      </w:r>
    </w:p>
    <w:p>
      <w:pPr>
        <w:spacing w:after="0" w:line="241" w:lineRule="exact"/>
        <w:rPr>
          <w:sz w:val="20"/>
          <w:szCs w:val="20"/>
          <w:color w:val="auto"/>
        </w:rPr>
      </w:pPr>
    </w:p>
    <w:p>
      <w:pPr>
        <w:ind w:right="540" w:firstLine="864"/>
        <w:spacing w:after="0" w:line="250" w:lineRule="auto"/>
        <w:rPr>
          <w:sz w:val="20"/>
          <w:szCs w:val="20"/>
          <w:color w:val="auto"/>
        </w:rPr>
      </w:pPr>
      <w:r>
        <w:rPr>
          <w:rFonts w:ascii="Arial" w:cs="Arial" w:eastAsia="Arial" w:hAnsi="Arial"/>
          <w:sz w:val="22"/>
          <w:szCs w:val="22"/>
          <w:color w:val="auto"/>
        </w:rPr>
        <w:t>“Change in Control” shall have the meaning of “Sale Event” as defined in the Company’s 2021 Stock Option and Incentive Plan, as amended, or any successor plan.</w:t>
      </w:r>
    </w:p>
    <w:p>
      <w:pPr>
        <w:spacing w:after="0" w:line="175" w:lineRule="exact"/>
        <w:rPr>
          <w:sz w:val="20"/>
          <w:szCs w:val="20"/>
          <w:color w:val="auto"/>
        </w:rPr>
      </w:pPr>
    </w:p>
    <w:p>
      <w:pPr>
        <w:ind w:left="1680" w:hanging="808"/>
        <w:spacing w:after="0"/>
        <w:tabs>
          <w:tab w:leader="none" w:pos="168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80" w:firstLine="1735"/>
        <w:spacing w:after="0" w:line="234" w:lineRule="auto"/>
        <w:tabs>
          <w:tab w:leader="none" w:pos="2615" w:val="left"/>
        </w:tabs>
        <w:numPr>
          <w:ilvl w:val="1"/>
          <w:numId w:val="36"/>
        </w:numPr>
        <w:rPr>
          <w:rFonts w:ascii="Arial" w:cs="Arial" w:eastAsia="Arial" w:hAnsi="Arial"/>
          <w:sz w:val="22"/>
          <w:szCs w:val="22"/>
          <w:color w:val="auto"/>
        </w:rPr>
      </w:pPr>
      <w:r>
        <w:rPr>
          <w:rFonts w:ascii="Arial" w:cs="Arial" w:eastAsia="Arial" w:hAnsi="Arial"/>
          <w:sz w:val="22"/>
          <w:szCs w:val="22"/>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50" w:name="page51"/>
    <w:bookmarkEnd w:id="50"/>
    <w:p>
      <w:pPr>
        <w:spacing w:after="0"/>
        <w:rPr>
          <w:sz w:val="20"/>
          <w:szCs w:val="20"/>
          <w:color w:val="auto"/>
        </w:rPr>
      </w:pPr>
      <w:r>
        <w:rPr>
          <w:rFonts w:ascii="Arial" w:cs="Arial" w:eastAsia="Arial" w:hAnsi="Arial"/>
          <w:sz w:val="19"/>
          <w:szCs w:val="19"/>
          <w:color w:val="auto"/>
        </w:rPr>
        <w:t>not be provided until the date that is the earlier of (A) six months and one day after the Executive’s separation from service, or</w:t>
      </w:r>
    </w:p>
    <w:p>
      <w:pPr>
        <w:spacing w:after="0" w:line="43" w:lineRule="exact"/>
        <w:rPr>
          <w:sz w:val="20"/>
          <w:szCs w:val="20"/>
          <w:color w:val="auto"/>
        </w:rPr>
      </w:pPr>
    </w:p>
    <w:p>
      <w:pPr>
        <w:ind w:right="20" w:firstLine="8"/>
        <w:spacing w:after="0" w:line="287" w:lineRule="auto"/>
        <w:tabs>
          <w:tab w:leader="none" w:pos="342"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his original schedule.</w:t>
      </w:r>
    </w:p>
    <w:p>
      <w:pPr>
        <w:spacing w:after="0" w:line="143" w:lineRule="exact"/>
        <w:rPr>
          <w:rFonts w:ascii="Arial" w:cs="Arial" w:eastAsia="Arial" w:hAnsi="Arial"/>
          <w:sz w:val="19"/>
          <w:szCs w:val="19"/>
          <w:color w:val="auto"/>
        </w:rPr>
      </w:pPr>
    </w:p>
    <w:p>
      <w:pPr>
        <w:ind w:right="80" w:firstLine="1735"/>
        <w:spacing w:after="0" w:line="277" w:lineRule="auto"/>
        <w:tabs>
          <w:tab w:leader="none" w:pos="2627" w:val="left"/>
        </w:tabs>
        <w:numPr>
          <w:ilvl w:val="2"/>
          <w:numId w:val="37"/>
        </w:numPr>
        <w:rPr>
          <w:rFonts w:ascii="Arial" w:cs="Arial" w:eastAsia="Arial" w:hAnsi="Arial"/>
          <w:sz w:val="19"/>
          <w:szCs w:val="19"/>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1" w:lineRule="exact"/>
        <w:rPr>
          <w:rFonts w:ascii="Arial" w:cs="Arial" w:eastAsia="Arial" w:hAnsi="Arial"/>
          <w:sz w:val="19"/>
          <w:szCs w:val="19"/>
          <w:color w:val="auto"/>
        </w:rPr>
      </w:pPr>
    </w:p>
    <w:p>
      <w:pPr>
        <w:ind w:right="120" w:firstLine="1735"/>
        <w:spacing w:after="0" w:line="249" w:lineRule="auto"/>
        <w:tabs>
          <w:tab w:leader="none" w:pos="2615" w:val="left"/>
        </w:tabs>
        <w:numPr>
          <w:ilvl w:val="2"/>
          <w:numId w:val="37"/>
        </w:numPr>
        <w:rPr>
          <w:rFonts w:ascii="Arial" w:cs="Arial" w:eastAsia="Arial" w:hAnsi="Arial"/>
          <w:sz w:val="21"/>
          <w:szCs w:val="21"/>
          <w:color w:val="auto"/>
        </w:rPr>
      </w:pPr>
      <w:r>
        <w:rPr>
          <w:rFonts w:ascii="Arial" w:cs="Arial" w:eastAsia="Arial" w:hAnsi="Arial"/>
          <w:sz w:val="21"/>
          <w:szCs w:val="21"/>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78" w:lineRule="exact"/>
        <w:rPr>
          <w:rFonts w:ascii="Arial" w:cs="Arial" w:eastAsia="Arial" w:hAnsi="Arial"/>
          <w:sz w:val="21"/>
          <w:szCs w:val="21"/>
          <w:color w:val="auto"/>
        </w:rPr>
      </w:pPr>
    </w:p>
    <w:p>
      <w:pPr>
        <w:ind w:right="140" w:firstLine="1735"/>
        <w:spacing w:after="0" w:line="271" w:lineRule="auto"/>
        <w:tabs>
          <w:tab w:leader="none" w:pos="2627" w:val="left"/>
        </w:tabs>
        <w:numPr>
          <w:ilvl w:val="2"/>
          <w:numId w:val="37"/>
        </w:numPr>
        <w:rPr>
          <w:rFonts w:ascii="Arial" w:cs="Arial" w:eastAsia="Arial" w:hAnsi="Arial"/>
          <w:sz w:val="19"/>
          <w:szCs w:val="19"/>
          <w:color w:val="auto"/>
        </w:rPr>
      </w:pPr>
      <w:r>
        <w:rPr>
          <w:rFonts w:ascii="Arial" w:cs="Arial" w:eastAsia="Arial" w:hAnsi="Arial"/>
          <w:sz w:val="19"/>
          <w:szCs w:val="19"/>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w:t>
      </w:r>
    </w:p>
    <w:p>
      <w:pPr>
        <w:spacing w:after="0" w:line="3" w:lineRule="exact"/>
        <w:rPr>
          <w:rFonts w:ascii="Arial" w:cs="Arial" w:eastAsia="Arial" w:hAnsi="Arial"/>
          <w:sz w:val="19"/>
          <w:szCs w:val="19"/>
          <w:color w:val="auto"/>
        </w:rPr>
      </w:pPr>
    </w:p>
    <w:p>
      <w:pPr>
        <w:jc w:val="both"/>
        <w:ind w:right="120"/>
        <w:spacing w:after="0" w:line="234" w:lineRule="auto"/>
        <w:rPr>
          <w:rFonts w:ascii="Arial" w:cs="Arial" w:eastAsia="Arial" w:hAnsi="Arial"/>
          <w:sz w:val="19"/>
          <w:szCs w:val="19"/>
          <w:color w:val="auto"/>
        </w:rPr>
      </w:pPr>
      <w:r>
        <w:rPr>
          <w:rFonts w:ascii="Arial" w:cs="Arial" w:eastAsia="Arial" w:hAnsi="Arial"/>
          <w:sz w:val="22"/>
          <w:szCs w:val="22"/>
          <w:color w:val="auto"/>
        </w:rPr>
        <w:t>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7" w:lineRule="exact"/>
        <w:rPr>
          <w:rFonts w:ascii="Arial" w:cs="Arial" w:eastAsia="Arial" w:hAnsi="Arial"/>
          <w:sz w:val="19"/>
          <w:szCs w:val="19"/>
          <w:color w:val="auto"/>
        </w:rPr>
      </w:pPr>
    </w:p>
    <w:p>
      <w:pPr>
        <w:ind w:firstLine="1735"/>
        <w:spacing w:after="0" w:line="257" w:lineRule="auto"/>
        <w:tabs>
          <w:tab w:leader="none" w:pos="2615" w:val="left"/>
        </w:tabs>
        <w:numPr>
          <w:ilvl w:val="2"/>
          <w:numId w:val="37"/>
        </w:numPr>
        <w:rPr>
          <w:rFonts w:ascii="Arial" w:cs="Arial" w:eastAsia="Arial" w:hAnsi="Arial"/>
          <w:sz w:val="21"/>
          <w:szCs w:val="21"/>
          <w:color w:val="auto"/>
        </w:rPr>
      </w:pPr>
      <w:r>
        <w:rPr>
          <w:rFonts w:ascii="Arial" w:cs="Arial" w:eastAsia="Arial" w:hAnsi="Arial"/>
          <w:sz w:val="21"/>
          <w:szCs w:val="21"/>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69" w:lineRule="exact"/>
        <w:rPr>
          <w:rFonts w:ascii="Arial" w:cs="Arial" w:eastAsia="Arial" w:hAnsi="Arial"/>
          <w:sz w:val="21"/>
          <w:szCs w:val="21"/>
          <w:color w:val="auto"/>
        </w:rPr>
      </w:pPr>
    </w:p>
    <w:p>
      <w:pPr>
        <w:ind w:left="1680" w:hanging="808"/>
        <w:spacing w:after="0"/>
        <w:tabs>
          <w:tab w:leader="none" w:pos="1680"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Assignment, Nonsolicitation and Noncompetition</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20" w:firstLine="1735"/>
        <w:spacing w:after="0" w:line="238" w:lineRule="auto"/>
        <w:tabs>
          <w:tab w:leader="none" w:pos="2615" w:val="left"/>
        </w:tabs>
        <w:numPr>
          <w:ilvl w:val="2"/>
          <w:numId w:val="38"/>
        </w:numPr>
        <w:rPr>
          <w:rFonts w:ascii="Arial" w:cs="Arial" w:eastAsia="Arial" w:hAnsi="Arial"/>
          <w:sz w:val="22"/>
          <w:szCs w:val="22"/>
          <w:color w:val="auto"/>
        </w:rPr>
      </w:pPr>
      <w:r>
        <w:rPr>
          <w:rFonts w:ascii="Arial" w:cs="Arial" w:eastAsia="Arial" w:hAnsi="Arial"/>
          <w:sz w:val="22"/>
          <w:szCs w:val="22"/>
          <w:u w:val="single" w:color="auto"/>
          <w:color w:val="auto"/>
        </w:rPr>
        <w:t>Proprietary Information</w:t>
      </w:r>
      <w:r>
        <w:rPr>
          <w:rFonts w:ascii="Arial" w:cs="Arial" w:eastAsia="Arial" w:hAnsi="Arial"/>
          <w:sz w:val="22"/>
          <w:szCs w:val="22"/>
          <w:color w:val="auto"/>
        </w:rPr>
        <w:t>. Executive agrees that all information, whether or not in writing, concerning the Company’s business, technology, business relationships or financial affairs that the Company has not released to the general public (collectively, “</w:t>
      </w:r>
      <w:r>
        <w:rPr>
          <w:rFonts w:ascii="Arial" w:cs="Arial" w:eastAsia="Arial" w:hAnsi="Arial"/>
          <w:sz w:val="22"/>
          <w:szCs w:val="22"/>
          <w:u w:val="single" w:color="auto"/>
          <w:color w:val="auto"/>
        </w:rPr>
        <w:t>Proprietary Information</w:t>
      </w:r>
      <w:r>
        <w:rPr>
          <w:rFonts w:ascii="Arial" w:cs="Arial" w:eastAsia="Arial" w:hAnsi="Arial"/>
          <w:sz w:val="22"/>
          <w:szCs w:val="22"/>
          <w:color w:val="auto"/>
        </w:rPr>
        <w:t>”) and all tangible embodiments thereof are and will be the exclusive property of the Company. By way of illustration, Proprietary Information may include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51" w:name="page52"/>
    <w:bookmarkEnd w:id="51"/>
    <w:p>
      <w:pPr>
        <w:spacing w:after="0" w:line="273" w:lineRule="auto"/>
        <w:rPr>
          <w:sz w:val="20"/>
          <w:szCs w:val="20"/>
          <w:color w:val="auto"/>
        </w:rPr>
      </w:pPr>
      <w:r>
        <w:rPr>
          <w:rFonts w:ascii="Arial" w:cs="Arial" w:eastAsia="Arial" w:hAnsi="Arial"/>
          <w:sz w:val="19"/>
          <w:szCs w:val="19"/>
          <w:color w:val="auto"/>
        </w:rPr>
        <w:t xml:space="preserve">information or material that has not been made generally available to the public, such as: (a) </w:t>
      </w:r>
      <w:r>
        <w:rPr>
          <w:rFonts w:ascii="Arial" w:cs="Arial" w:eastAsia="Arial" w:hAnsi="Arial"/>
          <w:sz w:val="19"/>
          <w:szCs w:val="19"/>
          <w:i w:val="1"/>
          <w:iCs w:val="1"/>
          <w:color w:val="auto"/>
        </w:rPr>
        <w:t>corporate information</w:t>
      </w:r>
      <w:r>
        <w:rPr>
          <w:rFonts w:ascii="Arial" w:cs="Arial" w:eastAsia="Arial" w:hAnsi="Arial"/>
          <w:sz w:val="19"/>
          <w:szCs w:val="19"/>
          <w:color w:val="auto"/>
        </w:rPr>
        <w:t xml:space="preserve">, including plans, strategies, methods, policies, resolutions, negotiations or litigation; (b) </w:t>
      </w:r>
      <w:r>
        <w:rPr>
          <w:rFonts w:ascii="Arial" w:cs="Arial" w:eastAsia="Arial" w:hAnsi="Arial"/>
          <w:sz w:val="19"/>
          <w:szCs w:val="19"/>
          <w:i w:val="1"/>
          <w:iCs w:val="1"/>
          <w:color w:val="auto"/>
        </w:rPr>
        <w:t>marketing information</w:t>
      </w:r>
      <w:r>
        <w:rPr>
          <w:rFonts w:ascii="Arial" w:cs="Arial" w:eastAsia="Arial" w:hAnsi="Arial"/>
          <w:sz w:val="19"/>
          <w:szCs w:val="19"/>
          <w:color w:val="auto"/>
        </w:rPr>
        <w:t xml:space="preserve">, including strategies, methods, client or business partner identities or other information about customers or clients, business partners, prospect identities or other information about prospects, or market analyses or projections; (c) </w:t>
      </w:r>
      <w:r>
        <w:rPr>
          <w:rFonts w:ascii="Arial" w:cs="Arial" w:eastAsia="Arial" w:hAnsi="Arial"/>
          <w:sz w:val="19"/>
          <w:szCs w:val="19"/>
          <w:i w:val="1"/>
          <w:iCs w:val="1"/>
          <w:color w:val="auto"/>
        </w:rPr>
        <w:t>financial information</w:t>
      </w:r>
      <w:r>
        <w:rPr>
          <w:rFonts w:ascii="Arial" w:cs="Arial" w:eastAsia="Arial" w:hAnsi="Arial"/>
          <w:sz w:val="19"/>
          <w:szCs w:val="19"/>
          <w:color w:val="auto"/>
        </w:rPr>
        <w:t xml:space="preserve">, including cost and performance data, debt arrangements, equity structure, investors and holdings, purchasing and sales data and price lists; (d) </w:t>
      </w:r>
      <w:r>
        <w:rPr>
          <w:rFonts w:ascii="Arial" w:cs="Arial" w:eastAsia="Arial" w:hAnsi="Arial"/>
          <w:sz w:val="19"/>
          <w:szCs w:val="19"/>
          <w:i w:val="1"/>
          <w:iCs w:val="1"/>
          <w:color w:val="auto"/>
        </w:rPr>
        <w:t>operational and scientific information</w:t>
      </w:r>
      <w:r>
        <w:rPr>
          <w:rFonts w:ascii="Arial" w:cs="Arial" w:eastAsia="Arial" w:hAnsi="Arial"/>
          <w:sz w:val="19"/>
          <w:szCs w:val="19"/>
          <w:color w:val="auto"/>
        </w:rPr>
        <w:t>, including plans, specifications, manuals, forms, templates, software, pre-clinical and</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clinical testing data and strategies, research and development strategies, designs, methods, procedures, formulae, data, reports, discoveries, inventions, improvements, concepts, ideas, and other Developments (as defined below), know-how and trade secrets; and (e) </w:t>
      </w:r>
      <w:r>
        <w:rPr>
          <w:rFonts w:ascii="Arial" w:cs="Arial" w:eastAsia="Arial" w:hAnsi="Arial"/>
          <w:sz w:val="19"/>
          <w:szCs w:val="19"/>
          <w:i w:val="1"/>
          <w:iCs w:val="1"/>
          <w:color w:val="auto"/>
        </w:rPr>
        <w:t>personnel information</w:t>
      </w:r>
      <w:r>
        <w:rPr>
          <w:rFonts w:ascii="Arial" w:cs="Arial" w:eastAsia="Arial" w:hAnsi="Arial"/>
          <w:sz w:val="19"/>
          <w:szCs w:val="19"/>
          <w:color w:val="auto"/>
        </w:rPr>
        <w:t>, including personnel lists, reporting or organizational structure, resumes, personnel data, performance evaluations and termination arrangements or documents. Proprietary Information also includes information received in confidence by the Company from its customers, suppliers, business partners or other third parties.</w:t>
      </w:r>
    </w:p>
    <w:p>
      <w:pPr>
        <w:spacing w:after="0" w:line="155" w:lineRule="exact"/>
        <w:rPr>
          <w:sz w:val="20"/>
          <w:szCs w:val="20"/>
          <w:color w:val="auto"/>
        </w:rPr>
      </w:pPr>
    </w:p>
    <w:p>
      <w:pPr>
        <w:ind w:right="60" w:firstLine="1735"/>
        <w:spacing w:after="0" w:line="234" w:lineRule="auto"/>
        <w:tabs>
          <w:tab w:leader="none" w:pos="2627"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Recognition of Company’s Rights</w:t>
      </w:r>
      <w:r>
        <w:rPr>
          <w:rFonts w:ascii="Arial" w:cs="Arial" w:eastAsia="Arial" w:hAnsi="Arial"/>
          <w:sz w:val="22"/>
          <w:szCs w:val="22"/>
          <w:color w:val="auto"/>
        </w:rPr>
        <w:t>. Executive will not, at any time, without the Company’s prior written permission, either during or after his employment, disclose any Proprietary Information to anyone outside of the Company, or use or permit to be used any Proprietary Information for any purpose other than the performance of Executive’s duties as an employee of the Company. Executive will cooperate with the Company and use his best efforts to prevent the unauthorized disclosure of all Proprietary Information. Executive will deliver to the Company all copies and other tangible embodiments of Proprietary Information in his possession or control upon the earlier of a request by the Company or termination of Executive’s employment.</w:t>
      </w:r>
    </w:p>
    <w:p>
      <w:pPr>
        <w:spacing w:after="0" w:line="190" w:lineRule="exact"/>
        <w:rPr>
          <w:rFonts w:ascii="Arial" w:cs="Arial" w:eastAsia="Arial" w:hAnsi="Arial"/>
          <w:sz w:val="22"/>
          <w:szCs w:val="22"/>
          <w:color w:val="auto"/>
        </w:rPr>
      </w:pPr>
    </w:p>
    <w:p>
      <w:pPr>
        <w:ind w:right="80" w:firstLine="1735"/>
        <w:spacing w:after="0" w:line="277" w:lineRule="auto"/>
        <w:tabs>
          <w:tab w:leader="none" w:pos="2615"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Rights of Others</w:t>
      </w:r>
      <w:r>
        <w:rPr>
          <w:rFonts w:ascii="Arial" w:cs="Arial" w:eastAsia="Arial" w:hAnsi="Arial"/>
          <w:sz w:val="19"/>
          <w:szCs w:val="19"/>
          <w:color w:val="auto"/>
        </w:rPr>
        <w:t>. Executive understands that the Company is now and may hereafter be subject to nondisclosure or confidentiality agreements with third persons that require the Company to protect or refrain from use or disclosure of proprietary information. Executive agrees to be bound by the terms of such agreements in the event Executive has access to such proprietary information. Executive understands that the Company strictly prohibits Executive from using or disclosing confidential or proprietary information belonging to any other person or entity (including any employer or former employer), in connection with Executive’s employment. In addition, Executive agrees not to bring any confidential information belonging to any other person or entity onto Company premises or into Company workspaces.</w:t>
      </w:r>
    </w:p>
    <w:p>
      <w:pPr>
        <w:spacing w:after="0" w:line="151" w:lineRule="exact"/>
        <w:rPr>
          <w:rFonts w:ascii="Arial" w:cs="Arial" w:eastAsia="Arial" w:hAnsi="Arial"/>
          <w:sz w:val="19"/>
          <w:szCs w:val="19"/>
          <w:color w:val="auto"/>
        </w:rPr>
      </w:pPr>
    </w:p>
    <w:p>
      <w:pPr>
        <w:ind w:right="40" w:firstLine="1735"/>
        <w:spacing w:after="0" w:line="234" w:lineRule="auto"/>
        <w:tabs>
          <w:tab w:leader="none" w:pos="2627"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Commitment to Company; Avoidance of Conflict of Interest</w:t>
      </w:r>
      <w:r>
        <w:rPr>
          <w:rFonts w:ascii="Arial" w:cs="Arial" w:eastAsia="Arial" w:hAnsi="Arial"/>
          <w:sz w:val="22"/>
          <w:szCs w:val="22"/>
          <w:color w:val="auto"/>
        </w:rPr>
        <w:t>. While an employee of the Company, Executive will devote his full-time efforts to the Company’s business and Executive will not, directly or indirectly, engage in any other business activity, except as expressly authorized in writing and in advance by a duly authorized representative of the Company. Executive will advise an authorized officer of the Company or his designee at such time as any activity of either the Company or another business presents Executive with a conflict of interest or the appearance of a conflict of interest as an employee of the Company. Executive will take whatever action is requested of them by the Company to resolve any conflict or appearance of conflict which it finds to exist.</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52" w:name="page53"/>
    <w:bookmarkEnd w:id="52"/>
    <w:p>
      <w:pPr>
        <w:ind w:right="60" w:firstLine="1735"/>
        <w:spacing w:after="0" w:line="269" w:lineRule="auto"/>
        <w:tabs>
          <w:tab w:leader="none" w:pos="2615"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Developments</w:t>
      </w:r>
      <w:r>
        <w:rPr>
          <w:rFonts w:ascii="Arial" w:cs="Arial" w:eastAsia="Arial" w:hAnsi="Arial"/>
          <w:sz w:val="19"/>
          <w:szCs w:val="19"/>
          <w:color w:val="auto"/>
        </w:rPr>
        <w:t>. Executive will make full and prompt disclosure to the Company of all inventions, discoveries, designs, developments, methods, modifications, improvements, processes, algorithms, data, databases, computer programs, research, formulae, techniques, trade secrets, graphics or images, and audio or visual works and other works of authorship, and other intellectual property, including works-in-process (collectively “</w:t>
      </w:r>
      <w:r>
        <w:rPr>
          <w:rFonts w:ascii="Arial" w:cs="Arial" w:eastAsia="Arial" w:hAnsi="Arial"/>
          <w:sz w:val="19"/>
          <w:szCs w:val="19"/>
          <w:u w:val="single" w:color="auto"/>
          <w:color w:val="auto"/>
        </w:rPr>
        <w:t>Developments</w:t>
      </w:r>
      <w:r>
        <w:rPr>
          <w:rFonts w:ascii="Arial" w:cs="Arial" w:eastAsia="Arial" w:hAnsi="Arial"/>
          <w:sz w:val="19"/>
          <w:szCs w:val="19"/>
          <w:color w:val="auto"/>
        </w:rPr>
        <w:t>”) whether or not patentable or copyrightable, that are created, made, conceived or reduced to practice by Executive (alone or jointly with others) or under my direction during the period of his employment. Executive acknowledges that all work performed by them is on a “work for hire” basis, and Executive hereby does assign and transfer and, to the extent any such assignment cannot be made at present, will assign and transfer, to the Company and its successors and assigns all his right, title and interest in and to all Developments that</w:t>
      </w:r>
    </w:p>
    <w:p>
      <w:pPr>
        <w:spacing w:after="0" w:line="2" w:lineRule="exact"/>
        <w:rPr>
          <w:rFonts w:ascii="Arial" w:cs="Arial" w:eastAsia="Arial" w:hAnsi="Arial"/>
          <w:sz w:val="19"/>
          <w:szCs w:val="19"/>
          <w:color w:val="auto"/>
        </w:rPr>
      </w:pPr>
    </w:p>
    <w:p>
      <w:pPr>
        <w:ind w:right="40" w:firstLine="8"/>
        <w:spacing w:after="0" w:line="243" w:lineRule="auto"/>
        <w:tabs>
          <w:tab w:leader="none" w:pos="294" w:val="left"/>
        </w:tabs>
        <w:numPr>
          <w:ilvl w:val="0"/>
          <w:numId w:val="41"/>
        </w:numPr>
        <w:rPr>
          <w:rFonts w:ascii="Arial" w:cs="Arial" w:eastAsia="Arial" w:hAnsi="Arial"/>
          <w:sz w:val="21"/>
          <w:szCs w:val="21"/>
          <w:color w:val="auto"/>
        </w:rPr>
      </w:pPr>
      <w:r>
        <w:rPr>
          <w:rFonts w:ascii="Arial" w:cs="Arial" w:eastAsia="Arial" w:hAnsi="Arial"/>
          <w:sz w:val="21"/>
          <w:szCs w:val="21"/>
          <w:color w:val="auto"/>
        </w:rPr>
        <w:t>relate to the business of the Company or any customer of, supplier to or business partner of the Company or any of the products or services being researched, developed, manufactured or sold by the Company or which may be used with such products or services; or (b) result from tasks assigned to them by the Company; or (c) result from the use of premises or personal property (whether tangible or intangible) owned, leased or contracted for by the Company (“</w:t>
      </w:r>
      <w:r>
        <w:rPr>
          <w:rFonts w:ascii="Arial" w:cs="Arial" w:eastAsia="Arial" w:hAnsi="Arial"/>
          <w:sz w:val="21"/>
          <w:szCs w:val="21"/>
          <w:u w:val="single" w:color="auto"/>
          <w:color w:val="auto"/>
        </w:rPr>
        <w:t>Company-Related Developments</w:t>
      </w:r>
      <w:r>
        <w:rPr>
          <w:rFonts w:ascii="Arial" w:cs="Arial" w:eastAsia="Arial" w:hAnsi="Arial"/>
          <w:sz w:val="21"/>
          <w:szCs w:val="21"/>
          <w:color w:val="auto"/>
        </w:rPr>
        <w:t xml:space="preserve">”), and all related patents, patent applications, trademarks and trademark applications, copyrights and copyright applications, </w:t>
      </w:r>
      <w:r>
        <w:rPr>
          <w:rFonts w:ascii="Arial" w:cs="Arial" w:eastAsia="Arial" w:hAnsi="Arial"/>
          <w:sz w:val="21"/>
          <w:szCs w:val="21"/>
          <w:i w:val="1"/>
          <w:iCs w:val="1"/>
          <w:color w:val="auto"/>
        </w:rPr>
        <w:t>sui</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generis </w:t>
      </w:r>
      <w:r>
        <w:rPr>
          <w:rFonts w:ascii="Arial" w:cs="Arial" w:eastAsia="Arial" w:hAnsi="Arial"/>
          <w:sz w:val="21"/>
          <w:szCs w:val="21"/>
          <w:color w:val="auto"/>
        </w:rPr>
        <w:t>database rights and other intellectual property rights in all countries and territories worldwide and under any international</w:t>
      </w:r>
      <w:r>
        <w:rPr>
          <w:rFonts w:ascii="Arial" w:cs="Arial" w:eastAsia="Arial" w:hAnsi="Arial"/>
          <w:sz w:val="21"/>
          <w:szCs w:val="21"/>
          <w:i w:val="1"/>
          <w:iCs w:val="1"/>
          <w:color w:val="auto"/>
        </w:rPr>
        <w:t xml:space="preserve"> </w:t>
      </w:r>
      <w:r>
        <w:rPr>
          <w:rFonts w:ascii="Arial" w:cs="Arial" w:eastAsia="Arial" w:hAnsi="Arial"/>
          <w:sz w:val="21"/>
          <w:szCs w:val="21"/>
          <w:color w:val="auto"/>
        </w:rPr>
        <w:t>conventions (“</w:t>
      </w:r>
      <w:r>
        <w:rPr>
          <w:rFonts w:ascii="Arial" w:cs="Arial" w:eastAsia="Arial" w:hAnsi="Arial"/>
          <w:sz w:val="21"/>
          <w:szCs w:val="21"/>
          <w:u w:val="single" w:color="auto"/>
          <w:color w:val="auto"/>
        </w:rPr>
        <w:t>Intellectual Property Rights</w:t>
      </w:r>
      <w:r>
        <w:rPr>
          <w:rFonts w:ascii="Arial" w:cs="Arial" w:eastAsia="Arial" w:hAnsi="Arial"/>
          <w:sz w:val="21"/>
          <w:szCs w:val="21"/>
          <w:color w:val="auto"/>
        </w:rPr>
        <w:t>”).</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To preclude any possible uncertainty, if there are any Developments that Executive has, alone or jointly with others, conceived, developed or reduced to practice prior to the commencement of his employment with the Company that Executive considers to be his property or the property of third parties and that Executive wishes to have excluded from the scope of this Agreement (“</w:t>
      </w:r>
      <w:r>
        <w:rPr>
          <w:rFonts w:ascii="Arial" w:cs="Arial" w:eastAsia="Arial" w:hAnsi="Arial"/>
          <w:sz w:val="19"/>
          <w:szCs w:val="19"/>
          <w:u w:val="single" w:color="auto"/>
          <w:color w:val="auto"/>
        </w:rPr>
        <w:t>Prior</w:t>
      </w:r>
      <w:r>
        <w:rPr>
          <w:rFonts w:ascii="Arial" w:cs="Arial" w:eastAsia="Arial" w:hAnsi="Arial"/>
          <w:sz w:val="19"/>
          <w:szCs w:val="19"/>
          <w:color w:val="auto"/>
        </w:rPr>
        <w:t xml:space="preserve"> </w:t>
      </w:r>
      <w:r>
        <w:rPr>
          <w:rFonts w:ascii="Arial" w:cs="Arial" w:eastAsia="Arial" w:hAnsi="Arial"/>
          <w:sz w:val="19"/>
          <w:szCs w:val="19"/>
          <w:u w:val="single" w:color="auto"/>
          <w:color w:val="auto"/>
        </w:rPr>
        <w:t>Inventions</w:t>
      </w:r>
      <w:r>
        <w:rPr>
          <w:rFonts w:ascii="Arial" w:cs="Arial" w:eastAsia="Arial" w:hAnsi="Arial"/>
          <w:sz w:val="19"/>
          <w:szCs w:val="19"/>
          <w:color w:val="auto"/>
        </w:rPr>
        <w:t xml:space="preserve">”), Executive has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 complete list of those Prior Inventions. If disclosure of any such Prior Invention would cause them to violate any prior confidentiality agreement, Executive understands that Executive is not to list such Prior Inventions in Exhibit A but is only to disclose a cursory name for each such invention, a listing of the party(ies) to whom it belongs and the fact that full disclosure as to such inventions has not been made for that reason. If there are any patents or patent applications in which Executive is named as an inventor, other than those that have been assigned to the Company (“</w:t>
      </w:r>
      <w:r>
        <w:rPr>
          <w:rFonts w:ascii="Arial" w:cs="Arial" w:eastAsia="Arial" w:hAnsi="Arial"/>
          <w:sz w:val="19"/>
          <w:szCs w:val="19"/>
          <w:u w:val="single" w:color="auto"/>
          <w:color w:val="auto"/>
        </w:rPr>
        <w:t>Other Patent Rights</w:t>
      </w:r>
      <w:r>
        <w:rPr>
          <w:rFonts w:ascii="Arial" w:cs="Arial" w:eastAsia="Arial" w:hAnsi="Arial"/>
          <w:sz w:val="19"/>
          <w:szCs w:val="19"/>
          <w:color w:val="auto"/>
        </w:rPr>
        <w:t>”), Executive has also listed those Other Patent Rights on Exhibit A. If no such disclosure is attached, Executive represents that there are no Prior Inventions or Other Patent Rights. If, in the course of his employment with the Company, Executive incorporates a Prior Invention into a Company product, process or machine, research or development program, or other work done for the Company, Executive hereby grants to the Company a nonexclusive, royalty-free, fully paid-up, irrevocable, worldwide license (with the full right to sublicense through multiple tiers) to make, have made, modify, use, sell, offer for sale and import such Prior Invention.</w:t>
      </w:r>
    </w:p>
    <w:p>
      <w:pPr>
        <w:spacing w:after="0" w:line="200" w:lineRule="exact"/>
        <w:rPr>
          <w:sz w:val="20"/>
          <w:szCs w:val="20"/>
          <w:color w:val="auto"/>
        </w:rPr>
      </w:pPr>
    </w:p>
    <w:p>
      <w:pPr>
        <w:spacing w:after="0" w:line="211"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Notwithstanding the foregoing, Executive will not incorporate, or permit to be incorporated, Prior Inventions in any Company-Related Development without the Company’s prior written consent.</w:t>
      </w:r>
    </w:p>
    <w:p>
      <w:pPr>
        <w:spacing w:after="0" w:line="175" w:lineRule="exact"/>
        <w:rPr>
          <w:sz w:val="20"/>
          <w:szCs w:val="20"/>
          <w:color w:val="auto"/>
        </w:rPr>
      </w:pPr>
    </w:p>
    <w:p>
      <w:pPr>
        <w:ind w:right="540"/>
        <w:spacing w:after="0"/>
        <w:rPr>
          <w:sz w:val="20"/>
          <w:szCs w:val="20"/>
          <w:color w:val="auto"/>
        </w:rPr>
      </w:pPr>
      <w:r>
        <w:rPr>
          <w:rFonts w:ascii="Arial" w:cs="Arial" w:eastAsia="Arial" w:hAnsi="Arial"/>
          <w:sz w:val="22"/>
          <w:szCs w:val="22"/>
          <w:color w:val="auto"/>
        </w:rPr>
        <w:t>This Agreement does not obligate Executive to assign to the Company any Development that, in the sole judgment of the Company, reasonably exercised, is developed entirely on Executive’s own time and does not relate to the business efforts or research and development efforts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3" w:name="page54"/>
    <w:bookmarkEnd w:id="53"/>
    <w:p>
      <w:pPr>
        <w:spacing w:after="0" w:line="234" w:lineRule="auto"/>
        <w:rPr>
          <w:sz w:val="20"/>
          <w:szCs w:val="20"/>
          <w:color w:val="auto"/>
        </w:rPr>
      </w:pPr>
      <w:r>
        <w:rPr>
          <w:rFonts w:ascii="Arial" w:cs="Arial" w:eastAsia="Arial" w:hAnsi="Arial"/>
          <w:sz w:val="22"/>
          <w:szCs w:val="22"/>
          <w:color w:val="auto"/>
        </w:rPr>
        <w:t>which, during the period of his employment, the Company actually is engaged or reasonably would be engaged, and does not result from the use of premises or equipment owned or leased by the Company. However, Executive will also promptly disclose to the Company any such Developments for the purpose of determining whether they qualify for such exclusion. Executive understands that to the extent this Agreement is required to be construed in accordance with the laws of any state which precludes a requirement in an employee agreement to assign certain classes of inventions made by an employee, this Section 8(e) will be interpreted not to apply to any invention that a court rules and/or the Company agrees falls within such classes. Executive also hereby waives all claims to any moral rights or other special rights that Executive may have or accrue in any Company-Related Developments.</w:t>
      </w:r>
    </w:p>
    <w:p>
      <w:pPr>
        <w:spacing w:after="0" w:line="187" w:lineRule="exact"/>
        <w:rPr>
          <w:sz w:val="20"/>
          <w:szCs w:val="20"/>
          <w:color w:val="auto"/>
        </w:rPr>
      </w:pPr>
    </w:p>
    <w:p>
      <w:pPr>
        <w:ind w:right="40" w:firstLine="1735"/>
        <w:spacing w:after="0"/>
        <w:tabs>
          <w:tab w:leader="none" w:pos="2591"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Documents and Other Materials</w:t>
      </w:r>
      <w:r>
        <w:rPr>
          <w:rFonts w:ascii="Arial" w:cs="Arial" w:eastAsia="Arial" w:hAnsi="Arial"/>
          <w:sz w:val="22"/>
          <w:szCs w:val="22"/>
          <w:color w:val="auto"/>
        </w:rPr>
        <w:t>. Executive will keep and maintain adequate and current records of all Proprietary Information and Company-Related Developments developed by them during his employment, which records will be available to and remain the sole property of the Company at all times.</w:t>
      </w:r>
    </w:p>
    <w:p>
      <w:pPr>
        <w:spacing w:after="0" w:line="186"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All files, letters, notes, memoranda, reports, records, data, sketches, drawings, notebooks, layouts, charts, quotations and proposals, specification sheets, blueprints, models, prototypes, or other written, photographic or other tangible material containing Proprietary Information, whether created by them or others, which come into his custody or possession, are the exclusive property of the Company to be used by them only in the performance of his duties for the Company. Any property situated on the Company’s premises and owned by the Company, including without limitation computers, disks and other storage media, filing cabinets or other work areas, is subject to inspection by the Company at any time with or without notice. In the event of the termination of his employment for any reason, Executive will deliver to the Company all Company property and equipment in his possession, custody or control, including all files, letters, notes, memoranda, reports, records, data, sketches, drawings, notebooks, layouts, charts, quotations and proposals, specification sheets, blueprints, models, prototypes, or other written, photographic or other tangible material containing Proprietary Information, and other materials of any nature pertaining to the Proprietary Information of the Company and to my work, and will not take or keep in his possession any of the foregoing or any copies.</w:t>
      </w:r>
    </w:p>
    <w:p>
      <w:pPr>
        <w:spacing w:after="0" w:line="186" w:lineRule="exact"/>
        <w:rPr>
          <w:sz w:val="20"/>
          <w:szCs w:val="20"/>
          <w:color w:val="auto"/>
        </w:rPr>
      </w:pPr>
    </w:p>
    <w:p>
      <w:pPr>
        <w:ind w:firstLine="1735"/>
        <w:spacing w:after="0" w:line="245" w:lineRule="auto"/>
        <w:tabs>
          <w:tab w:leader="none" w:pos="2627"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Enforcement of Intellectual Property Rights</w:t>
      </w:r>
      <w:r>
        <w:rPr>
          <w:rFonts w:ascii="Arial" w:cs="Arial" w:eastAsia="Arial" w:hAnsi="Arial"/>
          <w:sz w:val="21"/>
          <w:szCs w:val="21"/>
          <w:color w:val="auto"/>
        </w:rPr>
        <w:t>. Executive will cooperate fully with the Company, both during and after his employment with the Company, with respect to the procurement, maintenance and enforcement of Intellectual Property Rights in Company- Related Developments. Executive will sign, both during and after his employment, all papers, including without limitation copyright applications, patent applications, declarations, oaths, assignments of priority rights, and powers of attorney, which the Company may deem necessary or desirable in order to protect its rights and interests in any Company-Related Development or Intellectual Property Rights therein. If the Company is unable, after reasonable effort, to secure his signature on any such papers, Executive hereby irrevocably designates and appoints each officer of the Company as his agent and attorney-in-fact to execute any such papers on his behalf, and to take any and all actions as the Company may deem necessary or desirable in order to protect its rights and interests in any Company-Related Development, including any Intellectual Property Rights therein.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4" w:name="page55"/>
    <w:bookmarkEnd w:id="54"/>
    <w:p>
      <w:pPr>
        <w:ind w:right="40" w:firstLine="1735"/>
        <w:spacing w:after="0" w:line="287" w:lineRule="auto"/>
        <w:tabs>
          <w:tab w:leader="none" w:pos="2627"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Nonsolicitation and Noncompetition</w:t>
      </w:r>
      <w:r>
        <w:rPr>
          <w:rFonts w:ascii="Arial" w:cs="Arial" w:eastAsia="Arial" w:hAnsi="Arial"/>
          <w:sz w:val="19"/>
          <w:szCs w:val="19"/>
          <w:color w:val="auto"/>
        </w:rPr>
        <w:t>. In order to protect the Company’s Proprietary Information and goodwill, during his employment and for a period of: (i) one (1) year following the Date of Termination, or (ii) two (2) years following the Date of Termination if Executive breaches his fiduciary duty to the Company or if Executive has unlawfully taken, physically or electronically, property belonging to the Company (in either case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ind w:left="880" w:right="20" w:firstLine="1586"/>
        <w:spacing w:after="0" w:line="271" w:lineRule="auto"/>
        <w:tabs>
          <w:tab w:leader="none" w:pos="3326" w:val="left"/>
        </w:tabs>
        <w:numPr>
          <w:ilvl w:val="2"/>
          <w:numId w:val="44"/>
        </w:numPr>
        <w:rPr>
          <w:rFonts w:ascii="Arial" w:cs="Arial" w:eastAsia="Arial" w:hAnsi="Arial"/>
          <w:sz w:val="19"/>
          <w:szCs w:val="19"/>
          <w:color w:val="auto"/>
        </w:rPr>
      </w:pPr>
      <w:r>
        <w:rPr>
          <w:rFonts w:ascii="Arial" w:cs="Arial" w:eastAsia="Arial" w:hAnsi="Arial"/>
          <w:sz w:val="19"/>
          <w:szCs w:val="19"/>
          <w:color w:val="auto"/>
        </w:rPr>
        <w:t>Executive shall not, directly or indirectly, in any manner, other than for the benefit of the Company, solicit or transact any business with any of the customers or customer prospects of the Company or any of its suppliers. For purposes of this Agreement, (x) business shall include any business that researches, develops, manufactures, markets, sells or distributes a product or service that competes with a product or service of the Company,</w:t>
      </w:r>
    </w:p>
    <w:p>
      <w:pPr>
        <w:spacing w:after="0" w:line="3" w:lineRule="exact"/>
        <w:rPr>
          <w:rFonts w:ascii="Arial" w:cs="Arial" w:eastAsia="Arial" w:hAnsi="Arial"/>
          <w:sz w:val="19"/>
          <w:szCs w:val="19"/>
          <w:color w:val="auto"/>
        </w:rPr>
      </w:pPr>
    </w:p>
    <w:p>
      <w:pPr>
        <w:ind w:left="880" w:right="120" w:hanging="8"/>
        <w:spacing w:after="0" w:line="277" w:lineRule="auto"/>
        <w:tabs>
          <w:tab w:leader="none" w:pos="1186" w:val="left"/>
        </w:tabs>
        <w:numPr>
          <w:ilvl w:val="0"/>
          <w:numId w:val="45"/>
        </w:numPr>
        <w:rPr>
          <w:rFonts w:ascii="Arial" w:cs="Arial" w:eastAsia="Arial" w:hAnsi="Arial"/>
          <w:sz w:val="19"/>
          <w:szCs w:val="19"/>
          <w:color w:val="auto"/>
        </w:rPr>
      </w:pPr>
      <w:r>
        <w:rPr>
          <w:rFonts w:ascii="Arial" w:cs="Arial" w:eastAsia="Arial" w:hAnsi="Arial"/>
          <w:sz w:val="19"/>
          <w:szCs w:val="19"/>
          <w:color w:val="auto"/>
        </w:rPr>
        <w:t>customers shall include then current customers to which the Company provided products or services during the 12 months prior to the Date of Termination (the “</w:t>
      </w:r>
      <w:r>
        <w:rPr>
          <w:rFonts w:ascii="Arial" w:cs="Arial" w:eastAsia="Arial" w:hAnsi="Arial"/>
          <w:sz w:val="19"/>
          <w:szCs w:val="19"/>
          <w:u w:val="single" w:color="auto"/>
          <w:color w:val="auto"/>
        </w:rPr>
        <w:t>One Year Lookback</w:t>
      </w:r>
      <w:r>
        <w:rPr>
          <w:rFonts w:ascii="Arial" w:cs="Arial" w:eastAsia="Arial" w:hAnsi="Arial"/>
          <w:sz w:val="19"/>
          <w:szCs w:val="19"/>
          <w:color w:val="auto"/>
        </w:rPr>
        <w:t>”) and customer prospects shall include customer prospects that the Company solicited during the One Year Lookback and that Executive had significant contact with or learned confidential information about in the course of his employment, and (z) suppliers shall include then current suppliers and suppliers that provided services to or in connection with the Company during the One Year Lookback.</w:t>
      </w:r>
    </w:p>
    <w:p>
      <w:pPr>
        <w:spacing w:after="0" w:line="152" w:lineRule="exact"/>
        <w:rPr>
          <w:rFonts w:ascii="Arial" w:cs="Arial" w:eastAsia="Arial" w:hAnsi="Arial"/>
          <w:sz w:val="19"/>
          <w:szCs w:val="19"/>
          <w:color w:val="auto"/>
        </w:rPr>
      </w:pPr>
    </w:p>
    <w:p>
      <w:pPr>
        <w:ind w:left="880" w:right="180" w:firstLine="1586"/>
        <w:spacing w:after="0" w:line="238" w:lineRule="auto"/>
        <w:tabs>
          <w:tab w:leader="none" w:pos="3386" w:val="left"/>
        </w:tabs>
        <w:numPr>
          <w:ilvl w:val="2"/>
          <w:numId w:val="45"/>
        </w:numPr>
        <w:rPr>
          <w:rFonts w:ascii="Arial" w:cs="Arial" w:eastAsia="Arial" w:hAnsi="Arial"/>
          <w:sz w:val="22"/>
          <w:szCs w:val="22"/>
          <w:color w:val="auto"/>
        </w:rPr>
      </w:pPr>
      <w:r>
        <w:rPr>
          <w:rFonts w:ascii="Arial" w:cs="Arial" w:eastAsia="Arial" w:hAnsi="Arial"/>
          <w:sz w:val="22"/>
          <w:szCs w:val="22"/>
          <w:color w:val="auto"/>
        </w:rPr>
        <w:t>Executive shall not, directly or indirectly, in any manner, solicit, entice or attempt to persuade any employee or consultant of the Company to leave the Company for any reason or otherwise participate in or facilitate the hire, directly or through another entity, of any person who is then employed or engaged by the Company.</w:t>
      </w:r>
    </w:p>
    <w:p>
      <w:pPr>
        <w:spacing w:after="0" w:line="185" w:lineRule="exact"/>
        <w:rPr>
          <w:sz w:val="20"/>
          <w:szCs w:val="20"/>
          <w:color w:val="auto"/>
        </w:rPr>
      </w:pPr>
    </w:p>
    <w:p>
      <w:pPr>
        <w:ind w:right="100" w:firstLine="872"/>
        <w:spacing w:after="0" w:line="273" w:lineRule="auto"/>
        <w:tabs>
          <w:tab w:leader="none" w:pos="167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Litigation and Regulatory Cooperation</w:t>
      </w:r>
      <w:r>
        <w:rPr>
          <w:rFonts w:ascii="Arial" w:cs="Arial" w:eastAsia="Arial" w:hAnsi="Arial"/>
          <w:sz w:val="19"/>
          <w:szCs w:val="19"/>
          <w:color w:val="auto"/>
        </w:rPr>
        <w:t>. During and after the Executive’s employment, the Executive shall cooperate fully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9.</w:t>
      </w:r>
    </w:p>
    <w:p>
      <w:pPr>
        <w:spacing w:after="0" w:line="160" w:lineRule="exact"/>
        <w:rPr>
          <w:rFonts w:ascii="Arial" w:cs="Arial" w:eastAsia="Arial" w:hAnsi="Arial"/>
          <w:sz w:val="19"/>
          <w:szCs w:val="19"/>
          <w:color w:val="auto"/>
        </w:rPr>
      </w:pPr>
    </w:p>
    <w:p>
      <w:pPr>
        <w:ind w:right="100" w:firstLine="872"/>
        <w:spacing w:after="0" w:line="273" w:lineRule="auto"/>
        <w:tabs>
          <w:tab w:leader="none" w:pos="178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Government Contracts</w:t>
      </w:r>
      <w:r>
        <w:rPr>
          <w:rFonts w:ascii="Arial" w:cs="Arial" w:eastAsia="Arial" w:hAnsi="Arial"/>
          <w:sz w:val="19"/>
          <w:szCs w:val="19"/>
          <w:color w:val="auto"/>
        </w:rPr>
        <w:t>. Executive acknowledges that the Company may have from time to time agreements with other persons or with the United States Government or its agencies that impose obligations or restrictions on the Company regarding inventions made during the course of work under such agreements or regarding the confidential nature of such</w:t>
      </w:r>
    </w:p>
    <w:p>
      <w:pPr>
        <w:spacing w:after="0" w:line="1"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22"/>
          <w:szCs w:val="22"/>
          <w:color w:val="auto"/>
        </w:rPr>
        <w:t xml:space="preserve">work. Executive agrees to comply with any such obligations or restrictions upon the direction of the Company. In addition to the rights assigned under Section 8(e), </w:t>
      </w:r>
      <w:r>
        <w:rPr>
          <w:rFonts w:ascii="Arial" w:cs="Arial" w:eastAsia="Arial" w:hAnsi="Arial"/>
          <w:sz w:val="22"/>
          <w:szCs w:val="22"/>
          <w:u w:val="single" w:color="auto"/>
          <w:color w:val="0000EE"/>
        </w:rPr>
        <w:t>Executive also assigns to the Company (or any of its nominees) all rights that Executive has or</w:t>
      </w:r>
      <w:r>
        <w:rPr>
          <w:rFonts w:ascii="Arial" w:cs="Arial" w:eastAsia="Arial" w:hAnsi="Arial"/>
          <w:sz w:val="22"/>
          <w:szCs w:val="22"/>
          <w:color w:val="auto"/>
        </w:rPr>
        <w:t xml:space="preserve"> </w:t>
      </w:r>
      <w:r>
        <w:rPr>
          <w:rFonts w:ascii="Arial" w:cs="Arial" w:eastAsia="Arial" w:hAnsi="Arial"/>
          <w:sz w:val="22"/>
          <w:szCs w:val="22"/>
          <w:u w:val="single" w:color="auto"/>
          <w:color w:val="0000EE"/>
        </w:rPr>
        <w:t>acquired in any Developments,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0000EE"/>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342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5" w:name="page56"/>
    <w:bookmarkEnd w:id="55"/>
    <w:p>
      <w:pPr>
        <w:ind w:right="120"/>
        <w:spacing w:after="0" w:line="250" w:lineRule="auto"/>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34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4290" cy="8255"/>
                    </a:xfrm>
                    <a:prstGeom prst="rect">
                      <a:avLst/>
                    </a:prstGeom>
                    <a:noFill/>
                  </pic:spPr>
                </pic:pic>
              </a:graphicData>
            </a:graphic>
          </wp:anchor>
        </w:drawing>
        <w:t>full title to which is required to be in the United States under any contract between the Company and the United States or any of its agencies.</w:t>
      </w:r>
    </w:p>
    <w:p>
      <w:pPr>
        <w:spacing w:after="0" w:line="175" w:lineRule="exact"/>
        <w:rPr>
          <w:sz w:val="20"/>
          <w:szCs w:val="20"/>
          <w:color w:val="auto"/>
        </w:rPr>
      </w:pPr>
    </w:p>
    <w:p>
      <w:pPr>
        <w:ind w:right="20" w:firstLine="872"/>
        <w:spacing w:after="0" w:line="275" w:lineRule="auto"/>
        <w:tabs>
          <w:tab w:leader="none" w:pos="1774" w:val="left"/>
        </w:tabs>
        <w:numPr>
          <w:ilvl w:val="0"/>
          <w:numId w:val="47"/>
        </w:numPr>
        <w:rPr>
          <w:rFonts w:ascii="Arial" w:cs="Arial" w:eastAsia="Arial" w:hAnsi="Arial"/>
          <w:sz w:val="19"/>
          <w:szCs w:val="19"/>
          <w:u w:val="single" w:color="auto"/>
          <w:color w:val="0000EE"/>
        </w:rPr>
      </w:pPr>
      <w:r>
        <w:rPr>
          <w:rFonts w:ascii="Arial" w:cs="Arial" w:eastAsia="Arial" w:hAnsi="Arial"/>
          <w:sz w:val="19"/>
          <w:szCs w:val="19"/>
          <w:u w:val="single" w:color="auto"/>
          <w:color w:val="auto"/>
        </w:rPr>
        <w:t>Prior Agreements. Executive hereby represents that, except as Executive has fully disclosed previously in writing to the Company, Executive is not bound by the terms of any agreement with any previous or current employer or other party to refrain from using or disclosing any trade secret or confidential or proprietary information in the course of his employment with the Company or to refrain from competing, directly or indirectly, with the business of such employer or any other party. Executive further represents that his performance of all the terms of this Agreement as an employee of the Company does not and will not breach any agreement to keep in confidence proprietary information, knowledge or data acquired by them in confidence or in trust prior to Executive’s employment with the Company. Executive will not disclose to the Company or induce the Company to use any confidential or proprietary information or material belonging to any previous employer or others.</w:t>
      </w:r>
    </w:p>
    <w:p>
      <w:pPr>
        <w:spacing w:after="0" w:line="157" w:lineRule="exact"/>
        <w:rPr>
          <w:rFonts w:ascii="Arial" w:cs="Arial" w:eastAsia="Arial" w:hAnsi="Arial"/>
          <w:sz w:val="19"/>
          <w:szCs w:val="19"/>
          <w:u w:val="single" w:color="auto"/>
          <w:color w:val="0000EE"/>
        </w:rPr>
      </w:pPr>
    </w:p>
    <w:p>
      <w:pPr>
        <w:ind w:firstLine="872"/>
        <w:spacing w:after="0" w:line="273" w:lineRule="auto"/>
        <w:tabs>
          <w:tab w:leader="none" w:pos="1782" w:val="left"/>
        </w:tabs>
        <w:numPr>
          <w:ilvl w:val="0"/>
          <w:numId w:val="47"/>
        </w:numPr>
        <w:rPr>
          <w:rFonts w:ascii="Arial" w:cs="Arial" w:eastAsia="Arial" w:hAnsi="Arial"/>
          <w:sz w:val="19"/>
          <w:szCs w:val="19"/>
          <w:u w:val="single" w:color="auto"/>
          <w:color w:val="0000EE"/>
        </w:rPr>
      </w:pPr>
      <w:r>
        <w:rPr>
          <w:rFonts w:ascii="Arial" w:cs="Arial" w:eastAsia="Arial" w:hAnsi="Arial"/>
          <w:sz w:val="19"/>
          <w:szCs w:val="19"/>
          <w:u w:val="single" w:color="auto"/>
          <w:color w:val="auto"/>
        </w:rPr>
        <w:t>Remedies Upon Breach. Executive understands that the restrictions contained in Sections 8 and 9 of this Agreement (collectively, the “Continuing Obligations”) are necessary for the protection of the business and goodwill of the Company and Executive considers them to be reasonable for such purpose. Any breach of the Continuing Obligations is likely to cause the Company substantial and irrevocable damage and therefore, in the event of such breach, the Company, in addition to such other remedies which may be available, will be entitled to specific performance and other injunctive relief, without the posting of a bond. Executive further acknowledges that a court may render an award extending the Restricted Period as one of the remedies in the event of his violation of the Continuing Obligations. If Executive violates the Continuing Obligations, in addition to all other remedies available to the Company at law (including, without limitation, the Company’s right to discontinue any payments Executive may receive pursuant to this Agreement), in equity, and under contract, Executive agrees that Executive is obligated to pay all the Company’s costs of enforcement of this Agreement, including reasonable attorneys’ fees and expenses.</w:t>
      </w:r>
    </w:p>
    <w:p>
      <w:pPr>
        <w:spacing w:after="0" w:line="160" w:lineRule="exact"/>
        <w:rPr>
          <w:rFonts w:ascii="Arial" w:cs="Arial" w:eastAsia="Arial" w:hAnsi="Arial"/>
          <w:sz w:val="19"/>
          <w:szCs w:val="19"/>
          <w:u w:val="single" w:color="auto"/>
          <w:color w:val="0000EE"/>
        </w:rPr>
      </w:pPr>
    </w:p>
    <w:p>
      <w:pPr>
        <w:ind w:right="40" w:firstLine="872"/>
        <w:spacing w:after="0" w:line="252" w:lineRule="auto"/>
        <w:tabs>
          <w:tab w:leader="none" w:pos="1782" w:val="left"/>
        </w:tabs>
        <w:numPr>
          <w:ilvl w:val="0"/>
          <w:numId w:val="47"/>
        </w:numPr>
        <w:rPr>
          <w:rFonts w:ascii="Arial" w:cs="Arial" w:eastAsia="Arial" w:hAnsi="Arial"/>
          <w:sz w:val="21"/>
          <w:szCs w:val="21"/>
          <w:u w:val="single" w:color="auto"/>
          <w:color w:val="0000EE"/>
        </w:rPr>
      </w:pPr>
      <w:r>
        <w:rPr>
          <w:rFonts w:ascii="Arial" w:cs="Arial" w:eastAsia="Arial" w:hAnsi="Arial"/>
          <w:sz w:val="21"/>
          <w:szCs w:val="21"/>
          <w:u w:val="single" w:color="auto"/>
          <w:color w:val="auto"/>
        </w:rPr>
        <w:t>Use of Voice, Image and Likeness. Executive gives the Company permission to use any and all of his voice, image and likeness, with or without using his name, in connection with the products and/or services of the Company, for the purposes of advertising and promoting such products and/or services and/or the Company, and/or for other purposes deemed appropriate by the Company in its reasonable discretion, except to the extent prohibited by law.</w:t>
      </w:r>
    </w:p>
    <w:p>
      <w:pPr>
        <w:spacing w:after="0" w:line="173" w:lineRule="exact"/>
        <w:rPr>
          <w:rFonts w:ascii="Arial" w:cs="Arial" w:eastAsia="Arial" w:hAnsi="Arial"/>
          <w:sz w:val="21"/>
          <w:szCs w:val="21"/>
          <w:u w:val="single" w:color="auto"/>
          <w:color w:val="0000EE"/>
        </w:rPr>
      </w:pPr>
    </w:p>
    <w:p>
      <w:pPr>
        <w:ind w:firstLine="872"/>
        <w:spacing w:after="0" w:line="287" w:lineRule="auto"/>
        <w:tabs>
          <w:tab w:leader="none" w:pos="1782" w:val="left"/>
        </w:tabs>
        <w:numPr>
          <w:ilvl w:val="0"/>
          <w:numId w:val="47"/>
        </w:numPr>
        <w:rPr>
          <w:rFonts w:ascii="Arial" w:cs="Arial" w:eastAsia="Arial" w:hAnsi="Arial"/>
          <w:sz w:val="19"/>
          <w:szCs w:val="19"/>
          <w:u w:val="single" w:color="auto"/>
          <w:color w:val="0000EE"/>
        </w:rPr>
      </w:pPr>
      <w:r>
        <w:rPr>
          <w:rFonts w:ascii="Arial" w:cs="Arial" w:eastAsia="Arial" w:hAnsi="Arial"/>
          <w:sz w:val="19"/>
          <w:szCs w:val="19"/>
          <w:u w:val="single" w:color="auto"/>
          <w:color w:val="auto"/>
        </w:rPr>
        <w:t>No Employment Obligation. Executive understands that this Agreement does not create an obligation on the Company or any other person to continue his employment. Executive acknowledges that, unless otherwise agreed in a formal written employment agreement signed on behalf of the Company by an authorized officer, his employment with the Company is at will and therefore may be terminated by the Company or Executive at any time and for any reason, with or without cause.</w:t>
      </w:r>
    </w:p>
    <w:p>
      <w:pPr>
        <w:spacing w:after="0" w:line="142" w:lineRule="exact"/>
        <w:rPr>
          <w:rFonts w:ascii="Arial" w:cs="Arial" w:eastAsia="Arial" w:hAnsi="Arial"/>
          <w:sz w:val="19"/>
          <w:szCs w:val="19"/>
          <w:u w:val="single" w:color="auto"/>
          <w:color w:val="0000EE"/>
        </w:rPr>
      </w:pPr>
    </w:p>
    <w:p>
      <w:pPr>
        <w:ind w:right="460" w:firstLine="872"/>
        <w:spacing w:after="0" w:line="238" w:lineRule="auto"/>
        <w:tabs>
          <w:tab w:leader="none" w:pos="1782" w:val="left"/>
        </w:tabs>
        <w:numPr>
          <w:ilvl w:val="0"/>
          <w:numId w:val="47"/>
        </w:numPr>
        <w:rPr>
          <w:rFonts w:ascii="Arial" w:cs="Arial" w:eastAsia="Arial" w:hAnsi="Arial"/>
          <w:sz w:val="22"/>
          <w:szCs w:val="22"/>
          <w:u w:val="single" w:color="auto"/>
          <w:color w:val="0000EE"/>
        </w:rPr>
      </w:pPr>
      <w:r>
        <w:rPr>
          <w:rFonts w:ascii="Arial" w:cs="Arial" w:eastAsia="Arial" w:hAnsi="Arial"/>
          <w:sz w:val="22"/>
          <w:szCs w:val="22"/>
          <w:u w:val="single" w:color="auto"/>
          <w:color w:val="auto"/>
        </w:rPr>
        <w:t>Survival and Assignment by the Company. Executive understands that the Continuing Obligations will continue in accordance with his express terms regardless of any changes in Executive’s title, position, duties, salary, compensation or benefits or other terms and conditions of employment. Executive further understands that the Continuing Obligations will</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0000EE"/>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56" w:name="page57"/>
    <w:bookmarkEnd w:id="56"/>
    <w:p>
      <w:pPr>
        <w:ind w:right="100"/>
        <w:spacing w:after="0" w:line="236" w:lineRule="auto"/>
        <w:rPr>
          <w:sz w:val="20"/>
          <w:szCs w:val="20"/>
          <w:color w:val="auto"/>
        </w:rPr>
      </w:pPr>
      <w:r>
        <w:rPr>
          <w:rFonts w:ascii="Arial" w:cs="Arial" w:eastAsia="Arial" w:hAnsi="Arial"/>
          <w:sz w:val="22"/>
          <w:szCs w:val="22"/>
          <w:color w:val="auto"/>
        </w:rPr>
        <w:t>continue following the termination of his employment regardless of the manner of such termination and will be binding upon his heirs, executors and administrators. The Company will have the right to assign this Agreement to its affiliates, successors and assigns. Executive expressly consents to be bound by the provisions of this Agreement for the benefit of the Company or any parent, subsidiary or affiliate to whose employ Executive may be transferred without the necessity that this Agreement be resigned at the time of such transfer.</w:t>
      </w:r>
    </w:p>
    <w:p>
      <w:pPr>
        <w:spacing w:after="0" w:line="187" w:lineRule="exact"/>
        <w:rPr>
          <w:sz w:val="20"/>
          <w:szCs w:val="20"/>
          <w:color w:val="auto"/>
        </w:rPr>
      </w:pPr>
    </w:p>
    <w:p>
      <w:pPr>
        <w:ind w:right="80" w:firstLine="872"/>
        <w:spacing w:after="0" w:line="279" w:lineRule="auto"/>
        <w:tabs>
          <w:tab w:leader="none" w:pos="178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Notice of Resignation</w:t>
      </w:r>
      <w:r>
        <w:rPr>
          <w:rFonts w:ascii="Arial" w:cs="Arial" w:eastAsia="Arial" w:hAnsi="Arial"/>
          <w:sz w:val="19"/>
          <w:szCs w:val="19"/>
          <w:color w:val="auto"/>
        </w:rPr>
        <w:t>. If Executive elects to resign from his employment with the Company, Executive agrees to provide the Company with written notification of his resignation at least thirty (30) days prior to his intended resignation date. Such notice shall include information in reasonable detail about his post-employment job duties and other business activities, including the name and address of any subsequent employer and/or person or entity with whom or which Executive intends to engage in business activities during the Restricted Period and the nature of his job duties and other business activities. The Company may elect to waive all or part of the notice period in its sole discretion.</w:t>
      </w:r>
    </w:p>
    <w:p>
      <w:pPr>
        <w:spacing w:after="0" w:line="150" w:lineRule="exact"/>
        <w:rPr>
          <w:rFonts w:ascii="Arial" w:cs="Arial" w:eastAsia="Arial" w:hAnsi="Arial"/>
          <w:sz w:val="19"/>
          <w:szCs w:val="19"/>
          <w:color w:val="auto"/>
        </w:rPr>
      </w:pPr>
    </w:p>
    <w:p>
      <w:pPr>
        <w:ind w:firstLine="872"/>
        <w:spacing w:after="0"/>
        <w:tabs>
          <w:tab w:leader="none" w:pos="178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Post-Employment Notifications</w:t>
      </w:r>
      <w:r>
        <w:rPr>
          <w:rFonts w:ascii="Arial" w:cs="Arial" w:eastAsia="Arial" w:hAnsi="Arial"/>
          <w:sz w:val="22"/>
          <w:szCs w:val="22"/>
          <w:color w:val="auto"/>
        </w:rPr>
        <w:t>. During the Restricted Period, Executive will notify the Company of any change in his address and of each subsequent employment or business activity, including the name and address of his employer or other post-Company employment plans and the nature of his activities.</w:t>
      </w:r>
    </w:p>
    <w:p>
      <w:pPr>
        <w:spacing w:after="0" w:line="186" w:lineRule="exact"/>
        <w:rPr>
          <w:rFonts w:ascii="Arial" w:cs="Arial" w:eastAsia="Arial" w:hAnsi="Arial"/>
          <w:sz w:val="22"/>
          <w:szCs w:val="22"/>
          <w:color w:val="auto"/>
        </w:rPr>
      </w:pPr>
    </w:p>
    <w:p>
      <w:pPr>
        <w:ind w:right="140" w:firstLine="872"/>
        <w:spacing w:after="0" w:line="238" w:lineRule="auto"/>
        <w:tabs>
          <w:tab w:leader="none" w:pos="178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Disclosures During Restricted Period</w:t>
      </w:r>
      <w:r>
        <w:rPr>
          <w:rFonts w:ascii="Arial" w:cs="Arial" w:eastAsia="Arial" w:hAnsi="Arial"/>
          <w:sz w:val="22"/>
          <w:szCs w:val="22"/>
          <w:color w:val="auto"/>
        </w:rPr>
        <w:t>. Executive will provide a copy of this Agreement with all compensation terms redacted to any person or entity with whom Executive may enter into a business relationship, whether as an employee, consultant, partner, coventurer or otherwise, prior to entering into such business relationship during the Restricted Period only.</w:t>
      </w:r>
    </w:p>
    <w:p>
      <w:pPr>
        <w:spacing w:after="0" w:line="184" w:lineRule="exact"/>
        <w:rPr>
          <w:rFonts w:ascii="Arial" w:cs="Arial" w:eastAsia="Arial" w:hAnsi="Arial"/>
          <w:sz w:val="22"/>
          <w:szCs w:val="22"/>
          <w:color w:val="auto"/>
        </w:rPr>
      </w:pPr>
    </w:p>
    <w:p>
      <w:pPr>
        <w:ind w:right="40" w:firstLine="872"/>
        <w:spacing w:after="0" w:line="279" w:lineRule="auto"/>
        <w:tabs>
          <w:tab w:leader="none" w:pos="178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The Company and Executive acknowledge and agree that the Company’s election not to provide Executive with Garden Leave Pay as set forth in Section 8(h)(iii) shall be deemed a waiver of Executive’s noncompetition obligations under Section 8(h)(iii). Otherwise, no waiver of any of Executive’s obligations under this Agreement shall be effective unless made in writing by the Company. The failure of the Company to require Executive’s performance of any term or obligation of this Agreement, or the waiver of any breach of this Agreement, shall not prevent the Company’s subsequent enforcement of such term or obligation or be deemed a waiver of any subsequent breach.</w:t>
      </w:r>
    </w:p>
    <w:p>
      <w:pPr>
        <w:spacing w:after="0" w:line="150" w:lineRule="exact"/>
        <w:rPr>
          <w:rFonts w:ascii="Arial" w:cs="Arial" w:eastAsia="Arial" w:hAnsi="Arial"/>
          <w:sz w:val="19"/>
          <w:szCs w:val="19"/>
          <w:color w:val="auto"/>
        </w:rPr>
      </w:pPr>
    </w:p>
    <w:p>
      <w:pPr>
        <w:ind w:right="20" w:firstLine="872"/>
        <w:spacing w:after="0" w:line="279" w:lineRule="auto"/>
        <w:tabs>
          <w:tab w:leader="none" w:pos="1782"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case any provisions (or portions thereof) contained in this Agreement shall, for any reason, be held invalid, illegal or unenforceable in any respect, such invalidity, illegality or unenforceability shall not affect the other provisions of this Agreement, and this Agreement shall be construed as if such invalid, illegal or unenforceable provision had never been contained herein. If, moreover, any one or more of the provisions contained in this Agreement shall for any reason be held to be excessively broad as to duration, geographical scope, activity or subject, it shall be construed by limiting and reducing it, so as to be enforceable to the extent compatible with the applicable law as it shall then appear.</w:t>
      </w:r>
    </w:p>
    <w:p>
      <w:pPr>
        <w:spacing w:after="0" w:line="150" w:lineRule="exact"/>
        <w:rPr>
          <w:rFonts w:ascii="Arial" w:cs="Arial" w:eastAsia="Arial" w:hAnsi="Arial"/>
          <w:sz w:val="19"/>
          <w:szCs w:val="19"/>
          <w:color w:val="auto"/>
        </w:rPr>
      </w:pPr>
    </w:p>
    <w:p>
      <w:pPr>
        <w:ind w:right="800" w:firstLine="872"/>
        <w:spacing w:after="0"/>
        <w:tabs>
          <w:tab w:leader="none" w:pos="178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Choice of Law and Jurisdiction</w:t>
      </w:r>
      <w:r>
        <w:rPr>
          <w:rFonts w:ascii="Arial" w:cs="Arial" w:eastAsia="Arial" w:hAnsi="Arial"/>
          <w:sz w:val="22"/>
          <w:szCs w:val="22"/>
          <w:color w:val="auto"/>
        </w:rPr>
        <w:t>. This Agreement will be deemed to be made and entered into in the Commonwealth of Massachusetts, and will in all respects be interpreted, enforced and governed under the laws of the Commonwealth of Massachusetts. Executive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57" w:name="page58"/>
    <w:bookmarkEnd w:id="57"/>
    <w:p>
      <w:pPr>
        <w:ind w:right="200"/>
        <w:spacing w:after="0" w:line="270" w:lineRule="auto"/>
        <w:rPr>
          <w:sz w:val="20"/>
          <w:szCs w:val="20"/>
          <w:color w:val="auto"/>
        </w:rPr>
      </w:pPr>
      <w:r>
        <w:rPr>
          <w:rFonts w:ascii="Arial" w:cs="Arial" w:eastAsia="Arial" w:hAnsi="Arial"/>
          <w:sz w:val="19"/>
          <w:szCs w:val="19"/>
          <w:color w:val="auto"/>
        </w:rPr>
        <w:t xml:space="preserve">hereby consents to personal jurisdiction of the state and federal courts situated within Massachusetts for purposes of enforcing this Agreement, and waive any objection that Executive might have to personal jurisdiction or venue in those courts, provided, however, the Company and Executive agree that all civil actions relating to Section 8 of this Agreement shall be brought in the county of Suffolk and that the superior court or the business litigation session of the superior court shall have exclusive jurisdiction. </w:t>
      </w:r>
      <w:r>
        <w:rPr>
          <w:rFonts w:ascii="Arial" w:cs="Arial" w:eastAsia="Arial" w:hAnsi="Arial"/>
          <w:sz w:val="19"/>
          <w:szCs w:val="19"/>
          <w:b w:val="1"/>
          <w:bCs w:val="1"/>
          <w:color w:val="auto"/>
        </w:rPr>
        <w:t>ANY ACTION, DEMAND, CLAIM OR COUNTERCLAIM ARISING UNDER OR RELATING TO THIS</w:t>
      </w:r>
    </w:p>
    <w:p>
      <w:pPr>
        <w:spacing w:after="0" w:line="4" w:lineRule="exact"/>
        <w:rPr>
          <w:sz w:val="20"/>
          <w:szCs w:val="20"/>
          <w:color w:val="auto"/>
        </w:rPr>
      </w:pPr>
    </w:p>
    <w:p>
      <w:pPr>
        <w:ind w:right="60"/>
        <w:spacing w:after="0" w:line="233" w:lineRule="auto"/>
        <w:rPr>
          <w:sz w:val="20"/>
          <w:szCs w:val="20"/>
          <w:color w:val="auto"/>
        </w:rPr>
      </w:pPr>
      <w:r>
        <w:rPr>
          <w:rFonts w:ascii="Arial" w:cs="Arial" w:eastAsia="Arial" w:hAnsi="Arial"/>
          <w:sz w:val="22"/>
          <w:szCs w:val="22"/>
          <w:b w:val="1"/>
          <w:bCs w:val="1"/>
          <w:color w:val="auto"/>
        </w:rPr>
        <w:t>AGREEMENT OR THE EXECUTIVE’S EMPLOYMENT WITH THE COMPANY, INCLUDING WITHOUT LIMITATION ANY CLAIMS OF DISCRIMINATION ARISING UNDER STATE OR FEDERAL LAW, WILL BE RESOLVED BY A JUDGE ALONE AND EACH OF THE COMPANY AND THE EXECUTIVE WAIVES ANY RIGHT TO A JURY TRIAL THEREOF</w:t>
      </w:r>
      <w:r>
        <w:rPr>
          <w:rFonts w:ascii="Arial" w:cs="Arial" w:eastAsia="Arial" w:hAnsi="Arial"/>
          <w:sz w:val="22"/>
          <w:szCs w:val="22"/>
          <w:color w:val="auto"/>
        </w:rPr>
        <w:t>.</w:t>
      </w:r>
    </w:p>
    <w:p>
      <w:pPr>
        <w:spacing w:after="0" w:line="188" w:lineRule="exact"/>
        <w:rPr>
          <w:sz w:val="20"/>
          <w:szCs w:val="20"/>
          <w:color w:val="auto"/>
        </w:rPr>
      </w:pPr>
    </w:p>
    <w:p>
      <w:pPr>
        <w:ind w:right="60" w:firstLine="872"/>
        <w:spacing w:after="0" w:line="297" w:lineRule="auto"/>
        <w:tabs>
          <w:tab w:leader="none" w:pos="178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Independence of Obligations</w:t>
      </w:r>
      <w:r>
        <w:rPr>
          <w:rFonts w:ascii="Arial" w:cs="Arial" w:eastAsia="Arial" w:hAnsi="Arial"/>
          <w:sz w:val="19"/>
          <w:szCs w:val="19"/>
          <w:color w:val="auto"/>
        </w:rPr>
        <w:t>. Executive’s obligations under this Agreement are independent of any obligation, contractual or otherwise, the Company has to Executive. The Company’s breach of any such obligation shall not be a defense against the enforcement of this Agreement or otherwise limit Executive’s obligations under this Agreement.</w:t>
      </w:r>
    </w:p>
    <w:p>
      <w:pPr>
        <w:spacing w:after="0" w:line="133" w:lineRule="exact"/>
        <w:rPr>
          <w:rFonts w:ascii="Arial" w:cs="Arial" w:eastAsia="Arial" w:hAnsi="Arial"/>
          <w:sz w:val="19"/>
          <w:szCs w:val="19"/>
          <w:color w:val="auto"/>
        </w:rPr>
      </w:pPr>
    </w:p>
    <w:p>
      <w:pPr>
        <w:ind w:right="20" w:firstLine="872"/>
        <w:spacing w:after="0" w:line="282" w:lineRule="auto"/>
        <w:tabs>
          <w:tab w:leader="none" w:pos="178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Protected Disclosures</w:t>
      </w:r>
      <w:r>
        <w:rPr>
          <w:rFonts w:ascii="Arial" w:cs="Arial" w:eastAsia="Arial" w:hAnsi="Arial"/>
          <w:sz w:val="19"/>
          <w:szCs w:val="19"/>
          <w:color w:val="auto"/>
        </w:rPr>
        <w:t>. Executive understands that nothing contained in this Agreement limits his ability to communicate with any federal, state or local governmental agency or commission, including to provide documents or other information, without notice to the Company. Executive also understands that nothing in this Agreement limits his ability to share compensation information concerning them or others, except that this does not permit Executive to disclose compensation information concerning others that Executive obtains because his job responsibilities require or allow access to such information.</w:t>
      </w:r>
    </w:p>
    <w:p>
      <w:pPr>
        <w:spacing w:after="0" w:line="147" w:lineRule="exact"/>
        <w:rPr>
          <w:rFonts w:ascii="Arial" w:cs="Arial" w:eastAsia="Arial" w:hAnsi="Arial"/>
          <w:sz w:val="19"/>
          <w:szCs w:val="19"/>
          <w:color w:val="auto"/>
        </w:rPr>
      </w:pPr>
    </w:p>
    <w:p>
      <w:pPr>
        <w:ind w:firstLine="872"/>
        <w:spacing w:after="0" w:line="282" w:lineRule="auto"/>
        <w:tabs>
          <w:tab w:leader="none" w:pos="178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Defend Trade Secrets Act of 2016</w:t>
      </w:r>
      <w:r>
        <w:rPr>
          <w:rFonts w:ascii="Arial" w:cs="Arial" w:eastAsia="Arial" w:hAnsi="Arial"/>
          <w:sz w:val="19"/>
          <w:szCs w:val="19"/>
          <w:color w:val="auto"/>
        </w:rPr>
        <w:t>. Executive understands that pursuant to the federal Defend Trade Secrets Act of 2016, Executive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47" w:lineRule="exact"/>
        <w:rPr>
          <w:rFonts w:ascii="Arial" w:cs="Arial" w:eastAsia="Arial" w:hAnsi="Arial"/>
          <w:sz w:val="19"/>
          <w:szCs w:val="19"/>
          <w:color w:val="auto"/>
        </w:rPr>
      </w:pPr>
    </w:p>
    <w:p>
      <w:pPr>
        <w:ind w:right="420" w:firstLine="872"/>
        <w:spacing w:after="0" w:line="282" w:lineRule="auto"/>
        <w:tabs>
          <w:tab w:leader="none" w:pos="178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Successor to the Executive</w:t>
      </w:r>
      <w:r>
        <w:rPr>
          <w:rFonts w:ascii="Arial" w:cs="Arial" w:eastAsia="Arial" w:hAnsi="Arial"/>
          <w:sz w:val="19"/>
          <w:szCs w:val="19"/>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them under this Agreement, the Company shall continue such payments to the Executive’s beneficiary designated in writing to the Company prior to his death (or to his estate, if the Executive fails to make such designation).</w:t>
      </w:r>
    </w:p>
    <w:p>
      <w:pPr>
        <w:spacing w:after="0" w:line="147" w:lineRule="exact"/>
        <w:rPr>
          <w:rFonts w:ascii="Arial" w:cs="Arial" w:eastAsia="Arial" w:hAnsi="Arial"/>
          <w:sz w:val="19"/>
          <w:szCs w:val="19"/>
          <w:color w:val="auto"/>
        </w:rPr>
      </w:pPr>
    </w:p>
    <w:p>
      <w:pPr>
        <w:ind w:right="80" w:firstLine="872"/>
        <w:spacing w:after="0" w:line="297" w:lineRule="auto"/>
        <w:tabs>
          <w:tab w:leader="none" w:pos="1782"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Successor to Company</w:t>
      </w:r>
      <w:r>
        <w:rPr>
          <w:rFonts w:ascii="Arial" w:cs="Arial" w:eastAsia="Arial" w:hAnsi="Arial"/>
          <w:sz w:val="19"/>
          <w:szCs w:val="19"/>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58" w:name="page59"/>
    <w:bookmarkEnd w:id="58"/>
    <w:p>
      <w:pPr>
        <w:ind w:right="140"/>
        <w:spacing w:after="0" w:line="250" w:lineRule="auto"/>
        <w:rPr>
          <w:sz w:val="20"/>
          <w:szCs w:val="20"/>
          <w:color w:val="auto"/>
        </w:rPr>
      </w:pPr>
      <w:r>
        <w:rPr>
          <w:rFonts w:ascii="Arial" w:cs="Arial" w:eastAsia="Arial" w:hAnsi="Arial"/>
          <w:sz w:val="22"/>
          <w:szCs w:val="22"/>
          <w:color w:val="auto"/>
        </w:rPr>
        <w:t>place. Failure of the Company to obtain an assumption of this Agreement at or prior to the effectiveness of any succession shall be a material breach of this Agreement.</w:t>
      </w:r>
    </w:p>
    <w:p>
      <w:pPr>
        <w:spacing w:after="0" w:line="175" w:lineRule="exact"/>
        <w:rPr>
          <w:sz w:val="20"/>
          <w:szCs w:val="20"/>
          <w:color w:val="auto"/>
        </w:rPr>
      </w:pPr>
    </w:p>
    <w:p>
      <w:pPr>
        <w:ind w:right="40" w:firstLine="872"/>
        <w:spacing w:after="0" w:line="252" w:lineRule="auto"/>
        <w:tabs>
          <w:tab w:leader="none" w:pos="1782"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3" w:lineRule="exact"/>
        <w:rPr>
          <w:rFonts w:ascii="Arial" w:cs="Arial" w:eastAsia="Arial" w:hAnsi="Arial"/>
          <w:sz w:val="21"/>
          <w:szCs w:val="21"/>
          <w:color w:val="auto"/>
        </w:rPr>
      </w:pPr>
    </w:p>
    <w:p>
      <w:pPr>
        <w:ind w:right="500" w:firstLine="872"/>
        <w:spacing w:after="0"/>
        <w:tabs>
          <w:tab w:leader="none" w:pos="178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86" w:lineRule="exact"/>
        <w:rPr>
          <w:rFonts w:ascii="Arial" w:cs="Arial" w:eastAsia="Arial" w:hAnsi="Arial"/>
          <w:sz w:val="22"/>
          <w:szCs w:val="22"/>
          <w:color w:val="auto"/>
        </w:rPr>
      </w:pPr>
    </w:p>
    <w:p>
      <w:pPr>
        <w:ind w:right="140" w:firstLine="872"/>
        <w:spacing w:after="0" w:line="250" w:lineRule="auto"/>
        <w:tabs>
          <w:tab w:leader="none" w:pos="178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Gender Neutral</w:t>
      </w:r>
      <w:r>
        <w:rPr>
          <w:rFonts w:ascii="Arial" w:cs="Arial" w:eastAsia="Arial" w:hAnsi="Arial"/>
          <w:sz w:val="22"/>
          <w:szCs w:val="22"/>
          <w:color w:val="auto"/>
        </w:rPr>
        <w:t>. Wherever used herein, a pronoun in the masculine gender shall be considered as including the feminine gender unless the context clearly indicates otherwise.</w:t>
      </w:r>
    </w:p>
    <w:p>
      <w:pPr>
        <w:spacing w:after="0" w:line="174" w:lineRule="exact"/>
        <w:rPr>
          <w:rFonts w:ascii="Arial" w:cs="Arial" w:eastAsia="Arial" w:hAnsi="Arial"/>
          <w:sz w:val="22"/>
          <w:szCs w:val="22"/>
          <w:color w:val="auto"/>
        </w:rPr>
      </w:pPr>
    </w:p>
    <w:p>
      <w:pPr>
        <w:ind w:firstLine="872"/>
        <w:spacing w:after="0" w:line="234" w:lineRule="auto"/>
        <w:tabs>
          <w:tab w:leader="none" w:pos="178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Entire Agreement; Amendment</w:t>
      </w:r>
      <w:r>
        <w:rPr>
          <w:rFonts w:ascii="Arial" w:cs="Arial" w:eastAsia="Arial" w:hAnsi="Arial"/>
          <w:sz w:val="22"/>
          <w:szCs w:val="22"/>
          <w:color w:val="auto"/>
        </w:rPr>
        <w:t>. This Agreement constitutes the entire agreement between the Company and Executive with respect to the subject matter hereof, and supersedes all prior agreements or understandings, both written and oral, between the Company and Executive with respect to the subject matter hereof, but does not in any way merge with or supersede any other confidentiality, assignment of inventions or other restrictive covenant agreement or obligation entered into by the Company and Executive, which agreements and obligations shall supplement, and shall not limit or be limited by, this Agreement. This Agreement may be amended only in a written agreement executed by a duly authorized officer of the Company and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IN WITNESS WHEREOF, the parties have executed this Agreement effective on the date and year first above written.</w:t>
      </w:r>
    </w:p>
    <w:p>
      <w:pPr>
        <w:sectPr>
          <w:pgSz w:w="11900" w:h="16838" w:orient="portrait"/>
          <w:cols w:equalWidth="0" w:num="1">
            <w:col w:w="10240"/>
          </w:cols>
          <w:pgMar w:left="1200" w:top="604" w:right="459" w:bottom="1440" w:gutter="0" w:footer="0" w:header="0"/>
        </w:sectPr>
      </w:pPr>
    </w:p>
    <w:p>
      <w:pPr>
        <w:spacing w:after="0" w:line="235" w:lineRule="exact"/>
        <w:rPr>
          <w:sz w:val="20"/>
          <w:szCs w:val="20"/>
          <w:color w:val="auto"/>
        </w:rPr>
      </w:pPr>
    </w:p>
    <w:p>
      <w:pPr>
        <w:ind w:left="4320"/>
        <w:spacing w:after="0"/>
        <w:rPr>
          <w:sz w:val="20"/>
          <w:szCs w:val="20"/>
          <w:color w:val="auto"/>
        </w:rPr>
      </w:pPr>
      <w:r>
        <w:rPr>
          <w:rFonts w:ascii="Arial" w:cs="Arial" w:eastAsia="Arial" w:hAnsi="Arial"/>
          <w:sz w:val="22"/>
          <w:szCs w:val="22"/>
          <w:b w:val="1"/>
          <w:bCs w:val="1"/>
          <w:color w:val="auto"/>
        </w:rPr>
        <w:t>GEMINI THERAPEUTICS, INC.</w:t>
      </w:r>
    </w:p>
    <w:p>
      <w:pPr>
        <w:spacing w:after="0" w:line="200" w:lineRule="exact"/>
        <w:rPr>
          <w:sz w:val="20"/>
          <w:szCs w:val="20"/>
          <w:color w:val="auto"/>
        </w:rPr>
      </w:pPr>
    </w:p>
    <w:p>
      <w:pPr>
        <w:spacing w:after="0" w:line="336"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Meyenburg</w:t>
      </w:r>
    </w:p>
    <w:p>
      <w:pPr>
        <w:spacing w:after="0" w:line="8" w:lineRule="exact"/>
        <w:rPr>
          <w:sz w:val="20"/>
          <w:szCs w:val="20"/>
          <w:color w:val="auto"/>
        </w:rPr>
      </w:pPr>
    </w:p>
    <w:p>
      <w:pPr>
        <w:ind w:left="4740"/>
        <w:spacing w:after="0"/>
        <w:rPr>
          <w:sz w:val="20"/>
          <w:szCs w:val="20"/>
          <w:color w:val="auto"/>
        </w:rPr>
      </w:pPr>
      <w:r>
        <w:rPr>
          <w:rFonts w:ascii="Arial" w:cs="Arial" w:eastAsia="Arial" w:hAnsi="Arial"/>
          <w:sz w:val="22"/>
          <w:szCs w:val="22"/>
          <w:color w:val="auto"/>
        </w:rPr>
        <w:t>Jason Meyenburg</w:t>
      </w:r>
    </w:p>
    <w:p>
      <w:pPr>
        <w:spacing w:after="0" w:line="188" w:lineRule="exact"/>
        <w:rPr>
          <w:sz w:val="20"/>
          <w:szCs w:val="20"/>
          <w:color w:val="auto"/>
        </w:rPr>
      </w:pPr>
    </w:p>
    <w:p>
      <w:pPr>
        <w:ind w:left="4320"/>
        <w:spacing w:after="0"/>
        <w:rPr>
          <w:sz w:val="20"/>
          <w:szCs w:val="20"/>
          <w:color w:val="auto"/>
        </w:rPr>
      </w:pPr>
      <w:r>
        <w:rPr>
          <w:rFonts w:ascii="Arial" w:cs="Arial" w:eastAsia="Arial" w:hAnsi="Arial"/>
          <w:sz w:val="19"/>
          <w:szCs w:val="19"/>
          <w:color w:val="auto"/>
        </w:rPr>
        <w:t xml:space="preserve">Its: </w:t>
      </w:r>
      <w:r>
        <w:rPr>
          <w:rFonts w:ascii="Arial" w:cs="Arial" w:eastAsia="Arial" w:hAnsi="Arial"/>
          <w:sz w:val="19"/>
          <w:szCs w:val="19"/>
          <w:u w:val="single" w:color="auto"/>
          <w:color w:val="auto"/>
        </w:rPr>
        <w:t>President and Chief Executive Officer</w:t>
      </w:r>
    </w:p>
    <w:p>
      <w:pPr>
        <w:spacing w:after="0" w:line="200" w:lineRule="exact"/>
        <w:rPr>
          <w:sz w:val="20"/>
          <w:szCs w:val="20"/>
          <w:color w:val="auto"/>
        </w:rPr>
      </w:pPr>
    </w:p>
    <w:p>
      <w:pPr>
        <w:spacing w:after="0" w:line="365" w:lineRule="exact"/>
        <w:rPr>
          <w:sz w:val="20"/>
          <w:szCs w:val="20"/>
          <w:color w:val="auto"/>
        </w:rPr>
      </w:pPr>
    </w:p>
    <w:p>
      <w:pPr>
        <w:ind w:left="4320"/>
        <w:spacing w:after="0"/>
        <w:rPr>
          <w:sz w:val="20"/>
          <w:szCs w:val="20"/>
          <w:color w:val="auto"/>
        </w:rPr>
      </w:pPr>
      <w:r>
        <w:rPr>
          <w:rFonts w:ascii="Arial" w:cs="Arial" w:eastAsia="Arial" w:hAnsi="Arial"/>
          <w:sz w:val="22"/>
          <w:szCs w:val="22"/>
          <w:u w:val="single" w:color="auto"/>
          <w:color w:val="auto"/>
        </w:rPr>
        <w:t>/s/ Sam Barone</w:t>
      </w:r>
    </w:p>
    <w:p>
      <w:pPr>
        <w:spacing w:after="0" w:line="8"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Dr. Sam Barone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217170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40"/>
          </w:cols>
          <w:pgMar w:left="1200" w:top="604" w:right="459" w:bottom="1440" w:gutter="0" w:footer="0" w:header="0"/>
          <w:type w:val="continuous"/>
        </w:sectPr>
      </w:pPr>
    </w:p>
    <w:bookmarkStart w:id="60" w:name="page61"/>
    <w:bookmarkEnd w:id="60"/>
    <w:p>
      <w:pPr>
        <w:jc w:val="center"/>
        <w:ind w:right="-139"/>
        <w:spacing w:after="0"/>
        <w:rPr>
          <w:sz w:val="20"/>
          <w:szCs w:val="20"/>
          <w:color w:val="auto"/>
        </w:rPr>
      </w:pPr>
      <w:r>
        <w:rPr>
          <w:rFonts w:ascii="Arial" w:cs="Arial" w:eastAsia="Arial" w:hAnsi="Arial"/>
          <w:sz w:val="18"/>
          <w:szCs w:val="18"/>
          <w:b w:val="1"/>
          <w:bCs w:val="1"/>
          <w:color w:val="auto"/>
        </w:rPr>
        <w:t>EXHIBIT A</w:t>
      </w:r>
    </w:p>
    <w:p>
      <w:pPr>
        <w:sectPr>
          <w:pgSz w:w="11900" w:h="16838" w:orient="portrait"/>
          <w:cols w:equalWidth="0" w:num="1">
            <w:col w:w="11120"/>
          </w:cols>
          <w:pgMar w:left="320" w:top="607"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GEMINI THERAPEUTICS, INC. (“COMPANY”)</w:t>
      </w:r>
    </w:p>
    <w:p>
      <w:pPr>
        <w:spacing w:after="0" w:line="200" w:lineRule="exact"/>
        <w:rPr>
          <w:sz w:val="20"/>
          <w:szCs w:val="20"/>
          <w:color w:val="auto"/>
        </w:rPr>
      </w:pPr>
    </w:p>
    <w:p>
      <w:pPr>
        <w:sectPr>
          <w:pgSz w:w="11900" w:h="16838" w:orient="portrait"/>
          <w:cols w:equalWidth="0" w:num="2">
            <w:col w:w="240" w:space="620"/>
            <w:col w:w="10260"/>
          </w:cols>
          <w:pgMar w:left="320" w:top="607" w:right="45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Dr. Sam Barone</w:t>
      </w:r>
    </w:p>
    <w:p>
      <w:pPr>
        <w:spacing w:after="0" w:line="200" w:lineRule="exact"/>
        <w:rPr>
          <w:sz w:val="20"/>
          <w:szCs w:val="20"/>
          <w:color w:val="auto"/>
        </w:rPr>
      </w:pPr>
    </w:p>
    <w:p>
      <w:pPr>
        <w:sectPr>
          <w:pgSz w:w="11900" w:h="16838" w:orient="portrait"/>
          <w:cols w:equalWidth="0" w:num="2">
            <w:col w:w="440" w:space="420"/>
            <w:col w:w="10260"/>
          </w:cols>
          <w:pgMar w:left="320" w:top="607" w:right="4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1">
            <w:col w:w="11120"/>
          </w:cols>
          <w:pgMar w:left="320" w:top="607" w:right="459"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Inventions</w:t>
      </w:r>
    </w:p>
    <w:p>
      <w:pPr>
        <w:spacing w:after="0" w:line="204" w:lineRule="exact"/>
        <w:rPr>
          <w:sz w:val="20"/>
          <w:szCs w:val="20"/>
          <w:color w:val="auto"/>
        </w:rPr>
      </w:pPr>
    </w:p>
    <w:p>
      <w:pPr>
        <w:sectPr>
          <w:pgSz w:w="11900" w:h="16838" w:orient="portrait"/>
          <w:cols w:equalWidth="0" w:num="2">
            <w:col w:w="800" w:space="660"/>
            <w:col w:w="9660"/>
          </w:cols>
          <w:pgMar w:left="320" w:top="607" w:right="459" w:bottom="1440" w:gutter="0" w:footer="0" w:header="0"/>
          <w:type w:val="continuous"/>
        </w:sectPr>
      </w:pPr>
    </w:p>
    <w:p>
      <w:pPr>
        <w:spacing w:after="0" w:line="48" w:lineRule="exact"/>
        <w:rPr>
          <w:sz w:val="20"/>
          <w:szCs w:val="20"/>
          <w:color w:val="auto"/>
        </w:rPr>
      </w:pPr>
    </w:p>
    <w:p>
      <w:pPr>
        <w:ind w:firstLine="864"/>
        <w:spacing w:after="0" w:line="308" w:lineRule="auto"/>
        <w:rPr>
          <w:sz w:val="20"/>
          <w:szCs w:val="20"/>
          <w:color w:val="auto"/>
        </w:rPr>
      </w:pPr>
      <w:r>
        <w:rPr>
          <w:rFonts w:ascii="Arial" w:cs="Arial" w:eastAsia="Arial" w:hAnsi="Arial"/>
          <w:sz w:val="17"/>
          <w:szCs w:val="17"/>
          <w:color w:val="auto"/>
        </w:rPr>
        <w:t>The following is a complete list of all inventions or improvements relevant to the subject matter of my employment by the Company that have been made or conceived or first reduced to practice by me alone or jointly with others prior to my engagement by the Company:</w:t>
      </w:r>
    </w:p>
    <w:p>
      <w:pPr>
        <w:spacing w:after="0" w:line="146" w:lineRule="exact"/>
        <w:rPr>
          <w:sz w:val="20"/>
          <w:szCs w:val="20"/>
          <w:color w:val="auto"/>
        </w:rPr>
      </w:pPr>
    </w:p>
    <w:p>
      <w:pPr>
        <w:ind w:left="1620" w:hanging="748"/>
        <w:spacing w:after="0"/>
        <w:tabs>
          <w:tab w:leader="none" w:pos="1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 inventions or improvements</w:t>
      </w:r>
    </w:p>
    <w:p>
      <w:pPr>
        <w:spacing w:after="0" w:line="225" w:lineRule="exact"/>
        <w:rPr>
          <w:rFonts w:ascii="Arial" w:cs="Arial" w:eastAsia="Arial" w:hAnsi="Arial"/>
          <w:sz w:val="18"/>
          <w:szCs w:val="18"/>
          <w:color w:val="auto"/>
        </w:rPr>
      </w:pPr>
    </w:p>
    <w:p>
      <w:pPr>
        <w:ind w:left="1620" w:hanging="748"/>
        <w:spacing w:after="0"/>
        <w:tabs>
          <w:tab w:leader="none" w:pos="16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See below:</w:t>
      </w:r>
    </w:p>
    <w:p>
      <w:pPr>
        <w:spacing w:after="0" w:line="225" w:lineRule="exact"/>
        <w:rPr>
          <w:rFonts w:ascii="Arial" w:cs="Arial" w:eastAsia="Arial" w:hAnsi="Arial"/>
          <w:sz w:val="18"/>
          <w:szCs w:val="18"/>
          <w:color w:val="auto"/>
        </w:rPr>
      </w:pPr>
    </w:p>
    <w:p>
      <w:pPr>
        <w:ind w:left="760" w:hanging="752"/>
        <w:spacing w:after="0"/>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Additional sheets attached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is a list of all patents and patent applications in which Executive has been named as an inventor:</w:t>
      </w:r>
    </w:p>
    <w:p>
      <w:pPr>
        <w:spacing w:after="0" w:line="225" w:lineRule="exact"/>
        <w:rPr>
          <w:sz w:val="20"/>
          <w:szCs w:val="20"/>
          <w:color w:val="auto"/>
        </w:rPr>
      </w:pPr>
    </w:p>
    <w:p>
      <w:pPr>
        <w:ind w:left="1620" w:hanging="748"/>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1620" w:hanging="748"/>
        <w:spacing w:after="0"/>
        <w:tabs>
          <w:tab w:leader="none" w:pos="1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See below:</w:t>
      </w:r>
    </w:p>
    <w:p>
      <w:pPr>
        <w:sectPr>
          <w:pgSz w:w="11900" w:h="16838" w:orient="portrait"/>
          <w:cols w:equalWidth="0" w:num="1">
            <w:col w:w="11120"/>
          </w:cols>
          <w:pgMar w:left="320" w:top="607" w:right="459" w:bottom="1440" w:gutter="0" w:footer="0" w:header="0"/>
          <w:type w:val="continuous"/>
        </w:sectPr>
      </w:pPr>
    </w:p>
    <w:bookmarkStart w:id="61" w:name="page62"/>
    <w:bookmarkEnd w:id="61"/>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RULE 13a-14(a) / RULE 15d-14(a) OF THE SECURITIES EXCHANGE ACT OF 1934,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Jason Meyenburg, certify that:</w:t>
      </w:r>
    </w:p>
    <w:p>
      <w:pPr>
        <w:spacing w:after="0" w:line="225" w:lineRule="exact"/>
        <w:rPr>
          <w:sz w:val="20"/>
          <w:szCs w:val="20"/>
          <w:color w:val="auto"/>
        </w:rPr>
      </w:pPr>
    </w:p>
    <w:p>
      <w:pPr>
        <w:ind w:left="560" w:hanging="552"/>
        <w:spacing w:after="0"/>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Gemini Therapeutics, Inc.;</w:t>
      </w:r>
    </w:p>
    <w:p>
      <w:pPr>
        <w:spacing w:after="0" w:line="117" w:lineRule="exact"/>
        <w:rPr>
          <w:rFonts w:ascii="Arial" w:cs="Arial" w:eastAsia="Arial" w:hAnsi="Arial"/>
          <w:sz w:val="18"/>
          <w:szCs w:val="18"/>
          <w:color w:val="auto"/>
        </w:rPr>
      </w:pPr>
    </w:p>
    <w:p>
      <w:pPr>
        <w:jc w:val="both"/>
        <w:ind w:left="560" w:right="220" w:hanging="552"/>
        <w:spacing w:after="0" w:line="263" w:lineRule="auto"/>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60" w:right="180" w:hanging="552"/>
        <w:spacing w:after="0" w:line="308" w:lineRule="auto"/>
        <w:tabs>
          <w:tab w:leader="none" w:pos="5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60" w:right="200" w:hanging="552"/>
        <w:spacing w:after="0" w:line="263" w:lineRule="auto"/>
        <w:tabs>
          <w:tab w:leader="none" w:pos="5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00" w:right="160" w:hanging="561"/>
        <w:spacing w:after="0" w:line="286" w:lineRule="auto"/>
        <w:tabs>
          <w:tab w:leader="none" w:pos="15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00" w:right="220" w:hanging="561"/>
        <w:spacing w:after="0" w:line="263" w:lineRule="auto"/>
        <w:tabs>
          <w:tab w:leader="none" w:pos="1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00" w:right="20" w:hanging="561"/>
        <w:spacing w:after="0" w:line="342" w:lineRule="auto"/>
        <w:tabs>
          <w:tab w:leader="none" w:pos="15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00" w:right="20" w:hanging="561"/>
        <w:spacing w:after="0" w:line="263" w:lineRule="auto"/>
        <w:tabs>
          <w:tab w:leader="none" w:pos="1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60" w:right="180" w:hanging="552"/>
        <w:spacing w:after="0" w:line="342" w:lineRule="auto"/>
        <w:tabs>
          <w:tab w:leader="none" w:pos="5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00" w:right="260" w:hanging="561"/>
        <w:spacing w:after="0" w:line="342" w:lineRule="auto"/>
        <w:tabs>
          <w:tab w:leader="none" w:pos="150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hanging="561"/>
        <w:spacing w:after="0" w:line="277" w:lineRule="auto"/>
        <w:tabs>
          <w:tab w:leader="none" w:pos="15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August 12, 2021</w:t>
      </w:r>
    </w:p>
    <w:p>
      <w:pPr>
        <w:spacing w:after="0" w:line="23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 Jason Meyenburg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3"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Jason Meyenburg</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62" w:name="page63"/>
    <w:bookmarkEnd w:id="62"/>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RULE 13a-14(a) / RULE 15d-14(a) OF THE SECURITIES EXCHANGE ACT OF 1934,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 Brian Piekos, certify that:</w:t>
      </w:r>
    </w:p>
    <w:p>
      <w:pPr>
        <w:spacing w:after="0" w:line="225" w:lineRule="exact"/>
        <w:rPr>
          <w:sz w:val="20"/>
          <w:szCs w:val="20"/>
          <w:color w:val="auto"/>
        </w:rPr>
      </w:pPr>
    </w:p>
    <w:p>
      <w:pPr>
        <w:ind w:left="560" w:hanging="552"/>
        <w:spacing w:after="0"/>
        <w:tabs>
          <w:tab w:leader="none" w:pos="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Gemini Therapeutics, Inc.;</w:t>
      </w:r>
    </w:p>
    <w:p>
      <w:pPr>
        <w:spacing w:after="0" w:line="117" w:lineRule="exact"/>
        <w:rPr>
          <w:rFonts w:ascii="Arial" w:cs="Arial" w:eastAsia="Arial" w:hAnsi="Arial"/>
          <w:sz w:val="18"/>
          <w:szCs w:val="18"/>
          <w:color w:val="auto"/>
        </w:rPr>
      </w:pPr>
    </w:p>
    <w:p>
      <w:pPr>
        <w:jc w:val="both"/>
        <w:ind w:left="560" w:right="220" w:hanging="552"/>
        <w:spacing w:after="0" w:line="263" w:lineRule="auto"/>
        <w:tabs>
          <w:tab w:leader="none" w:pos="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60" w:right="180" w:hanging="552"/>
        <w:spacing w:after="0" w:line="308" w:lineRule="auto"/>
        <w:tabs>
          <w:tab w:leader="none" w:pos="5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60" w:right="200" w:hanging="552"/>
        <w:spacing w:after="0" w:line="263" w:lineRule="auto"/>
        <w:tabs>
          <w:tab w:leader="none" w:pos="5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00" w:right="160" w:hanging="561"/>
        <w:spacing w:after="0" w:line="286" w:lineRule="auto"/>
        <w:tabs>
          <w:tab w:leader="none" w:pos="15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00" w:right="220" w:hanging="561"/>
        <w:spacing w:after="0" w:line="263" w:lineRule="auto"/>
        <w:tabs>
          <w:tab w:leader="none" w:pos="15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00" w:right="20" w:hanging="561"/>
        <w:spacing w:after="0" w:line="342" w:lineRule="auto"/>
        <w:tabs>
          <w:tab w:leader="none" w:pos="15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00" w:right="20" w:hanging="561"/>
        <w:spacing w:after="0" w:line="263" w:lineRule="auto"/>
        <w:tabs>
          <w:tab w:leader="none" w:pos="15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60" w:right="180" w:hanging="552"/>
        <w:spacing w:after="0" w:line="342" w:lineRule="auto"/>
        <w:tabs>
          <w:tab w:leader="none" w:pos="5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00" w:right="260" w:hanging="561"/>
        <w:spacing w:after="0" w:line="342" w:lineRule="auto"/>
        <w:tabs>
          <w:tab w:leader="none" w:pos="15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00" w:right="540" w:hanging="561"/>
        <w:spacing w:after="0" w:line="277" w:lineRule="auto"/>
        <w:tabs>
          <w:tab w:leader="none" w:pos="15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 August 12, 2021</w:t>
      </w:r>
    </w:p>
    <w:p>
      <w:pPr>
        <w:spacing w:after="0" w:line="266" w:lineRule="exact"/>
        <w:rPr>
          <w:sz w:val="20"/>
          <w:szCs w:val="20"/>
          <w:color w:val="auto"/>
        </w:rPr>
      </w:pPr>
    </w:p>
    <w:p>
      <w:pPr>
        <w:ind w:left="8420"/>
        <w:spacing w:after="0"/>
        <w:rPr>
          <w:sz w:val="20"/>
          <w:szCs w:val="20"/>
          <w:color w:val="auto"/>
        </w:rPr>
      </w:pPr>
      <w:r>
        <w:rPr>
          <w:rFonts w:ascii="Arial" w:cs="Arial" w:eastAsia="Arial" w:hAnsi="Arial"/>
          <w:sz w:val="18"/>
          <w:szCs w:val="18"/>
          <w:color w:val="auto"/>
        </w:rPr>
        <w:t>/s/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3"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Brian Piekos</w:t>
      </w:r>
    </w:p>
    <w:p>
      <w:pPr>
        <w:spacing w:after="0" w:line="27"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Gemini Therapeutics, Inc. (the “Company”) on Form 10-Q for the period ending June 30, 2021 as filed with the Securities and Exchange Commission on the date hereof (the “Report”), the undersigned officers of the Company hereby certify, pursuant to 18 U.S.C. Section 1350, as adopted pursuant to Section 906 of the Sarbanes-Oxley Act of 2002, to my knowledge, that:</w:t>
      </w:r>
    </w:p>
    <w:p>
      <w:pPr>
        <w:spacing w:after="0" w:line="76" w:lineRule="exact"/>
        <w:rPr>
          <w:sz w:val="20"/>
          <w:szCs w:val="20"/>
          <w:color w:val="auto"/>
        </w:rPr>
      </w:pPr>
    </w:p>
    <w:p>
      <w:pPr>
        <w:ind w:left="740" w:hanging="368"/>
        <w:spacing w:after="0"/>
        <w:tabs>
          <w:tab w:leader="none" w:pos="7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40" w:type="dxa"/>
        <w:tblCellMar>
          <w:top w:w="0" w:type="dxa"/>
          <w:left w:w="0" w:type="dxa"/>
          <w:bottom w:w="0" w:type="dxa"/>
          <w:right w:w="0" w:type="dxa"/>
        </w:tblCellMar>
      </w:tblPr>
      <w:tr>
        <w:trPr>
          <w:trHeight w:val="257"/>
        </w:trPr>
        <w:tc>
          <w:tcPr>
            <w:tcW w:w="3700" w:type="dxa"/>
            <w:vAlign w:val="bottom"/>
          </w:tcPr>
          <w:p>
            <w:pPr>
              <w:spacing w:after="0"/>
              <w:rPr>
                <w:sz w:val="20"/>
                <w:szCs w:val="20"/>
                <w:color w:val="auto"/>
              </w:rPr>
            </w:pPr>
            <w:r>
              <w:rPr>
                <w:rFonts w:ascii="Arial" w:cs="Arial" w:eastAsia="Arial" w:hAnsi="Arial"/>
                <w:sz w:val="18"/>
                <w:szCs w:val="18"/>
                <w:color w:val="auto"/>
              </w:rPr>
              <w:t>Date: August 12, 2021</w:t>
            </w:r>
          </w:p>
        </w:tc>
        <w:tc>
          <w:tcPr>
            <w:tcW w:w="2680" w:type="dxa"/>
            <w:vAlign w:val="bottom"/>
          </w:tcPr>
          <w:p>
            <w:pPr>
              <w:ind w:left="20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Jason Meyenburg</w:t>
            </w:r>
          </w:p>
        </w:tc>
      </w:tr>
      <w:tr>
        <w:trPr>
          <w:trHeight w:val="191"/>
        </w:trPr>
        <w:tc>
          <w:tcPr>
            <w:tcW w:w="37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Jason Meyenburg</w:t>
            </w:r>
          </w:p>
        </w:tc>
      </w:tr>
      <w:tr>
        <w:trPr>
          <w:trHeight w:val="216"/>
        </w:trPr>
        <w:tc>
          <w:tcPr>
            <w:tcW w:w="3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37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executive officer)</w:t>
            </w:r>
          </w:p>
        </w:tc>
      </w:tr>
      <w:tr>
        <w:trPr>
          <w:trHeight w:val="675"/>
        </w:trPr>
        <w:tc>
          <w:tcPr>
            <w:tcW w:w="3700" w:type="dxa"/>
            <w:vAlign w:val="bottom"/>
          </w:tcPr>
          <w:p>
            <w:pPr>
              <w:spacing w:after="0"/>
              <w:rPr>
                <w:sz w:val="20"/>
                <w:szCs w:val="20"/>
                <w:color w:val="auto"/>
              </w:rPr>
            </w:pPr>
            <w:r>
              <w:rPr>
                <w:rFonts w:ascii="Arial" w:cs="Arial" w:eastAsia="Arial" w:hAnsi="Arial"/>
                <w:sz w:val="18"/>
                <w:szCs w:val="18"/>
                <w:color w:val="auto"/>
              </w:rPr>
              <w:t>Date: August 12, 2021</w:t>
            </w:r>
          </w:p>
        </w:tc>
        <w:tc>
          <w:tcPr>
            <w:tcW w:w="2680" w:type="dxa"/>
            <w:vAlign w:val="bottom"/>
          </w:tcPr>
          <w:p>
            <w:pPr>
              <w:ind w:left="208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Brian Piekos</w:t>
            </w:r>
          </w:p>
        </w:tc>
      </w:tr>
      <w:tr>
        <w:trPr>
          <w:trHeight w:val="191"/>
        </w:trPr>
        <w:tc>
          <w:tcPr>
            <w:tcW w:w="37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7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Brian Piekos</w:t>
            </w:r>
          </w:p>
        </w:tc>
      </w:tr>
      <w:tr>
        <w:trPr>
          <w:trHeight w:val="216"/>
        </w:trPr>
        <w:tc>
          <w:tcPr>
            <w:tcW w:w="37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37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91"/>
              </w:rPr>
              <w:t>(Principal financial officer)</w:t>
            </w:r>
          </w:p>
        </w:tc>
      </w:tr>
    </w:tbl>
    <w:p>
      <w:pPr>
        <w:spacing w:after="0" w:line="202" w:lineRule="exact"/>
        <w:rPr>
          <w:sz w:val="20"/>
          <w:szCs w:val="20"/>
          <w:color w:val="auto"/>
        </w:rPr>
      </w:pPr>
    </w:p>
    <w:p>
      <w:pPr>
        <w:jc w:val="both"/>
        <w:ind w:left="260" w:hanging="252"/>
        <w:spacing w:after="0" w:line="263" w:lineRule="auto"/>
        <w:tabs>
          <w:tab w:leader="none" w:pos="2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4"/>
    </w:lvl>
  </w:abstractNum>
  <w:abstractNum w:abstractNumId="7">
    <w:nsid w:val="6CEAF087"/>
    <w:multiLevelType w:val="hybridMultilevel"/>
    <w:lvl w:ilvl="0">
      <w:lvlJc w:val="left"/>
      <w:lvlText w:val="%1."/>
      <w:numFmt w:val="decimal"/>
      <w:start w:val="12"/>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lowerRoman"/>
      <w:start w:val="1"/>
    </w:lvl>
  </w:abstractNum>
  <w:abstractNum w:abstractNumId="18">
    <w:nsid w:val="7724C67E"/>
    <w:multiLevelType w:val="hybridMultilevel"/>
    <w:lvl w:ilvl="0">
      <w:lvlJc w:val="left"/>
      <w:lvlText w:val="(%1)"/>
      <w:numFmt w:val="lowerLetter"/>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decimal"/>
      <w:start w:val="1"/>
    </w:lvl>
    <w:lvl w:ilvl="1">
      <w:lvlJc w:val="left"/>
      <w:lvlText w:val="(%2)"/>
      <w:numFmt w:val="lowerLetter"/>
      <w:start w:val="1"/>
    </w:lvl>
  </w:abstractNum>
  <w:abstractNum w:abstractNumId="21">
    <w:nsid w:val="5E884ADC"/>
    <w:multiLevelType w:val="hybridMultilevel"/>
    <w:lvl w:ilvl="0">
      <w:lvlJc w:val="left"/>
      <w:lvlText w:val="(%1)"/>
      <w:numFmt w:val="lowerLetter"/>
      <w:start w:val="2"/>
    </w:lvl>
  </w:abstractNum>
  <w:abstractNum w:abstractNumId="22">
    <w:nsid w:val="51EAD36B"/>
    <w:multiLevelType w:val="hybridMultilevel"/>
    <w:lvl w:ilvl="0">
      <w:lvlJc w:val="left"/>
      <w:lvlText w:val="%1"/>
      <w:numFmt w:val="decimal"/>
      <w:start w:val="1"/>
    </w:lvl>
    <w:lvl w:ilvl="1">
      <w:lvlJc w:val="left"/>
      <w:lvlText w:val="(%2)"/>
      <w:numFmt w:val="lowerLetter"/>
      <w:start w:val="8"/>
    </w:lvl>
  </w:abstractNum>
  <w:abstractNum w:abstractNumId="23">
    <w:nsid w:val="2D517796"/>
    <w:multiLevelType w:val="hybridMultilevel"/>
    <w:lvl w:ilvl="0">
      <w:lvlJc w:val="left"/>
      <w:lvlText w:val="%1."/>
      <w:numFmt w:val="decimal"/>
      <w:start w:val="3"/>
    </w:lvl>
    <w:lvl w:ilvl="1">
      <w:lvlJc w:val="left"/>
      <w:lvlText w:val="(%2)"/>
      <w:numFmt w:val="lowerLetter"/>
      <w:start w:val="1"/>
    </w:lvl>
  </w:abstractNum>
  <w:abstractNum w:abstractNumId="24">
    <w:nsid w:val="580BD78F"/>
    <w:multiLevelType w:val="hybridMultilevel"/>
    <w:lvl w:ilvl="0">
      <w:lvlJc w:val="left"/>
      <w:lvlText w:val="(%1)"/>
      <w:numFmt w:val="lowerLetter"/>
      <w:start w:val="3"/>
    </w:lvl>
  </w:abstractNum>
  <w:abstractNum w:abstractNumId="25">
    <w:nsid w:val="153EA438"/>
    <w:multiLevelType w:val="hybridMultilevel"/>
    <w:lvl w:ilvl="0">
      <w:lvlJc w:val="left"/>
      <w:lvlText w:val="%1"/>
      <w:numFmt w:val="decimal"/>
      <w:start w:val="1"/>
    </w:lvl>
    <w:lvl w:ilvl="1">
      <w:lvlJc w:val="left"/>
      <w:lvlText w:val="(%2)"/>
      <w:numFmt w:val="lowerLetter"/>
      <w:start w:val="6"/>
    </w:lvl>
  </w:abstractNum>
  <w:abstractNum w:abstractNumId="26">
    <w:nsid w:val="3855585C"/>
    <w:multiLevelType w:val="hybridMultilevel"/>
    <w:lvl w:ilvl="0">
      <w:lvlJc w:val="left"/>
      <w:lvlText w:val="%1."/>
      <w:numFmt w:val="decimal"/>
      <w:start w:val="4"/>
    </w:lvl>
    <w:lvl w:ilvl="1">
      <w:lvlJc w:val="left"/>
      <w:lvlText w:val="%2"/>
      <w:numFmt w:val="lowerLetter"/>
      <w:start w:val="1"/>
    </w:lvl>
  </w:abstractNum>
  <w:abstractNum w:abstractNumId="27">
    <w:nsid w:val="70A64E2A"/>
    <w:multiLevelType w:val="hybridMultilevel"/>
    <w:lvl w:ilvl="0">
      <w:lvlJc w:val="left"/>
      <w:lvlText w:val="(%1)"/>
      <w:numFmt w:val="lowerRoman"/>
      <w:start w:val="1"/>
    </w:lvl>
  </w:abstractNum>
  <w:abstractNum w:abstractNumId="28">
    <w:nsid w:val="6A2342EC"/>
    <w:multiLevelType w:val="hybridMultilevel"/>
    <w:lvl w:ilvl="0">
      <w:lvlJc w:val="left"/>
      <w:lvlText w:val="%1"/>
      <w:numFmt w:val="upperLetter"/>
      <w:start w:val="1"/>
    </w:lvl>
    <w:lvl w:ilvl="1">
      <w:lvlJc w:val="left"/>
      <w:lvlText w:val="(%2)"/>
      <w:numFmt w:val="lowerRoman"/>
      <w:start w:val="2"/>
    </w:lvl>
  </w:abstractNum>
  <w:abstractNum w:abstractNumId="29">
    <w:nsid w:val="2A487CB0"/>
    <w:multiLevelType w:val="hybridMultilevel"/>
    <w:lvl w:ilvl="0">
      <w:lvlJc w:val="left"/>
      <w:lvlText w:val="(%1)"/>
      <w:numFmt w:val="upperLetter"/>
      <w:start w:val="1"/>
    </w:lvl>
    <w:lvl w:ilvl="1">
      <w:lvlJc w:val="left"/>
      <w:lvlText w:val="%2"/>
      <w:numFmt w:val="lowerRoman"/>
      <w:start w:val="1"/>
    </w:lvl>
  </w:abstractNum>
  <w:abstractNum w:abstractNumId="30">
    <w:nsid w:val="1D4ED43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31">
    <w:nsid w:val="725A06FB"/>
    <w:multiLevelType w:val="hybridMultilevel"/>
    <w:lvl w:ilvl="0">
      <w:lvlJc w:val="left"/>
      <w:lvlText w:val="(%1)"/>
      <w:numFmt w:val="lowerRoman"/>
      <w:start w:val="2"/>
    </w:lvl>
  </w:abstractNum>
  <w:abstractNum w:abstractNumId="32">
    <w:nsid w:val="2CD89A32"/>
    <w:multiLevelType w:val="hybridMultilevel"/>
    <w:lvl w:ilvl="0">
      <w:lvlJc w:val="left"/>
      <w:lvlText w:val="(%1)"/>
      <w:numFmt w:val="lowerLetter"/>
      <w:start w:val="2"/>
    </w:lvl>
    <w:lvl w:ilvl="1">
      <w:lvlJc w:val="left"/>
      <w:lvlText w:val="(%2)"/>
      <w:numFmt w:val="lowerLetter"/>
      <w:start w:val="9"/>
    </w:lvl>
  </w:abstractNum>
  <w:abstractNum w:abstractNumId="33">
    <w:nsid w:val="57E4CCAF"/>
    <w:multiLevelType w:val="hybridMultilevel"/>
    <w:lvl w:ilvl="0">
      <w:lvlJc w:val="left"/>
      <w:lvlText w:val="%1"/>
      <w:numFmt w:val="lowerLetter"/>
      <w:start w:val="1"/>
    </w:lvl>
    <w:lvl w:ilvl="1">
      <w:lvlJc w:val="left"/>
      <w:lvlText w:val="(%2)"/>
      <w:numFmt w:val="lowerRoman"/>
      <w:start w:val="2"/>
    </w:lvl>
  </w:abstractNum>
  <w:abstractNum w:abstractNumId="34">
    <w:nsid w:val="7A6D8D3C"/>
    <w:multiLevelType w:val="hybridMultilevel"/>
    <w:lvl w:ilvl="0">
      <w:lvlJc w:val="left"/>
      <w:lvlText w:val="(%1)"/>
      <w:numFmt w:val="lowerLetter"/>
      <w:start w:val="3"/>
    </w:lvl>
    <w:lvl w:ilvl="1">
      <w:lvlJc w:val="left"/>
      <w:lvlText w:val="%2"/>
      <w:numFmt w:val="lowerRoman"/>
      <w:start w:val="1"/>
    </w:lvl>
  </w:abstractNum>
  <w:abstractNum w:abstractNumId="35">
    <w:nsid w:val="4B588F54"/>
    <w:multiLevelType w:val="hybridMultilevel"/>
    <w:lvl w:ilvl="0">
      <w:lvlJc w:val="left"/>
      <w:lvlText w:val="%1."/>
      <w:numFmt w:val="decimal"/>
      <w:start w:val="7"/>
    </w:lvl>
    <w:lvl w:ilvl="1">
      <w:lvlJc w:val="left"/>
      <w:lvlText w:val="(%2)"/>
      <w:numFmt w:val="lowerLetter"/>
      <w:start w:val="1"/>
    </w:lvl>
  </w:abstractNum>
  <w:abstractNum w:abstractNumId="36">
    <w:nsid w:val="542289EC"/>
    <w:multiLevelType w:val="hybridMultilevel"/>
    <w:lvl w:ilvl="0">
      <w:lvlJc w:val="left"/>
      <w:lvlText w:val="(%1)"/>
      <w:numFmt w:val="upperLetter"/>
      <w:start w:val="2"/>
    </w:lvl>
    <w:lvl w:ilvl="1">
      <w:lvlJc w:val="left"/>
      <w:lvlText w:val="%2."/>
      <w:numFmt w:val="decimal"/>
      <w:start w:val="7"/>
    </w:lvl>
    <w:lvl w:ilvl="2">
      <w:lvlJc w:val="left"/>
      <w:lvlText w:val="(%3)"/>
      <w:numFmt w:val="lowerLetter"/>
      <w:start w:val="2"/>
    </w:lvl>
  </w:abstractNum>
  <w:abstractNum w:abstractNumId="37">
    <w:nsid w:val="6DE91B18"/>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8">
    <w:nsid w:val="38437FDB"/>
    <w:multiLevelType w:val="hybridMultilevel"/>
    <w:lvl w:ilvl="0">
      <w:lvlJc w:val="left"/>
      <w:lvlText w:val="(%1)"/>
      <w:numFmt w:val="lowerLetter"/>
      <w:start w:val="2"/>
    </w:lvl>
  </w:abstractNum>
  <w:abstractNum w:abstractNumId="39">
    <w:nsid w:val="7644A45C"/>
    <w:multiLevelType w:val="hybridMultilevel"/>
    <w:lvl w:ilvl="0">
      <w:lvlJc w:val="left"/>
      <w:lvlText w:val="%1"/>
      <w:numFmt w:val="lowerLetter"/>
      <w:start w:val="1"/>
    </w:lvl>
    <w:lvl w:ilvl="1">
      <w:lvlJc w:val="left"/>
      <w:lvlText w:val="(%2)"/>
      <w:numFmt w:val="lowerLetter"/>
      <w:start w:val="5"/>
    </w:lvl>
  </w:abstractNum>
  <w:abstractNum w:abstractNumId="40">
    <w:nsid w:val="32FFF902"/>
    <w:multiLevelType w:val="hybridMultilevel"/>
    <w:lvl w:ilvl="0">
      <w:lvlJc w:val="left"/>
      <w:lvlText w:val="(%1)"/>
      <w:numFmt w:val="lowerLetter"/>
      <w:start w:val="1"/>
    </w:lvl>
    <w:lvl w:ilvl="1">
      <w:lvlJc w:val="left"/>
      <w:lvlText w:val="%2"/>
      <w:numFmt w:val="lowerLetter"/>
      <w:start w:val="1"/>
    </w:lvl>
  </w:abstractNum>
  <w:abstractNum w:abstractNumId="41">
    <w:nsid w:val="684A481A"/>
    <w:multiLevelType w:val="hybridMultilevel"/>
    <w:lvl w:ilvl="0">
      <w:lvlJc w:val="left"/>
      <w:lvlText w:val="(%1)"/>
      <w:numFmt w:val="lowerLetter"/>
      <w:start w:val="6"/>
    </w:lvl>
  </w:abstractNum>
  <w:abstractNum w:abstractNumId="42">
    <w:nsid w:val="579478FE"/>
    <w:multiLevelType w:val="hybridMultilevel"/>
    <w:lvl w:ilvl="0">
      <w:lvlJc w:val="left"/>
      <w:lvlText w:val="(%1)"/>
      <w:numFmt w:val="lowerLetter"/>
      <w:start w:val="7"/>
    </w:lvl>
  </w:abstractNum>
  <w:abstractNum w:abstractNumId="43">
    <w:nsid w:val="749ABB43"/>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9"/>
    </w:lvl>
  </w:abstractNum>
  <w:abstractNum w:abstractNumId="44">
    <w:nsid w:val="3DC240FB"/>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35"/>
    </w:lvl>
  </w:abstractNum>
  <w:abstractNum w:abstractNumId="45">
    <w:nsid w:val="1BA026FA"/>
    <w:multiLevelType w:val="hybridMultilevel"/>
    <w:lvl w:ilvl="0">
      <w:lvlJc w:val="left"/>
      <w:lvlText w:val="%1."/>
      <w:numFmt w:val="decimal"/>
      <w:start w:val="9"/>
    </w:lvl>
  </w:abstractNum>
  <w:abstractNum w:abstractNumId="46">
    <w:nsid w:val="79A1DEAA"/>
    <w:multiLevelType w:val="hybridMultilevel"/>
    <w:lvl w:ilvl="0">
      <w:lvlJc w:val="left"/>
      <w:lvlText w:val="%1."/>
      <w:numFmt w:val="decimal"/>
      <w:start w:val="11"/>
    </w:lvl>
  </w:abstractNum>
  <w:abstractNum w:abstractNumId="47">
    <w:nsid w:val="75C6C33A"/>
    <w:multiLevelType w:val="hybridMultilevel"/>
    <w:lvl w:ilvl="0">
      <w:lvlJc w:val="left"/>
      <w:lvlText w:val="%1."/>
      <w:numFmt w:val="decimal"/>
      <w:start w:val="16"/>
    </w:lvl>
  </w:abstractNum>
  <w:abstractNum w:abstractNumId="48">
    <w:nsid w:val="12E685FB"/>
    <w:multiLevelType w:val="hybridMultilevel"/>
    <w:lvl w:ilvl="0">
      <w:lvlJc w:val="left"/>
      <w:lvlText w:val="%1."/>
      <w:numFmt w:val="decimal"/>
      <w:start w:val="22"/>
    </w:lvl>
  </w:abstractNum>
  <w:abstractNum w:abstractNumId="49">
    <w:nsid w:val="70C6A529"/>
    <w:multiLevelType w:val="hybridMultilevel"/>
    <w:lvl w:ilvl="0">
      <w:lvlJc w:val="left"/>
      <w:lvlText w:val="%1."/>
      <w:numFmt w:val="decimal"/>
      <w:start w:val="27"/>
    </w:lvl>
  </w:abstractNum>
  <w:abstractNum w:abstractNumId="50">
    <w:nsid w:val="520EEDD1"/>
    <w:multiLevelType w:val="hybridMultilevel"/>
    <w:lvl w:ilvl="0">
      <w:lvlJc w:val="left"/>
      <w:lvlText w:val="□"/>
      <w:numFmt w:val="bullet"/>
      <w:start w:val="1"/>
    </w:lvl>
    <w:lvl w:ilvl="1">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67" Type="http://schemas.openxmlformats.org/officeDocument/2006/relationships/hyperlink" Target="http://www.sec.gov/Archives/edgar/data/1816736/000121390021002636/fs42021a5_fsdevelopment.htm" TargetMode="External"/><Relationship Id="rId68" Type="http://schemas.openxmlformats.org/officeDocument/2006/relationships/hyperlink" Target="http://www.sec.gov/Archives/edgar/data/1816736/000121390021002636/fs42021a5ex4-1_fsdevelo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2021-08-12T09:34:47Z</dcterms:created>
  <dcterms:modified xsi:type="dcterms:W3CDTF">2021-08-12T09:34:47Z</dcterms:modified>
</cp:coreProperties>
</file>