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0001628098</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Disc Medicine,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001-39438</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321 ARSENAL STREET, SUITE 101</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WATERTOWN</w:t>
      </w:r>
    </w:p>
    <w:p>
      <w:pPr>
        <w:spacing w:after="0" w:line="230" w:lineRule="auto"/>
        <w:rPr>
          <w:sz w:val="20"/>
          <w:szCs w:val="20"/>
          <w:color w:val="auto"/>
        </w:rPr>
      </w:pPr>
      <w:r>
        <w:rPr>
          <w:rFonts w:ascii="Times New Roman" w:cs="Times New Roman" w:eastAsia="Times New Roman" w:hAnsi="Times New Roman"/>
          <w:sz w:val="22"/>
          <w:szCs w:val="22"/>
          <w:color w:val="auto"/>
        </w:rPr>
        <w:t>MASSACHUSETTS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02472</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617-674-9274</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Atlas Venture Fund X, LP</w:t>
      </w:r>
    </w:p>
    <w:p>
      <w:pPr>
        <w:spacing w:after="0" w:line="44" w:lineRule="exact"/>
        <w:rPr>
          <w:sz w:val="24"/>
          <w:szCs w:val="24"/>
          <w:color w:val="auto"/>
        </w:rPr>
      </w:pPr>
    </w:p>
    <w:p>
      <w:pPr>
        <w:sectPr>
          <w:pgSz w:w="11900" w:h="16838" w:orient="portrait"/>
          <w:cols w:equalWidth="0" w:num="2">
            <w:col w:w="6400" w:space="720"/>
            <w:col w:w="412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1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Shareholder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jc w:val="center"/>
              <w:ind w:left="72"/>
              <w:spacing w:after="0" w:line="243" w:lineRule="exact"/>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Merrill Lynch</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One Bryant Park</w:t>
            </w:r>
          </w:p>
        </w:tc>
        <w:tc>
          <w:tcPr>
            <w:tcW w:w="1280" w:type="dxa"/>
            <w:vAlign w:val="bottom"/>
          </w:tcPr>
          <w:p>
            <w:pPr>
              <w:jc w:val="right"/>
              <w:ind w:right="532"/>
              <w:spacing w:after="0" w:line="243" w:lineRule="exact"/>
              <w:rPr>
                <w:sz w:val="20"/>
                <w:szCs w:val="20"/>
                <w:color w:val="auto"/>
              </w:rPr>
            </w:pPr>
            <w:r>
              <w:rPr>
                <w:rFonts w:ascii="Times New Roman" w:cs="Times New Roman" w:eastAsia="Times New Roman" w:hAnsi="Times New Roman"/>
                <w:sz w:val="22"/>
                <w:szCs w:val="22"/>
                <w:color w:val="auto"/>
              </w:rPr>
              <w:t>22666</w:t>
            </w:r>
          </w:p>
        </w:tc>
        <w:tc>
          <w:tcPr>
            <w:tcW w:w="1140" w:type="dxa"/>
            <w:vAlign w:val="bottom"/>
          </w:tcPr>
          <w:p>
            <w:pPr>
              <w:jc w:val="right"/>
              <w:ind w:right="232"/>
              <w:spacing w:after="0" w:line="243" w:lineRule="exact"/>
              <w:rPr>
                <w:sz w:val="20"/>
                <w:szCs w:val="20"/>
                <w:color w:val="auto"/>
              </w:rPr>
            </w:pPr>
            <w:r>
              <w:rPr>
                <w:rFonts w:ascii="Times New Roman" w:cs="Times New Roman" w:eastAsia="Times New Roman" w:hAnsi="Times New Roman"/>
                <w:sz w:val="22"/>
                <w:szCs w:val="22"/>
                <w:color w:val="auto"/>
              </w:rPr>
              <w:t>2085272</w:t>
            </w:r>
          </w:p>
        </w:tc>
        <w:tc>
          <w:tcPr>
            <w:tcW w:w="0" w:type="dxa"/>
            <w:vAlign w:val="bottom"/>
          </w:tcPr>
          <w:p>
            <w:pPr>
              <w:spacing w:after="0"/>
              <w:rPr>
                <w:sz w:val="1"/>
                <w:szCs w:val="1"/>
                <w:color w:val="auto"/>
              </w:rPr>
            </w:pPr>
          </w:p>
        </w:tc>
      </w:tr>
      <w:tr>
        <w:trPr>
          <w:trHeight w:val="282"/>
        </w:trPr>
        <w:tc>
          <w:tcPr>
            <w:tcW w:w="234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10036</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0"/>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37750162</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12/16/2025   Nasdaq</w:t>
            </w:r>
          </w:p>
        </w:tc>
        <w:tc>
          <w:tcPr>
            <w:tcW w:w="0" w:type="dxa"/>
            <w:vAlign w:val="bottom"/>
          </w:tcPr>
          <w:p>
            <w:pPr>
              <w:spacing w:after="0"/>
              <w:rPr>
                <w:sz w:val="1"/>
                <w:szCs w:val="1"/>
                <w:color w:val="auto"/>
              </w:rPr>
            </w:pPr>
          </w:p>
        </w:tc>
      </w:tr>
    </w:tbl>
    <w:p>
      <w:pPr>
        <w:spacing w:after="0" w:line="442"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274" w:lineRule="exact"/>
        <w:rPr>
          <w:sz w:val="24"/>
          <w:szCs w:val="24"/>
          <w:color w:val="auto"/>
        </w:rPr>
      </w:pPr>
    </w:p>
    <w:tbl>
      <w:tblPr>
        <w:tblLayout w:type="fixed"/>
        <w:tblInd w:w="260" w:type="dxa"/>
        <w:tblCellMar>
          <w:top w:w="0" w:type="dxa"/>
          <w:left w:w="0" w:type="dxa"/>
          <w:bottom w:w="0" w:type="dxa"/>
          <w:right w:w="0" w:type="dxa"/>
        </w:tblCellMar>
      </w:tblPr>
      <w:tr>
        <w:trPr>
          <w:trHeight w:val="253"/>
        </w:trPr>
        <w:tc>
          <w:tcPr>
            <w:tcW w:w="1160" w:type="dxa"/>
            <w:vAlign w:val="bottom"/>
            <w:vMerge w:val="restart"/>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20" w:type="dxa"/>
            <w:vAlign w:val="bottom"/>
            <w:vMerge w:val="restart"/>
          </w:tcPr>
          <w:p>
            <w:pPr>
              <w:ind w:left="18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300" w:type="dxa"/>
            <w:vAlign w:val="bottom"/>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130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0" w:type="dxa"/>
            <w:vAlign w:val="bottom"/>
          </w:tcPr>
          <w:p>
            <w:pPr>
              <w:spacing w:after="0"/>
              <w:rPr>
                <w:sz w:val="1"/>
                <w:szCs w:val="1"/>
                <w:color w:val="auto"/>
              </w:rPr>
            </w:pPr>
          </w:p>
        </w:tc>
      </w:tr>
      <w:tr>
        <w:trPr>
          <w:trHeight w:val="122"/>
        </w:trPr>
        <w:tc>
          <w:tcPr>
            <w:tcW w:w="1160" w:type="dxa"/>
            <w:vAlign w:val="bottom"/>
            <w:vMerge w:val="restart"/>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5"/>
              </w:rPr>
              <w:t>Class</w:t>
            </w:r>
          </w:p>
        </w:tc>
        <w:tc>
          <w:tcPr>
            <w:tcW w:w="1220" w:type="dxa"/>
            <w:vAlign w:val="bottom"/>
            <w:vMerge w:val="restart"/>
          </w:tcPr>
          <w:p>
            <w:pPr>
              <w:ind w:left="16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13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160" w:type="dxa"/>
            <w:vAlign w:val="bottom"/>
            <w:vMerge w:val="continue"/>
          </w:tcPr>
          <w:p>
            <w:pPr>
              <w:spacing w:after="0"/>
              <w:rPr>
                <w:sz w:val="14"/>
                <w:szCs w:val="14"/>
                <w:color w:val="auto"/>
              </w:rPr>
            </w:pPr>
          </w:p>
        </w:tc>
        <w:tc>
          <w:tcPr>
            <w:tcW w:w="1220" w:type="dxa"/>
            <w:vAlign w:val="bottom"/>
            <w:vMerge w:val="continue"/>
          </w:tcPr>
          <w:p>
            <w:pPr>
              <w:spacing w:after="0"/>
              <w:rPr>
                <w:sz w:val="14"/>
                <w:szCs w:val="14"/>
                <w:color w:val="auto"/>
              </w:rPr>
            </w:pPr>
          </w:p>
        </w:tc>
        <w:tc>
          <w:tcPr>
            <w:tcW w:w="130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0" w:type="dxa"/>
            <w:vAlign w:val="bottom"/>
          </w:tcPr>
          <w:p>
            <w:pPr>
              <w:spacing w:after="0"/>
              <w:rPr>
                <w:sz w:val="1"/>
                <w:szCs w:val="1"/>
                <w:color w:val="auto"/>
              </w:rPr>
            </w:pPr>
          </w:p>
        </w:tc>
      </w:tr>
      <w:tr>
        <w:trPr>
          <w:trHeight w:val="121"/>
        </w:trPr>
        <w:tc>
          <w:tcPr>
            <w:tcW w:w="116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4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0" w:type="dxa"/>
            <w:vAlign w:val="bottom"/>
          </w:tcPr>
          <w:p>
            <w:pPr>
              <w:spacing w:after="0"/>
              <w:rPr>
                <w:sz w:val="1"/>
                <w:szCs w:val="1"/>
                <w:color w:val="auto"/>
              </w:rPr>
            </w:pPr>
          </w:p>
        </w:tc>
      </w:tr>
      <w:tr>
        <w:trPr>
          <w:trHeight w:val="122"/>
        </w:trPr>
        <w:tc>
          <w:tcPr>
            <w:tcW w:w="12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8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4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9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0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0" w:type="dxa"/>
            <w:vAlign w:val="bottom"/>
          </w:tcPr>
          <w:p>
            <w:pPr>
              <w:spacing w:after="0"/>
              <w:rPr>
                <w:sz w:val="1"/>
                <w:szCs w:val="1"/>
                <w:color w:val="auto"/>
              </w:rPr>
            </w:pPr>
          </w:p>
        </w:tc>
      </w:tr>
      <w:tr>
        <w:trPr>
          <w:trHeight w:val="122"/>
        </w:trPr>
        <w:tc>
          <w:tcPr>
            <w:tcW w:w="12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8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4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0" w:type="dxa"/>
            <w:vAlign w:val="bottom"/>
          </w:tcPr>
          <w:p>
            <w:pPr>
              <w:spacing w:after="0"/>
              <w:rPr>
                <w:sz w:val="1"/>
                <w:szCs w:val="1"/>
                <w:color w:val="auto"/>
              </w:rPr>
            </w:pPr>
          </w:p>
        </w:tc>
      </w:tr>
      <w:tr>
        <w:trPr>
          <w:trHeight w:val="286"/>
        </w:trPr>
        <w:tc>
          <w:tcPr>
            <w:tcW w:w="12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80" w:type="dxa"/>
            <w:vAlign w:val="bottom"/>
            <w:vMerge w:val="continue"/>
          </w:tcPr>
          <w:p>
            <w:pPr>
              <w:spacing w:after="0"/>
              <w:rPr>
                <w:sz w:val="24"/>
                <w:szCs w:val="24"/>
                <w:color w:val="auto"/>
              </w:rPr>
            </w:pPr>
          </w:p>
        </w:tc>
        <w:tc>
          <w:tcPr>
            <w:tcW w:w="10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6" w:lineRule="exact"/>
        <w:rPr>
          <w:sz w:val="24"/>
          <w:szCs w:val="24"/>
          <w:color w:val="auto"/>
        </w:rPr>
      </w:pPr>
    </w:p>
    <w:p>
      <w:pPr>
        <w:ind w:left="60"/>
        <w:spacing w:after="0"/>
        <w:tabs>
          <w:tab w:leader="none" w:pos="1300" w:val="left"/>
        </w:tabs>
        <w:rPr>
          <w:sz w:val="20"/>
          <w:szCs w:val="20"/>
          <w:color w:val="auto"/>
        </w:rPr>
      </w:pPr>
      <w:r>
        <w:rPr>
          <w:rFonts w:ascii="Times New Roman" w:cs="Times New Roman" w:eastAsia="Times New Roman" w:hAnsi="Times New Roman"/>
          <w:sz w:val="22"/>
          <w:szCs w:val="22"/>
          <w:b w:val="1"/>
          <w:bCs w:val="1"/>
          <w:color w:val="auto"/>
        </w:rPr>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spacing w:after="0"/>
        <w:tabs>
          <w:tab w:leader="none" w:pos="1260" w:val="left"/>
        </w:tabs>
        <w:rPr>
          <w:sz w:val="20"/>
          <w:szCs w:val="20"/>
          <w:color w:val="auto"/>
        </w:rPr>
      </w:pPr>
      <w:r>
        <w:rPr>
          <w:rFonts w:ascii="Times New Roman" w:cs="Times New Roman" w:eastAsia="Times New Roman" w:hAnsi="Times New Roman"/>
          <w:sz w:val="21"/>
          <w:szCs w:val="21"/>
          <w:b w:val="1"/>
          <w:bCs w:val="1"/>
          <w:color w:val="auto"/>
        </w:rPr>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3">
            <w:col w:w="3940" w:space="480"/>
            <w:col w:w="3920" w:space="280"/>
            <w:col w:w="2620"/>
          </w:cols>
          <w:pgMar w:left="320" w:top="261" w:right="339" w:bottom="0" w:gutter="0" w:footer="0" w:header="0"/>
          <w:type w:val="continuous"/>
        </w:sectPr>
      </w:pPr>
    </w:p>
    <w:bookmarkStart w:id="1" w:name="page2"/>
    <w:bookmarkEnd w:id="1"/>
    <w:p>
      <w:pPr>
        <w:ind w:left="40"/>
        <w:spacing w:after="0"/>
        <w:tabs>
          <w:tab w:leader="none" w:pos="8500" w:val="left"/>
        </w:tabs>
        <w:rPr>
          <w:sz w:val="20"/>
          <w:szCs w:val="20"/>
          <w:color w:val="auto"/>
        </w:rPr>
      </w:pPr>
      <w:r>
        <w:rPr>
          <w:rFonts w:ascii="Times New Roman" w:cs="Times New Roman" w:eastAsia="Times New Roman" w:hAnsi="Times New Roman"/>
          <w:sz w:val="22"/>
          <w:szCs w:val="22"/>
          <w:color w:val="auto"/>
        </w:rPr>
        <w:t xml:space="preserve">Common Stock 05/01/2020 Private Placement Issuer         </w:t>
      </w:r>
      <w:r>
        <w:rPr>
          <w:sz w:val="1"/>
          <w:szCs w:val="1"/>
          <w:color w:val="auto"/>
        </w:rPr>
        <w:drawing>
          <wp:inline distT="0" distB="0" distL="0" distR="0">
            <wp:extent cx="128270"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22666</w:t>
      </w:r>
      <w:r>
        <w:rPr>
          <w:sz w:val="20"/>
          <w:szCs w:val="20"/>
          <w:color w:val="auto"/>
        </w:rPr>
        <w:tab/>
      </w:r>
      <w:r>
        <w:rPr>
          <w:rFonts w:ascii="Times New Roman" w:cs="Times New Roman" w:eastAsia="Times New Roman" w:hAnsi="Times New Roman"/>
          <w:sz w:val="21"/>
          <w:szCs w:val="21"/>
          <w:color w:val="auto"/>
        </w:rPr>
        <w:t>05/01/2020 Cash</w:t>
      </w:r>
    </w:p>
    <w:p>
      <w:pPr>
        <w:spacing w:after="0" w:line="288"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111" w:right="33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Remarks</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See attached Table II for sales of securities over the last three months.</w:t>
      </w:r>
    </w:p>
    <w:p>
      <w:pPr>
        <w:spacing w:after="0" w:line="56" w:lineRule="exact"/>
        <w:rPr>
          <w:sz w:val="20"/>
          <w:szCs w:val="20"/>
          <w:color w:val="auto"/>
        </w:rPr>
      </w:pPr>
    </w:p>
    <w:p>
      <w:pPr>
        <w:sectPr>
          <w:pgSz w:w="11900" w:h="16838" w:orient="portrait"/>
          <w:cols w:equalWidth="0" w:num="2">
            <w:col w:w="1320" w:space="720"/>
            <w:col w:w="9200"/>
          </w:cols>
          <w:pgMar w:left="320" w:top="111"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21"/>
          <w:szCs w:val="21"/>
          <w:color w:val="auto"/>
        </w:rPr>
        <w:t>Date of Notice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12/16/2025</w:t>
      </w:r>
    </w:p>
    <w:p>
      <w:pPr>
        <w:spacing w:after="0" w:line="50" w:lineRule="exact"/>
        <w:rPr>
          <w:sz w:val="20"/>
          <w:szCs w:val="20"/>
          <w:color w:val="auto"/>
        </w:rPr>
      </w:pPr>
    </w:p>
    <w:p>
      <w:pPr>
        <w:sectPr>
          <w:pgSz w:w="11900" w:h="16838" w:orient="portrait"/>
          <w:cols w:equalWidth="0" w:num="2">
            <w:col w:w="1320" w:space="720"/>
            <w:col w:w="9200"/>
          </w:cols>
          <w:pgMar w:left="320" w:top="111"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21"/>
          <w:szCs w:val="21"/>
          <w:b w:val="1"/>
          <w:bCs w:val="1"/>
          <w:i w:val="1"/>
          <w:iCs w:val="1"/>
          <w:color w:val="auto"/>
        </w:rPr>
        <w:t>ATTENTION:</w:t>
      </w:r>
    </w:p>
    <w:p>
      <w:pPr>
        <w:sectPr>
          <w:pgSz w:w="11900" w:h="16838" w:orient="portrait"/>
          <w:cols w:equalWidth="0" w:num="1">
            <w:col w:w="11240"/>
          </w:cols>
          <w:pgMar w:left="320" w:top="111" w:right="339" w:bottom="1440" w:gutter="0" w:footer="0" w:header="0"/>
          <w:type w:val="continuous"/>
        </w:sectPr>
      </w:pPr>
    </w:p>
    <w:p>
      <w:pPr>
        <w:spacing w:after="0" w:line="345"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20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Ommer Chohan</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11"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2025-12-16T16:39:53Z</dcterms:created>
  <dcterms:modified xsi:type="dcterms:W3CDTF">2025-12-16T16:39:53Z</dcterms:modified>
</cp:coreProperties>
</file>