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Khara Rahul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by the Reporting Person were effected pursuant to a Rule 10b5-1 trading plan adopted on September 23,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following December 29, 2022,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2026-01-21T17:56:43Z</dcterms:created>
  <dcterms:modified xsi:type="dcterms:W3CDTF">2026-01-21T17:56:43Z</dcterms:modified>
</cp:coreProperties>
</file>