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Disc Medicine,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254604101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Alejandro Moreno</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Langhorne S. Perrow c/o</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Access Industries, Inc.</w:t>
      </w:r>
    </w:p>
    <w:p>
      <w:pPr>
        <w:jc w:val="center"/>
        <w:ind w:right="-59"/>
        <w:spacing w:after="0" w:line="181" w:lineRule="auto"/>
        <w:rPr>
          <w:sz w:val="20"/>
          <w:szCs w:val="20"/>
          <w:color w:val="auto"/>
        </w:rPr>
      </w:pPr>
      <w:r>
        <w:rPr>
          <w:rFonts w:ascii="Times New Roman" w:cs="Times New Roman" w:eastAsia="Times New Roman" w:hAnsi="Times New Roman"/>
          <w:sz w:val="18"/>
          <w:szCs w:val="18"/>
          <w:b w:val="1"/>
          <w:bCs w:val="1"/>
          <w:color w:val="auto"/>
        </w:rPr>
        <w:t>40 West 57</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Street, 28th Floor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(212) 247-6400</w:t>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Nicholas P. Pellicani</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Debevoise &amp; Plimpton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 Gresham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EC2V 7NQ</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+ 44 20 7786 9000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17,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Rules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76"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266" w:lineRule="exact"/>
        <w:rPr>
          <w:sz w:val="20"/>
          <w:szCs w:val="20"/>
          <w:color w:val="auto"/>
        </w:rPr>
      </w:pPr>
    </w:p>
    <w:p>
      <w:pPr>
        <w:ind w:left="244" w:hanging="87"/>
        <w:spacing w:after="0"/>
        <w:tabs>
          <w:tab w:leader="none" w:pos="2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AI DMI LLC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tabs>
          <w:tab w:leader="none" w:pos="1224" w:val="left"/>
          <w:tab w:leader="none" w:pos="140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AF</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Delaware</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3,762,507 shares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 shares</w:t>
            </w:r>
          </w:p>
        </w:tc>
        <w:tc>
          <w:tcPr>
            <w:tcW w:w="0" w:type="dxa"/>
            <w:vAlign w:val="bottom"/>
          </w:tcPr>
          <w:p>
            <w:pPr>
              <w:spacing w:after="0"/>
              <w:rPr>
                <w:sz w:val="1"/>
                <w:szCs w:val="1"/>
                <w:color w:val="auto"/>
              </w:rPr>
            </w:pPr>
          </w:p>
        </w:tc>
      </w:tr>
      <w:tr>
        <w:trPr>
          <w:trHeight w:val="120"/>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3,762,507 shares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0 shares</w:t>
      </w:r>
    </w:p>
    <w:p>
      <w:pPr>
        <w:spacing w:after="0" w:line="36" w:lineRule="exact"/>
        <w:rPr>
          <w:sz w:val="20"/>
          <w:szCs w:val="20"/>
          <w:color w:val="auto"/>
        </w:rPr>
      </w:pPr>
    </w:p>
    <w:p>
      <w:pPr>
        <w:ind w:left="524" w:hanging="367"/>
        <w:spacing w:after="0"/>
        <w:tabs>
          <w:tab w:leader="none" w:pos="5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3,762,507 shares</w:t>
      </w:r>
      <w:r>
        <w:rPr>
          <w:rFonts w:ascii="Times New Roman" w:cs="Times New Roman" w:eastAsia="Times New Roman" w:hAnsi="Times New Roman"/>
          <w:sz w:val="26"/>
          <w:szCs w:val="26"/>
          <w:color w:val="auto"/>
          <w:vertAlign w:val="superscript"/>
        </w:rPr>
        <w:t>(1)</w:t>
      </w:r>
    </w:p>
    <w:p>
      <w:pPr>
        <w:ind w:left="524" w:hanging="367"/>
        <w:spacing w:after="0"/>
        <w:tabs>
          <w:tab w:leader="none" w:pos="5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pacing w:after="0" w:line="279"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3,558,426 shares of Common Stock and (ii) 204,081 pre-funded warrants to purchase shares of Common Stock at $0.0001 per share (the “Pre-Funded Warrants”).</w:t>
      </w:r>
    </w:p>
    <w:p>
      <w:pPr>
        <w:ind w:left="424" w:right="380"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29,843,966 shares of Common Stock consisting of (i) 29,639,885 shares of Common Stock outstanding immediately following the Issuer’s registered offering of 4,944,000 shares of Common Stock (the “Offering”), as reported in the Issuer’s Prospectus Supplement filed pursuant to Rule 424(b)(5) with the Securities and Exchange Commission (the “SEC”) on June 14, 2024, and (ii) 204,081 shares of Common Stock underlying the Pre-Funded Warrants.</w:t>
      </w:r>
    </w:p>
    <w:p>
      <w:pPr>
        <w:sectPr>
          <w:pgSz w:w="11900" w:h="16838" w:orient="portrait"/>
          <w:cols w:equalWidth="0" w:num="1">
            <w:col w:w="10984"/>
          </w:cols>
          <w:pgMar w:left="436" w:top="270"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254604101</w:t>
      </w:r>
    </w:p>
    <w:p>
      <w:pPr>
        <w:spacing w:after="0" w:line="266" w:lineRule="exact"/>
        <w:rPr>
          <w:sz w:val="20"/>
          <w:szCs w:val="20"/>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Access Industries Holdings LLC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tabs>
          <w:tab w:leader="none" w:pos="1224" w:val="left"/>
          <w:tab w:leader="none" w:pos="140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AF</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 shares</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3,762,507 shares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 shares</w:t>
            </w:r>
          </w:p>
        </w:tc>
        <w:tc>
          <w:tcPr>
            <w:tcW w:w="0" w:type="dxa"/>
            <w:vAlign w:val="bottom"/>
          </w:tcPr>
          <w:p>
            <w:pPr>
              <w:spacing w:after="0"/>
              <w:rPr>
                <w:sz w:val="1"/>
                <w:szCs w:val="1"/>
                <w:color w:val="auto"/>
              </w:rPr>
            </w:pPr>
          </w:p>
        </w:tc>
      </w:tr>
      <w:tr>
        <w:trPr>
          <w:trHeight w:val="180"/>
        </w:trPr>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3,762,507 shares</w:t>
      </w:r>
      <w:r>
        <w:rPr>
          <w:rFonts w:ascii="Times New Roman" w:cs="Times New Roman" w:eastAsia="Times New Roman" w:hAnsi="Times New Roman"/>
          <w:sz w:val="26"/>
          <w:szCs w:val="26"/>
          <w:color w:val="auto"/>
          <w:vertAlign w:val="superscript"/>
        </w:rPr>
        <w:t>(1)</w:t>
      </w:r>
    </w:p>
    <w:p>
      <w:pPr>
        <w:ind w:left="524" w:hanging="367"/>
        <w:spacing w:after="0"/>
        <w:tabs>
          <w:tab w:leader="none" w:pos="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3,762,507 shares</w:t>
      </w:r>
      <w:r>
        <w:rPr>
          <w:rFonts w:ascii="Times New Roman" w:cs="Times New Roman" w:eastAsia="Times New Roman" w:hAnsi="Times New Roman"/>
          <w:sz w:val="26"/>
          <w:szCs w:val="26"/>
          <w:color w:val="auto"/>
          <w:vertAlign w:val="superscript"/>
        </w:rPr>
        <w:t>(1)</w:t>
      </w:r>
    </w:p>
    <w:p>
      <w:pPr>
        <w:ind w:left="524" w:hanging="367"/>
        <w:spacing w:after="0"/>
        <w:tabs>
          <w:tab w:leader="none" w:pos="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3,558,426 shares of Common Stock and (ii) 204,081 Pre-Funded Warrants.</w:t>
      </w:r>
    </w:p>
    <w:p>
      <w:pPr>
        <w:spacing w:after="0" w:line="27" w:lineRule="exact"/>
        <w:rPr>
          <w:rFonts w:ascii="Times New Roman" w:cs="Times New Roman" w:eastAsia="Times New Roman" w:hAnsi="Times New Roman"/>
          <w:sz w:val="18"/>
          <w:szCs w:val="18"/>
          <w:color w:val="auto"/>
        </w:rPr>
      </w:pPr>
    </w:p>
    <w:p>
      <w:pPr>
        <w:jc w:val="both"/>
        <w:ind w:left="424" w:right="320"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29,843,966 shares of Common Stock consisting of (i) 29,639,885 shares of Common Stock outstanding immediately following the Offering, as reported in the Issuer’s Prospectus Supplement filed pursuant to Rule 424(b)(5) with the SEC on June 14, 2024, and (ii) 204,081 shares of Common Stock underlying the Pre-Funded Warrants.</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266" w:lineRule="exact"/>
        <w:rPr>
          <w:sz w:val="20"/>
          <w:szCs w:val="20"/>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Access Industries Management, LLC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tabs>
          <w:tab w:leader="none" w:pos="1224" w:val="left"/>
          <w:tab w:leader="none" w:pos="140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AF</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Delaware</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 shares</w:t>
            </w:r>
          </w:p>
        </w:tc>
        <w:tc>
          <w:tcPr>
            <w:tcW w:w="0" w:type="dxa"/>
            <w:vAlign w:val="bottom"/>
          </w:tcPr>
          <w:p>
            <w:pPr>
              <w:spacing w:after="0"/>
              <w:rPr>
                <w:sz w:val="1"/>
                <w:szCs w:val="1"/>
                <w:color w:val="auto"/>
              </w:rPr>
            </w:pPr>
          </w:p>
        </w:tc>
      </w:tr>
      <w:tr>
        <w:trPr>
          <w:trHeight w:val="6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3,762,507 shares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 shares</w:t>
            </w:r>
          </w:p>
        </w:tc>
        <w:tc>
          <w:tcPr>
            <w:tcW w:w="0" w:type="dxa"/>
            <w:vAlign w:val="bottom"/>
          </w:tcPr>
          <w:p>
            <w:pPr>
              <w:spacing w:after="0"/>
              <w:rPr>
                <w:sz w:val="1"/>
                <w:szCs w:val="1"/>
                <w:color w:val="auto"/>
              </w:rPr>
            </w:pPr>
          </w:p>
        </w:tc>
      </w:tr>
      <w:tr>
        <w:trPr>
          <w:trHeight w:val="180"/>
        </w:trPr>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3,762,507 shares</w:t>
      </w:r>
      <w:r>
        <w:rPr>
          <w:rFonts w:ascii="Times New Roman" w:cs="Times New Roman" w:eastAsia="Times New Roman" w:hAnsi="Times New Roman"/>
          <w:sz w:val="26"/>
          <w:szCs w:val="26"/>
          <w:color w:val="auto"/>
          <w:vertAlign w:val="superscript"/>
        </w:rPr>
        <w:t>(1)</w:t>
      </w:r>
    </w:p>
    <w:p>
      <w:pPr>
        <w:ind w:left="524" w:hanging="367"/>
        <w:spacing w:after="0"/>
        <w:tabs>
          <w:tab w:leader="none" w:pos="5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3,762,507 shares</w:t>
      </w:r>
      <w:r>
        <w:rPr>
          <w:rFonts w:ascii="Times New Roman" w:cs="Times New Roman" w:eastAsia="Times New Roman" w:hAnsi="Times New Roman"/>
          <w:sz w:val="26"/>
          <w:szCs w:val="26"/>
          <w:color w:val="auto"/>
          <w:vertAlign w:val="superscript"/>
        </w:rPr>
        <w:t>(1)</w:t>
      </w:r>
    </w:p>
    <w:p>
      <w:pPr>
        <w:ind w:left="524" w:hanging="367"/>
        <w:spacing w:after="0"/>
        <w:tabs>
          <w:tab w:leader="none" w:pos="5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3,558,426 shares of Common Stock and (ii) 204,081 Pre-Funded Warrants.</w:t>
      </w:r>
    </w:p>
    <w:p>
      <w:pPr>
        <w:spacing w:after="0" w:line="27" w:lineRule="exact"/>
        <w:rPr>
          <w:rFonts w:ascii="Times New Roman" w:cs="Times New Roman" w:eastAsia="Times New Roman" w:hAnsi="Times New Roman"/>
          <w:sz w:val="18"/>
          <w:szCs w:val="18"/>
          <w:color w:val="auto"/>
        </w:rPr>
      </w:pPr>
    </w:p>
    <w:p>
      <w:pPr>
        <w:jc w:val="both"/>
        <w:ind w:left="424" w:right="320" w:hanging="424"/>
        <w:spacing w:after="0" w:line="255"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29,843,966 shares of Common Stock consisting of (i) 29,639,885 shares of Common Stock outstanding immediately following the Offering, as reported in the Issuer’s Prospectus Supplement filed pursuant to Rule 424(b)(5) with the SEC on June 14, 2024, and (ii) 204,081 shares of Common Stock underlying the Pre-Funded Warrants.</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266" w:lineRule="exact"/>
        <w:rPr>
          <w:sz w:val="20"/>
          <w:szCs w:val="20"/>
          <w:color w:val="auto"/>
        </w:rPr>
      </w:pPr>
    </w:p>
    <w:p>
      <w:pPr>
        <w:ind w:left="244" w:hanging="87"/>
        <w:spacing w:after="0"/>
        <w:tabs>
          <w:tab w:leader="none" w:pos="24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 Blavatnik</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tabs>
          <w:tab w:leader="none" w:pos="1224" w:val="left"/>
          <w:tab w:leader="none" w:pos="140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AF</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 shares</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3,762,507 shares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 shares</w:t>
            </w:r>
          </w:p>
        </w:tc>
        <w:tc>
          <w:tcPr>
            <w:tcW w:w="0" w:type="dxa"/>
            <w:vAlign w:val="bottom"/>
          </w:tcPr>
          <w:p>
            <w:pPr>
              <w:spacing w:after="0"/>
              <w:rPr>
                <w:sz w:val="1"/>
                <w:szCs w:val="1"/>
                <w:color w:val="auto"/>
              </w:rPr>
            </w:pPr>
          </w:p>
        </w:tc>
      </w:tr>
      <w:tr>
        <w:trPr>
          <w:trHeight w:val="180"/>
        </w:trPr>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3,762,507 shares</w:t>
      </w:r>
      <w:r>
        <w:rPr>
          <w:rFonts w:ascii="Times New Roman" w:cs="Times New Roman" w:eastAsia="Times New Roman" w:hAnsi="Times New Roman"/>
          <w:sz w:val="26"/>
          <w:szCs w:val="26"/>
          <w:color w:val="auto"/>
          <w:vertAlign w:val="superscript"/>
        </w:rPr>
        <w:t>(1)</w:t>
      </w:r>
    </w:p>
    <w:p>
      <w:pPr>
        <w:ind w:left="524" w:hanging="367"/>
        <w:spacing w:after="0"/>
        <w:tabs>
          <w:tab w:leader="none" w:pos="5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3,762,507 shares</w:t>
      </w:r>
      <w:r>
        <w:rPr>
          <w:rFonts w:ascii="Times New Roman" w:cs="Times New Roman" w:eastAsia="Times New Roman" w:hAnsi="Times New Roman"/>
          <w:sz w:val="26"/>
          <w:szCs w:val="26"/>
          <w:color w:val="auto"/>
          <w:vertAlign w:val="superscript"/>
        </w:rPr>
        <w:t>(1)</w:t>
      </w:r>
    </w:p>
    <w:p>
      <w:pPr>
        <w:ind w:left="524" w:hanging="367"/>
        <w:spacing w:after="0"/>
        <w:tabs>
          <w:tab w:leader="none" w:pos="5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3,558,426 shares of Common Stock and (ii) 204,081 Pre-Funded Warrants.</w:t>
      </w:r>
    </w:p>
    <w:p>
      <w:pPr>
        <w:spacing w:after="0" w:line="27" w:lineRule="exact"/>
        <w:rPr>
          <w:rFonts w:ascii="Times New Roman" w:cs="Times New Roman" w:eastAsia="Times New Roman" w:hAnsi="Times New Roman"/>
          <w:sz w:val="18"/>
          <w:szCs w:val="18"/>
          <w:color w:val="auto"/>
        </w:rPr>
      </w:pPr>
    </w:p>
    <w:p>
      <w:pPr>
        <w:jc w:val="both"/>
        <w:ind w:left="424" w:right="320" w:hanging="424"/>
        <w:spacing w:after="0" w:line="255"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29,843,966 shares of Common Stock consisting of (i) 29,639,885 shares of Common Stock outstanding immediately following the Offering, as reported in the Issuer’s Prospectus Supplement filed pursuant to Rule 424(b)(5) with the SEC on June 14, 2024, and (ii) 204,081 shares of Common Stock underlying the Pre-Funded Warrants.</w:t>
      </w:r>
    </w:p>
    <w:p>
      <w:pPr>
        <w:sectPr>
          <w:pgSz w:w="11900" w:h="16838" w:orient="portrait"/>
          <w:cols w:equalWidth="0" w:num="1">
            <w:col w:w="10904"/>
          </w:cols>
          <w:pgMar w:left="436" w:top="270" w:right="5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CONTINUATION PAGES TO AMENDMENT NO. 4 TO SCHEDULE 13D</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Amendment No. 4 to Schedule 13D is being filed by AI DMI LLC (“AI DMI”), Access Industries Holdings LLC (“AIH”), Access Industries Management, LLC (“AIM”) and Len Blavatnik (collectively, the “Reporting Persons”, and each, a “Reporting Person”), in respect of the common stock, par value $0.0001 per share (the “Common Stock”), of Disc Medicine, Inc. (the “Issuer”). The shares of Common Stock of the Issuer are listed on the Nasdaq Global Market under the symbol “IRON.”</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Schedule 13D filed by the Reporting Persons with the Securities and Exchange Commission (the “SEC”) on January 9, 2023, as amended and supplemented by Amendment No. 1 to the Schedule 13D filed by the Reporting Persons with the SEC on February 17, 2023, Amendment No. 2 to the Schedule 13D filed by the Reporting Persons with the SEC on June 20, 2023 and Amendment No. 3 to the Schedule 13D filed by the Reporting Persons on November 13, 2023 (together, the “Schedule”), is hereby amended and supplemented by the Reporting Persons as set forth below in this Amendment No. 4. This amendment is filed by the Reporting Persons in accordance with Rule 13d-2 of the Securities Exchange Act of 1934, as amended, and refers only to information that has materially changed since the filing of the Schedule. The items identified below, or the particular paragraphs of such items which are identified below, are amended as set forth below. Unless otherwise indicated, all capitalized terms used and not defined herein have the respective meanings assigned to them in the Schedule.</w:t>
      </w:r>
    </w:p>
    <w:p>
      <w:pPr>
        <w:spacing w:after="0" w:line="33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and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disclosure in Item 3 to the Schedule is hereby supplemented by adding the following at the end thereof:</w:t>
      </w:r>
    </w:p>
    <w:p>
      <w:pPr>
        <w:spacing w:after="0" w:line="117" w:lineRule="exact"/>
        <w:rPr>
          <w:sz w:val="20"/>
          <w:szCs w:val="20"/>
          <w:color w:val="auto"/>
        </w:rPr>
      </w:pPr>
    </w:p>
    <w:p>
      <w:pPr>
        <w:ind w:left="440" w:right="60"/>
        <w:spacing w:after="0" w:line="266" w:lineRule="auto"/>
        <w:rPr>
          <w:sz w:val="20"/>
          <w:szCs w:val="20"/>
          <w:color w:val="auto"/>
        </w:rPr>
      </w:pPr>
      <w:r>
        <w:rPr>
          <w:rFonts w:ascii="Times New Roman" w:cs="Times New Roman" w:eastAsia="Times New Roman" w:hAnsi="Times New Roman"/>
          <w:sz w:val="18"/>
          <w:szCs w:val="18"/>
          <w:color w:val="auto"/>
        </w:rPr>
        <w:t>On June 17, 2024, AI DMI purchased 416,667 shares of Common Stock at a purchase price of $36.00 per share of Common Stock pursuant to the prospectus filed with the SEC on June 14, 2024 pursuant to Rule 424(b)(5) in a registered offering. AI DMI funded the purchase of shares of Common Stock using capital contributed from affiliated entities, which funded that capital using cash on hand.</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 to the Schedule is hereby amended and restated as follows:</w:t>
      </w:r>
    </w:p>
    <w:p>
      <w:pPr>
        <w:spacing w:after="0" w:line="117" w:lineRule="exact"/>
        <w:rPr>
          <w:sz w:val="20"/>
          <w:szCs w:val="20"/>
          <w:color w:val="auto"/>
        </w:rPr>
      </w:pPr>
    </w:p>
    <w:p>
      <w:pPr>
        <w:jc w:val="both"/>
        <w:ind w:left="440" w:right="40" w:hanging="4"/>
        <w:spacing w:after="0" w:line="266"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responses of each of the Reporting Persons with respect to Rows 11, 12, and 13 of the cover pages of this Schedule 13D that relate to the aggregate number and percentage of Common Stock (including but not limited to footnotes to such information) are incorporated herein by reference.</w:t>
      </w:r>
    </w:p>
    <w:p>
      <w:pPr>
        <w:spacing w:after="0" w:line="68"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The responses of each of the Reporting Persons with respect to Rows 7, 8, 9, and 10 of the cover pages of this Schedule 13D that relate to the number of shares of Common Stock as to which each of the persons or entities referenced in Item 2 above has sole or shared power to vote or to direct the vote of and sole or shared power to dispose of or to direct the disposition of (including but not limited to footnotes to such information) are incorporated herein by reference.</w:t>
      </w:r>
    </w:p>
    <w:p>
      <w:pPr>
        <w:spacing w:after="0" w:line="72" w:lineRule="exact"/>
        <w:rPr>
          <w:sz w:val="20"/>
          <w:szCs w:val="20"/>
          <w:color w:val="auto"/>
        </w:rPr>
      </w:pPr>
    </w:p>
    <w:p>
      <w:pPr>
        <w:ind w:left="440" w:right="180"/>
        <w:spacing w:after="0" w:line="276" w:lineRule="auto"/>
        <w:rPr>
          <w:sz w:val="20"/>
          <w:szCs w:val="20"/>
          <w:color w:val="auto"/>
        </w:rPr>
      </w:pPr>
      <w:r>
        <w:rPr>
          <w:rFonts w:ascii="Times New Roman" w:cs="Times New Roman" w:eastAsia="Times New Roman" w:hAnsi="Times New Roman"/>
          <w:sz w:val="17"/>
          <w:szCs w:val="17"/>
          <w:color w:val="auto"/>
        </w:rPr>
        <w:t>3,558,426 shares of Common Stock and 204,081 Pre-Funded Warrants are owned directly by AI DMI and may be deemed to be beneficially owned by AIH, AIM and Mr. Blavatnik because (i) Len Blavatnik controls AIM and holds a majority of the outstanding voting interests in AIH,</w:t>
      </w:r>
    </w:p>
    <w:p>
      <w:pPr>
        <w:spacing w:after="0" w:line="1" w:lineRule="exact"/>
        <w:rPr>
          <w:sz w:val="20"/>
          <w:szCs w:val="20"/>
          <w:color w:val="auto"/>
        </w:rPr>
      </w:pPr>
    </w:p>
    <w:p>
      <w:pPr>
        <w:ind w:left="440" w:hanging="4"/>
        <w:spacing w:after="0" w:line="255"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AIM controls AIH and (iii) AIH indirectly controls all of the outstanding voting interests in AI DMI. Each of the Reporting Persons (other than AI DMI), and each of their affiliated entities and the officers, partners, members and managers thereof, disclaims beneficial ownership of these securities.</w:t>
      </w:r>
    </w:p>
    <w:p>
      <w:pPr>
        <w:spacing w:after="0" w:line="78" w:lineRule="exact"/>
        <w:rPr>
          <w:sz w:val="20"/>
          <w:szCs w:val="20"/>
          <w:color w:val="auto"/>
        </w:rPr>
      </w:pPr>
    </w:p>
    <w:p>
      <w:pPr>
        <w:ind w:left="440" w:right="560" w:hanging="4"/>
        <w:spacing w:after="0" w:line="28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transactions in the Issuer’s securities have been effected by Reporting Persons within the 60 days prior to this filing: The information set forth in Item 3 of this Schedule 13D is incorporated herein by reference.</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sectPr>
      </w:pPr>
    </w:p>
    <w:bookmarkStart w:id="6" w:name="page7"/>
    <w:bookmarkEnd w:id="6"/>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8"/>
          <w:szCs w:val="18"/>
          <w:b w:val="1"/>
          <w:bCs w:val="1"/>
          <w:color w:val="auto"/>
        </w:rPr>
        <w:t>Materials to Be Filed as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disclosure in Item 7 is hereby supplemented by adding the following in appropriate numerical order:</w:t>
      </w:r>
    </w:p>
    <w:p>
      <w:pPr>
        <w:spacing w:after="0" w:line="259"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10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99.11</w:t>
      </w:r>
      <w:r>
        <w:rPr>
          <w:sz w:val="20"/>
          <w:szCs w:val="20"/>
          <w:color w:val="auto"/>
        </w:rPr>
        <w:tab/>
      </w:r>
      <w:r>
        <w:rPr>
          <w:rFonts w:ascii="Times New Roman" w:cs="Times New Roman" w:eastAsia="Times New Roman" w:hAnsi="Times New Roman"/>
          <w:sz w:val="18"/>
          <w:szCs w:val="18"/>
          <w:color w:val="auto"/>
        </w:rPr>
        <w:t>Joint Filing Agreement, dated as of June 20, 2024.</w:t>
      </w:r>
    </w:p>
    <w:p>
      <w:pPr>
        <w:sectPr>
          <w:pgSz w:w="11900" w:h="16838" w:orient="portrait"/>
          <w:cols w:equalWidth="0" w:num="1">
            <w:col w:w="10019"/>
          </w:cols>
          <w:pgMar w:left="440" w:top="266" w:right="1440" w:bottom="1440" w:gutter="0" w:footer="0" w:header="0"/>
        </w:sectPr>
      </w:pPr>
    </w:p>
    <w:bookmarkStart w:id="7" w:name="page8"/>
    <w:bookmarkEnd w:id="7"/>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2024</w:t>
            </w:r>
          </w:p>
        </w:tc>
        <w:tc>
          <w:tcPr>
            <w:tcW w:w="5080" w:type="dxa"/>
            <w:vAlign w:val="bottom"/>
          </w:tcPr>
          <w:p>
            <w:pPr>
              <w:spacing w:after="0"/>
              <w:rPr>
                <w:sz w:val="20"/>
                <w:szCs w:val="20"/>
                <w:color w:val="auto"/>
              </w:rPr>
            </w:pPr>
          </w:p>
        </w:tc>
      </w:tr>
      <w:tr>
        <w:trPr>
          <w:trHeight w:val="45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AI DMI LLC</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205"/>
        </w:trPr>
        <w:tc>
          <w:tcPr>
            <w:tcW w:w="594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HOLDINGS LLC</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205"/>
        </w:trPr>
        <w:tc>
          <w:tcPr>
            <w:tcW w:w="594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MANAGEMENT, LLC</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205"/>
        </w:trPr>
        <w:tc>
          <w:tcPr>
            <w:tcW w:w="594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t>
            </w:r>
          </w:p>
        </w:tc>
      </w:tr>
      <w:tr>
        <w:trPr>
          <w:trHeight w:val="228"/>
        </w:trPr>
        <w:tc>
          <w:tcPr>
            <w:tcW w:w="59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Name: Leonard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224" w:right="800" w:hanging="224"/>
        <w:spacing w:after="0" w:line="282" w:lineRule="auto"/>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executes this Schedule 13D pursuant to the Limited Power of Attorney executed on behalf of Mr. Blavatnik and filed herewith.</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Alejandro Moreno</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024"/>
          </w:cols>
          <w:pgMar w:left="436" w:top="270"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to the joint filing with each other on behalf of each of them of such a statement on Schedule 13D (and any amendments thereto) with respect to the shares of Common Stock owned by each of them, of Disc Medicine, Inc., a corporation incorporated under the laws of the State of Delaware. This Joint Filing Agreement shall be included as an exhibit to such Schedule 13D.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20"/>
          </w:cols>
          <w:pgMar w:left="440" w:top="117" w:right="439" w:bottom="1440" w:gutter="0" w:footer="0" w:header="0"/>
        </w:sectPr>
      </w:pPr>
    </w:p>
    <w:bookmarkStart w:id="9" w:name="page10"/>
    <w:bookmarkEnd w:id="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hereby execute this Joint Filing Agreement as of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June, 2024.</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AI DMI LLC</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740" w:type="dxa"/>
            <w:vAlign w:val="bottom"/>
          </w:tcPr>
          <w:p>
            <w:pPr>
              <w:spacing w:after="0"/>
              <w:rPr>
                <w:sz w:val="24"/>
                <w:szCs w:val="24"/>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191"/>
        </w:trPr>
        <w:tc>
          <w:tcPr>
            <w:tcW w:w="5740" w:type="dxa"/>
            <w:vAlign w:val="bottom"/>
          </w:tcPr>
          <w:p>
            <w:pPr>
              <w:spacing w:after="0"/>
              <w:rPr>
                <w:sz w:val="16"/>
                <w:szCs w:val="16"/>
                <w:color w:val="auto"/>
              </w:rPr>
            </w:pPr>
          </w:p>
        </w:tc>
        <w:tc>
          <w:tcPr>
            <w:tcW w:w="52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74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5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HOLDINGS LLC</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740" w:type="dxa"/>
            <w:vAlign w:val="bottom"/>
          </w:tcPr>
          <w:p>
            <w:pPr>
              <w:spacing w:after="0"/>
              <w:rPr>
                <w:sz w:val="24"/>
                <w:szCs w:val="24"/>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191"/>
        </w:trPr>
        <w:tc>
          <w:tcPr>
            <w:tcW w:w="5740" w:type="dxa"/>
            <w:vAlign w:val="bottom"/>
          </w:tcPr>
          <w:p>
            <w:pPr>
              <w:spacing w:after="0"/>
              <w:rPr>
                <w:sz w:val="16"/>
                <w:szCs w:val="16"/>
                <w:color w:val="auto"/>
              </w:rPr>
            </w:pPr>
          </w:p>
        </w:tc>
        <w:tc>
          <w:tcPr>
            <w:tcW w:w="52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74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5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MANAGEMENT, LLC</w:t>
            </w:r>
          </w:p>
        </w:tc>
        <w:tc>
          <w:tcPr>
            <w:tcW w:w="100" w:type="dxa"/>
            <w:vAlign w:val="bottom"/>
          </w:tcPr>
          <w:p>
            <w:pPr>
              <w:spacing w:after="0"/>
              <w:rPr>
                <w:sz w:val="24"/>
                <w:szCs w:val="24"/>
                <w:color w:val="auto"/>
              </w:rPr>
            </w:pP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191"/>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59"/>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w:t>
            </w:r>
          </w:p>
        </w:tc>
      </w:tr>
      <w:tr>
        <w:trPr>
          <w:trHeight w:val="228"/>
        </w:trPr>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Len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8" w:lineRule="exact"/>
        <w:rPr>
          <w:sz w:val="20"/>
          <w:szCs w:val="20"/>
          <w:color w:val="auto"/>
        </w:rPr>
      </w:pPr>
    </w:p>
    <w:p>
      <w:pPr>
        <w:ind w:left="224" w:right="140" w:hanging="224"/>
        <w:spacing w:after="0" w:line="282" w:lineRule="auto"/>
        <w:tabs>
          <w:tab w:leader="none" w:pos="2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executes this Joint Filing Agreement pursuant to the Limited Power of Attorney executed on behalf of Mr. Blavatnik and filed herewith.</w:t>
      </w:r>
    </w:p>
    <w:p>
      <w:pPr>
        <w:spacing w:after="0" w:line="189" w:lineRule="exact"/>
        <w:rPr>
          <w:sz w:val="20"/>
          <w:szCs w:val="20"/>
          <w:color w:val="auto"/>
        </w:rPr>
      </w:pPr>
    </w:p>
    <w:p>
      <w:pPr>
        <w:ind w:left="5624"/>
        <w:spacing w:after="0"/>
        <w:tabs>
          <w:tab w:leader="none" w:pos="604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 Alejandro Moreno</w:t>
      </w:r>
    </w:p>
    <w:p>
      <w:pPr>
        <w:spacing w:after="0" w:line="23"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Attorney-in-Fact</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
      <w:numFmt w:val="bullet"/>
      <w:start w:val="1"/>
    </w:lvl>
    <w:lvl w:ilvl="1">
      <w:lvlJc w:val="left"/>
      <w:lvlText w:val=" "/>
      <w:numFmt w:val="bullet"/>
      <w:start w:val="1"/>
    </w:lvl>
  </w:abstractNum>
  <w:abstractNum w:abstractNumId="1">
    <w:nsid w:val="1190CDE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
    <w:nsid w:val="66EF438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3">
    <w:nsid w:val="140E0F7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4">
    <w:nsid w:val="3352255A"/>
    <w:multiLevelType w:val="hybridMultilevel"/>
    <w:lvl w:ilvl="0">
      <w:lvlJc w:val="left"/>
      <w:lvlText w:val=" "/>
      <w:numFmt w:val="bullet"/>
      <w:start w:val="1"/>
    </w:lvl>
    <w:lvl w:ilvl="1">
      <w:lvlJc w:val="left"/>
      <w:lvlText w:val=" "/>
      <w:numFmt w:val="bullet"/>
      <w:start w:val="1"/>
    </w:lvl>
  </w:abstractNum>
  <w:abstractNum w:abstractNumId="5">
    <w:nsid w:val="109CF92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DED7263"/>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7">
    <w:nsid w:val="7FDCC23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8">
    <w:nsid w:val="1BEFD79F"/>
    <w:multiLevelType w:val="hybridMultilevel"/>
    <w:lvl w:ilvl="0">
      <w:lvlJc w:val="left"/>
      <w:lvlText w:val=" "/>
      <w:numFmt w:val="bullet"/>
      <w:start w:val="1"/>
    </w:lvl>
    <w:lvl w:ilvl="1">
      <w:lvlJc w:val="left"/>
      <w:lvlText w:val=" "/>
      <w:numFmt w:val="bullet"/>
      <w:start w:val="1"/>
    </w:lvl>
  </w:abstractNum>
  <w:abstractNum w:abstractNumId="9">
    <w:nsid w:val="41A7C4C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
    <w:nsid w:val="6B68079A"/>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1">
    <w:nsid w:val="4E6AFB6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2">
    <w:nsid w:val="25E45D32"/>
    <w:multiLevelType w:val="hybridMultilevel"/>
    <w:lvl w:ilvl="0">
      <w:lvlJc w:val="left"/>
      <w:lvlText w:val=" "/>
      <w:numFmt w:val="bullet"/>
      <w:start w:val="1"/>
    </w:lvl>
    <w:lvl w:ilvl="1">
      <w:lvlJc w:val="left"/>
      <w:lvlText w:val=" "/>
      <w:numFmt w:val="bullet"/>
      <w:start w:val="1"/>
    </w:lvl>
  </w:abstractNum>
  <w:abstractNum w:abstractNumId="13">
    <w:nsid w:val="519B500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4">
    <w:nsid w:val="431BD7B7"/>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5">
    <w:nsid w:val="3F2DBA3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Roman"/>
      <w:start w:val="2"/>
    </w:lvl>
  </w:abstractNum>
  <w:abstractNum w:abstractNumId="18">
    <w:nsid w:val="62BBD95A"/>
    <w:multiLevelType w:val="hybridMultilevel"/>
    <w:lvl w:ilvl="0">
      <w:lvlJc w:val="left"/>
      <w:lvlText w:val="(%1)"/>
      <w:numFmt w:val="lowerLetter"/>
      <w:start w:val="3"/>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2024-06-20T15:09:46Z</dcterms:created>
  <dcterms:modified xsi:type="dcterms:W3CDTF">2024-06-20T15:09:46Z</dcterms:modified>
</cp:coreProperties>
</file>