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Ashiya Mona</w:t>
              </w:r>
            </w:hyperlink>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10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03/10/2025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80" w:type="dxa"/>
            <w:vAlign w:val="bottom"/>
          </w:tcPr>
          <w:p>
            <w:pPr>
              <w:jc w:val="center"/>
              <w:ind w:left="35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68,766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54.29</w:t>
            </w:r>
            <w:r>
              <w:rPr>
                <w:rFonts w:ascii="Times New Roman" w:cs="Times New Roman" w:eastAsia="Times New Roman" w:hAnsi="Times New Roman"/>
                <w:sz w:val="22"/>
                <w:szCs w:val="22"/>
                <w:color w:val="008000"/>
                <w:vertAlign w:val="superscript"/>
              </w:rPr>
              <w:t>(1)</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539,845</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106,384</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54.29</w:t>
            </w:r>
            <w:r>
              <w:rPr>
                <w:rFonts w:ascii="Times New Roman" w:cs="Times New Roman" w:eastAsia="Times New Roman" w:hAnsi="Times New Roman"/>
                <w:sz w:val="22"/>
                <w:szCs w:val="22"/>
                <w:color w:val="008000"/>
                <w:vertAlign w:val="superscript"/>
              </w:rPr>
              <w:t>(1)</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835,185</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26,596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54.29</w:t>
            </w:r>
            <w:r>
              <w:rPr>
                <w:rFonts w:ascii="Times New Roman" w:cs="Times New Roman" w:eastAsia="Times New Roman" w:hAnsi="Times New Roman"/>
                <w:sz w:val="22"/>
                <w:szCs w:val="22"/>
                <w:color w:val="008000"/>
                <w:vertAlign w:val="superscript"/>
              </w:rPr>
              <w:t>(1)</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208,795</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55.01</w:t>
            </w:r>
            <w:r>
              <w:rPr>
                <w:rFonts w:ascii="Times New Roman" w:cs="Times New Roman" w:eastAsia="Times New Roman" w:hAnsi="Times New Roman"/>
                <w:sz w:val="22"/>
                <w:szCs w:val="22"/>
                <w:color w:val="008000"/>
                <w:vertAlign w:val="superscript"/>
              </w:rPr>
              <w:t>(2)</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539,709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211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55.01</w:t>
            </w:r>
            <w:r>
              <w:rPr>
                <w:rFonts w:ascii="Times New Roman" w:cs="Times New Roman" w:eastAsia="Times New Roman" w:hAnsi="Times New Roman"/>
                <w:sz w:val="22"/>
                <w:szCs w:val="22"/>
                <w:color w:val="008000"/>
                <w:vertAlign w:val="superscript"/>
              </w:rPr>
              <w:t>(2)</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834,974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53</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55.01</w:t>
            </w:r>
            <w:r>
              <w:rPr>
                <w:rFonts w:ascii="Times New Roman" w:cs="Times New Roman" w:eastAsia="Times New Roman" w:hAnsi="Times New Roman"/>
                <w:sz w:val="22"/>
                <w:szCs w:val="22"/>
                <w:color w:val="008000"/>
                <w:vertAlign w:val="superscript"/>
              </w:rPr>
              <w:t>(2)</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208,742</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58"/>
              <w:spacing w:after="0"/>
              <w:rPr>
                <w:sz w:val="20"/>
                <w:szCs w:val="20"/>
                <w:color w:val="auto"/>
              </w:rPr>
            </w:pPr>
            <w:r>
              <w:rPr>
                <w:rFonts w:ascii="Times New Roman" w:cs="Times New Roman" w:eastAsia="Times New Roman" w:hAnsi="Times New Roman"/>
                <w:sz w:val="17"/>
                <w:szCs w:val="17"/>
                <w:color w:val="0000FF"/>
              </w:rPr>
              <w:t>03/11/2025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9,222</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r>
              <w:rPr>
                <w:rFonts w:ascii="Times New Roman" w:cs="Times New Roman" w:eastAsia="Times New Roman" w:hAnsi="Times New Roman"/>
                <w:sz w:val="22"/>
                <w:szCs w:val="22"/>
                <w:color w:val="008000"/>
                <w:vertAlign w:val="superscript"/>
              </w:rPr>
              <w:t>(3)</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530,487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58"/>
              <w:spacing w:after="0"/>
              <w:rPr>
                <w:sz w:val="20"/>
                <w:szCs w:val="20"/>
                <w:color w:val="auto"/>
              </w:rPr>
            </w:pPr>
            <w:r>
              <w:rPr>
                <w:rFonts w:ascii="Times New Roman" w:cs="Times New Roman" w:eastAsia="Times New Roman" w:hAnsi="Times New Roman"/>
                <w:sz w:val="17"/>
                <w:szCs w:val="17"/>
                <w:color w:val="0000FF"/>
              </w:rPr>
              <w:t>03/11/2025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14,267</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r>
              <w:rPr>
                <w:rFonts w:ascii="Times New Roman" w:cs="Times New Roman" w:eastAsia="Times New Roman" w:hAnsi="Times New Roman"/>
                <w:sz w:val="22"/>
                <w:szCs w:val="22"/>
                <w:color w:val="008000"/>
                <w:vertAlign w:val="superscript"/>
              </w:rPr>
              <w:t>(3)</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820,707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58"/>
              <w:spacing w:after="0"/>
              <w:rPr>
                <w:sz w:val="20"/>
                <w:szCs w:val="20"/>
                <w:color w:val="auto"/>
              </w:rPr>
            </w:pPr>
            <w:r>
              <w:rPr>
                <w:rFonts w:ascii="Times New Roman" w:cs="Times New Roman" w:eastAsia="Times New Roman" w:hAnsi="Times New Roman"/>
                <w:sz w:val="17"/>
                <w:szCs w:val="17"/>
                <w:color w:val="0000FF"/>
              </w:rPr>
              <w:t>03/11/2025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3,567</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r>
              <w:rPr>
                <w:rFonts w:ascii="Times New Roman" w:cs="Times New Roman" w:eastAsia="Times New Roman" w:hAnsi="Times New Roman"/>
                <w:sz w:val="22"/>
                <w:szCs w:val="22"/>
                <w:color w:val="008000"/>
                <w:vertAlign w:val="superscript"/>
              </w:rPr>
              <w:t>(3)</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205,175</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03/12/2025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603</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55.05</w:t>
            </w:r>
            <w:r>
              <w:rPr>
                <w:rFonts w:ascii="Times New Roman" w:cs="Times New Roman" w:eastAsia="Times New Roman" w:hAnsi="Times New Roman"/>
                <w:sz w:val="22"/>
                <w:szCs w:val="22"/>
                <w:color w:val="008000"/>
                <w:vertAlign w:val="superscript"/>
              </w:rPr>
              <w:t>(4)</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529,884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03/12/2025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933</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55.05</w:t>
            </w:r>
            <w:r>
              <w:rPr>
                <w:rFonts w:ascii="Times New Roman" w:cs="Times New Roman" w:eastAsia="Times New Roman" w:hAnsi="Times New Roman"/>
                <w:sz w:val="22"/>
                <w:szCs w:val="22"/>
                <w:color w:val="008000"/>
                <w:vertAlign w:val="superscript"/>
              </w:rPr>
              <w:t>(4)</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819,774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03/12/2025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233</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55.05</w:t>
            </w:r>
            <w:r>
              <w:rPr>
                <w:rFonts w:ascii="Times New Roman" w:cs="Times New Roman" w:eastAsia="Times New Roman" w:hAnsi="Times New Roman"/>
                <w:sz w:val="22"/>
                <w:szCs w:val="22"/>
                <w:color w:val="008000"/>
                <w:vertAlign w:val="superscript"/>
              </w:rPr>
              <w:t>(4)</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204,942</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03/12/2025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27,750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54.44</w:t>
            </w:r>
            <w:r>
              <w:rPr>
                <w:rFonts w:ascii="Times New Roman" w:cs="Times New Roman" w:eastAsia="Times New Roman" w:hAnsi="Times New Roman"/>
                <w:sz w:val="22"/>
                <w:szCs w:val="22"/>
                <w:color w:val="008000"/>
                <w:vertAlign w:val="superscript"/>
              </w:rPr>
              <w:t>(5)</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502,134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03/12/2025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42,930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54.44</w:t>
            </w:r>
            <w:r>
              <w:rPr>
                <w:rFonts w:ascii="Times New Roman" w:cs="Times New Roman" w:eastAsia="Times New Roman" w:hAnsi="Times New Roman"/>
                <w:sz w:val="22"/>
                <w:szCs w:val="22"/>
                <w:color w:val="008000"/>
                <w:vertAlign w:val="superscript"/>
              </w:rPr>
              <w:t>(5)</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776,844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vMerge w:val="restart"/>
          </w:tcPr>
          <w:p>
            <w:pPr>
              <w:jc w:val="center"/>
              <w:ind w:left="378"/>
              <w:spacing w:after="0"/>
              <w:rPr>
                <w:sz w:val="20"/>
                <w:szCs w:val="20"/>
                <w:color w:val="auto"/>
              </w:rPr>
            </w:pPr>
            <w:r>
              <w:rPr>
                <w:rFonts w:ascii="Times New Roman" w:cs="Times New Roman" w:eastAsia="Times New Roman" w:hAnsi="Times New Roman"/>
                <w:sz w:val="17"/>
                <w:szCs w:val="17"/>
                <w:color w:val="0000FF"/>
              </w:rPr>
              <w:t>03/12/2025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10,733</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54.44</w:t>
            </w:r>
            <w:r>
              <w:rPr>
                <w:rFonts w:ascii="Times New Roman" w:cs="Times New Roman" w:eastAsia="Times New Roman" w:hAnsi="Times New Roman"/>
                <w:sz w:val="22"/>
                <w:szCs w:val="22"/>
                <w:color w:val="008000"/>
                <w:vertAlign w:val="superscript"/>
              </w:rPr>
              <w:t>(5)</w:t>
            </w:r>
          </w:p>
        </w:tc>
        <w:tc>
          <w:tcPr>
            <w:tcW w:w="1040" w:type="dxa"/>
            <w:vAlign w:val="bottom"/>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194,209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vMerge w:val="continue"/>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00" w:type="dxa"/>
            <w:vAlign w:val="bottom"/>
            <w:tcBorders>
              <w:top w:val="single" w:sz="8" w:color="808080"/>
            </w:tcBorders>
            <w:shd w:val="clear" w:color="auto" w:fill="2C2C2C"/>
          </w:tcPr>
          <w:p>
            <w:pPr>
              <w:spacing w:after="0" w:line="20" w:lineRule="exact"/>
              <w:rPr>
                <w:sz w:val="1"/>
                <w:szCs w:val="1"/>
                <w:color w:val="auto"/>
              </w:rPr>
            </w:pPr>
          </w:p>
        </w:tc>
        <w:tc>
          <w:tcPr>
            <w:tcW w:w="15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2"/>
          </w:tcPr>
          <w:p>
            <w:pPr>
              <w:jc w:val="center"/>
              <w:ind w:right="831"/>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8"/>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1"/>
        </w:trPr>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Derivative</w:t>
            </w:r>
          </w:p>
        </w:tc>
        <w:tc>
          <w:tcPr>
            <w:tcW w:w="8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or Indirect</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73"/>
        </w:trPr>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Security</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(A) or</w:t>
            </w:r>
          </w:p>
        </w:tc>
        <w:tc>
          <w:tcPr>
            <w:tcW w:w="300" w:type="dxa"/>
            <w:vAlign w:val="bottom"/>
          </w:tcPr>
          <w:p>
            <w:pPr>
              <w:spacing w:after="0"/>
              <w:rPr>
                <w:sz w:val="6"/>
                <w:szCs w:val="6"/>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Security (Instr.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Following</w:t>
            </w:r>
          </w:p>
        </w:tc>
        <w:tc>
          <w:tcPr>
            <w:tcW w:w="7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(I) (Instr. 4)</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2.</w:t>
            </w: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5. Number</w:t>
            </w:r>
          </w:p>
        </w:tc>
        <w:tc>
          <w:tcPr>
            <w:tcW w:w="1540" w:type="dxa"/>
            <w:vAlign w:val="bottom"/>
            <w:gridSpan w:val="2"/>
            <w:vMerge w:val="continue"/>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7. Title and</w:t>
            </w: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9. Number of</w:t>
            </w:r>
          </w:p>
        </w:tc>
        <w:tc>
          <w:tcPr>
            <w:tcW w:w="7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10.</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4"/>
                <w:szCs w:val="4"/>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Disposed</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3 and 4)</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Reported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4"/>
                <w:szCs w:val="4"/>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of (D)</w:t>
            </w:r>
          </w:p>
        </w:tc>
        <w:tc>
          <w:tcPr>
            <w:tcW w:w="300" w:type="dxa"/>
            <w:vAlign w:val="bottom"/>
          </w:tcPr>
          <w:p>
            <w:pPr>
              <w:spacing w:after="0"/>
              <w:rPr>
                <w:sz w:val="4"/>
                <w:szCs w:val="4"/>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Transaction(s)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1540" w:type="dxa"/>
            <w:vAlign w:val="bottom"/>
            <w:gridSpan w:val="2"/>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(Instr. 3, 4</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4)</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Beneficially</w:t>
            </w: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720" w:type="dxa"/>
            <w:vAlign w:val="bottom"/>
          </w:tcPr>
          <w:p>
            <w:pPr>
              <w:spacing w:after="0"/>
              <w:rPr>
                <w:sz w:val="4"/>
                <w:szCs w:val="4"/>
                <w:color w:val="auto"/>
              </w:rPr>
            </w:pPr>
          </w:p>
        </w:tc>
        <w:tc>
          <w:tcPr>
            <w:tcW w:w="800" w:type="dxa"/>
            <w:vAlign w:val="bottom"/>
            <w:vMerge w:val="restart"/>
          </w:tcPr>
          <w:p>
            <w:pPr>
              <w:ind w:left="60"/>
              <w:spacing w:after="0" w:line="11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and 5)</w:t>
            </w: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restart"/>
          </w:tcPr>
          <w:p>
            <w:pPr>
              <w:ind w:left="60"/>
              <w:spacing w:after="0" w:line="11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4"/>
                <w:szCs w:val="4"/>
                <w:color w:val="auto"/>
              </w:rPr>
            </w:pPr>
          </w:p>
        </w:tc>
        <w:tc>
          <w:tcPr>
            <w:tcW w:w="9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or Indirect</w:t>
            </w:r>
          </w:p>
        </w:tc>
        <w:tc>
          <w:tcPr>
            <w:tcW w:w="7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gridSpan w:val="2"/>
          </w:tcPr>
          <w:p>
            <w:pPr>
              <w:ind w:left="80"/>
              <w:spacing w:after="0" w:line="60" w:lineRule="exact"/>
              <w:rPr>
                <w:sz w:val="20"/>
                <w:szCs w:val="20"/>
                <w:color w:val="auto"/>
              </w:rPr>
            </w:pPr>
            <w:r>
              <w:rPr>
                <w:rFonts w:ascii="Arial" w:cs="Arial" w:eastAsia="Arial" w:hAnsi="Arial"/>
                <w:sz w:val="6"/>
                <w:szCs w:val="6"/>
                <w:b w:val="1"/>
                <w:bCs w:val="1"/>
                <w:color w:val="auto"/>
              </w:rPr>
              <w:t>Acquired</w:t>
            </w: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20" w:type="dxa"/>
            <w:vAlign w:val="bottom"/>
          </w:tcPr>
          <w:p>
            <w:pPr>
              <w:spacing w:after="0"/>
              <w:rPr>
                <w:sz w:val="9"/>
                <w:szCs w:val="9"/>
                <w:color w:val="auto"/>
              </w:rPr>
            </w:pPr>
          </w:p>
        </w:tc>
        <w:tc>
          <w:tcPr>
            <w:tcW w:w="80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Borders>
              <w:top w:val="single" w:sz="8" w:color="2C2C2C"/>
            </w:tcBorders>
          </w:tcPr>
          <w:p>
            <w:pPr>
              <w:spacing w:after="0"/>
              <w:rPr>
                <w:sz w:val="9"/>
                <w:szCs w:val="9"/>
                <w:color w:val="auto"/>
              </w:rPr>
            </w:pPr>
          </w:p>
        </w:tc>
        <w:tc>
          <w:tcPr>
            <w:tcW w:w="440" w:type="dxa"/>
            <w:vAlign w:val="bottom"/>
            <w:tcBorders>
              <w:top w:val="single" w:sz="8" w:color="2C2C2C"/>
            </w:tcBorders>
          </w:tcPr>
          <w:p>
            <w:pPr>
              <w:ind w:left="80"/>
              <w:spacing w:after="0" w:line="107" w:lineRule="exact"/>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9"/>
                <w:szCs w:val="9"/>
                <w:color w:val="auto"/>
              </w:rPr>
            </w:pPr>
          </w:p>
        </w:tc>
        <w:tc>
          <w:tcPr>
            <w:tcW w:w="800" w:type="dxa"/>
            <w:vAlign w:val="bottom"/>
            <w:tcBorders>
              <w:top w:val="single" w:sz="8" w:color="2C2C2C"/>
            </w:tcBorders>
          </w:tcPr>
          <w:p>
            <w:pPr>
              <w:spacing w:after="0"/>
              <w:rPr>
                <w:sz w:val="9"/>
                <w:szCs w:val="9"/>
                <w:color w:val="auto"/>
              </w:rPr>
            </w:pPr>
          </w:p>
        </w:tc>
        <w:tc>
          <w:tcPr>
            <w:tcW w:w="740" w:type="dxa"/>
            <w:vAlign w:val="bottom"/>
            <w:tcBorders>
              <w:top w:val="single" w:sz="8" w:color="2C2C2C"/>
            </w:tcBorders>
          </w:tcPr>
          <w:p>
            <w:pPr>
              <w:spacing w:after="0"/>
              <w:rPr>
                <w:sz w:val="9"/>
                <w:szCs w:val="9"/>
                <w:color w:val="auto"/>
              </w:rPr>
            </w:pPr>
          </w:p>
        </w:tc>
        <w:tc>
          <w:tcPr>
            <w:tcW w:w="980" w:type="dxa"/>
            <w:vAlign w:val="bottom"/>
            <w:tcBorders>
              <w:top w:val="single" w:sz="8" w:color="2C2C2C"/>
            </w:tcBorders>
          </w:tcPr>
          <w:p>
            <w:pPr>
              <w:ind w:left="60"/>
              <w:spacing w:after="0" w:line="107"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tcPr>
          <w:p>
            <w:pPr>
              <w:ind w:left="460"/>
              <w:spacing w:after="0" w:line="54" w:lineRule="exact"/>
              <w:rPr>
                <w:sz w:val="20"/>
                <w:szCs w:val="20"/>
                <w:color w:val="auto"/>
              </w:rPr>
            </w:pPr>
            <w:r>
              <w:rPr>
                <w:rFonts w:ascii="Arial" w:cs="Arial" w:eastAsia="Arial" w:hAnsi="Arial"/>
                <w:sz w:val="6"/>
                <w:szCs w:val="6"/>
                <w:b w:val="1"/>
                <w:bCs w:val="1"/>
                <w:color w:val="auto"/>
              </w:rPr>
              <w:t>Amount</w:t>
            </w:r>
          </w:p>
        </w:tc>
        <w:tc>
          <w:tcPr>
            <w:tcW w:w="640" w:type="dxa"/>
            <w:vAlign w:val="bottom"/>
          </w:tcPr>
          <w:p>
            <w:pPr>
              <w:spacing w:after="0"/>
              <w:rPr>
                <w:sz w:val="4"/>
                <w:szCs w:val="4"/>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3 and 4)</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gridSpan w:val="2"/>
          </w:tcPr>
          <w:p>
            <w:pPr>
              <w:ind w:left="460"/>
              <w:spacing w:after="0" w:line="66" w:lineRule="exact"/>
              <w:rPr>
                <w:sz w:val="20"/>
                <w:szCs w:val="20"/>
                <w:color w:val="auto"/>
              </w:rPr>
            </w:pPr>
            <w:r>
              <w:rPr>
                <w:rFonts w:ascii="Arial" w:cs="Arial" w:eastAsia="Arial" w:hAnsi="Arial"/>
                <w:sz w:val="7"/>
                <w:szCs w:val="7"/>
                <w:b w:val="1"/>
                <w:bCs w:val="1"/>
                <w:color w:val="auto"/>
              </w:rPr>
              <w:t>or</w:t>
            </w:r>
          </w:p>
        </w:tc>
        <w:tc>
          <w:tcPr>
            <w:tcW w:w="640" w:type="dxa"/>
            <w:vAlign w:val="bottom"/>
          </w:tcPr>
          <w:p>
            <w:pPr>
              <w:spacing w:after="0"/>
              <w:rPr>
                <w:sz w:val="5"/>
                <w:szCs w:val="5"/>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line="66" w:lineRule="exact"/>
              <w:rPr>
                <w:sz w:val="20"/>
                <w:szCs w:val="20"/>
                <w:color w:val="auto"/>
              </w:rPr>
            </w:pPr>
            <w:r>
              <w:rPr>
                <w:rFonts w:ascii="Arial" w:cs="Arial" w:eastAsia="Arial" w:hAnsi="Arial"/>
                <w:sz w:val="7"/>
                <w:szCs w:val="7"/>
                <w:b w:val="1"/>
                <w:bCs w:val="1"/>
                <w:color w:val="auto"/>
              </w:rPr>
              <w:t>and 5)</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w:t>
            </w:r>
          </w:p>
        </w:tc>
        <w:tc>
          <w:tcPr>
            <w:tcW w:w="300" w:type="dxa"/>
            <w:vAlign w:val="bottom"/>
            <w:vMerge w:val="continue"/>
          </w:tcPr>
          <w:p>
            <w:pPr>
              <w:spacing w:after="0"/>
              <w:rPr>
                <w:sz w:val="12"/>
                <w:szCs w:val="12"/>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820" w:type="dxa"/>
            <w:vAlign w:val="bottom"/>
            <w:tcBorders>
              <w:top w:val="single" w:sz="8" w:color="2C2C2C"/>
              <w:bottom w:val="single" w:sz="8" w:color="808080"/>
            </w:tcBorders>
          </w:tcPr>
          <w:p>
            <w:pPr>
              <w:spacing w:after="0"/>
              <w:rPr>
                <w:sz w:val="2"/>
                <w:szCs w:val="2"/>
                <w:color w:val="auto"/>
              </w:rPr>
            </w:pPr>
          </w:p>
        </w:tc>
        <w:tc>
          <w:tcPr>
            <w:tcW w:w="440" w:type="dxa"/>
            <w:vAlign w:val="bottom"/>
            <w:tcBorders>
              <w:top w:val="single" w:sz="8" w:color="2C2C2C"/>
              <w:bottom w:val="single" w:sz="8" w:color="808080"/>
            </w:tcBorders>
          </w:tcPr>
          <w:p>
            <w:pPr>
              <w:spacing w:after="0"/>
              <w:rPr>
                <w:sz w:val="2"/>
                <w:szCs w:val="2"/>
                <w:color w:val="auto"/>
              </w:rPr>
            </w:pPr>
          </w:p>
        </w:tc>
        <w:tc>
          <w:tcPr>
            <w:tcW w:w="300" w:type="dxa"/>
            <w:vAlign w:val="bottom"/>
            <w:tcBorders>
              <w:top w:val="single" w:sz="8" w:color="2C2C2C"/>
              <w:bottom w:val="single" w:sz="8" w:color="808080"/>
            </w:tcBorders>
          </w:tcPr>
          <w:p>
            <w:pPr>
              <w:spacing w:after="0"/>
              <w:rPr>
                <w:sz w:val="2"/>
                <w:szCs w:val="2"/>
                <w:color w:val="auto"/>
              </w:rPr>
            </w:pPr>
          </w:p>
        </w:tc>
        <w:tc>
          <w:tcPr>
            <w:tcW w:w="800" w:type="dxa"/>
            <w:vAlign w:val="bottom"/>
            <w:tcBorders>
              <w:top w:val="single" w:sz="8" w:color="2C2C2C"/>
              <w:bottom w:val="single" w:sz="8" w:color="808080"/>
            </w:tcBorders>
          </w:tcPr>
          <w:p>
            <w:pPr>
              <w:spacing w:after="0"/>
              <w:rPr>
                <w:sz w:val="2"/>
                <w:szCs w:val="2"/>
                <w:color w:val="auto"/>
              </w:rPr>
            </w:pPr>
          </w:p>
        </w:tc>
        <w:tc>
          <w:tcPr>
            <w:tcW w:w="740" w:type="dxa"/>
            <w:vAlign w:val="bottom"/>
            <w:tcBorders>
              <w:top w:val="single" w:sz="8" w:color="2C2C2C"/>
              <w:bottom w:val="single" w:sz="8" w:color="808080"/>
            </w:tcBorders>
          </w:tcPr>
          <w:p>
            <w:pPr>
              <w:spacing w:after="0"/>
              <w:rPr>
                <w:sz w:val="2"/>
                <w:szCs w:val="2"/>
                <w:color w:val="auto"/>
              </w:rPr>
            </w:pPr>
          </w:p>
        </w:tc>
        <w:tc>
          <w:tcPr>
            <w:tcW w:w="980" w:type="dxa"/>
            <w:vAlign w:val="bottom"/>
            <w:tcBorders>
              <w:top w:val="single" w:sz="8" w:color="2C2C2C"/>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00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00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3"/>
        </w:trPr>
        <w:tc>
          <w:tcPr>
            <w:tcW w:w="4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6540" w:type="dxa"/>
            <w:vAlign w:val="bottom"/>
            <w:tcBorders>
              <w:top w:val="single" w:sz="8" w:color="2C2C2C"/>
            </w:tcBorders>
          </w:tcPr>
          <w:p>
            <w:pPr>
              <w:ind w:left="2800"/>
              <w:spacing w:after="0" w:line="113" w:lineRule="exact"/>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89"/>
        </w:trPr>
        <w:tc>
          <w:tcPr>
            <w:tcW w:w="4540" w:type="dxa"/>
            <w:vAlign w:val="bottom"/>
            <w:vMerge w:val="continue"/>
          </w:tcPr>
          <w:p>
            <w:pPr>
              <w:spacing w:after="0"/>
              <w:rPr>
                <w:sz w:val="7"/>
                <w:szCs w:val="7"/>
                <w:color w:val="auto"/>
              </w:rPr>
            </w:pPr>
          </w:p>
        </w:tc>
        <w:tc>
          <w:tcPr>
            <w:tcW w:w="6540" w:type="dxa"/>
            <w:vAlign w:val="bottom"/>
            <w:vMerge w:val="restart"/>
          </w:tcPr>
          <w:p>
            <w:pPr>
              <w:ind w:left="2800"/>
              <w:spacing w:after="0" w:line="122"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6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40" w:right="360" w:firstLine="7"/>
        <w:spacing w:after="0" w:line="252" w:lineRule="auto"/>
        <w:tabs>
          <w:tab w:leader="none" w:pos="17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weighted average purchase price of the shares of the Issuer's common stock purchased, ranging from a low of $54.00 to</w:t>
      </w:r>
      <w:r>
        <w:rPr>
          <w:rFonts w:ascii="Arial" w:cs="Arial" w:eastAsia="Arial" w:hAnsi="Arial"/>
          <w:sz w:val="10"/>
          <w:szCs w:val="10"/>
          <w:b w:val="1"/>
          <w:bCs w:val="1"/>
          <w:color w:val="000000"/>
        </w:rPr>
        <w:t>Number</w:t>
      </w:r>
      <w:r>
        <w:rPr>
          <w:rFonts w:ascii="Times New Roman" w:cs="Times New Roman" w:eastAsia="Times New Roman" w:hAnsi="Times New Roman"/>
          <w:sz w:val="12"/>
          <w:szCs w:val="12"/>
          <w:color w:val="008000"/>
        </w:rPr>
        <w:t xml:space="preserve">ahighof $54.66 per share. The Reporting Person undertakes, upon request by the staff of the Securities and Exchange Commission, the Issuer or a security holder </w:t>
      </w:r>
      <w:r>
        <w:rPr>
          <w:rFonts w:ascii="Arial" w:cs="Arial" w:eastAsia="Arial" w:hAnsi="Arial"/>
          <w:sz w:val="10"/>
          <w:szCs w:val="10"/>
          <w:b w:val="1"/>
          <w:bCs w:val="1"/>
          <w:color w:val="000000"/>
        </w:rPr>
        <w:t>Date</w:t>
      </w:r>
      <w:r>
        <w:rPr>
          <w:rFonts w:ascii="Times New Roman" w:cs="Times New Roman" w:eastAsia="Times New Roman" w:hAnsi="Times New Roman"/>
          <w:sz w:val="12"/>
          <w:szCs w:val="12"/>
          <w:color w:val="008000"/>
        </w:rPr>
        <w:t>ofthe Issuer, to</w:t>
      </w:r>
      <w:r>
        <w:rPr>
          <w:rFonts w:ascii="Arial" w:cs="Arial" w:eastAsia="Arial" w:hAnsi="Arial"/>
          <w:sz w:val="10"/>
          <w:szCs w:val="10"/>
          <w:b w:val="1"/>
          <w:bCs w:val="1"/>
          <w:color w:val="000000"/>
        </w:rPr>
        <w:t>Expiration</w:t>
      </w:r>
      <w:r>
        <w:rPr>
          <w:rFonts w:ascii="Times New Roman" w:cs="Times New Roman" w:eastAsia="Times New Roman" w:hAnsi="Times New Roman"/>
          <w:sz w:val="12"/>
          <w:szCs w:val="12"/>
          <w:color w:val="008000"/>
        </w:rPr>
        <w:t>providefull information</w:t>
      </w:r>
      <w:r>
        <w:rPr>
          <w:rFonts w:ascii="Arial" w:cs="Arial" w:eastAsia="Arial" w:hAnsi="Arial"/>
          <w:sz w:val="10"/>
          <w:szCs w:val="10"/>
          <w:b w:val="1"/>
          <w:bCs w:val="1"/>
          <w:color w:val="000000"/>
        </w:rPr>
        <w:t>of</w:t>
      </w:r>
      <w:r>
        <w:rPr>
          <w:rFonts w:ascii="Times New Roman" w:cs="Times New Roman" w:eastAsia="Times New Roman" w:hAnsi="Times New Roman"/>
          <w:sz w:val="12"/>
          <w:szCs w:val="12"/>
          <w:color w:val="008000"/>
        </w:rPr>
        <w:t xml:space="preserve"> regarding the number of shares purchased at each separate</w:t>
      </w:r>
    </w:p>
    <w:p>
      <w:pPr>
        <w:ind w:left="40"/>
        <w:spacing w:after="0"/>
        <w:tabs>
          <w:tab w:leader="none" w:pos="3820" w:val="left"/>
          <w:tab w:leader="none" w:pos="4260" w:val="left"/>
          <w:tab w:leader="none" w:pos="4660" w:val="left"/>
          <w:tab w:leader="none" w:pos="5020" w:val="left"/>
          <w:tab w:leader="none" w:pos="5380" w:val="left"/>
          <w:tab w:leader="none" w:pos="6200" w:val="left"/>
          <w:tab w:leader="none" w:pos="6920" w:val="left"/>
          <w:tab w:leader="none" w:pos="7320" w:val="left"/>
        </w:tabs>
        <w:rPr>
          <w:sz w:val="20"/>
          <w:szCs w:val="20"/>
          <w:color w:val="auto"/>
        </w:rPr>
      </w:pPr>
      <w:r>
        <w:rPr>
          <w:rFonts w:ascii="Times New Roman" w:cs="Times New Roman" w:eastAsia="Times New Roman" w:hAnsi="Times New Roman"/>
          <w:sz w:val="13"/>
          <w:szCs w:val="13"/>
          <w:color w:val="008000"/>
        </w:rPr>
        <w:t>price.</w:t>
      </w:r>
      <w:r>
        <w:rPr>
          <w:sz w:val="20"/>
          <w:szCs w:val="20"/>
          <w:color w:val="auto"/>
        </w:rPr>
        <w:tab/>
      </w:r>
      <w:r>
        <w:rPr>
          <w:rFonts w:ascii="Arial" w:cs="Arial" w:eastAsia="Arial" w:hAnsi="Arial"/>
          <w:sz w:val="12"/>
          <w:szCs w:val="12"/>
          <w:b w:val="1"/>
          <w:bCs w:val="1"/>
          <w:color w:val="auto"/>
        </w:rPr>
        <w:t>Code</w:t>
        <w:tab/>
        <w:t>V</w:t>
      </w:r>
      <w:r>
        <w:rPr>
          <w:sz w:val="20"/>
          <w:szCs w:val="20"/>
          <w:color w:val="auto"/>
        </w:rPr>
        <w:tab/>
      </w:r>
      <w:r>
        <w:rPr>
          <w:rFonts w:ascii="Arial" w:cs="Arial" w:eastAsia="Arial" w:hAnsi="Arial"/>
          <w:sz w:val="12"/>
          <w:szCs w:val="12"/>
          <w:b w:val="1"/>
          <w:bCs w:val="1"/>
          <w:color w:val="auto"/>
        </w:rPr>
        <w:t>(A)</w:t>
        <w:tab/>
        <w:t>(D)</w:t>
        <w:tab/>
        <w:t>Exercisable</w:t>
        <w:tab/>
        <w:t>Date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Shares</w:t>
      </w:r>
    </w:p>
    <w:p>
      <w:pPr>
        <w:spacing w:after="0" w:line="40" w:lineRule="exact"/>
        <w:rPr>
          <w:sz w:val="20"/>
          <w:szCs w:val="20"/>
          <w:color w:val="auto"/>
        </w:rPr>
      </w:pPr>
    </w:p>
    <w:p>
      <w:pPr>
        <w:jc w:val="both"/>
        <w:ind w:left="40" w:right="3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the shares of the Issuer's common stock purchased, ranging from a low of $55.01 to a high of $55.02 per share. The Reporting Person undertakes, upon request by the staff of the Securities and Exchange Commission, the Issuer or a security holder of the Issuer, to provide full information regarding the number of shares purchased at each separate price.</w:t>
      </w:r>
    </w:p>
    <w:p>
      <w:pPr>
        <w:spacing w:after="0" w:line="171" w:lineRule="exact"/>
        <w:rPr>
          <w:rFonts w:ascii="Times New Roman" w:cs="Times New Roman" w:eastAsia="Times New Roman" w:hAnsi="Times New Roman"/>
          <w:sz w:val="13"/>
          <w:szCs w:val="13"/>
          <w:color w:val="008000"/>
        </w:rPr>
      </w:pPr>
    </w:p>
    <w:p>
      <w:pPr>
        <w:jc w:val="both"/>
        <w:ind w:left="40" w:right="3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the shares of the Issuer's common stock purchased, ranging from a low of $54.00 to a high of $54.07 per share. The Reporting Person undertakes, upon request by the staff of the Securities and Exchange Commission, the Issuer or a security holder of the Issuer, to provide full information regarding the number of shares purchased at each separate price.</w:t>
      </w:r>
    </w:p>
    <w:p>
      <w:pPr>
        <w:spacing w:after="0" w:line="171" w:lineRule="exact"/>
        <w:rPr>
          <w:rFonts w:ascii="Times New Roman" w:cs="Times New Roman" w:eastAsia="Times New Roman" w:hAnsi="Times New Roman"/>
          <w:sz w:val="13"/>
          <w:szCs w:val="13"/>
          <w:color w:val="008000"/>
        </w:rPr>
      </w:pPr>
    </w:p>
    <w:p>
      <w:pPr>
        <w:ind w:left="40" w:right="3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the shares of the Issuer's common stock purchased, ranging from a low of $55.03 to a high of $55.11 per share. The Reporting Person undertakes, upon request by the staff of the Securities and Exchange Commission, the Issuer or a security holder of the Issuer, to provide full information regarding the number of shares purchased at each separate price.</w:t>
      </w:r>
    </w:p>
    <w:p>
      <w:pPr>
        <w:spacing w:after="0" w:line="171" w:lineRule="exact"/>
        <w:rPr>
          <w:rFonts w:ascii="Times New Roman" w:cs="Times New Roman" w:eastAsia="Times New Roman" w:hAnsi="Times New Roman"/>
          <w:sz w:val="13"/>
          <w:szCs w:val="13"/>
          <w:color w:val="008000"/>
        </w:rPr>
      </w:pPr>
    </w:p>
    <w:p>
      <w:pPr>
        <w:jc w:val="both"/>
        <w:ind w:left="40" w:right="3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the shares of the Issuer's common stock purchased, ranging from a low of $54.00 to a high of $54.96 per share. The Reporting Person undertakes, upon request by the staff of the Securities and Exchange Commission, the Issuer or a security holder of the Issuer, to provide full information regarding the number of shares purchased at each separate price.</w:t>
      </w:r>
    </w:p>
    <w:p>
      <w:pPr>
        <w:spacing w:after="0" w:line="171"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jc w:val="both"/>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GP VIII, GP VI, and Genesis GP disclaims beneficial ownership of the securities reported herein for purposes of Rule 16a-1(a) under the Securities Exchange Act of 1934, as amended (the "Exchange Act"), except to the extent of her or its pecuniary interest therein, if any. This report shall not be deemed an admission that any of the Reporting Person, OrbiMed Advisors, GP VIII, GP VI, or Genesis GP is a beneficial owner of such securities for purposes of Section 16 of the Exchange Act,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Mona Ashiya</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07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2025-03-12T20:47:18Z</dcterms:created>
  <dcterms:modified xsi:type="dcterms:W3CDTF">2025-03-12T20:47:18Z</dcterms:modified>
</cp:coreProperties>
</file>