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254604101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OrbiMed Advisors LLC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601 Lexington Avenue, 54th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739-6400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OrbiMed Capital GP VI LLC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601 Lexington Avenue, 54th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739-6400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OrbiMed Capital GP VIII LLC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601 Lexington Avenue, 54th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739-6400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OrbiMed Genesis GP LLC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601 Lexington Avenue, 54th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739-6400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w:t>
      </w:r>
    </w:p>
    <w:p>
      <w:pPr>
        <w:sectPr>
          <w:pgSz w:w="11900" w:h="16838" w:orient="portrait"/>
          <w:cols w:equalWidth="0" w:num="1">
            <w:col w:w="11240"/>
          </w:cols>
          <w:pgMar w:left="320" w:top="866"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1" w:right="1440" w:bottom="3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ORBIMED ADVISORS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347"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1,556,369.00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1,556,369.00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1,556,369.00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8979"/>
          </w:cols>
          <w:pgMar w:left="320" w:top="111" w:right="1440" w:bottom="34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139"/>
          </w:cols>
          <w:pgMar w:left="320" w:top="111" w:right="1440" w:bottom="347" w:gutter="0" w:footer="0" w:header="0"/>
          <w:type w:val="continuous"/>
        </w:sect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ectPr>
          <w:pgSz w:w="11900" w:h="16838" w:orient="portrait"/>
          <w:cols w:equalWidth="0" w:num="1">
            <w:col w:w="10139"/>
          </w:cols>
          <w:pgMar w:left="320" w:top="111" w:right="1440" w:bottom="347" w:gutter="0" w:footer="0" w:header="0"/>
          <w:type w:val="continuous"/>
        </w:sectPr>
      </w:pPr>
    </w:p>
    <w:bookmarkStart w:id="2" w:name="page3"/>
    <w:bookmarkEnd w:id="2"/>
    <w:p>
      <w:pPr>
        <w:ind w:left="1120" w:hanging="1112"/>
        <w:spacing w:after="0"/>
        <w:tabs>
          <w:tab w:leader="none" w:pos="11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ORBIMED CAPITAL GP VI LLC</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530,487.00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530,487.00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530,487.00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Capital GP VIII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2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820,707.00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820,707.00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820,707.00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Genesis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205,175.00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369" w:right="1440"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369" w:right="1440" w:bottom="0" w:gutter="0" w:footer="0" w:header="0"/>
          <w:type w:val="continuous"/>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205,175.00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205,175.00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321 Arsenal Street, Suite 101, Watertown, MASSACHUSETTS , 02472.</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5 ("Amendment No. 5") to Schedule 13D supplements and amends the Statement on Schedule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13D of OrbiMed Advisors LLC ("OrbiMed Advisors"), OrbiMed Capital GP VI LLC ("GP VI"), OrbiMed Capital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GP VIII LLC ("GP VIII"), and OrbiMed Genesis GP LLC ("OrbiMed Genesis") (collectively, the "Reporting Persons") originally filed with the Securities and Exchange Commission (the "SEC") on February 22, 2022, as amended by Amendment No. 1 filed with the SEC on January 3, 2023, Amendment No. 2 filed with the SEC on June 21, 2023, Amendment No. 3 filed with the SEC on December 15, 2023 and Amendment No. 4 filed with the SEC on June 20, 2024. This Amendment No. 5 is being filed to report that following the transactions described in Item 5(c) below, the Reporting Persons (as defined below) ceased to be the beneficial owners of more than 5% of the Shares</w:t>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and, as a result, this Amendment No. 5 is an exit filing for the Reporting Persons.</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240"/>
        <w:spacing w:after="0" w:line="249" w:lineRule="auto"/>
        <w:rPr>
          <w:sz w:val="20"/>
          <w:szCs w:val="20"/>
          <w:color w:val="auto"/>
        </w:rPr>
      </w:pPr>
      <w:r>
        <w:rPr>
          <w:rFonts w:ascii="Times New Roman" w:cs="Times New Roman" w:eastAsia="Times New Roman" w:hAnsi="Times New Roman"/>
          <w:sz w:val="21"/>
          <w:szCs w:val="21"/>
          <w:color w:val="auto"/>
        </w:rPr>
        <w:t>OrbiMed Advisors is a limited liability company organized under the laws of Delaware and a registered investment adviser under the Investment Advisers Act of 1940, as amended. GP VI is a limited liability company organized under the laws of Delaware. GP VIII is a limited liability company organized under the laws of Delaware. OrbiMed</w:t>
      </w:r>
    </w:p>
    <w:p>
      <w:pPr>
        <w:spacing w:after="0" w:line="1" w:lineRule="exact"/>
        <w:rPr>
          <w:sz w:val="20"/>
          <w:szCs w:val="20"/>
          <w:color w:val="auto"/>
        </w:rPr>
      </w:pPr>
    </w:p>
    <w:p>
      <w:pPr>
        <w:ind w:left="920" w:right="180" w:hanging="912"/>
        <w:spacing w:after="0" w:line="196"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Genesis is a limited liability company organized under the laws of Delaware Carl L. Gordon is a United States citizen. Sven H. Borho is a German and Swedish citizen. W. Carter Neild is a United States citizen. Geoffrey C. Hsu is a United States citizen. C. Scotland Stevens is a United States citizen. David P. Bonita is a United States citizen. Peter A. Thompson is a United States citizen. Matthew S. Rizzo is a United States citizen. Trey Block is a United States citizen.</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601 Lexington Avenue, 54th Floor, New York, New York 10022.</w:t>
      </w:r>
    </w:p>
    <w:p>
      <w:pPr>
        <w:spacing w:after="0" w:line="44" w:lineRule="exact"/>
        <w:rPr>
          <w:rFonts w:ascii="Times New Roman" w:cs="Times New Roman" w:eastAsia="Times New Roman" w:hAnsi="Times New Roman"/>
          <w:sz w:val="22"/>
          <w:szCs w:val="22"/>
          <w:color w:val="auto"/>
        </w:rPr>
      </w:pPr>
    </w:p>
    <w:p>
      <w:pPr>
        <w:ind w:left="920" w:right="4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OrbiMed Advisors is the managing member or general partner of certain entities as more particularly described in Item 6 below. GP VI is the general partner of a limited partnership as more particularly described in Item 6 below. GP VIII is the general partner of a limited partnership as more particularly described in Item 6 below. OrbiMed Genesis is the general partner of a limited partnership as more particularly described in Item 6 below. Carl L. Gordon is a</w:t>
      </w:r>
    </w:p>
    <w:p>
      <w:pPr>
        <w:spacing w:after="0" w:line="1" w:lineRule="exact"/>
        <w:rPr>
          <w:rFonts w:ascii="Times New Roman" w:cs="Times New Roman" w:eastAsia="Times New Roman" w:hAnsi="Times New Roman"/>
          <w:sz w:val="22"/>
          <w:szCs w:val="22"/>
          <w:color w:val="auto"/>
        </w:rPr>
      </w:pPr>
    </w:p>
    <w:p>
      <w:pPr>
        <w:ind w:left="920" w:right="40" w:hanging="912"/>
        <w:spacing w:after="0" w:line="233"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OrbiMed Advisors. Sven H. Borho is a member of OrbiMed Advisors. W. Carter Neild is a member of OrbiMed Advisors. Geoffrey C. Hsu is a member of OrbiMed Advisors. C. Scotland Stevens is a member of OrbiMed Advisors. David P. Bonita is a member of OrbiMed Advisors. Peter A. Thompson is a member of OrbiMed Advisors. Matthew S. Rizzo is a member of OrbiMed Advisors. Trey Block is the Chief Financial Officer of OrbiMed Advisors.</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2(a) is incorporated herein by reference.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ectPr>
          <w:pgSz w:w="11900" w:h="16838" w:orient="portrait"/>
          <w:cols w:equalWidth="0" w:num="1">
            <w:col w:w="11160"/>
          </w:cols>
          <w:pgMar w:left="360" w:top="112" w:right="379" w:bottom="0" w:gutter="0" w:footer="0" w:header="0"/>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32" w:lineRule="auto"/>
        <w:rPr>
          <w:sz w:val="20"/>
          <w:szCs w:val="20"/>
          <w:color w:val="auto"/>
        </w:rPr>
      </w:pPr>
      <w:r>
        <w:rPr>
          <w:rFonts w:ascii="Times New Roman" w:cs="Times New Roman" w:eastAsia="Times New Roman" w:hAnsi="Times New Roman"/>
          <w:sz w:val="22"/>
          <w:szCs w:val="22"/>
          <w:color w:val="auto"/>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 Except as set forth in this Schedule 13D,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line="242" w:lineRule="auto"/>
        <w:rPr>
          <w:sz w:val="20"/>
          <w:szCs w:val="20"/>
          <w:color w:val="auto"/>
        </w:rPr>
      </w:pPr>
      <w:r>
        <w:rPr>
          <w:rFonts w:ascii="Times New Roman" w:cs="Times New Roman" w:eastAsia="Times New Roman" w:hAnsi="Times New Roman"/>
          <w:sz w:val="21"/>
          <w:szCs w:val="21"/>
          <w:color w:val="auto"/>
        </w:rPr>
        <w:t>The following disclosure is based upon 34,569,042 Shares outstanding of the Issuer, as set forth in the Issuer's Annual Report on Form 10-K, filed with the SEC on February 27, 2025. As of the date of this filing, OPI VI, a limited partnership organized under the laws of Delaware, holds 530,487 Shares, constituting approximately 1.5% of the issued and outstanding Shares. GP VI is the general partner of OPI VI, pursuant to the terms of the limited partnership agreement of OPI VI, and OrbiMed Advisors is the managing member of GP VI, pursuant to the terms of the limited liability company agreement of GP VI. As a result, OrbiMed Advisors and GP VI share power to direct the vote and disposition of the Shares held by OPI VI and may be deemed directly or indirectly, including by reason of their mutual affiliation, to be the beneficial owners of the Shares held by OPI VI. OrbiMed Advisors exercises this investment and voting power through a management committee comprised of Carl L. Gordon, Sven H. Borho, and W. Carter Neild, each of whom disclaims beneficial ownership of the Shares held by OPI VI. In addition, OrbiMed Advisors and GP VI, pursuant to their authority under the limited partnership agreement of OPI VI, caused OPI VI to enter into the agreements referred to in Item 6 below. As of the date of this filing, OPI VIII, a limited partnership organized under the laws of Delaware, holds 820,707 Shares, constituting approximately 2.4% of the issued and outstanding Shares. GP VIII is the general partner of OPI VIII, pursuant to the terms of the limited partnership agreement of OPI VIII, and OrbiMed Advisors is the managing member of GP VIII, pursuant to the terms of the limited liability company agreement of GP VIII. As a result, OrbiMed Advisors and GP VIII share power to direct the</w:t>
      </w:r>
    </w:p>
    <w:p>
      <w:pPr>
        <w:spacing w:after="0" w:line="16" w:lineRule="exact"/>
        <w:rPr>
          <w:sz w:val="20"/>
          <w:szCs w:val="20"/>
          <w:color w:val="auto"/>
        </w:rPr>
      </w:pPr>
    </w:p>
    <w:p>
      <w:pPr>
        <w:ind w:left="920" w:right="20" w:hanging="912"/>
        <w:spacing w:after="0" w:line="231"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vote and disposition of the Shares held by OPI VIII and may be deemed directly or indirectly, including by reason of their mutual affiliation, to be the beneficial owners of the Shares held by OPI VIII. OrbiMed Advisors exercises this investment and voting power through a management committee comprised of Carl L. Gordon, Sven H. Borho, and W. Carter Neild, each of whom disclaims beneficial ownership of the Shares held by OPI VIII. In addition, OrbiMed Advisors and GP VIII, pursuant to their authority under the limited partnership agreement of OPI VIII, caused OPI VIII to enter into the agreements referred to in Item 6 below. As of the date of this filing, Genesis, a limited partnership organized under the laws of the Cayman Islands, holds 205,175 Shares, constituting approximately 0.6% of the issued and outstanding Shares. OrbiMed Genesis is the general partner of Genesis, pursuant to the terms of the limited partnership agreement of Genesis, and OrbiMed Advisors is the managing member of OrbiMed Genesis, pursuant to the terms of the limited liability company agreement of OrbiMed Genesis. As a result, OrbiMed Advisors and OrbiMed Genesis share power to direct the vote and disposition of the Shares held by Genesis and may be deemed, directly or indirectly, including by reason of their mutual affiliation, to be the beneficial owners of the Shares held by Genesis. OrbiMed Advisors exercises this investment and voting power through a management committee comprised of Carl L. Gordon, Sven H. Borho and W. Carter Neild, each of whom disclaims beneficial ownership of the Shares held by Genesis. In addition, OrbiMed Advisors and OrbiMed Genesis, pursuant to their authority under the limited partnership agreement of Genesis, caused Genesis to enter into the agreements referred to in Item 6 below.</w:t>
      </w:r>
    </w:p>
    <w:p>
      <w:pPr>
        <w:spacing w:after="0" w:line="2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5(a) is incorporated by reference herein.</w:t>
      </w:r>
    </w:p>
    <w:p>
      <w:pPr>
        <w:spacing w:after="0" w:line="44" w:lineRule="exact"/>
        <w:rPr>
          <w:rFonts w:ascii="Times New Roman" w:cs="Times New Roman" w:eastAsia="Times New Roman" w:hAnsi="Times New Roman"/>
          <w:sz w:val="22"/>
          <w:szCs w:val="22"/>
          <w:color w:val="auto"/>
        </w:rPr>
      </w:pPr>
    </w:p>
    <w:p>
      <w:pPr>
        <w:ind w:left="920" w:right="20" w:hanging="912"/>
        <w:spacing w:after="0" w:line="249"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March 10, 2025, OPI VI sold 68,766 Shares at a weighted average price of $54.29 per Share. On March 10, 2025, OPI VIII sold 106,384 Shares at a weighted average price of $54.29 per Share. On March 10, 2025, Genesis sold 26,596 Shares at a weighted average price of $54.29 per Share. On March 10, 2025, OPI VI sold 136 Shares at a weighted average price of $55.01 per Share. On March 10, 2025, OPI VIII sold 211 Shares at a weighted average price of $55.01 per Share. On March 10, 2025, Genesis sold 53 Shares at a weighted average price of $55.01 per Share. On March 11, 2025, OPI VI sold 9,222 Shares at a weighted average price of $$54.01 per Share. On March 11,</w:t>
      </w:r>
    </w:p>
    <w:p>
      <w:pPr>
        <w:sectPr>
          <w:pgSz w:w="11900" w:h="16838" w:orient="portrait"/>
          <w:cols w:equalWidth="0" w:num="1">
            <w:col w:w="11140"/>
          </w:cols>
          <w:pgMar w:left="360" w:top="111" w:right="399" w:bottom="0" w:gutter="0" w:footer="0" w:header="0"/>
        </w:sectPr>
      </w:pPr>
    </w:p>
    <w:bookmarkStart w:id="6" w:name="page7"/>
    <w:bookmarkEnd w:id="6"/>
    <w:p>
      <w:pPr>
        <w:jc w:val="both"/>
        <w:ind w:left="920" w:right="120"/>
        <w:spacing w:after="0" w:line="259" w:lineRule="auto"/>
        <w:rPr>
          <w:sz w:val="20"/>
          <w:szCs w:val="20"/>
          <w:color w:val="auto"/>
        </w:rPr>
      </w:pPr>
      <w:r>
        <w:rPr>
          <w:rFonts w:ascii="Times New Roman" w:cs="Times New Roman" w:eastAsia="Times New Roman" w:hAnsi="Times New Roman"/>
          <w:sz w:val="21"/>
          <w:szCs w:val="21"/>
          <w:color w:val="auto"/>
        </w:rPr>
        <w:t>2025, OPI VIII sold 14,267 Shares at a weighted average price of $54.0 per Share. On March 11, 2025, Genesis sold 3,567 Shares at a weighted average price of $54.01 per Share. The Reporting Persons undertake, upon request by the staff of the SEC or the Issuer to provide full information regarding the number of Shares sold at each separate price.</w:t>
      </w:r>
    </w:p>
    <w:p>
      <w:pPr>
        <w:spacing w:after="0" w:line="2"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right="34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As of March 11, 2025, the Reporting Persons are believed to have ceased to be the beneficial owners of more than five percent of the outstanding Shares.</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
        <w:spacing w:after="0" w:line="242" w:lineRule="auto"/>
        <w:rPr>
          <w:sz w:val="20"/>
          <w:szCs w:val="20"/>
          <w:color w:val="auto"/>
        </w:rPr>
      </w:pPr>
      <w:r>
        <w:rPr>
          <w:rFonts w:ascii="Times New Roman" w:cs="Times New Roman" w:eastAsia="Times New Roman" w:hAnsi="Times New Roman"/>
          <w:sz w:val="21"/>
          <w:szCs w:val="21"/>
          <w:color w:val="auto"/>
        </w:rPr>
        <w:t>In addition to the relationships between the Reporting Persons described in Items 2 and 5 above, GP VI is the general partner of OPI VI, pursuant to the terms of the limited partnership agreement of OPI VI. Pursuant to this agreement and relationship, GP VI has discretionary investment management authority with respect to the assets of OPI VI. Such authority includes the power to vote and otherwise dispose of securities held by OPI VI. The number of outstanding Shares of the Issuer attributable to OPI VI is 530,487 Shares. GP VI, pursuant to its authority under the limited partnership agreement of OPI VI, may be considered to hold indirectly 530,487 Shares. In addition to the relationships between the Reporting Persons described in Items 2 and 5 above, GP VIII is the general partner of OPI VIII, pursuant to the terms of the limited partnership agreement of OPI VIII. Pursuant to this agreement and relationship, GP VIII has discretionary investment management authority with respect to the assets of OPI VIII. Such authority includes the power to vote and otherwise dispose of securities held by OPI VIII. The number of outstanding Shares of the Issuer attributable to OPI VIII is 820,707 Shares. GP VIII, pursuant to its authority under the limited partnership agreement of OPI VIII, may be considered to hold indirectly 820,707 Shares. OrbiMed Genesis is the general partner of Genesis, pursuant to the terms of the limited partnership agreement of Genesis. Pursuant to this agreement and relationship, OrbiMed Genesis has discretionary investment management authority with respect to the assets of Genesis. Such authority includes the power to vote and otherwise dispose of securities held by Genesis. The number of outstanding Shares of the Issuer attributable to Genesis is 205,175 Shares. OrbiMed Genesis, pursuant to its authority under the limited partnership agreement of Genesis, may be considered to hold indirectly 205,175 Shares. OrbiMed Advisors is the managing member of GP VI, GP VIII, and OrbiMed Genesis, pursuant to the terms of the limited liability company agreements of GP VI, GP VIII, and OrbiMed Genesis. Pursuant to these agreements and relationships, OrbiMed Advisors and GP VI have discretionary investment management authority with respect to the assets of OPI VI, OrbiMed Advisors and GP VIII have discretionary investment management authority with respect to the assets of OPI VIII, and OrbiMed Advisors and OrbiMed Genesis have discretionary investment management authority with respect to the assets of Genesis. Such authority includes the power of GP VI to vote and otherwise dispose of securities held by OPI VI, GP VIII to vote and otherwise dispose of the securities held by OPI VIII, and OrbiMed Genesis to vote and otherwise dispose of the securities held by Genesis. The number of outstanding Shares attributable to OPI VI is 530,487 Shares, the number of outstanding Shares attributable to OPI VIII is 820,707 Shares, and the number of outstanding Shares attributable to Genesis is 205,175 Shares. OrbiMed Advisors, pursuant to its authority under the terms of the limited liability company agreements of GP VI, GP VIII, and OrbiMed Genesis may also be considered to hold indirectly 1,556,369 Shares. Mona Ashiya ("Ashiya"), an employee of OrbiMed Advisors, is a member of the Board of Directors of the Issuer and, accordingly, OrbiMed Advisors, GP VI, and GP VIII may have the ability to affect and influence control of the Issuer. From time to time, Ashiya may receive stock options or other awards of equity-based compensation pursuant to the Issuer's compensation arrangements for non-employee directors. Pursuant to an agreement with OrbiMed Advisors, GP VI, and GP VIII, Ashiya is obligated to transfer any securities issued under any such stock options or other awards, or the economic benefit thereof, to OrbiMed Advisors, GP VI and GP VIII, which will in turn ensure that such securities or economic benefits are provided to OPI VI and OPI VIII.</w:t>
      </w:r>
    </w:p>
    <w:p>
      <w:pPr>
        <w:spacing w:after="0" w:line="28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Exhibit Description ---------------------------------------------------------------------------------------------------------------------</w:t>
      </w:r>
    </w:p>
    <w:p>
      <w:pPr>
        <w:ind w:left="920"/>
        <w:spacing w:after="0" w:line="231" w:lineRule="auto"/>
        <w:rPr>
          <w:sz w:val="20"/>
          <w:szCs w:val="20"/>
          <w:color w:val="auto"/>
        </w:rPr>
      </w:pPr>
      <w:r>
        <w:rPr>
          <w:rFonts w:ascii="Times New Roman" w:cs="Times New Roman" w:eastAsia="Times New Roman" w:hAnsi="Times New Roman"/>
          <w:sz w:val="22"/>
          <w:szCs w:val="22"/>
          <w:color w:val="auto"/>
        </w:rPr>
        <w:t>----------------- 1. Joint Filing Agreement among OrbiMed Advisors LLC, OrbiMed Capital GP VI LLC, OrbiMed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Capital GP VIII LLC, and OrbiMed Genesis GP LLC. ---------------------------------------------------------------------------</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w:t>
      </w: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ORBIMED ADVISORS LLC</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Carl L. Gordon/Member</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03/12/2025</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ORBIMED CAPITAL GP VI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Carl</w:t>
      </w:r>
      <w:r>
        <w:rPr>
          <w:rFonts w:ascii="Times New Roman" w:cs="Times New Roman" w:eastAsia="Times New Roman" w:hAnsi="Times New Roman"/>
          <w:sz w:val="37"/>
          <w:szCs w:val="37"/>
          <w:color w:val="auto"/>
          <w:vertAlign w:val="subscript"/>
        </w:rPr>
        <w:t>LLC</w:t>
      </w:r>
      <w:r>
        <w:rPr>
          <w:rFonts w:ascii="Times New Roman" w:cs="Times New Roman" w:eastAsia="Times New Roman" w:hAnsi="Times New Roman"/>
          <w:sz w:val="19"/>
          <w:szCs w:val="19"/>
          <w:color w:val="auto"/>
        </w:rPr>
        <w:t xml:space="preserve"> L. Gordon/Member of OrbiMed Advisors</w:t>
      </w:r>
    </w:p>
    <w:p>
      <w:pPr>
        <w:sectPr>
          <w:pgSz w:w="11900" w:h="16838" w:orient="portrait"/>
          <w:cols w:equalWidth="0" w:num="1">
            <w:col w:w="11140"/>
          </w:cols>
          <w:pgMar w:left="360" w:top="111" w:right="399" w:bottom="0" w:gutter="0" w:footer="0" w:header="0"/>
        </w:sectPr>
      </w:pPr>
    </w:p>
    <w:bookmarkStart w:id="7" w:name="page8"/>
    <w:bookmarkEnd w:id="7"/>
    <w:tbl>
      <w:tblPr>
        <w:tblLayout w:type="fixed"/>
        <w:tblInd w:w="1420" w:type="dxa"/>
        <w:tblCellMar>
          <w:top w:w="0" w:type="dxa"/>
          <w:left w:w="0" w:type="dxa"/>
          <w:bottom w:w="0" w:type="dxa"/>
          <w:right w:w="0" w:type="dxa"/>
        </w:tblCellMar>
      </w:tblPr>
      <w:tr>
        <w:trPr>
          <w:trHeight w:val="283"/>
        </w:trPr>
        <w:tc>
          <w:tcPr>
            <w:tcW w:w="4220" w:type="dxa"/>
            <w:vAlign w:val="bottom"/>
          </w:tcPr>
          <w:p>
            <w:pPr>
              <w:ind w:left="3160"/>
              <w:spacing w:after="0"/>
              <w:rPr>
                <w:sz w:val="20"/>
                <w:szCs w:val="20"/>
                <w:color w:val="auto"/>
              </w:rPr>
            </w:pPr>
            <w:r>
              <w:rPr>
                <w:rFonts w:ascii="Times New Roman" w:cs="Times New Roman" w:eastAsia="Times New Roman" w:hAnsi="Times New Roman"/>
                <w:sz w:val="22"/>
                <w:szCs w:val="22"/>
                <w:color w:val="auto"/>
              </w:rPr>
              <w:t>Date:</w:t>
            </w:r>
          </w:p>
        </w:tc>
        <w:tc>
          <w:tcPr>
            <w:tcW w:w="4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03/12/2025</w:t>
            </w:r>
          </w:p>
        </w:tc>
        <w:tc>
          <w:tcPr>
            <w:tcW w:w="0" w:type="dxa"/>
            <w:vAlign w:val="bottom"/>
          </w:tcPr>
          <w:p>
            <w:pPr>
              <w:spacing w:after="0"/>
              <w:rPr>
                <w:sz w:val="1"/>
                <w:szCs w:val="1"/>
                <w:color w:val="auto"/>
              </w:rPr>
            </w:pPr>
          </w:p>
        </w:tc>
      </w:tr>
      <w:tr>
        <w:trPr>
          <w:trHeight w:val="405"/>
        </w:trPr>
        <w:tc>
          <w:tcPr>
            <w:tcW w:w="42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OrbiMed Capital GP VIII LLC</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220" w:type="dxa"/>
            <w:vAlign w:val="bottom"/>
          </w:tcPr>
          <w:p>
            <w:pPr>
              <w:ind w:left="3160"/>
              <w:spacing w:after="0"/>
              <w:rPr>
                <w:sz w:val="20"/>
                <w:szCs w:val="20"/>
                <w:color w:val="auto"/>
              </w:rPr>
            </w:pPr>
            <w:r>
              <w:rPr>
                <w:rFonts w:ascii="Times New Roman" w:cs="Times New Roman" w:eastAsia="Times New Roman" w:hAnsi="Times New Roman"/>
                <w:sz w:val="22"/>
                <w:szCs w:val="22"/>
                <w:color w:val="auto"/>
              </w:rPr>
              <w:t>Signature:</w:t>
            </w:r>
          </w:p>
        </w:tc>
        <w:tc>
          <w:tcPr>
            <w:tcW w:w="4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Carl L. Gordon</w:t>
            </w:r>
          </w:p>
        </w:tc>
        <w:tc>
          <w:tcPr>
            <w:tcW w:w="0" w:type="dxa"/>
            <w:vAlign w:val="bottom"/>
          </w:tcPr>
          <w:p>
            <w:pPr>
              <w:spacing w:after="0"/>
              <w:rPr>
                <w:sz w:val="1"/>
                <w:szCs w:val="1"/>
                <w:color w:val="auto"/>
              </w:rPr>
            </w:pPr>
          </w:p>
        </w:tc>
      </w:tr>
      <w:tr>
        <w:trPr>
          <w:trHeight w:val="353"/>
        </w:trPr>
        <w:tc>
          <w:tcPr>
            <w:tcW w:w="4220" w:type="dxa"/>
            <w:vAlign w:val="bottom"/>
          </w:tcPr>
          <w:p>
            <w:pPr>
              <w:ind w:left="3160"/>
              <w:spacing w:after="0"/>
              <w:rPr>
                <w:sz w:val="20"/>
                <w:szCs w:val="20"/>
                <w:color w:val="auto"/>
              </w:rPr>
            </w:pPr>
            <w:r>
              <w:rPr>
                <w:rFonts w:ascii="Times New Roman" w:cs="Times New Roman" w:eastAsia="Times New Roman" w:hAnsi="Times New Roman"/>
                <w:sz w:val="22"/>
                <w:szCs w:val="22"/>
                <w:color w:val="auto"/>
                <w:w w:val="97"/>
              </w:rPr>
              <w:t>Name/Title:</w:t>
            </w:r>
          </w:p>
        </w:tc>
        <w:tc>
          <w:tcPr>
            <w:tcW w:w="40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Carl L. Gordon/Member of OrbiMed Advisors</w:t>
            </w:r>
          </w:p>
        </w:tc>
        <w:tc>
          <w:tcPr>
            <w:tcW w:w="0" w:type="dxa"/>
            <w:vAlign w:val="bottom"/>
          </w:tcPr>
          <w:p>
            <w:pPr>
              <w:spacing w:after="0"/>
              <w:rPr>
                <w:sz w:val="1"/>
                <w:szCs w:val="1"/>
                <w:color w:val="auto"/>
              </w:rPr>
            </w:pPr>
          </w:p>
        </w:tc>
      </w:tr>
      <w:tr>
        <w:trPr>
          <w:trHeight w:val="202"/>
        </w:trPr>
        <w:tc>
          <w:tcPr>
            <w:tcW w:w="4220" w:type="dxa"/>
            <w:vAlign w:val="bottom"/>
          </w:tcPr>
          <w:p>
            <w:pPr>
              <w:spacing w:after="0"/>
              <w:rPr>
                <w:sz w:val="17"/>
                <w:szCs w:val="17"/>
                <w:color w:val="auto"/>
              </w:rPr>
            </w:pPr>
          </w:p>
        </w:tc>
        <w:tc>
          <w:tcPr>
            <w:tcW w:w="406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282"/>
        </w:trPr>
        <w:tc>
          <w:tcPr>
            <w:tcW w:w="4220" w:type="dxa"/>
            <w:vAlign w:val="bottom"/>
          </w:tcPr>
          <w:p>
            <w:pPr>
              <w:ind w:left="3160"/>
              <w:spacing w:after="0"/>
              <w:rPr>
                <w:sz w:val="20"/>
                <w:szCs w:val="20"/>
                <w:color w:val="auto"/>
              </w:rPr>
            </w:pPr>
            <w:r>
              <w:rPr>
                <w:rFonts w:ascii="Times New Roman" w:cs="Times New Roman" w:eastAsia="Times New Roman" w:hAnsi="Times New Roman"/>
                <w:sz w:val="22"/>
                <w:szCs w:val="22"/>
                <w:color w:val="auto"/>
              </w:rPr>
              <w:t>Date:</w:t>
            </w:r>
          </w:p>
        </w:tc>
        <w:tc>
          <w:tcPr>
            <w:tcW w:w="4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03/12/2025</w:t>
            </w:r>
          </w:p>
        </w:tc>
        <w:tc>
          <w:tcPr>
            <w:tcW w:w="0" w:type="dxa"/>
            <w:vAlign w:val="bottom"/>
          </w:tcPr>
          <w:p>
            <w:pPr>
              <w:spacing w:after="0"/>
              <w:rPr>
                <w:sz w:val="1"/>
                <w:szCs w:val="1"/>
                <w:color w:val="auto"/>
              </w:rPr>
            </w:pPr>
          </w:p>
        </w:tc>
      </w:tr>
      <w:tr>
        <w:trPr>
          <w:trHeight w:val="405"/>
        </w:trPr>
        <w:tc>
          <w:tcPr>
            <w:tcW w:w="4220" w:type="dxa"/>
            <w:vAlign w:val="bottom"/>
          </w:tcPr>
          <w:p>
            <w:pPr>
              <w:spacing w:after="0"/>
              <w:rPr>
                <w:sz w:val="20"/>
                <w:szCs w:val="20"/>
                <w:color w:val="auto"/>
              </w:rPr>
            </w:pPr>
            <w:r>
              <w:rPr>
                <w:rFonts w:ascii="Times New Roman" w:cs="Times New Roman" w:eastAsia="Times New Roman" w:hAnsi="Times New Roman"/>
                <w:sz w:val="22"/>
                <w:szCs w:val="22"/>
                <w:color w:val="auto"/>
              </w:rPr>
              <w:t>OrbiMed Genesis GP LLC</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220" w:type="dxa"/>
            <w:vAlign w:val="bottom"/>
          </w:tcPr>
          <w:p>
            <w:pPr>
              <w:ind w:left="3160"/>
              <w:spacing w:after="0"/>
              <w:rPr>
                <w:sz w:val="20"/>
                <w:szCs w:val="20"/>
                <w:color w:val="auto"/>
              </w:rPr>
            </w:pPr>
            <w:r>
              <w:rPr>
                <w:rFonts w:ascii="Times New Roman" w:cs="Times New Roman" w:eastAsia="Times New Roman" w:hAnsi="Times New Roman"/>
                <w:sz w:val="22"/>
                <w:szCs w:val="22"/>
                <w:color w:val="auto"/>
              </w:rPr>
              <w:t>Signature:</w:t>
            </w:r>
          </w:p>
        </w:tc>
        <w:tc>
          <w:tcPr>
            <w:tcW w:w="4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Carl L. Gordon</w:t>
            </w:r>
          </w:p>
        </w:tc>
        <w:tc>
          <w:tcPr>
            <w:tcW w:w="0" w:type="dxa"/>
            <w:vAlign w:val="bottom"/>
          </w:tcPr>
          <w:p>
            <w:pPr>
              <w:spacing w:after="0"/>
              <w:rPr>
                <w:sz w:val="1"/>
                <w:szCs w:val="1"/>
                <w:color w:val="auto"/>
              </w:rPr>
            </w:pPr>
          </w:p>
        </w:tc>
      </w:tr>
      <w:tr>
        <w:trPr>
          <w:trHeight w:val="258"/>
        </w:trPr>
        <w:tc>
          <w:tcPr>
            <w:tcW w:w="4220" w:type="dxa"/>
            <w:vAlign w:val="bottom"/>
            <w:vMerge w:val="restart"/>
          </w:tcPr>
          <w:p>
            <w:pPr>
              <w:ind w:left="3160"/>
              <w:spacing w:after="0"/>
              <w:rPr>
                <w:sz w:val="20"/>
                <w:szCs w:val="20"/>
                <w:color w:val="auto"/>
              </w:rPr>
            </w:pPr>
            <w:r>
              <w:rPr>
                <w:rFonts w:ascii="Times New Roman" w:cs="Times New Roman" w:eastAsia="Times New Roman" w:hAnsi="Times New Roman"/>
                <w:sz w:val="22"/>
                <w:szCs w:val="22"/>
                <w:color w:val="auto"/>
                <w:w w:val="97"/>
              </w:rPr>
              <w:t>Name/Title:</w:t>
            </w:r>
          </w:p>
        </w:tc>
        <w:tc>
          <w:tcPr>
            <w:tcW w:w="40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Carl L. Gordon/Member of OrbiMed Advisors</w:t>
            </w:r>
          </w:p>
        </w:tc>
        <w:tc>
          <w:tcPr>
            <w:tcW w:w="0" w:type="dxa"/>
            <w:vAlign w:val="bottom"/>
          </w:tcPr>
          <w:p>
            <w:pPr>
              <w:spacing w:after="0"/>
              <w:rPr>
                <w:sz w:val="1"/>
                <w:szCs w:val="1"/>
                <w:color w:val="auto"/>
              </w:rPr>
            </w:pPr>
          </w:p>
        </w:tc>
      </w:tr>
      <w:tr>
        <w:trPr>
          <w:trHeight w:val="282"/>
        </w:trPr>
        <w:tc>
          <w:tcPr>
            <w:tcW w:w="4220" w:type="dxa"/>
            <w:vAlign w:val="bottom"/>
            <w:vMerge w:val="continue"/>
          </w:tcPr>
          <w:p>
            <w:pPr>
              <w:spacing w:after="0"/>
              <w:rPr>
                <w:sz w:val="24"/>
                <w:szCs w:val="24"/>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297"/>
        </w:trPr>
        <w:tc>
          <w:tcPr>
            <w:tcW w:w="4220" w:type="dxa"/>
            <w:vAlign w:val="bottom"/>
          </w:tcPr>
          <w:p>
            <w:pPr>
              <w:ind w:left="3160"/>
              <w:spacing w:after="0"/>
              <w:rPr>
                <w:sz w:val="20"/>
                <w:szCs w:val="20"/>
                <w:color w:val="auto"/>
              </w:rPr>
            </w:pPr>
            <w:r>
              <w:rPr>
                <w:rFonts w:ascii="Times New Roman" w:cs="Times New Roman" w:eastAsia="Times New Roman" w:hAnsi="Times New Roman"/>
                <w:sz w:val="22"/>
                <w:szCs w:val="22"/>
                <w:color w:val="auto"/>
              </w:rPr>
              <w:t>Date:</w:t>
            </w:r>
          </w:p>
        </w:tc>
        <w:tc>
          <w:tcPr>
            <w:tcW w:w="4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03/12/2025</w:t>
            </w:r>
          </w:p>
        </w:tc>
        <w:tc>
          <w:tcPr>
            <w:tcW w:w="0" w:type="dxa"/>
            <w:vAlign w:val="bottom"/>
          </w:tcPr>
          <w:p>
            <w:pPr>
              <w:spacing w:after="0"/>
              <w:rPr>
                <w:sz w:val="1"/>
                <w:szCs w:val="1"/>
                <w:color w:val="auto"/>
              </w:rPr>
            </w:pPr>
          </w:p>
        </w:tc>
      </w:tr>
    </w:tbl>
    <w:p>
      <w:pPr>
        <w:sectPr>
          <w:pgSz w:w="11900" w:h="16838" w:orient="portrait"/>
          <w:cols w:equalWidth="0" w:num="1">
            <w:col w:w="9700"/>
          </w:cols>
          <w:pgMar w:left="1440" w:top="111" w:right="7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hereby agree that Amendment No. 5 to the Statement on Schedule 13D, dated March 10, 2025, with respect to the common stock of Disc Medicine, Inc. is filed on behalf of each of us pursuant to and in accordance with the provisions of Rule 13d-1(k) under the Securities Exchange Act of 1934, as amended. Each of the undersigned agrees to be responsible for the timely filing of this Statement, and for the completeness and accuracy of the information concerning itself contained therein. This Agreement may be executed in any number of counterparts, all of which taken together shall constitute one and the same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the 12th day of March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ORBIMED ADVISORS LLC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3360" w:type="dxa"/>
            <w:vAlign w:val="bottom"/>
          </w:tcPr>
          <w:p>
            <w:pPr>
              <w:spacing w:after="0"/>
              <w:rPr>
                <w:sz w:val="17"/>
                <w:szCs w:val="17"/>
                <w:color w:val="auto"/>
              </w:rPr>
            </w:pPr>
          </w:p>
        </w:tc>
      </w:tr>
      <w:tr>
        <w:trPr>
          <w:trHeight w:val="218"/>
        </w:trPr>
        <w:tc>
          <w:tcPr>
            <w:tcW w:w="6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34"/>
        </w:trPr>
        <w:tc>
          <w:tcPr>
            <w:tcW w:w="620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w:t>
            </w:r>
          </w:p>
        </w:tc>
      </w:tr>
      <w:tr>
        <w:trPr>
          <w:trHeight w:val="432"/>
        </w:trPr>
        <w:tc>
          <w:tcPr>
            <w:tcW w:w="11240" w:type="dxa"/>
            <w:vAlign w:val="bottom"/>
            <w:gridSpan w:val="3"/>
          </w:tcPr>
          <w:p>
            <w:pPr>
              <w:ind w:left="5640"/>
              <w:spacing w:after="0"/>
              <w:rPr>
                <w:sz w:val="20"/>
                <w:szCs w:val="20"/>
                <w:color w:val="auto"/>
              </w:rPr>
            </w:pPr>
            <w:r>
              <w:rPr>
                <w:rFonts w:ascii="Times New Roman" w:cs="Times New Roman" w:eastAsia="Times New Roman" w:hAnsi="Times New Roman"/>
                <w:sz w:val="18"/>
                <w:szCs w:val="18"/>
                <w:color w:val="auto"/>
              </w:rPr>
              <w:t>ORBIMED CAPITAL GP VI LLC</w:t>
            </w: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r>
      <w:tr>
        <w:trPr>
          <w:trHeight w:val="39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3360" w:type="dxa"/>
            <w:vAlign w:val="bottom"/>
          </w:tcPr>
          <w:p>
            <w:pPr>
              <w:spacing w:after="0"/>
              <w:rPr>
                <w:sz w:val="24"/>
                <w:szCs w:val="24"/>
                <w:color w:val="auto"/>
              </w:rPr>
            </w:pPr>
          </w:p>
        </w:tc>
      </w:tr>
      <w:tr>
        <w:trPr>
          <w:trHeight w:val="218"/>
        </w:trPr>
        <w:tc>
          <w:tcPr>
            <w:tcW w:w="6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34"/>
        </w:trPr>
        <w:tc>
          <w:tcPr>
            <w:tcW w:w="620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r>
      <w:tr>
        <w:trPr>
          <w:trHeight w:val="432"/>
        </w:trPr>
        <w:tc>
          <w:tcPr>
            <w:tcW w:w="11240" w:type="dxa"/>
            <w:vAlign w:val="bottom"/>
            <w:gridSpan w:val="3"/>
          </w:tcPr>
          <w:p>
            <w:pPr>
              <w:ind w:left="5640"/>
              <w:spacing w:after="0"/>
              <w:rPr>
                <w:sz w:val="20"/>
                <w:szCs w:val="20"/>
                <w:color w:val="auto"/>
              </w:rPr>
            </w:pPr>
            <w:r>
              <w:rPr>
                <w:rFonts w:ascii="Times New Roman" w:cs="Times New Roman" w:eastAsia="Times New Roman" w:hAnsi="Times New Roman"/>
                <w:sz w:val="18"/>
                <w:szCs w:val="18"/>
                <w:color w:val="auto"/>
              </w:rPr>
              <w:t>ORBIMED CAPITAL GP VIII LLC</w:t>
            </w: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r>
      <w:tr>
        <w:trPr>
          <w:trHeight w:val="391"/>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3360" w:type="dxa"/>
            <w:vAlign w:val="bottom"/>
          </w:tcPr>
          <w:p>
            <w:pPr>
              <w:spacing w:after="0"/>
              <w:rPr>
                <w:sz w:val="24"/>
                <w:szCs w:val="24"/>
                <w:color w:val="auto"/>
              </w:rPr>
            </w:pPr>
          </w:p>
        </w:tc>
      </w:tr>
      <w:tr>
        <w:trPr>
          <w:trHeight w:val="218"/>
        </w:trPr>
        <w:tc>
          <w:tcPr>
            <w:tcW w:w="6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34"/>
        </w:trPr>
        <w:tc>
          <w:tcPr>
            <w:tcW w:w="620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r>
      <w:tr>
        <w:trPr>
          <w:trHeight w:val="432"/>
        </w:trPr>
        <w:tc>
          <w:tcPr>
            <w:tcW w:w="11240" w:type="dxa"/>
            <w:vAlign w:val="bottom"/>
            <w:gridSpan w:val="3"/>
          </w:tcPr>
          <w:p>
            <w:pPr>
              <w:ind w:left="5640"/>
              <w:spacing w:after="0"/>
              <w:rPr>
                <w:sz w:val="20"/>
                <w:szCs w:val="20"/>
                <w:color w:val="auto"/>
              </w:rPr>
            </w:pPr>
            <w:r>
              <w:rPr>
                <w:rFonts w:ascii="Times New Roman" w:cs="Times New Roman" w:eastAsia="Times New Roman" w:hAnsi="Times New Roman"/>
                <w:sz w:val="18"/>
                <w:szCs w:val="18"/>
                <w:color w:val="auto"/>
              </w:rPr>
              <w:t>ORBIMED GENESIS GP LLC</w:t>
            </w: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r>
      <w:tr>
        <w:trPr>
          <w:trHeight w:val="391"/>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3360" w:type="dxa"/>
            <w:vAlign w:val="bottom"/>
          </w:tcPr>
          <w:p>
            <w:pPr>
              <w:spacing w:after="0"/>
              <w:rPr>
                <w:sz w:val="24"/>
                <w:szCs w:val="24"/>
                <w:color w:val="auto"/>
              </w:rPr>
            </w:pPr>
          </w:p>
        </w:tc>
      </w:tr>
      <w:tr>
        <w:trPr>
          <w:trHeight w:val="218"/>
        </w:trPr>
        <w:tc>
          <w:tcPr>
            <w:tcW w:w="6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34"/>
        </w:trPr>
        <w:tc>
          <w:tcPr>
            <w:tcW w:w="620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r>
      <w:tr>
        <w:trPr>
          <w:trHeight w:val="1964"/>
        </w:trPr>
        <w:tc>
          <w:tcPr>
            <w:tcW w:w="6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5"/>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2025-03-12T19:02:13Z</dcterms:created>
  <dcterms:modified xsi:type="dcterms:W3CDTF">2025-03-12T19:02:13Z</dcterms:modified>
</cp:coreProperties>
</file>