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iron-20260630.htm"/>
      <w:bookmarkStart w:id="1" w:name="ksiron20260630"/>
      <w:bookmarkEnd w:id="0"/>
      <w:bookmarkEnd w:id="1"/>
      <w:r>
        <w:rPr/>
        <w:t> </w:t>
      </w:r>
    </w:p>
    <w:p>
      <w:pPr>
        <w:pStyle w:val="TextBody"/>
        <w:bidi w:val="0"/>
        <w:jc w:val="left"/>
        <w:rPr/>
      </w:pPr>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5"/>
        </w:rPr>
      </w:pPr>
      <w:r>
        <w:rPr>
          <w:rFonts w:ascii="Times New Roman" w:hAnsi="Times New Roman"/>
          <w:b/>
          <w:color w:val="000000"/>
          <w:sz w:val="35"/>
        </w:rPr>
        <w:t>UNITED STATES</w:t>
      </w:r>
    </w:p>
    <w:p>
      <w:pPr>
        <w:pStyle w:val="TextBody"/>
        <w:bidi w:val="0"/>
        <w:jc w:val="center"/>
        <w:rPr>
          <w:rFonts w:ascii="Times New Roman" w:hAnsi="Times New Roman"/>
          <w:b/>
          <w:color w:val="000000"/>
          <w:sz w:val="35"/>
        </w:rPr>
      </w:pPr>
      <w:r>
        <w:rPr>
          <w:rFonts w:ascii="Times New Roman" w:hAnsi="Times New Roman"/>
          <w:b/>
          <w:color w:val="000000"/>
          <w:sz w:val="35"/>
        </w:rPr>
        <w:t>SECURITIES AND EXCHANGE COMMISSION</w:t>
      </w:r>
    </w:p>
    <w:p>
      <w:pPr>
        <w:pStyle w:val="TextBody"/>
        <w:bidi w:val="0"/>
        <w:jc w:val="center"/>
        <w:rPr>
          <w:rFonts w:ascii="Times New Roman" w:hAnsi="Times New Roman"/>
          <w:b/>
          <w:color w:val="000000"/>
          <w:sz w:val="23"/>
        </w:rPr>
      </w:pPr>
      <w:r>
        <w:rPr>
          <w:rFonts w:ascii="Times New Roman" w:hAnsi="Times New Roman"/>
          <w:b/>
          <w:color w:val="000000"/>
          <w:sz w:val="23"/>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5"/>
        </w:rPr>
      </w:pPr>
      <w:r>
        <w:rPr>
          <w:rFonts w:ascii="Times New Roman" w:hAnsi="Times New Roman"/>
          <w:b/>
          <w:color w:val="000000"/>
          <w:sz w:val="35"/>
        </w:rPr>
        <w:t>FORM 10-Q</w:t>
      </w:r>
    </w:p>
    <w:p>
      <w:pPr>
        <w:pStyle w:val="TextBody"/>
        <w:pBdr>
          <w:bottom w:val="single" w:sz="4" w:space="1" w:color="000000"/>
        </w:pBdr>
        <w:bidi w:val="0"/>
        <w:spacing w:before="40" w:after="10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3"/>
              </w:rPr>
            </w:pPr>
            <w:r>
              <w:rPr>
                <w:rFonts w:ascii="Times New Roman" w:hAnsi="Times New Roman"/>
                <w:b/>
                <w:color w:val="000000"/>
                <w:sz w:val="23"/>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19"/>
        </w:rPr>
      </w:pPr>
      <w:r>
        <w:rPr>
          <w:rFonts w:ascii="Times New Roman" w:hAnsi="Times New Roman"/>
          <w:b/>
          <w:color w:val="000000"/>
          <w:sz w:val="19"/>
        </w:rPr>
        <w:t>For the quarterly period ended June 30, 2026</w:t>
      </w:r>
    </w:p>
    <w:p>
      <w:pPr>
        <w:pStyle w:val="TextBody"/>
        <w:bidi w:val="0"/>
        <w:spacing w:before="120" w:after="283"/>
        <w:jc w:val="center"/>
        <w:rPr>
          <w:rFonts w:ascii="Times New Roman" w:hAnsi="Times New Roman"/>
          <w:b/>
          <w:color w:val="000000"/>
          <w:sz w:val="19"/>
        </w:rPr>
      </w:pPr>
      <w:r>
        <w:rPr>
          <w:rFonts w:ascii="Times New Roman" w:hAnsi="Times New Roman"/>
          <w:b/>
          <w:color w:val="000000"/>
          <w:sz w:val="19"/>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3"/>
              </w:rPr>
            </w:pPr>
            <w:r>
              <w:rPr>
                <w:rFonts w:ascii="Times New Roman" w:hAnsi="Times New Roman"/>
                <w:b/>
                <w:color w:val="000000"/>
                <w:sz w:val="23"/>
              </w:rPr>
              <w:t>TRANSITION REPORT PURSUANT TO SECTION 13 OR 15(d) OF THE SECURITIES EXCHANGE ACT OF 1934</w:t>
            </w:r>
          </w:p>
        </w:tc>
      </w:tr>
    </w:tbl>
    <w:p>
      <w:pPr>
        <w:pStyle w:val="TextBody"/>
        <w:bidi w:val="0"/>
        <w:spacing w:before="100" w:after="283"/>
        <w:jc w:val="center"/>
        <w:rPr>
          <w:rFonts w:ascii="Times New Roman" w:hAnsi="Times New Roman"/>
          <w:b/>
          <w:color w:val="000000"/>
          <w:sz w:val="19"/>
        </w:rPr>
      </w:pPr>
      <w:r>
        <w:rPr>
          <w:rFonts w:ascii="Times New Roman" w:hAnsi="Times New Roman"/>
          <w:b/>
          <w:color w:val="000000"/>
          <w:sz w:val="19"/>
        </w:rPr>
        <w:t>For the transition period from __________________ to __________________</w:t>
      </w:r>
    </w:p>
    <w:p>
      <w:pPr>
        <w:pStyle w:val="TextBody"/>
        <w:bidi w:val="0"/>
        <w:spacing w:before="100" w:after="283"/>
        <w:jc w:val="center"/>
        <w:rPr>
          <w:rFonts w:ascii="Times New Roman" w:hAnsi="Times New Roman"/>
          <w:b/>
          <w:color w:val="000000"/>
          <w:sz w:val="19"/>
        </w:rPr>
      </w:pPr>
      <w:r>
        <w:rPr>
          <w:rFonts w:ascii="Times New Roman" w:hAnsi="Times New Roman"/>
          <w:b/>
          <w:color w:val="000000"/>
          <w:sz w:val="19"/>
        </w:rPr>
        <w:t>Commission File Number: 001-39438</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7"/>
        </w:rPr>
      </w:pPr>
      <w:r>
        <w:rPr>
          <w:rFonts w:ascii="Times New Roman" w:hAnsi="Times New Roman"/>
          <w:b/>
          <w:color w:val="000000"/>
          <w:sz w:val="47"/>
        </w:rPr>
        <w:t>Disc Medicine, Inc.</w:t>
      </w:r>
    </w:p>
    <w:p>
      <w:pPr>
        <w:pStyle w:val="TextBody"/>
        <w:bidi w:val="0"/>
        <w:jc w:val="center"/>
        <w:rPr>
          <w:rFonts w:ascii="Times New Roman" w:hAnsi="Times New Roman"/>
          <w:b/>
          <w:color w:val="000000"/>
          <w:sz w:val="19"/>
        </w:rPr>
      </w:pPr>
      <w:r>
        <w:rPr>
          <w:rFonts w:ascii="Times New Roman" w:hAnsi="Times New Roman"/>
          <w:b/>
          <w:color w:val="000000"/>
          <w:sz w:val="19"/>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85-1612845</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No.)</w:t>
            </w:r>
          </w:p>
        </w:tc>
      </w:tr>
      <w:tr>
        <w:trPr/>
        <w:tc>
          <w:tcPr>
            <w:tcW w:w="2926"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b/>
                <w:color w:val="000000"/>
                <w:sz w:val="19"/>
              </w:rPr>
            </w:pPr>
            <w:r>
              <w:rPr>
                <w:rFonts w:ascii="Times New Roman" w:hAnsi="Times New Roman"/>
                <w:b/>
                <w:color w:val="000000"/>
                <w:sz w:val="19"/>
              </w:rPr>
              <w:t>321 Arsenal Street, Suite 101</w:t>
            </w:r>
          </w:p>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Watertown, Massachusetts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02472</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b/>
          <w:color w:val="000000"/>
          <w:sz w:val="19"/>
        </w:rPr>
      </w:pPr>
      <w:r>
        <w:rPr>
          <w:rFonts w:ascii="Times New Roman" w:hAnsi="Times New Roman"/>
          <w:b/>
          <w:color w:val="000000"/>
          <w:sz w:val="19"/>
        </w:rPr>
        <w:t>(617) 674-9274</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pBdr>
          <w:bottom w:val="single" w:sz="4" w:space="1" w:color="000000"/>
        </w:pBdr>
        <w:bidi w:val="0"/>
        <w:spacing w:before="40" w:after="283"/>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9"/>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510" w:type="dxa"/>
        <w:jc w:val="left"/>
        <w:tblInd w:w="0" w:type="dxa"/>
        <w:tblLayout w:type="fixed"/>
        <w:tblCellMar>
          <w:top w:w="28" w:type="dxa"/>
          <w:left w:w="28" w:type="dxa"/>
          <w:bottom w:w="28" w:type="dxa"/>
          <w:right w:w="28" w:type="dxa"/>
        </w:tblCellMar>
      </w:tblPr>
      <w:tblGrid>
        <w:gridCol w:w="3076"/>
        <w:gridCol w:w="146"/>
        <w:gridCol w:w="826"/>
        <w:gridCol w:w="146"/>
        <w:gridCol w:w="3316"/>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0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Common Stock, $0.0001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IRON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The Nasdaq Global Market</w:t>
            </w:r>
          </w:p>
        </w:tc>
      </w:tr>
    </w:tbl>
    <w:p>
      <w:pPr>
        <w:pStyle w:val="TextBody"/>
        <w:bidi w:val="0"/>
        <w:spacing w:before="80" w:after="283"/>
        <w:jc w:val="left"/>
        <w:rPr>
          <w:rFonts w:ascii="Times New Roman" w:hAnsi="Times New Roman"/>
          <w:sz w:val="20"/>
        </w:rPr>
      </w:pPr>
      <w:r>
        <w:rPr>
          <w:rFonts w:ascii="Times New Roman" w:hAnsi="Times New Roman"/>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9"/>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9"/>
        </w:rPr>
        <w:t xml:space="preserve">No </w:t>
      </w:r>
      <w:r>
        <w:rPr>
          <w:rFonts w:ascii="Times New Roman" w:hAnsi="Times New Roman"/>
          <w:color w:val="000000"/>
          <w:sz w:val="20"/>
        </w:rPr>
        <w:t>☐</w:t>
      </w:r>
    </w:p>
    <w:p>
      <w:pPr>
        <w:pStyle w:val="TextBody"/>
        <w:bidi w:val="0"/>
        <w:spacing w:before="60" w:after="120"/>
        <w:jc w:val="left"/>
        <w:rPr>
          <w:rFonts w:ascii="Times New Roman" w:hAnsi="Times New Roman"/>
          <w:color w:val="000000"/>
          <w:sz w:val="19"/>
        </w:rPr>
      </w:pPr>
      <w:r>
        <w:rPr>
          <w:rFonts w:ascii="Times New Roman" w:hAnsi="Times New Roman"/>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47" w:type="dxa"/>
        <w:jc w:val="left"/>
        <w:tblInd w:w="0" w:type="dxa"/>
        <w:tblLayout w:type="fixed"/>
        <w:tblCellMar>
          <w:top w:w="28" w:type="dxa"/>
          <w:left w:w="28" w:type="dxa"/>
          <w:bottom w:w="28" w:type="dxa"/>
          <w:right w:w="28" w:type="dxa"/>
        </w:tblCellMar>
      </w:tblPr>
      <w:tblGrid>
        <w:gridCol w:w="1921"/>
        <w:gridCol w:w="146"/>
        <w:gridCol w:w="316"/>
        <w:gridCol w:w="146"/>
        <w:gridCol w:w="2311"/>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120" w:after="283"/>
        <w:jc w:val="left"/>
        <w:rPr>
          <w:rFonts w:ascii="Times New Roman" w:hAnsi="Times New Roman"/>
          <w:sz w:val="20"/>
        </w:rPr>
      </w:pPr>
      <w:r>
        <w:rPr>
          <w:rFonts w:ascii="Times New Roman" w:hAnsi="Times New Roman"/>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9"/>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9"/>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9"/>
        </w:rPr>
        <w:t>As of July 23, 2026 there were 38,392,844</w:t>
      </w:r>
      <w:r>
        <w:rPr>
          <w:rFonts w:ascii="Times New Roman" w:hAnsi="Times New Roman"/>
          <w:color w:val="000000"/>
          <w:sz w:val="20"/>
        </w:rPr>
        <w:t xml:space="preserve"> </w:t>
      </w:r>
      <w:r>
        <w:rPr>
          <w:rFonts w:ascii="Times New Roman" w:hAnsi="Times New Roman"/>
          <w:color w:val="000000"/>
          <w:sz w:val="19"/>
        </w:rPr>
        <w:t>shares of Common Stock, $0.0001 par value per share, outstanding.</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Table of Contents</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forward_looking_statements">
              <w:r>
                <w:rPr>
                  <w:rStyle w:val="InternetLink"/>
                  <w:rFonts w:ascii="Times New Roman" w:hAnsi="Times New Roman"/>
                  <w:b/>
                  <w:color w:val="0000FF"/>
                  <w:sz w:val="20"/>
                  <w:u w:val="single"/>
                </w:rPr>
                <w:t>FORWARD LOOKING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risk_factor_summary">
              <w:r>
                <w:rPr>
                  <w:rStyle w:val="InternetLink"/>
                  <w:rFonts w:ascii="Times New Roman" w:hAnsi="Times New Roman"/>
                  <w:b/>
                  <w:color w:val="0000FF"/>
                  <w:sz w:val="20"/>
                  <w:u w:val="single"/>
                </w:rPr>
                <w:t>RISK FACTOR SUMMARY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763"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b/>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perations_and_comprehensive_loss">
              <w:r>
                <w:rPr>
                  <w:rStyle w:val="InternetLink"/>
                  <w:rFonts w:ascii="Times New Roman" w:hAnsi="Times New Roman"/>
                  <w:color w:val="0000FF"/>
                  <w:sz w:val="20"/>
                  <w:u w:val="single"/>
                </w:rPr>
                <w:t>Condensed Consolidated Statements of Operations and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holders_equity_deficit">
              <w:r>
                <w:rPr>
                  <w:rStyle w:val="InternetLink"/>
                  <w:rFonts w:ascii="Times New Roman" w:hAnsi="Times New Roman"/>
                  <w:color w:val="0000FF"/>
                  <w:sz w:val="20"/>
                  <w:u w:val="single"/>
                </w:rPr>
                <w:t>Condensed Consolidated Statements of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
              <w:r>
                <w:rPr>
                  <w:rStyle w:val="InternetLink"/>
                  <w:rFonts w:ascii="Times New Roman" w:hAnsi="Times New Roman"/>
                  <w:color w:val="0000FF"/>
                  <w:sz w:val="20"/>
                  <w:u w:val="single"/>
                </w:rPr>
                <w:t>Notes to Unaudited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b/>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forward_looking_statements"/>
      <w:bookmarkEnd w:id="2"/>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Quarterly Report on Form 10-Q, or Quarterly Report, of Disc Medicine, Inc., or the Company, contains or incorporates statements that constitute forward-looking statements within the meaning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Quarterly Report on Form 10-Q may include, for example, statements about: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efficiently discover and develop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successfully manufacture our drug substances and product candidates for preclinical use, for clinical trials and on a larger scale for commercial use,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funding for our operations necessary to further develop and, if approved, commercialize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and maintain regulatory approval of bitopertin and any of our other product candidates, and the timing of any such potential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commercialize our products,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pricing and reimbursement of our product candidates,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implementation of our business model, and strategic plans for our business and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covering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estimates of our future expenses, revenues, capital requirements, and our needs for additional financing;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benefits of strategic collaboration agreements, our ability to enter into strategic collaborations or arrangements, and our ability to attract collaborators with development, regulatory and commercialization expertise;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future agreements with third parties in connection with the commercialization of our product candidates,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size and growth potential of the markets for our product candidates, and our ability to serve those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financial performance;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rate and degree of market acceptance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developments in the United States and foreign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contract with third-party suppliers and manufacturers and their ability to perform adequately;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produce our products or product candidates with advantages in turnaround times or manufacturing cost;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success of competing therapies that are or may become available;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attract and retain key scientific or management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laws and regulations;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developments relating to our competitors and our industry;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global economic and political developments on our business, including rising inflation and capital market disruptions, geopolitical conflicts, economic sanctions and economic slowdowns or recessions that may result from such developments which could harm our research and development efforts as well as the value of our common stock and our ability to access capital markets;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risks and uncertainties, including those listed under the caption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These forward-looking statements are based on information available to us at the time of this Quarterly Report on Form 10-Q and current expectations, forecasts and assumptions, and involve a number of judgments, risks and uncertainties. Accordingly, forward-looking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outcome of the events described in these forward-looking statements is subject to known and unknown risks, uncertainties, and other factors. As a result of a number of known and unknown risks and uncertainties, our actual results or performance may be materially different from those expressed or implied by these forward-looking statements. Factors that could cause actual results to differ include, but are not limited to, those discussed in the section titled “Risk Factors” included within Item 1A of this Quarterly Report on Form 10-Q.</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b/>
          <w:color w:val="000000"/>
          <w:sz w:val="20"/>
        </w:rPr>
      </w:pPr>
      <w:bookmarkStart w:id="3" w:name="risk_factor_summary"/>
      <w:bookmarkEnd w:id="3"/>
      <w:r>
        <w:rPr>
          <w:rFonts w:ascii="Times New Roman" w:hAnsi="Times New Roman"/>
          <w:b/>
          <w:color w:val="000000"/>
          <w:sz w:val="20"/>
        </w:rPr>
        <w:t>RISK FACTOR SUMMARY</w:t>
      </w:r>
    </w:p>
    <w:p>
      <w:pPr>
        <w:pStyle w:val="TextBody"/>
        <w:bidi w:val="0"/>
        <w:jc w:val="both"/>
        <w:rPr>
          <w:rFonts w:ascii="Times New Roman" w:hAnsi="Times New Roman"/>
          <w:color w:val="000000"/>
          <w:sz w:val="20"/>
        </w:rPr>
      </w:pPr>
      <w:r>
        <w:rPr>
          <w:rFonts w:ascii="Times New Roman" w:hAnsi="Times New Roman"/>
          <w:color w:val="000000"/>
          <w:sz w:val="20"/>
        </w:rPr>
        <w:t>Below is a summary of the principal factors that make an investment in our common stock speculative or risky. This summary does not address all of the risks that we face. Additional discussion of the risks summarized in this risk factor summary and other risks that we believe are material to our investors can be found below under the heading “Item 1A. Risk Factors” and should be carefully considered, together with other information in this Quarterly Report on Form 10-Q and our other filings with the Securities and Exchange Commission, or SEC, before making an investment decision regarding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limited operating history may make it difficult for you to evaluate the success of our business to date and to assess our future viability.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significant net losses since our inception and anticipate that we will continue to incur losses for the foreseeable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 products approved for commercial sale and have not generated any revenue from product sales.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existing and any future indebtedness could adversely affect our ability to operate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need to raise substantial additional funding. If we are unable to raise capital when needed or on terms acceptable to us, we may be forced to delay, reduce, or eliminate some of our product development programs or commercialization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not yet progressed any product candidates through a Phase 3 clinical trial and may be unable to successfully complete any additional clinical trials for any product candidates we develop. Certain of our programs are still in preclinical development and may never advance to clinical development.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programs are focused on the development of therapeutics for patients with hematologic diseases, which is a rapidly evolving area of science, and the approach we are taking to discover and develop product candidates is novel and may never lead to approved or marketable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we are developing some of our product candidates for the treatment of diseases in which there is little clinical experience and, in some cases, using new endpoints or methodologies, the FDA or other regulatory authorities may not consider the endpoints of our clinical trials to predict or provide clinically meaningful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Interim, top-line, initial and preliminary data from our clinical trials that we announce or publish from time to time may change as more patient data become available and are subject to confirmation, audit, and verification procedures that could result in material changes in the final data.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experience delays or difficulties in the enrollment of patients in clinical trials, our receipt of necessary regulatory approvals could be delayed or prevented.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Results from early preclinical studies and clinical trials of our programs and product candidates are not necessarily predictive of the results of later preclinical studies and clinical trials of our programs and product candidates. If we cannot replicate the results from earlier preclinical studies and clinical trials of our programs and product candidates in our later preclinical studies and clinical trials, we may be unable to successfully develop, obtain regulatory approval for and commercialize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clinical trials or those of our future collaborators may reveal significant adverse events not seen in prior preclinical studies or clinical trials and may result in a safety profile that could inhibit regulatory approval or market acceptance of any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Some of our product candidates modulate pathways for which there are currently no approved or effective therapies, which may result in greater research and development expenses, regulatory issues that could delay or prevent approval, or discovery of unknown or unanticipated adverse effects on safety or efficacy.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conducted and are currently conducting clinical trials for bitopertin, and may in the future conduct additional clinical trials of our product candidates, outside the United States, and the FDA and comparable foreign regulatory authorities may not accept data from such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not able to obtain, or if there are delays in obtaining, required regulatory approvals for any of our product candidates, we will not be able to commercialize, or will be delayed in commercializing, such product candidates, and our ability to generate revenue will be materially impaired.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face substantial competition, which may result in others discovering, developing, or commercializing products before or more successfully than we do.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the market opportunities for our product candidates are smaller than we estimate or if any regulatory approval that we obtain is based on a narrower definition of the patient population, our revenue and ability to achieve profitability could be materially adversely affected.</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our current product candidates or any future product candidates do not achieve broad market acceptance, the revenue that we generate from our sales may be limited, and we may never become profitable.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third parties to conduct our clinical trials for our product candidates, as well as potential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might not realize the anticipated benefits of our current collaborations with Mabwell or NIH, or any other collaborations we enter into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contract with third parties for the manufacture of our product candidates for preclinical development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obtain licenses or sublicenses to intellectual property rights in all markets on equally or sufficiently favorable terms with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Intellectual property rights do not guarantee commercial success of current or future product candidates or other business activities. Numerous factors may limit any potential competitive advantage provided by our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Inadequate funding for the NIH, CMS, FDA, the SEC and other government agencies, including from government shut downs, or other disruptions to these agencies’ operations, including significant leadership, personnel, or policy changes, could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future success depends on our ability to retain key executives and experienced scientists and to attract, retain, and motivate qualified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political, trade or regulatory developments, unfavorable global economic conditions, and other circumstances beyond our control, could have a material adverse effect on our business, financial condition or results of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price of our common stock has been, and may continue, to be volatile.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and will continue to incur increased costs and increased demands upon management as a result of complying with the laws and regulations affecting public companies.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section contains forward-looking statements. You should refer to the explanation of the qualifications and limitations on forward-looking statements beginning on page 1.</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 w:name="part_i"/>
      <w:bookmarkEnd w:id="4"/>
      <w:r>
        <w:rPr>
          <w:rFonts w:ascii="Times New Roman" w:hAnsi="Times New Roman"/>
          <w:b/>
          <w:color w:val="000000"/>
          <w:sz w:val="20"/>
        </w:rPr>
        <w:t>PART I</w:t>
      </w:r>
      <w:r>
        <w:rPr>
          <w:rFonts w:ascii="Times New Roman" w:hAnsi="Times New Roman"/>
          <w:color w:val="000000"/>
          <w:sz w:val="20"/>
        </w:rPr>
        <w:t>—</w:t>
      </w:r>
      <w:r>
        <w:rPr>
          <w:rFonts w:ascii="Times New Roman" w:hAnsi="Times New Roman"/>
          <w:b/>
          <w:color w:val="000000"/>
          <w:sz w:val="20"/>
        </w:rPr>
        <w:t>FINANCIAL INFORMATION</w:t>
      </w:r>
    </w:p>
    <w:p>
      <w:pPr>
        <w:pStyle w:val="TextBody"/>
        <w:bidi w:val="0"/>
        <w:spacing w:before="120" w:after="283"/>
        <w:jc w:val="left"/>
        <w:rPr>
          <w:rFonts w:ascii="Times New Roman" w:hAnsi="Times New Roman"/>
          <w:b/>
          <w:color w:val="000000"/>
          <w:sz w:val="20"/>
        </w:rPr>
      </w:pPr>
      <w:bookmarkStart w:id="5" w:name="item_1_financial_statements"/>
      <w:bookmarkEnd w:id="5"/>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DISC MEDICINE, INC.</w:t>
      </w:r>
    </w:p>
    <w:p>
      <w:pPr>
        <w:pStyle w:val="TextBody"/>
        <w:bidi w:val="0"/>
        <w:jc w:val="center"/>
        <w:rPr>
          <w:rFonts w:ascii="Times New Roman" w:hAnsi="Times New Roman"/>
          <w:b/>
          <w:color w:val="000000"/>
          <w:sz w:val="20"/>
        </w:rPr>
      </w:pPr>
      <w:bookmarkStart w:id="6" w:name="balance_sheets"/>
      <w:bookmarkEnd w:id="6"/>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872"/>
        <w:gridCol w:w="146"/>
        <w:gridCol w:w="211"/>
        <w:gridCol w:w="931"/>
        <w:gridCol w:w="166"/>
        <w:gridCol w:w="146"/>
        <w:gridCol w:w="211"/>
        <w:gridCol w:w="931"/>
        <w:gridCol w:w="591"/>
      </w:tblGrid>
      <w:tr>
        <w:trPr/>
        <w:tc>
          <w:tcPr>
            <w:tcW w:w="68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91,145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619,070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803,898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735,071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806,879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external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36,641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67,053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$0.0001 par value; 10,000,000 shares authorized, no shares issued or outstanding as of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100,000,000 shares authorized as of June 30, 2026 and December 31, 2025; 38,345,666 and 37,890,616 shares issued and outstanding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1,278,990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1,249,043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(633,222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(510,186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644,164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739,826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735,071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806,879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DISC MEDICINE, INC.</w:t>
      </w:r>
    </w:p>
    <w:p>
      <w:pPr>
        <w:pStyle w:val="TextBody"/>
        <w:bidi w:val="0"/>
        <w:jc w:val="center"/>
        <w:rPr>
          <w:rFonts w:ascii="Times New Roman" w:hAnsi="Times New Roman"/>
          <w:b/>
          <w:color w:val="000000"/>
          <w:sz w:val="20"/>
        </w:rPr>
      </w:pPr>
      <w:bookmarkStart w:id="7" w:name="operations_and_comprehensive_loss"/>
      <w:bookmarkEnd w:id="7"/>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524"/>
        <w:gridCol w:w="146"/>
        <w:gridCol w:w="211"/>
        <w:gridCol w:w="1036"/>
        <w:gridCol w:w="166"/>
        <w:gridCol w:w="146"/>
        <w:gridCol w:w="211"/>
        <w:gridCol w:w="1036"/>
        <w:gridCol w:w="166"/>
        <w:gridCol w:w="146"/>
        <w:gridCol w:w="211"/>
        <w:gridCol w:w="1036"/>
        <w:gridCol w:w="166"/>
        <w:gridCol w:w="146"/>
        <w:gridCol w:w="211"/>
        <w:gridCol w:w="1036"/>
        <w:gridCol w:w="611"/>
      </w:tblGrid>
      <w:tr>
        <w:trPr/>
        <w:tc>
          <w:tcPr>
            <w:tcW w:w="3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74,082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27,274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101,356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(101,356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(89,161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(89,332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38,685,565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35,024,592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38,589,035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34,179,364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(89,332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(89,348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DISC MEDICINE, INC.</w:t>
      </w:r>
    </w:p>
    <w:p>
      <w:pPr>
        <w:pStyle w:val="TextBody"/>
        <w:bidi w:val="0"/>
        <w:jc w:val="center"/>
        <w:rPr>
          <w:rFonts w:ascii="Times New Roman" w:hAnsi="Times New Roman"/>
          <w:b/>
          <w:color w:val="000000"/>
          <w:sz w:val="20"/>
        </w:rPr>
      </w:pPr>
      <w:bookmarkStart w:id="8" w:name="stockholders_equity_deficit"/>
      <w:bookmarkEnd w:id="8"/>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48"/>
        <w:gridCol w:w="146"/>
        <w:gridCol w:w="916"/>
        <w:gridCol w:w="146"/>
        <w:gridCol w:w="146"/>
        <w:gridCol w:w="206"/>
        <w:gridCol w:w="365"/>
        <w:gridCol w:w="146"/>
        <w:gridCol w:w="146"/>
        <w:gridCol w:w="196"/>
        <w:gridCol w:w="826"/>
        <w:gridCol w:w="146"/>
        <w:gridCol w:w="146"/>
        <w:gridCol w:w="288"/>
        <w:gridCol w:w="845"/>
        <w:gridCol w:w="166"/>
        <w:gridCol w:w="146"/>
        <w:gridCol w:w="196"/>
        <w:gridCol w:w="751"/>
        <w:gridCol w:w="166"/>
        <w:gridCol w:w="146"/>
        <w:gridCol w:w="200"/>
        <w:gridCol w:w="708"/>
        <w:gridCol w:w="214"/>
      </w:tblGrid>
      <w:tr>
        <w:trPr/>
        <w:tc>
          <w:tcPr>
            <w:tcW w:w="2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8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br/>
              <w:t>$0.0001 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Additional </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37,890,616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1,249,043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739,826</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67,811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11,946</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(1,526</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(63,504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38,190,464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1,262,686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(573,690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688,429</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13,948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(59,532</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38,345,666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1,278,990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(633,222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644,164</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2848"/>
        <w:gridCol w:w="146"/>
        <w:gridCol w:w="916"/>
        <w:gridCol w:w="146"/>
        <w:gridCol w:w="146"/>
        <w:gridCol w:w="206"/>
        <w:gridCol w:w="365"/>
        <w:gridCol w:w="146"/>
        <w:gridCol w:w="146"/>
        <w:gridCol w:w="196"/>
        <w:gridCol w:w="826"/>
        <w:gridCol w:w="146"/>
        <w:gridCol w:w="146"/>
        <w:gridCol w:w="351"/>
        <w:gridCol w:w="783"/>
        <w:gridCol w:w="166"/>
        <w:gridCol w:w="146"/>
        <w:gridCol w:w="196"/>
        <w:gridCol w:w="751"/>
        <w:gridCol w:w="166"/>
        <w:gridCol w:w="146"/>
        <w:gridCol w:w="200"/>
        <w:gridCol w:w="708"/>
        <w:gridCol w:w="213"/>
      </w:tblGrid>
      <w:tr>
        <w:trPr/>
        <w:tc>
          <w:tcPr>
            <w:tcW w:w="2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8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br/>
              <w:t>$0.0001 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Additional </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29,865,030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741,297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443,587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 of common stock in underwritten offering,</w:t>
              <w:br/>
              <w:t>   net of issuance costs of $15,321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4,533,182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234,003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 of pre-funded warrants in underwritten offering,</w:t>
              <w:br/>
              <w:t>   net of issuance costs of $615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9,386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6,363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(34,085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34,581,222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991,911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(332,087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660,362</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8,420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(55,247</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34,694,882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1,001,223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(387,334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614,165</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DISC MEDICINE, INC.</w:t>
      </w:r>
    </w:p>
    <w:p>
      <w:pPr>
        <w:pStyle w:val="TextBody"/>
        <w:bidi w:val="0"/>
        <w:jc w:val="center"/>
        <w:rPr>
          <w:rFonts w:ascii="Times New Roman" w:hAnsi="Times New Roman"/>
          <w:b/>
          <w:color w:val="000000"/>
          <w:sz w:val="20"/>
        </w:rPr>
      </w:pPr>
      <w:bookmarkStart w:id="9" w:name="cash_flows"/>
      <w:bookmarkEnd w:id="9"/>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652"/>
        <w:gridCol w:w="146"/>
        <w:gridCol w:w="211"/>
        <w:gridCol w:w="841"/>
        <w:gridCol w:w="166"/>
        <w:gridCol w:w="146"/>
        <w:gridCol w:w="211"/>
        <w:gridCol w:w="841"/>
        <w:gridCol w:w="991"/>
      </w:tblGrid>
      <w:tr>
        <w:trPr/>
        <w:tc>
          <w:tcPr>
            <w:tcW w:w="6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(89,332</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14,783</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Amortization/accretion of investment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(5,148</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from initial consolidation of variable interest entity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non-cash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(7,911</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external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(89,294</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(405,876</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185,819</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(220,944</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 of common stock in underwritten offering, net of issuance costs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234,003</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 of pre-funded warrants in underwritten offering, net of issuance costs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9,386</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long-term debt, net of issuance costs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stock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Contributions from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245,143</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(65,095</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192,672</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127,577</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5559" w:type="dxa"/>
        <w:jc w:val="left"/>
        <w:tblInd w:w="0" w:type="dxa"/>
        <w:tblLayout w:type="fixed"/>
        <w:tblCellMar>
          <w:top w:w="28" w:type="dxa"/>
          <w:left w:w="28" w:type="dxa"/>
          <w:bottom w:w="28" w:type="dxa"/>
          <w:right w:w="28" w:type="dxa"/>
        </w:tblCellMar>
      </w:tblPr>
      <w:tblGrid>
        <w:gridCol w:w="3166"/>
        <w:gridCol w:w="146"/>
        <w:gridCol w:w="211"/>
        <w:gridCol w:w="571"/>
        <w:gridCol w:w="146"/>
        <w:gridCol w:w="146"/>
        <w:gridCol w:w="211"/>
        <w:gridCol w:w="571"/>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DISC MEDICINE, INC.</w:t>
      </w:r>
    </w:p>
    <w:p>
      <w:pPr>
        <w:pStyle w:val="TextBody"/>
        <w:bidi w:val="0"/>
        <w:jc w:val="center"/>
        <w:rPr>
          <w:rFonts w:ascii="Times New Roman" w:hAnsi="Times New Roman"/>
          <w:sz w:val="20"/>
        </w:rPr>
      </w:pPr>
      <w:bookmarkStart w:id="10" w:name="notes_to_consolidated_financial"/>
      <w:bookmarkEnd w:id="10"/>
      <w:r>
        <w:rPr>
          <w:rFonts w:ascii="Times New Roman" w:hAnsi="Times New Roman"/>
          <w:b/>
          <w:color w:val="000000"/>
          <w:sz w:val="20"/>
        </w:rPr>
        <w:t>NOTES TO CONDENSED CONSOLIDATED FINANCIAL</w:t>
      </w:r>
      <w:r>
        <w:rPr>
          <w:rFonts w:ascii="Times New Roman" w:hAnsi="Times New Roman"/>
          <w:color w:val="000000"/>
          <w:sz w:val="20"/>
        </w:rPr>
        <w:t xml:space="preserve"> </w:t>
      </w:r>
      <w:r>
        <w:rPr>
          <w:rFonts w:ascii="Times New Roman" w:hAnsi="Times New Roman"/>
          <w:b/>
          <w:color w:val="000000"/>
          <w:sz w:val="20"/>
        </w:rPr>
        <w:t>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 Organization and Nature of the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 Medicine, Inc. (together with its subsidiaries, the “Company”) is a clinical-stage biopharmaceutical company focused on the discovery, development, and commercialization of novel treatments for patients suffering from serious hematologic diseases. The Company has assembled a portfolio of clinical and preclinical product candidates that aim to modify fundamental biological pathways associated with the formation and function of red blood cells, specifically heme biosynthesis and iron homeostasis. The Company’s current pipeline includes bitopertin for the treatment of erythropoietic porphyrias (“EPs”) including erythropoietic protoporphyria (“EPP”) and X-linked protoporphyria (“XLP”); selcodebart (DISC-0974) for the treatment of anemia of myelofibrosis (“MF”) and anemia of inflammatory bowel disease ("IBD"); and DISC-3405 for the treatment of polycythemia vera (“PV”), sickle cell disease ("SCD"), and other hematologic disorders. In addition, the Company’s preclinical programs include DISC-0998 for the treatment of anemia associated with inflammatory diseases. The Company’s approach to product development leverages well-understood molecular mechanisms that have been validated in humans. The Company believes that each of its product candidates, if approved, has the potential to improve the lives of patients suffering from hematologic diseases. The Company was founded in October 2017. The Company’s principal offices are located in Watertown, Massachusetts.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subject to a number of risks and uncertainties common to the biotechnology industry, including, but not limited to, risks associated with completing preclinical studies and clinical trials, receiving regulatory approvals for product candidates, development by competitors of new biopharmaceutical products, dependence on key personnel, reliance on third-party organizations, protection of proprietary technology, compliance with government regulations and the ability to secure additional capital to fund operations. The Company’s research and development programs require significant additional research and development efforts, including preclinical and clinical testing and regulatory approval, prior to commercialization. Even if the Company’s product development efforts are successful, it is uncertain when, if ever, the Company will realize revenue from product sales.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condensed consolidated financial statements have been prepared on the basis of the Company continuing as a going concern. The Company expects that its existing cash, cash equivalents and marketable securities as of June 30, 2026 of $717.7 million will enable the Company to fund its planned operating expense and capital expenditure requirements for at least twelve months from the date of issuance of these condensed consolidated financial statements. The Company has incurred recurring losses and negative cash flows from operations since inception. As of June 30, 2026, the Company had an accumulated deficit of $633.2 million. The Company expects its operating losses and negative operating cash flows to continue into the foreseeable future. The future viability of the Company is dependent on its ability to generate cash from operating activities or to raise additional capital to finance its operations. There can be no assurance that the Company will ever earn revenues or achieve profitability, or if achieved, that the revenues or profitability will be sustained on a continuing basis. In addition, the Company’s preclinical and clinical development activities, manufacturing and commercialization of the Company’s product candidates, if approved, may require significant additional financing.</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Summary of Significant Accounting Policies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significant accounting policies used in preparation of the condensed consolidated financial statements are described in the Company’s audited consolidated financial statements as of and for the year ended December 31, 2025 and the notes thereto, which are included in the Company’s Annual Report on Form 10-K. There have been no material changes to the significant accounting policies previously disclosed in the Company’s Annual Report on Form 10-K for the year ended December 31, 2025.</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Basis of Presentation and Principles of Consolidation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condensed consolidated financial statements include the accounts of the Company and its wholly-owned subsidiaries. All intercompany transactions and balances have been eliminated in consolidation.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condensed consolidated financial statements are prepared in accordance with U.S. generally accepted accounting principles (“GAAP”). Any reference in these notes to applicable guidance is meant to refer to the authoritative accounting principles generally accepted in the United States as found in the Accounting Standard Codification (“ASC”) and Accounting Standards Updates (“ASU”) of the Financial Accounting Standards Board (“FASB”).</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Unaudited Interim Condensed Consolidated Financial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accompanying condensed consolidated financial statements as of June 30, 2026 and for the three and six months ended June 30, 2026 and 2025 are unaudited. The financial data and other information contained in the notes hereto as of June 30, 2026 and for the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three and six months ended June 30, 2026 and 2025 are also unaudited. The condensed consolidated balance sheet data as of December 31, 2025 was derived from the Company’s audited consolidated financial statements included in the Company’s Annual Report on Form 10-K.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unaudited interim condensed consolidated financial statements have been prepared on the same basis as the audited annual consolidated financial statements, and in the opinion of management, reflect all adjustments, which include only normal recurring adjustments necessary for the fair presentation of the Company’s financial position as of June 30, 2026 and the results of its operations and cash flows for the three and six months ended June 30, 2026 and 2025. These unaudited condensed consolidated financial statements should be read in conjunction with the audited consolidated financial statements as of and for the year ended December 31, 2025, and the notes thereto, included in the Company’s Annual Report on Form 10-K.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results for the three and six months ended June 30, 2026 and 2025 are not necessarily indicative of results to be expected for the full years, or any other interim periods, or any future year or period.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the Company’s condensed consolidated financial statements requires management to make estimates and assumptions that affect the reported amounts of assets and liabilities and disclosure of contingent assets and liabilities at the date of the condensed consolidated financial statements and the reported amounts of expenses during the reporting period. Significant estimates and assumptions reflected in these condensed consolidated financial statements include, but are not limited to accrued research and development expenses; stock-based compensation expense; the fair value of the common stock prior to the effective date of the reverse merger with Gemini Therapeutics, Inc. ("Gemini") in December 2022; and income taxes. The Company bases its estimates on historical experience, known trends and other market-specific or other relevant factors that it has concluded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Concentration of Credit Risk and of Significant Suppliers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instruments that potentially subject the Company to significant concentrations of credit risk consist primarily of cash, cash equivalents and marketable securities. The Company maintains deposits in federally insured financial institutions in excess of federally insured limits and limits its exposure to cash risk by placing its cash with high credit quality accredited financial institutions. The Company has concluded that it is not subject to unusual credit risk beyond the normal credit risk associated with commercial banking relationships.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relies, and expects to continue to rely, on a small number of vendors to manufacture supplies and to process its product candidates for its development programs. These programs could be adversely affected by a significant interruption in the manufacturing process or supply chain.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accounting standards that have been issued or proposed by the FASB or other standards-setting bodies that do not require adoption until a future date are not expected to have a material impact on the Company’s condensed consolidated financial statements upon adoption.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3. Cash, Cash Equivalents and Restricted Cash</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Cash, cash equivalents and restricted cash consisted of the following (in thousands):</w:t>
      </w:r>
    </w:p>
    <w:tbl>
      <w:tblPr>
        <w:tblW w:w="10205" w:type="dxa"/>
        <w:jc w:val="left"/>
        <w:tblInd w:w="0" w:type="dxa"/>
        <w:tblLayout w:type="fixed"/>
        <w:tblCellMar>
          <w:top w:w="28" w:type="dxa"/>
          <w:left w:w="28" w:type="dxa"/>
          <w:bottom w:w="28" w:type="dxa"/>
          <w:right w:w="28" w:type="dxa"/>
        </w:tblCellMar>
      </w:tblPr>
      <w:tblGrid>
        <w:gridCol w:w="7636"/>
        <w:gridCol w:w="146"/>
        <w:gridCol w:w="211"/>
        <w:gridCol w:w="676"/>
        <w:gridCol w:w="146"/>
        <w:gridCol w:w="146"/>
        <w:gridCol w:w="250"/>
        <w:gridCol w:w="802"/>
        <w:gridCol w:w="192"/>
      </w:tblGrid>
      <w:tr>
        <w:trPr/>
        <w:tc>
          <w:tcPr>
            <w:tcW w:w="7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91,145</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 as shown on the condensed consolidated statements of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91,387</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restricted cash balance, which is classified within prepaid expenses and other current assets and other assets on the condensed consolidated balance sheets, consists of letters of credit related to leased and subleased office space in Watertown, Massachusetts. The Company is required to maintain a separate cash balance to secure its letters of credit.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4. Marketable Securities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Marketable securities as of June 30, 2026 consisted of the following (in thousands):</w:t>
      </w:r>
    </w:p>
    <w:tbl>
      <w:tblPr>
        <w:tblW w:w="9183" w:type="dxa"/>
        <w:jc w:val="left"/>
        <w:tblInd w:w="0" w:type="dxa"/>
        <w:tblLayout w:type="fixed"/>
        <w:tblCellMar>
          <w:top w:w="28" w:type="dxa"/>
          <w:left w:w="28" w:type="dxa"/>
          <w:bottom w:w="28" w:type="dxa"/>
          <w:right w:w="28" w:type="dxa"/>
        </w:tblCellMar>
      </w:tblPr>
      <w:tblGrid>
        <w:gridCol w:w="3556"/>
        <w:gridCol w:w="146"/>
        <w:gridCol w:w="265"/>
        <w:gridCol w:w="980"/>
        <w:gridCol w:w="146"/>
        <w:gridCol w:w="146"/>
        <w:gridCol w:w="211"/>
        <w:gridCol w:w="346"/>
        <w:gridCol w:w="146"/>
        <w:gridCol w:w="146"/>
        <w:gridCol w:w="211"/>
        <w:gridCol w:w="631"/>
        <w:gridCol w:w="166"/>
        <w:gridCol w:w="146"/>
        <w:gridCol w:w="351"/>
        <w:gridCol w:w="1299"/>
        <w:gridCol w:w="29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Marketable securities available-for-sale: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441,097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440,035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89,404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620,638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619,070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Marketable securities as of December 31, 2025 consisted of the following (in thousands):</w:t>
      </w:r>
    </w:p>
    <w:tbl>
      <w:tblPr>
        <w:tblW w:w="9153" w:type="dxa"/>
        <w:jc w:val="left"/>
        <w:tblInd w:w="0" w:type="dxa"/>
        <w:tblLayout w:type="fixed"/>
        <w:tblCellMar>
          <w:top w:w="28" w:type="dxa"/>
          <w:left w:w="28" w:type="dxa"/>
          <w:bottom w:w="28" w:type="dxa"/>
          <w:right w:w="28" w:type="dxa"/>
        </w:tblCellMar>
      </w:tblPr>
      <w:tblGrid>
        <w:gridCol w:w="3556"/>
        <w:gridCol w:w="146"/>
        <w:gridCol w:w="265"/>
        <w:gridCol w:w="980"/>
        <w:gridCol w:w="146"/>
        <w:gridCol w:w="146"/>
        <w:gridCol w:w="211"/>
        <w:gridCol w:w="571"/>
        <w:gridCol w:w="146"/>
        <w:gridCol w:w="146"/>
        <w:gridCol w:w="211"/>
        <w:gridCol w:w="376"/>
        <w:gridCol w:w="166"/>
        <w:gridCol w:w="146"/>
        <w:gridCol w:w="351"/>
        <w:gridCol w:w="1299"/>
        <w:gridCol w:w="29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Marketable securities available-for-sale: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484,670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485,529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132,941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81,537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699,014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As of June 30, 2026, all of the Company’s marketable securities are available to the Company for use in current operations. As a result, the Company has classified all of these securities as current assets even though the stated maturity of some individual securities may be one year or more beyond the balance sheet date. The following table shows the fair value of the Company’s marketable securities, by contractual maturity, as of June 30, 2026 (in thousands):</w:t>
      </w:r>
    </w:p>
    <w:tbl>
      <w:tblPr>
        <w:tblW w:w="4668" w:type="dxa"/>
        <w:jc w:val="left"/>
        <w:tblInd w:w="0" w:type="dxa"/>
        <w:tblLayout w:type="fixed"/>
        <w:tblCellMar>
          <w:top w:w="28" w:type="dxa"/>
          <w:left w:w="28" w:type="dxa"/>
          <w:bottom w:w="28" w:type="dxa"/>
          <w:right w:w="28" w:type="dxa"/>
        </w:tblCellMar>
      </w:tblPr>
      <w:tblGrid>
        <w:gridCol w:w="3106"/>
        <w:gridCol w:w="146"/>
        <w:gridCol w:w="239"/>
        <w:gridCol w:w="886"/>
        <w:gridCol w:w="29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within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446,965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one year through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172,105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619,070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aggregate fair value of marketable securities with unrealized losses was $486.8 million and $41.3 million as of June 30, 2026 and December 31, 2025, respectively. As of June 30, 2026 and December 31, 2025, seventy-two investments and five investments were in an unrealized loss position, respectively. All such investments have been in an unrealized loss position for less than a year and these losses are considered temporary. The Company has the ability and intent to hold these investments until a recovery of their amortized cost, which may not occur until maturity. The Company expects that U.S. treasury, U.S. government agency, and corporate debt securities are subject to minimal credit risk. As a result, the Company did not record any charges for credit-related impairments for its available-for-sale securities for the three and six months ended June 30, 2026 and 2025.</w:t>
      </w:r>
    </w:p>
    <w:p>
      <w:pPr>
        <w:pStyle w:val="TextBody"/>
        <w:bidi w:val="0"/>
        <w:spacing w:before="240" w:after="283"/>
        <w:jc w:val="both"/>
        <w:rPr>
          <w:rFonts w:ascii="Times New Roman" w:hAnsi="Times New Roman"/>
          <w:sz w:val="20"/>
        </w:rPr>
      </w:pPr>
      <w:r>
        <w:rPr>
          <w:rFonts w:ascii="Times New Roman" w:hAnsi="Times New Roman"/>
          <w:b/>
          <w:color w:val="000000"/>
          <w:sz w:val="20"/>
        </w:rPr>
        <w:t>5. Fair Value Measurements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following tables present information about the Company’s assets and liabilities that are measured and carried at fair value on a recurring basis and indicate the level within the fair value hierarchy of the valuation techniques the Company utilized to determine such fair value, which is described further within </w:t>
      </w:r>
      <w:r>
        <w:rPr>
          <w:rFonts w:ascii="Times New Roman" w:hAnsi="Times New Roman"/>
          <w:i/>
          <w:color w:val="000000"/>
          <w:sz w:val="20"/>
        </w:rPr>
        <w:t xml:space="preserve">Note 2 - Summary of Significant Accounting Policies </w:t>
      </w:r>
      <w:r>
        <w:rPr>
          <w:rFonts w:ascii="Times New Roman" w:hAnsi="Times New Roman"/>
          <w:color w:val="000000"/>
          <w:sz w:val="20"/>
        </w:rPr>
        <w:t>to the consolidated financial statements in the Company’s Annual Report on Form 10-K for the year ended December 31, 2025.</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Financial assets and liabilities measured at fair value on a recurring basis as of June 30, 2026 are summarized as follows (in thousands):</w:t>
      </w:r>
    </w:p>
    <w:tbl>
      <w:tblPr>
        <w:tblW w:w="6641" w:type="dxa"/>
        <w:jc w:val="left"/>
        <w:tblInd w:w="0" w:type="dxa"/>
        <w:tblLayout w:type="fixed"/>
        <w:tblCellMar>
          <w:top w:w="28" w:type="dxa"/>
          <w:left w:w="28" w:type="dxa"/>
          <w:bottom w:w="28" w:type="dxa"/>
          <w:right w:w="28" w:type="dxa"/>
        </w:tblCellMar>
      </w:tblPr>
      <w:tblGrid>
        <w:gridCol w:w="3011"/>
        <w:gridCol w:w="146"/>
        <w:gridCol w:w="211"/>
        <w:gridCol w:w="676"/>
        <w:gridCol w:w="146"/>
        <w:gridCol w:w="146"/>
        <w:gridCol w:w="211"/>
        <w:gridCol w:w="781"/>
        <w:gridCol w:w="146"/>
        <w:gridCol w:w="146"/>
        <w:gridCol w:w="239"/>
        <w:gridCol w:w="391"/>
        <w:gridCol w:w="391"/>
      </w:tblGrid>
      <w:tr>
        <w:trPr/>
        <w:tc>
          <w:tcPr>
            <w:tcW w:w="3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619,070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619,070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Financial assets and liabilities measured at fair value on a recurring basis as of December 31, 2025 are summarized as follows (in thousands):</w:t>
      </w:r>
    </w:p>
    <w:tbl>
      <w:tblPr>
        <w:tblW w:w="6641" w:type="dxa"/>
        <w:jc w:val="left"/>
        <w:tblInd w:w="0" w:type="dxa"/>
        <w:tblLayout w:type="fixed"/>
        <w:tblCellMar>
          <w:top w:w="28" w:type="dxa"/>
          <w:left w:w="28" w:type="dxa"/>
          <w:bottom w:w="28" w:type="dxa"/>
          <w:right w:w="28" w:type="dxa"/>
        </w:tblCellMar>
      </w:tblPr>
      <w:tblGrid>
        <w:gridCol w:w="3011"/>
        <w:gridCol w:w="146"/>
        <w:gridCol w:w="211"/>
        <w:gridCol w:w="676"/>
        <w:gridCol w:w="146"/>
        <w:gridCol w:w="146"/>
        <w:gridCol w:w="211"/>
        <w:gridCol w:w="781"/>
        <w:gridCol w:w="146"/>
        <w:gridCol w:w="146"/>
        <w:gridCol w:w="239"/>
        <w:gridCol w:w="391"/>
        <w:gridCol w:w="391"/>
      </w:tblGrid>
      <w:tr>
        <w:trPr/>
        <w:tc>
          <w:tcPr>
            <w:tcW w:w="3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485,529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709,988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 of the Company’s Level 1 cash equivalents, consisting of money market funds, is based on quoted market prices in active markets with no valuation adjustment. The fair value of the Company’s Level 2 cash equivalents consisting of corporate debt securities with original maturities of three months or less and marketable securities consisting of U.S. treasury, U.S. government agency, and corporate debt securities with original maturities 24 months or less, are determined through third-party pricing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have been no impairments of the Company’s assets measured and carried at fair value during the three and six months ended June 30, 2026 and 2025. There were no changes in valuation techniques or transfers between Level 1, Level 2, and Level 3 financial assets during the three and six months ended June 30, 2026 and 2025. The Company did not have any non-recurring fair value measurements on any assets or liabilities during the three and six months ended June 30, 2026 and 2025.</w:t>
      </w:r>
    </w:p>
    <w:p>
      <w:pPr>
        <w:pStyle w:val="TextBody"/>
        <w:bidi w:val="0"/>
        <w:spacing w:before="240" w:after="283"/>
        <w:jc w:val="both"/>
        <w:rPr>
          <w:rFonts w:ascii="Times New Roman" w:hAnsi="Times New Roman"/>
          <w:sz w:val="20"/>
        </w:rPr>
      </w:pPr>
      <w:r>
        <w:rPr>
          <w:rFonts w:ascii="Times New Roman" w:hAnsi="Times New Roman"/>
          <w:b/>
          <w:color w:val="000000"/>
          <w:sz w:val="20"/>
        </w:rPr>
        <w:t>6. Other Accrued Expenses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Other accrued expenses consisted of the following (in thousands):</w:t>
      </w:r>
    </w:p>
    <w:tbl>
      <w:tblPr>
        <w:tblW w:w="5537" w:type="dxa"/>
        <w:jc w:val="left"/>
        <w:tblInd w:w="0" w:type="dxa"/>
        <w:tblLayout w:type="fixed"/>
        <w:tblCellMar>
          <w:top w:w="28" w:type="dxa"/>
          <w:left w:w="28" w:type="dxa"/>
          <w:bottom w:w="28" w:type="dxa"/>
          <w:right w:w="28" w:type="dxa"/>
        </w:tblCellMar>
      </w:tblPr>
      <w:tblGrid>
        <w:gridCol w:w="3031"/>
        <w:gridCol w:w="146"/>
        <w:gridCol w:w="211"/>
        <w:gridCol w:w="571"/>
        <w:gridCol w:w="146"/>
        <w:gridCol w:w="146"/>
        <w:gridCol w:w="260"/>
        <w:gridCol w:w="835"/>
        <w:gridCol w:w="19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employee-related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7. Licensing Activities and Business Development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License and Stock Purchase Agreement with AbbVie Deutschland GmbH &amp; Co. KG (“AbbVie”)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September 2019, the Company entered into an agreement with AbbVie, pursuant to which AbbVie granted the Company an exclusive license, with the right to grant sublicenses, to certain AbbVie intellectual property.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this agreement, the Company paid a non-refundable, non-creditable upfront fee of $0.6 million. The Company is also obligated to make aggregate payments upon the achievement of certain development, commercialization and sales-based milestones up to $18.0 million, $45.0 million and $87.5 million, respectively on a licensed product-by-licensed product basis. In addition, the Company is also obligated to pay royalties based on net sales of the licensed products on a licensed product-by-licensed product and country-by-country basis.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royalty obligation expires on a licensed product-by-licensed product and country-by-country basis upon the expiration of the last-to-expire valid claim under the licensed intellectual property rights in such country. Unless terminated earlier, the agreement expires upon the expiration of the Company’s royalty obligation for all licensed products. AbbVie can terminate the agreement if the Company fails to make any payments within a specified period after receiving written notice of such failure, or in the event of a material breach by the Company and failure to cure such breach within a certain period of time.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January 2025, the Company made a milestone payment of $3.0 million upon the first administration to a patient in the Phase 2 clinical trial of selcodebart (DISC-0974) which was recorded within research and development in the Company’s condensed consolidated statements of operations and comprehensive loss for the six months ended June 30, 2025. As of June 30, 2026, no additional milestones were deemed probable of achievement.</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License Agreement with F. Hoffmann-La Roche Ltd and Hoffmann-La Roche Inc. (collectively “Roche”)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a license agreement with Roche, (the "Roche Agreement"), the Company paid Roche an upfront, non-refundable exclusivity payment of $0.5 million in March 2021. Upon execution of the Roche Agreement in May 2021, the Company paid Roche an additional upfront, non-refundable payment of $4.0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obligated to make contingent payments to Roche up to an aggregate of $50.0 million in development and regulatory milestone payments for development and approval in a first indication and up to an aggregate of $35.0 million in development and regulatory milestone payments for development and approval in a second indication. The Company is also obligated to make contingent payments to Roche up to an aggregate of $120.0 million based on achievement of certain thresholds for annual net sales of licensed products. Roche is also eligible to receive tiered royalties on net sales of commercialized products, at rates ranging from high single-digits to high teens. Pursuant to the terms of the Roche Agreement and in connection with the Company's reverse merger with Gemini, the Company issued 482,313 shares of the Company to Roche for no consideration.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June 2025, the Company made a milestone payment of $10.0 million upon the initiation of the first Phase 3 clinical trial with a licensed product in a first indication which was recorded within research and development in the Company’s condensed consolidated statements of operations and comprehensive loss for the three and six months ended June 30, 2025. The next potential milestone payment is $15.0 million due upon regulatory approval in the United States with a licensed product in a first indication. As of June 30, 2026, this milestone was not deemed probable of achievement.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License Agreement with Mabwell Therapeutics, Inc. ("Mabwell")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January 2023, the Company entered into an exclusive license agreement with Mabwell pursuant to which Mabwell granted the Company an exclusive and sublicensable license to certain Mabwell intellectual property.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agreement, the Company paid Mabwell an upfront payment of $10.0 million in March 2023. In addition, the Company is obligated to pay certain development and regulatory milestone payments for the licensed products, for up to three indications, up to a maximum aggregate amount of $127.5 million, as well as certain commercial milestone payments for certain licensed product net sales achievements, up to a maximum aggregate amount of $275.0 million. The Company is further obligated to pay a tiered percentage of revenue that the Company receives from its sublicensees ranging from a low third decile percentage to a low first decile percentage. In addition, the Company is obligated to pay Mabwell a royalty on annual net sales of all licensed products at a tiered rate ranging from low single-digits to high single-digits.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October 2023, the Company made a milestone payment of $5.0 million upon the first administration to a patient in a Phase 1 clinical trial for DISC-3405. In September 2025, the Company made a milestone payment of $10.0 million upon the first administration to a patient in a Phase 2 clinical trial for DISC-3405. In April 2026, the Company made a milestone payment of $5.0 million upon the first administration to a patient in a Phase 1b clinical trial with a licensed product in a second indication which was recorded within research and development in the Company’s condensed consolidated statements of operations and comprehensive loss for the six months ended June 30, 2026. As of June 30, 2026, no additional milestones were deemed probable of achievement.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License Agreement with Oak Bay Biosciences, Inc. (“OBB”)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2024, the Company entered into an out-license agreement with OBB pursuant to which the Company granted an exclusive license, with the right to grant sublicenses, to certain Gemini intellectual property. Under the terms of the agreement, the Company received an upfront payment of $0.2 million with additional consideration receivable upon the achievement of certain clinical, regulatory and sales milestones up to $7.0 million, $35.0 million, and $160.0 million, respectively. As of June 30, 2026, none of the milestones had been achieved nor were they considered probable of achievement.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Merger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May 2025, the Company acquired a privately held company with a clinic-ready program for myelodysplastic syndromes and similar hematologic conditions. The transaction included no upfront cash payment and up to $50.0 million in late-stage contingent development and sales-based milestone payments (“Contingent Consideration”). The acquired entity’s primary asset was in-process research and development (“IPR&amp;D”) with no alternative future use.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fair value of the Contingent Consideration was determined using Level 3 unobservable inputs including management's estimates of milestone achievement probabilities and the application of an appropriate discount rate. Because the milestone payments were not accounted for as derivatives under ASC Topic 815, they were initially measured at fair value as of the acquisition date and are not remeasured each reporting period. The Contingent Consideration will be adjusted when it is determined that achievement of the contingent milestone is probable, which is generally upon achievement of the milestone event.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part of the transaction, the Company also obtained an exclusive license to certain intellectual property. Under the terms of the license, the Company is obligated to make certain development and sales-based milestone payments of up to $5.6 million and $20.0 million, respectively, for each compound. Additionally, the Company is required to pay royalties on net sales of licensed products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rates in the low single-digits. As of June 30, 2026, none of the milestones had been achieved, nor were they considered probable of achievement.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8. Long-Term Debt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2024, the Company entered into a Loan and Security Agreement (the “Hercules Loan Agreement”), with the lenders party thereto (the “Lenders”) and Hercules Capital, Inc., as administrative agent and collateral agent (the “Agent”). The Hercules Loan Agreement provides for up to $200.0 million of senior secured term loans available to the Company in multiple tranches (the “Term Loan Facility”). Upon execution, the Company borrowed an initial amount of $30.0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June 2026, the Company entered into the first amendment to the Hercules Loan Agreement (the “Hercules First Amendment”) which modified certain terms of the agreement, including, among other things, extending the availability period for the remaining undrawn tranches and revising the minimum cash covenant requirements. Upon execution of the Hercules First Amendment, the Company drew an additional principal amount of $30.0 million, increasing the cumulative amount drawn to $60.0 million. The Company may, at its sole discretion, draw an additional $50.0 million on or prior to April 30, 2027. The Company may also access additional term loan advances in an aggregate principal amount of up to $65.0 million during the term of the Term Loan Facility subject to achievement of specified performance milestones, and one additional term loan advance up to an aggregate principal amount of $25.0 million subject to certain terms and conditions. The Company intends to use the proceeds of the Term Loan Facility for working capital and general corporate purposes.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Term Loan Facility will mature on December 1, 2029 (the “Maturity Date”). The outstanding principal balance of the Term Loan Facility bears cash interest at a floating annual rate equal to the greater of (i) 8.25% and (ii) the sum of the Prime Rate and 1.75%. Accrued interest is payable monthly following the funding of each term loan advance. Borrowings under the Hercules Loan Agreement are repayable in monthly interest-only payments through November 2028. At the end of the interest-only payment period, borrowings under the Hercules Loan Agreement are repayable in equal monthly payments of principal and accrued interest until the Maturity Date. At the Company's option, the Company may prepay all or a portion of the outstanding borrowings, subject to a prepayment fee of 3.0% of the principal amount if prepayment occurs during the 18 months following the Closing Date, 2.0% after 18 months following the Closing Date but prior to 36 months following the Closing Date, and 1.0% thereafter.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obligations under the Hercules Loan Agreement are secured, subject to customary permitted liens and other agreed-upon exceptions, by a first-priority perfected security interest in all of the tangible and intangible assets of the Company, other than intellectual property. The Hercules Loan Agreement includes customary repayment and prepayment terms, events of default, affirmative and negative covenants and representations and warranties. Additionally, the Hercules Loan Agreement contains a minimum cash covenant that requires the Company to maintain certain levels of cash in accounts subject to a control agreement in favor of the Agent at all times beginning on the first day on or after July 1, 2028 (or July 1, 2029, if the Company achieves a certain milestone) on which the aggregate principal amount of the term loan advances is then more than $50.0 million; provided, however, the minimum cash covenant will be waived during all times that the Company's market capitalization is greater than or equal to $1.0 billion. The Hercules Loan Agreement also includes a subjective acceleration clause for circumstances which could be reasonably expected to have a material adverse effect on the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Hercules Loan Agreement provides for a final payment ("End of Term Charge"), payable upon maturity or the repayment of the obligations in full or in part (on a pro rata basis), equal to 6.75% of the aggregate principal amount of term loans advanced to the Company and repaid on such date, which is being accrued on the Company's condensed consolidated balance sheets.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recorded debt discount and debt issuance costs of $2.1 million related to borrowings under the Hercules Loan Agreement. Debt discount and unamortized debt issuance costs were recorded as a reduction of the carrying amount on the term loan and are amortized as interest expense using the effective-interest method. In addition, unamortized deferred financing costs of $0.4 million and $0.6 million were recorded in other assets as of June 30, 2026 and December 31, 2025, respectively, related to the Company's right to borrow additional amounts in the future.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expense related to the Term Loan Facility for the three and six months ended June 30, 2026 was $0.9 million and $1.8 million, respectively. Interest expense related to the Term Loan Facility for the three and six months ended June 30, 2025 was $0.9 million and $1.8 million, respectively. As of June 30, 2026 and December 31, 2025, the carrying value of the Term Loan Facility approximated its fair value.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obligations under the Term Loan Facility as of June 30, 2026 and December 31, 2025 consisted of the following (in thousands):</w:t>
      </w:r>
    </w:p>
    <w:tbl>
      <w:tblPr>
        <w:tblW w:w="6507" w:type="dxa"/>
        <w:jc w:val="left"/>
        <w:tblInd w:w="0" w:type="dxa"/>
        <w:tblLayout w:type="fixed"/>
        <w:tblCellMar>
          <w:top w:w="28" w:type="dxa"/>
          <w:left w:w="28" w:type="dxa"/>
          <w:bottom w:w="28" w:type="dxa"/>
          <w:right w:w="28" w:type="dxa"/>
        </w:tblCellMar>
      </w:tblPr>
      <w:tblGrid>
        <w:gridCol w:w="3856"/>
        <w:gridCol w:w="146"/>
        <w:gridCol w:w="211"/>
        <w:gridCol w:w="676"/>
        <w:gridCol w:w="166"/>
        <w:gridCol w:w="146"/>
        <w:gridCol w:w="260"/>
        <w:gridCol w:w="835"/>
        <w:gridCol w:w="21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term loan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discount and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end of term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annual principal payments due under the Term Loan Facility as of June 30, 2026 were as follows (in thousands):</w:t>
      </w:r>
    </w:p>
    <w:tbl>
      <w:tblPr>
        <w:tblW w:w="2905" w:type="dxa"/>
        <w:jc w:val="left"/>
        <w:tblInd w:w="0" w:type="dxa"/>
        <w:tblLayout w:type="fixed"/>
        <w:tblCellMar>
          <w:top w:w="28" w:type="dxa"/>
          <w:left w:w="28" w:type="dxa"/>
          <w:bottom w:w="28" w:type="dxa"/>
          <w:right w:w="28" w:type="dxa"/>
        </w:tblCellMar>
      </w:tblPr>
      <w:tblGrid>
        <w:gridCol w:w="1681"/>
        <w:gridCol w:w="146"/>
        <w:gridCol w:w="211"/>
        <w:gridCol w:w="676"/>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55,578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table of future principal payments excludes the End of Term Charge of $4.1 million, which is due upon the maturity of the loan.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9. Stockholders' Equity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Preferred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was authorized to issue up to 10,000,000 shares of preferred stock, $0.0001 par value per share. As of June 30, 2026, no shares of preferred stock were issued or outstanding.</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was authorized to issue up to 100,000,000 shares of common stock, $0.0001 par value per share. As of June 30, 2026, 38,345,666 shares of common stock were issued and outstanding.</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Underwritten Offerings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October 2025 Offering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October 2025, in connection with an underwriting agreement with Jefferies LLC, Leerink Partners LLC, Morgan Stanley &amp; Co. LLC, and Cantor Fitzgerald &amp; Co., the Company sold 2,619,049 shares of its common stock, at a public offering price of $84.00 per share. The Company also sold pre-funded warrants to purchase an aggregate of 59,523 shares of common stock at a price of $83.9999 per pre-funded warrant. The Company received aggregate net proceeds of $211.0 million, after deducting offering expenses of $14.0 million. As of June 30, 2026, none of the 59,523 pre-funded warrants had been exercised.</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January 2025 Offering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January 2025, in connection with an underwriting agreement with Jeffries LLC, Leerink Partners LLC, Stifel, Nicolaus &amp; Company, Incorporated and Cantor Fitzgerald &amp; Co., the Company sold 4,533,182 shares of its common stock, which included the exercise in full by the underwriters of their option to purchase up to 615,000 additional shares of common stock, at a public offering price of $55.00 per share. The Company also sold pre-funded warrants to purchase an aggregate of 181,818 shares of common stock at a price of $54.9999 per pre-funded warrant. The Company received aggregate net proceeds of $243.4 million, after deducting offering expenses of $15.9 million. As of June 30, 2026, none of the 181,818 pre-funded warrants had been exercised.</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June 2024 Offering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June 2024, the Company entered into an underwriting agreement with Leerink Partners LLC related to an underwritten offering. Pursuant to the agreement, the Company sold 4,944,000 shares of common stock of the Company, par value $0.0001 per share, at a price to the public of $36.00 per share. The Company received net proceeds of $172.5 million, after deducting the underwriting discount and offering expenses of $5.5 million.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June 2023 Offering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June 2023, the Company sold 3,015,919 shares of its common stock upon the completion of its public follow-on offering, which included the exercise in full by the underwriters of their option to purchase up to 420,000 additional shares of common stock, at a public offering price of $49.00 per share. The Company also sold, in lieu of shares of the Company’s common stock, pre-funded warrants to purchase an aggregate of 204,081 shares of common stock at a price of $48.9999 per pre-funded warrant. The Company received aggregate net proceeds of $147.9 million, after deducting offering expenses of $9.9 million. As of June 30, 2026, none of the 204,081 pre-funded warrants had been exercised.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February 2023 Offering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February 2023, the Company entered into a securities purchase agreement, with certain investors. Pursuant to the securities purchase agreement, the Company sold an aggregate of 1,488,166 shares of the Company’s common stock, at a purchase price of $23.00 per share, and with respect to a certain investor, in lieu of shares of the Company’s common stock, pre-funded warrants to purchase an aggregate of 1,229,224 shares of the Company’s common stock, at a purchase price of $22.9999 per pre-funded warrant, for aggregate net proceeds of $62.4 million, after deducting offering expenses of $0.1 million. In September 2023, all of the pre-funded warrants were exercised in a cashless transaction which resulted in 1,229,221 shares of common stock being issued to the investor.</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At-the-Market ("ATM") Program</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Cantor Fitzgerald &amp; Co. (“Cantor”)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November 15, 2024, the Company entered into a Controlled Equity Offering Sales Agreement (the “Cantor ATM Agreement”) with Cantor, pursuant to which the Company may, from time to time in its sole discretion, issue and sell to or through Cantor, acting as sales agent, shares of the Company’s common stock, par value $0.0001 per share having an aggregate offering price of up to $200.0 million. This offering was made pursuant to the Company's effective registration statement on Form S-3 filed in August 2024 (the "August 2024 Shelf").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the Company had sold an aggregate of 162,457 shares of common stock in Cantor ATM offerings under the August 2024 Shelf and pursuant to the Cantor ATM Agreement. Aggregate gross proceeds from the transaction were $10.1 million and the Company received $9.8 million in net proceeds, after deducting placement agent fees and offering expenses. There were no sales under the Cantor ATM Agreement during the three and six months ended June 30, 2026 and 2025.</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10. Stock-Based Compensation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Equity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grants stock-based awards under its 2021 Stock Option and Incentive Plan (the “2021 Plan”), which was approved by its stockholders in February 2021 and amended and restated in January 2023. The Company also has outstanding stock option awards under its 2017 Stock Option and Grant Plan (the “Private Disc Plan”) but is no longer granting awards under this plan or its 2021 Inducement Plan. The Company also grants awards under its 2021 Employee Stock Purchase Plan (the “2021 ESPP”), which was approved by the Company's stockholders in July 2021 and amended and restated in January 2023.</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Out-of-Plan Inducement Grants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the Company grants equity awards to newly hired executives as a material inducement to enter into employment with the Company. These grants are made in accordance with Rule 5635(c)(4) of the Nasdaq Listing Rules and are issued outside the 2021 Plan, the 2021 Inducement Plan and each of the other stock incentive plans described above.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Total stock-based compensation expense recorded as research and development and selling, general and administrative expenses, respectively, for employees, directors and non-employees is as follows (in thousands):</w:t>
      </w:r>
    </w:p>
    <w:tbl>
      <w:tblPr>
        <w:tblW w:w="8107" w:type="dxa"/>
        <w:jc w:val="left"/>
        <w:tblInd w:w="0" w:type="dxa"/>
        <w:tblLayout w:type="fixed"/>
        <w:tblCellMar>
          <w:top w:w="28" w:type="dxa"/>
          <w:left w:w="28" w:type="dxa"/>
          <w:bottom w:w="28" w:type="dxa"/>
          <w:right w:w="28" w:type="dxa"/>
        </w:tblCellMar>
      </w:tblPr>
      <w:tblGrid>
        <w:gridCol w:w="3451"/>
        <w:gridCol w:w="146"/>
        <w:gridCol w:w="211"/>
        <w:gridCol w:w="676"/>
        <w:gridCol w:w="146"/>
        <w:gridCol w:w="146"/>
        <w:gridCol w:w="211"/>
        <w:gridCol w:w="571"/>
        <w:gridCol w:w="146"/>
        <w:gridCol w:w="146"/>
        <w:gridCol w:w="211"/>
        <w:gridCol w:w="676"/>
        <w:gridCol w:w="146"/>
        <w:gridCol w:w="146"/>
        <w:gridCol w:w="211"/>
        <w:gridCol w:w="676"/>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11.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did not record a provision or benefit for federal income taxes during the three and six months ended June 30, 2026 and 2025. The Company recorded state income tax expense of $0.1 million and $0.2 million for the six months ended June 30, 2026 and 2025, respectively, due to interest income. The Company continues to maintain a full valuation allowance against all of its deferred tax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evaluated the positive and negative evidence involving its ability to realize its deferred tax assets and has considered its history of cumulative net losses incurred since inception and its lack of any commercially ready products. The Company has concluded that it is more likely than not that it will not realize the benefits of its deferred tax assets. The Company reevaluates the positive and negative evidence at each reporting period.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never been examined by the Internal Revenue Service or any other jurisdiction for any tax years and, as such, all years within the applicable statutes of limitations are potentially subject to audit.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12. Net Loss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Basic and diluted net loss per share is computed by dividing net loss by the weighted-average common shares outstanding. The weighted-average common shares outstanding used in the basic and diluted net loss per share calculation includes pre-funded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warrants issued in connection with the Company’s underwritten offerings. As of June 30, 2026 and June 30, 2025, 445,422 and 385,899 pre-funded warrants were outstanding, respectively.</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sets forth the computation of the Company’s basic and diluted net loss per share (in thousands, except share and per share data):</w:t>
      </w:r>
    </w:p>
    <w:tbl>
      <w:tblPr>
        <w:tblW w:w="10205" w:type="dxa"/>
        <w:jc w:val="left"/>
        <w:tblInd w:w="0" w:type="dxa"/>
        <w:tblLayout w:type="fixed"/>
        <w:tblCellMar>
          <w:top w:w="28" w:type="dxa"/>
          <w:left w:w="28" w:type="dxa"/>
          <w:bottom w:w="28" w:type="dxa"/>
          <w:right w:w="28" w:type="dxa"/>
        </w:tblCellMar>
      </w:tblPr>
      <w:tblGrid>
        <w:gridCol w:w="3744"/>
        <w:gridCol w:w="146"/>
        <w:gridCol w:w="211"/>
        <w:gridCol w:w="1036"/>
        <w:gridCol w:w="166"/>
        <w:gridCol w:w="146"/>
        <w:gridCol w:w="211"/>
        <w:gridCol w:w="1036"/>
        <w:gridCol w:w="166"/>
        <w:gridCol w:w="146"/>
        <w:gridCol w:w="211"/>
        <w:gridCol w:w="1036"/>
        <w:gridCol w:w="166"/>
        <w:gridCol w:w="146"/>
        <w:gridCol w:w="211"/>
        <w:gridCol w:w="1036"/>
        <w:gridCol w:w="391"/>
      </w:tblGrid>
      <w:tr>
        <w:trPr/>
        <w:tc>
          <w:tcPr>
            <w:tcW w:w="3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(89,332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38,685,565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35,024,592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38,589,035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34,179,364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Company has generated a net loss in all periods presented, so the basic and diluted net loss per share are the same, as the inclusion of the potentially dilutive securities would be anti-dilutive. As of June 30, 2026 and June 30, 2025, the Company excluded the following potential common shares from the computation of diluted net loss per share because including them would have had an anti-dilutive effect:</w:t>
      </w:r>
    </w:p>
    <w:tbl>
      <w:tblPr>
        <w:tblW w:w="5754" w:type="dxa"/>
        <w:jc w:val="left"/>
        <w:tblInd w:w="0" w:type="dxa"/>
        <w:tblLayout w:type="fixed"/>
        <w:tblCellMar>
          <w:top w:w="28" w:type="dxa"/>
          <w:left w:w="28" w:type="dxa"/>
          <w:bottom w:w="28" w:type="dxa"/>
          <w:right w:w="28" w:type="dxa"/>
        </w:tblCellMar>
      </w:tblPr>
      <w:tblGrid>
        <w:gridCol w:w="2971"/>
        <w:gridCol w:w="146"/>
        <w:gridCol w:w="146"/>
        <w:gridCol w:w="931"/>
        <w:gridCol w:w="146"/>
        <w:gridCol w:w="146"/>
        <w:gridCol w:w="146"/>
        <w:gridCol w:w="931"/>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3,706,349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3,452,796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1,348,329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997,737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13. Segment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manages its operations as a single operating segment for the purposes of assessing performance and making operating decisions, resulting in a single reportable segment. The Company has determined that its Chief Operating Decision Maker ("CODM") is its Chief Executive Officer. The Company’s CODM reviews the Company’s financial information on a consolidated basis for the purpose of allocating resources and assessing financial performance.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key measure of segment profit or loss that the CODM uses to allocate resources and assess performance is the Company’s consolidated net loss, as reported on the condensed consolidated statements of operations and comprehensive loss. In addition, the CODM is regularly provided the significant segment expense categories included in the table below (in thousands), which are reviewed against budgeted expectations to assist in resource allocation decision-making.</w:t>
      </w:r>
    </w:p>
    <w:tbl>
      <w:tblPr>
        <w:tblW w:w="9612" w:type="dxa"/>
        <w:jc w:val="left"/>
        <w:tblInd w:w="0" w:type="dxa"/>
        <w:tblLayout w:type="fixed"/>
        <w:tblCellMar>
          <w:top w:w="28" w:type="dxa"/>
          <w:left w:w="28" w:type="dxa"/>
          <w:bottom w:w="28" w:type="dxa"/>
          <w:right w:w="28" w:type="dxa"/>
        </w:tblCellMar>
      </w:tblPr>
      <w:tblGrid>
        <w:gridCol w:w="4426"/>
        <w:gridCol w:w="146"/>
        <w:gridCol w:w="211"/>
        <w:gridCol w:w="736"/>
        <w:gridCol w:w="166"/>
        <w:gridCol w:w="146"/>
        <w:gridCol w:w="211"/>
        <w:gridCol w:w="736"/>
        <w:gridCol w:w="166"/>
        <w:gridCol w:w="146"/>
        <w:gridCol w:w="211"/>
        <w:gridCol w:w="841"/>
        <w:gridCol w:w="166"/>
        <w:gridCol w:w="146"/>
        <w:gridCol w:w="211"/>
        <w:gridCol w:w="736"/>
        <w:gridCol w:w="21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Bitopertin program external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Selcodebart (DISC-0974) program external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DISC-3405 program external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external 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and other 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(89,332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segment items include interest income, interest expense, other (expense) income, and income tax expense as reported on the condensed consolidated statements of operations and comprehensive loss.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Assets regularly provided to the CODM are consistent with those reported on the condensed consolidated balance sheets with particular emphasis on the Company’s available liquidity, including its cash, cash equivalents and marketable securities balances. All of the Company’s tangible assets are held in the United States.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14. Commitments and Contingencies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Indemnification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ordinary course of business, the Company may provide indemnification of varying scope and terms to its vendors, lessors, contract research organizations,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The Company has not incurred any material costs as a result of such indemnifications and is not currently aware of any indemnification claims.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from time to time, may be party to litigation arising in the ordinary course of business. The Company was not subject to any material legal proceedings during the six months ended June 30, 2026 and 2025 and, to the best of its knowledge, no material legal proceedings are currently pending or threatened.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Payments Upon Termination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enters into contracts in the normal course of business with contract research organizations ("CROs"), contract development and manufacturing organizations ("CDMOs") and other third parties for preclinical studies, clinical trials and manufacturing services. These contracts typically do not contain minimum purchase commitments and are generally cancelable by the Company upon written notice. Payments due upon cancellation consist of payments for services provided or expenses incurred, including noncancelable obligations of the Company’s service providers, up to the date of cancellation and, in the case of certain arrangements with CROs and CDMOs, may include noncancelable fees. Under such agreements, the exact amounts owed by the Company in the event of termination will be based on the timing of the termination and the exact terms of the agreement. As of June 30, 2026, the Company has not recognized any amounts related to these contingencies as the amount and timing of such payments are not fixed and estimable.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15. Related Party Transactions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October 2025 and January 2025, certain existing investors participated in the Company's underwritten offerings (see </w:t>
      </w:r>
      <w:r>
        <w:rPr>
          <w:rFonts w:ascii="Times New Roman" w:hAnsi="Times New Roman"/>
          <w:i/>
          <w:color w:val="000000"/>
          <w:sz w:val="20"/>
        </w:rPr>
        <w:t>Note 9 - Stockholders' Equity</w:t>
      </w: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b/>
          <w:color w:val="000000"/>
          <w:sz w:val="20"/>
        </w:rPr>
      </w:pPr>
      <w:bookmarkStart w:id="11" w:name="item_2_managements_discussion"/>
      <w:bookmarkEnd w:id="11"/>
      <w:r>
        <w:rPr>
          <w:rFonts w:ascii="Times New Roman" w:hAnsi="Times New Roman"/>
          <w:b/>
          <w:color w:val="000000"/>
          <w:sz w:val="20"/>
        </w:rPr>
        <w:t>ITEM 2. MANAGEMENT’S DISCUSSION AND ANALYSIS OF FINANCIAL CONDITION AND RESULTS OF OPERATIONS</w:t>
      </w:r>
    </w:p>
    <w:p>
      <w:pPr>
        <w:pStyle w:val="TextBody"/>
        <w:bidi w:val="0"/>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unaudited condensed consolidated financial statements and related notes appearing at the beginning of this Quarterly Report on Form 10-Q and our audited consolidated financial statements and related notes appearing at the end of our Annual Report on Form 10-K for the year ended December 31, 2025.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selcodebart (DISC-0974) for the treatment of anemia of myelofibrosis, or MF, and anemia of inflammatory bowel disease, or IBD; and DISC-3405 for the treatment of polycythemia vera, or PV, sickle cell disease, or SCD, and other hematologic disorders. In addition, our preclinical programs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Heme Biosynthesis: Bitopertin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initially developing bitopertin for the treatment of EPs, including EPP and XLP, which are part of a group of severe diseases, known as porphyrias, caused by defects in the heme biosynthesis pathway that cause an accumulation of toxic metabolites referred to as porphyrins, resulting in skin hypersensitivity to sunlight and some types of artificial light.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completed two Phase 2 clinical trials of bitopertin: BEACON, an open-label, parallel-dose clinical trial in EPP and XLP patients conducted at sites in Australia, and AURORA, a randomized, double-blind, placebo-controlled clinical trial in EPP patients conducted at sites in the United States. In both trials, bitopertin significantly reduced the toxic metabolite, protoporphyrin IX, or PPIX, and was associated with improvements in measures of time spent in sunlight and quality of life. In addition, bitopertin was generally well-tolerated. All participants in AURORA and BEACON were eligible to participate in HELIOS, an ongoing open-label, long-term extension study of bitopertin in EPP and XLP patients. Interim data from HELIOS, presented in June 2025 and June 2026, demonstrated that longer term treatment of bitopertin was associated with sustained reductions in PPIX, as well as improvements in quality of life and liver biomarkers. Bitopertin is also currently being studied in APOLLO, a Phase 3, randomized, double-blind, placebo-controlled, clinical trial of bitopertin in EPP and XLP patients that we initiated in May 2025. In September 2025 we submitted a New Drug Application, or NDA, for accelerated approval of bitopertin in EPP and XLP in the United States based on our Phase 2 data. The FDA accepted our NDA for review in November 2025 and in February 2026 issued a complete response letter, or CRL. The FDA concluded that the AURORA and BEACON trials did not show evidence of association between percent change in PPIX and sunlight exposure-based endpoints as measured in the trials, resulting in uncertainty regarding whether bitopertin’s effect on PPIX is reasonably likely to predict clinical benefit, despite the strong mechanistic and biological plausibility supporting the use of the PPIX biomarker in protoporphyria. In our Type A meeting during the second quarter of 2026, the FDA indicated that results of the ongoing Phase 3 APOLLO trial, if successful, could serve as the basis for a response to the CRL and could potentially support a traditional approval. We completed enrollment in APOLLO (n=183) in the first quarter of 2026 and expect to report topline data in the fourth quarter of 2026. If successful, we plan to submit a response to the CRL and would then anticipate an FDA decision on our NDA by mid-2027.</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APOLLO clinical trial is also intended to serve as a registrational trial with respect to any potential future marketing applications for bitopertin in EPP and XLP outside the United States. We continue to evaluate potential additional trials of bitopertin in other indications.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Iron Homeostasis: Selcodebart (DISC-0974) and DISC-3405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Selcodebart is the lead product candidate in our iron homeostasis portfolio and was licensed from AbbVie Deutschland GmbH &amp; Co. KG, or AbbVie. Selcodebart is designed to suppress hepcidin production and increase serum iron levels. We completed a Phase 1 clinical trial in healthy volunteers in the United States in June 2022, with results showing an acceptable tolerability profile and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evidence of target engagement, iron mobilization and augmented erythropoiesis. We initiated a Phase 1b/2 clinical trial in June 2022 in patients with anemia of MF, with results from the Phase 1b portion of this clinical trial showing substantial and sustained reductions in hepcidin levels and increases in iron alongside strong hematologic responses across patient types and an acceptable tolerability profile. We initiated RALLY-MF, the open-label Phase 2 portion of this clinical trial, in December 2024 and reported initial data in December 2025 and interim data in June 2026, with results demonstrating meaningful overall anemia responses across all patient subgroups, regardless of baseline transfusion status and independent of concomitant Janus Kinase, or JAK, inhibitor therapy use. We expect to share additional data in the fourth quarter of 2026. If positive, we expect to hold an end-of-Phase 2 meeting with the FDA for selcodebart in anemia of MF by the end of 2026. We also initiated RALLY-IBD, a Phase 2 clinical trial of selcodebart in patients with IBD and anemia in the first quarter of 2026, with initial data anticipated in 2027, and we are planning exploratory studies in additional patient populations with anemia of chronic disease. We are also developing a preclinical anti-hemojuvelin, or HJV, monoclonal antibody, DISC-0998, which also targets hepcidin suppression and was licensed from AbbVie. DISC-0998 is designed to increase serum iron levels and has an extended serum half-life as compared to selcodebart. We believe this profile may be desirable in certain subsets of patients with anemia associated with inflammatory diseases.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we are developing DISC-3405, a monoclonal antibody against Transmembrane Serine Protease 6, or TMPRSS6, that we licensed from Mabwell Therapeutics, Inc., or Mabwell. DISC-3405 is part of our iron homeostasis portfolio and is designed to induce hepcidin production and reduce serum iron levels. We initiated a Phase 1 clinical trial of DISC-3405 in healthy adult volunteers in October 2023 and presented interim data from the single-ascending dose, or SAD, portion of this clinical trial in June 2024. We presented data from the multiple ascending dose, or MAD, portion of this clinical trial in December 2024, and presented updated data from both the SAD and MAD portions of this clinical trial in June 2025, with results showing an acceptable tolerability profile and evidence of target engagement, including dose-related increases in serum hepcidin and corresponding reductions in serum iron across all dose levels. We are developing DISC-3405 for the treatment of PV, SCD, and other hematologic disorders. We initiated RESTORE-PV, an open-label Phase 2 clinical trial of DISC-3405 in patients with PV, in June 2025, with initial data expected in the third quarter of 2026. We also initiated a Phase 1b, open-label clinical trial of DISC-3405 in patients with SCD in October 2025, with initial data expected in the fourth quarter of 2026, and plan to explore the role of therapeutic iron restriction in other indications.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Funding</w:t>
      </w:r>
    </w:p>
    <w:p>
      <w:pPr>
        <w:pStyle w:val="TextBody"/>
        <w:bidi w:val="0"/>
        <w:spacing w:before="120" w:after="283"/>
        <w:jc w:val="both"/>
        <w:rPr>
          <w:rFonts w:ascii="Times New Roman" w:hAnsi="Times New Roman"/>
          <w:sz w:val="20"/>
        </w:rPr>
      </w:pPr>
      <w:r>
        <w:rPr>
          <w:rFonts w:ascii="Times New Roman" w:hAnsi="Times New Roman"/>
          <w:color w:val="000000"/>
          <w:sz w:val="20"/>
        </w:rPr>
        <w:t>As of June 30, 2026, we had cash, cash equivalents and marketable securities of $717.7 million. We believe that our cash, cash equivalents and marketable securities will be sufficient to fund our current operating and capital expenditure plans and our debt service obligations into 2029, without taking into account any potential net cash inflows from bitopertin or any other marketed product, if approved during such period. We have based these estimates on assumptions that may prove to be wrong, and we could exhaust our available capital resources sooner than we expect. See "</w:t>
      </w:r>
      <w:r>
        <w:rPr>
          <w:rFonts w:ascii="Times New Roman" w:hAnsi="Times New Roman"/>
          <w:i/>
          <w:color w:val="000000"/>
          <w:sz w:val="20"/>
        </w:rPr>
        <w:t>Liquidity and Capital Resources"</w:t>
      </w:r>
      <w:r>
        <w:rPr>
          <w:rFonts w:ascii="Times New Roman" w:hAnsi="Times New Roman"/>
          <w:color w:val="000000"/>
          <w:sz w:val="20"/>
        </w:rPr>
        <w:t xml:space="preserve"> for additional details.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Financial Operations Overview</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not generated any revenue since our inception and do not expect to generate any revenue from the sale of products in the near future, if at all. If our development efforts are successful and result in commercialization of one or more product candidates or if we enter into collaboration or license agreements with third parties, we may generate revenue in the future from product sales, payments from such collaboration or license agreements or a combination thereof.</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consist primarily of costs incurred in connection with the research and development of our product candidates. These expenses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employee-related expenses, including salaries, benefits, and stock-based compensation expense, for personnel engaged in research and development functions;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expenses incurred in connection with our research and development activities, including under agreements with third parties such as consultants, contractors and contract research organizations, or CROs;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related to contract development and manufacturing organizations, or CDMOs, that are primarily engaged to provide drug substance and product for our preclinical studies, clinical trials and research and development programs, as well as investigative sites and consultants that conduct our clinical trials, preclinical studies and other scientific development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acquiring and manufacturing preclinical study and clinical trial materials, including manufacturing registration and validation batches;</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related to compliance with quality and regulatory requirements;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payments made under third-party licensing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expense research and development costs as incurred. Costs incurred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may be reflected in our condensed consolidated financial statements as prepaid or accrued expenses. Nonrefundable advance payments for goods or services to be received in the future for use in research and development activities are recorded as prepaid expenses and expensed as the related goods are delivered or the services are performed or when it is no longer expected that the goods will be delivered or the services rendered.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typically use our employee and infrastructure resources across product candidates and development programs. We track external development costs by product candidate or development program, but we do not allocate personnel costs or other internal costs to specific product candidates or development programs.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that our research and development expenses will increase substantially as we advance our programs into and through clinical development. At this time, we cannot accurately estimate or know the nature, timing or costs of the efforts that will be necessary to complete their preclinical and clinical development. Changes in the outcome of any number of variables with respect to these programs could significantly affect the costs and timing associated with their development. We may never succeed in obtaining regulatory approval for any product candidates that have not yet been approved. The successful development of any product candidate is highly uncertain due to the numerous risks and uncertainties inherent in product development,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progress of preclinical and clinical development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and scope of preclinical and clinical programs we decide to pursue;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raise additional funds to the extent necessary to complete clinical development of and commercialize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new licensing or collaboration arrangements and the progress of the development efforts of third parties with whom we may enter into such arrangements;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our current research and development programs and to establish new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successful initiation, enrollment and completion of clinical trials with safety, tolerability and efficacy profiles that are satisfactory to the FDA or any comparable foreign regulatory authority;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receipt and related terms of regulatory approvals from applicable regulatory authorities for any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raw materials for use in production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agreements with third-party manufacturers for supply of product candidate components for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and maintain patents, trade secret protection and regulatory exclusivity, both in the United States and internationally;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protect our other rights in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commercialize product candidates, if and when approved, whether alone or in collaboration with others;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and maintain third-party insurance coverage and adequate reimbursement for any approved products.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Selling, 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Selling, general and administrative expenses consist primarily of salaries and related costs for personnel in executive, finance, commercial, corporate and business development, and administrative functions. Selling, general and administrative expenses also include legal fees relating to patent and corporate matters, including noncapitalizable transaction costs; professional fees for accounting, auditing, tax compliance and administrative consulting services; investor and public relations expenses; commercial planning and market research; director and officer insurance costs and other insurance costs; and facility related expenses including maintenance and allocated expenses for rent and other operating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anticipate that our selling, general and administrative expenses will increase substantially in the future as we increase our headcount to support our continued research and development and potential commercialization activities, including establishing the infrastructure to commercialize any product candidates for which we may obtain marketing approval.</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income primarily consists of interest earned on cash equivalents, consisting of money market funds and corporate debt securities, as well as marketable securities, consisting of U.S. treasury securities, U.S. government agency securities and corporate debt securities.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expense primarily consists of amortization of debt issuance costs and discount and interest expense under the Hercules Loan Agreement.</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Comparison of the Three and Six Months Ended June 30, 2026 and 2025</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summarizes our results of operations for the three and six months ended June 30, 2026 and 2025 (in thousands):</w:t>
      </w:r>
    </w:p>
    <w:tbl>
      <w:tblPr>
        <w:tblW w:w="10205" w:type="dxa"/>
        <w:jc w:val="left"/>
        <w:tblInd w:w="0" w:type="dxa"/>
        <w:tblLayout w:type="fixed"/>
        <w:tblCellMar>
          <w:top w:w="28" w:type="dxa"/>
          <w:left w:w="28" w:type="dxa"/>
          <w:bottom w:w="28" w:type="dxa"/>
          <w:right w:w="28" w:type="dxa"/>
        </w:tblCellMar>
      </w:tblPr>
      <w:tblGrid>
        <w:gridCol w:w="2101"/>
        <w:gridCol w:w="146"/>
        <w:gridCol w:w="211"/>
        <w:gridCol w:w="736"/>
        <w:gridCol w:w="166"/>
        <w:gridCol w:w="146"/>
        <w:gridCol w:w="211"/>
        <w:gridCol w:w="736"/>
        <w:gridCol w:w="166"/>
        <w:gridCol w:w="146"/>
        <w:gridCol w:w="211"/>
        <w:gridCol w:w="631"/>
        <w:gridCol w:w="166"/>
        <w:gridCol w:w="146"/>
        <w:gridCol w:w="211"/>
        <w:gridCol w:w="841"/>
        <w:gridCol w:w="166"/>
        <w:gridCol w:w="146"/>
        <w:gridCol w:w="211"/>
        <w:gridCol w:w="841"/>
        <w:gridCol w:w="166"/>
        <w:gridCol w:w="146"/>
        <w:gridCol w:w="211"/>
        <w:gridCol w:w="736"/>
        <w:gridCol w:w="61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33,243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(33,243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summarizes our research and development expenses for the three and six months ended June 30, 2026 and 2025 (in thousands):</w:t>
      </w:r>
    </w:p>
    <w:tbl>
      <w:tblPr>
        <w:tblW w:w="10205" w:type="dxa"/>
        <w:jc w:val="left"/>
        <w:tblInd w:w="0" w:type="dxa"/>
        <w:tblLayout w:type="fixed"/>
        <w:tblCellMar>
          <w:top w:w="28" w:type="dxa"/>
          <w:left w:w="28" w:type="dxa"/>
          <w:bottom w:w="28" w:type="dxa"/>
          <w:right w:w="28" w:type="dxa"/>
        </w:tblCellMar>
      </w:tblPr>
      <w:tblGrid>
        <w:gridCol w:w="2746"/>
        <w:gridCol w:w="146"/>
        <w:gridCol w:w="211"/>
        <w:gridCol w:w="676"/>
        <w:gridCol w:w="146"/>
        <w:gridCol w:w="146"/>
        <w:gridCol w:w="211"/>
        <w:gridCol w:w="676"/>
        <w:gridCol w:w="146"/>
        <w:gridCol w:w="146"/>
        <w:gridCol w:w="211"/>
        <w:gridCol w:w="736"/>
        <w:gridCol w:w="166"/>
        <w:gridCol w:w="146"/>
        <w:gridCol w:w="211"/>
        <w:gridCol w:w="676"/>
        <w:gridCol w:w="146"/>
        <w:gridCol w:w="146"/>
        <w:gridCol w:w="211"/>
        <w:gridCol w:w="676"/>
        <w:gridCol w:w="146"/>
        <w:gridCol w:w="146"/>
        <w:gridCol w:w="211"/>
        <w:gridCol w:w="736"/>
        <w:gridCol w:w="3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Bitopertin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Selcodebart (DISC-0974)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DISC-3405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programs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(including 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were $46.9 million for the three months ended June 30, 2026, compared to $46.3 million for the three months ended June 30, 2025. The increase of $0.6 million was driven by increases of $7.7 million and $3.1 million related to selcodebart (DISC-0974) and DISC-3405, respectively, primarily related to clinical trial advancement and drug manufacturing activities. Personnel-related costs increased $5.9 million related to higher research and development headcount, including an increase of $3.1 million in stock-based compensation driven by awards granted under our equity compensation plans. These increases were partially offset by a decrease of $15.0 million in bitopertin development expenses primarily driven by a $10.0 million milestone payment and higher manufacturing costs incurred during the comparative period. Other research programs and expenses also decreased $1.1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expenses were $92.8 million for the six months ended June 30, 2026, compared to $74.1 million for the six months ended June 30, 2025. The increase of $18.8 million was primarily due to an increase of $13.1 million in personnel-related costs related to higher research and development headcount, including an increase of $6.0 million in stock-based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compensation driven by awards granted under our equity compensation plans. DISC-3405 development expenses increased $10.6 million primarily driven by increased clinical and manufacturing activities and a $5.0 million milestone payment triggered in the first quarter of 2026. Additionally, selcodebart (DISC-0974) development expenses increased $9.7 million primarily related to clinical trial advancement and drug manufacturing activities. These increases were partially offset by a decrease of $14.1 million in bitopertin development expenses primarily driven by a $10.0 million milestone payment and higher manufacturing costs incurred during the comparative period. Other research programs and expenses also decreased $0.5 million.</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Selling, General and Administrative Expenses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summarizes our selling, general and administrative expenses for the three and six months ended June 30, 2026 and 2025 (in thousands):</w:t>
      </w:r>
    </w:p>
    <w:tbl>
      <w:tblPr>
        <w:tblW w:w="10205" w:type="dxa"/>
        <w:jc w:val="left"/>
        <w:tblInd w:w="0" w:type="dxa"/>
        <w:tblLayout w:type="fixed"/>
        <w:tblCellMar>
          <w:top w:w="28" w:type="dxa"/>
          <w:left w:w="28" w:type="dxa"/>
          <w:bottom w:w="28" w:type="dxa"/>
          <w:right w:w="28" w:type="dxa"/>
        </w:tblCellMar>
      </w:tblPr>
      <w:tblGrid>
        <w:gridCol w:w="2911"/>
        <w:gridCol w:w="146"/>
        <w:gridCol w:w="211"/>
        <w:gridCol w:w="676"/>
        <w:gridCol w:w="146"/>
        <w:gridCol w:w="146"/>
        <w:gridCol w:w="211"/>
        <w:gridCol w:w="676"/>
        <w:gridCol w:w="146"/>
        <w:gridCol w:w="146"/>
        <w:gridCol w:w="211"/>
        <w:gridCol w:w="631"/>
        <w:gridCol w:w="166"/>
        <w:gridCol w:w="146"/>
        <w:gridCol w:w="211"/>
        <w:gridCol w:w="676"/>
        <w:gridCol w:w="146"/>
        <w:gridCol w:w="146"/>
        <w:gridCol w:w="211"/>
        <w:gridCol w:w="676"/>
        <w:gridCol w:w="146"/>
        <w:gridCol w:w="146"/>
        <w:gridCol w:w="211"/>
        <w:gridCol w:w="676"/>
        <w:gridCol w:w="39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(including 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consulting and 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Selling, general and administrative expenses were $18.1 million for the three months ended June 30, 2026, compared to $15.1 million for the three months ended June 30, 2025. The increase of $3.1 million was primarily due to an increase of $3.9 million in personnel-related costs due to increased selling, general and administrative headcount, including an increase of $2.4 million in stock-based compensation driven by awards granted under our equity compensation plans. This increase was partially offset by a $1.2 million decrease in legal, consulting, and professional fees primarily related to changes in the timing and scope of commercialization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Selling, general and administrative expenses were $41.8 million for the six months ended June 30, 2026, compared to $27.3 million for the six months ended June 30, 2025. The increase of $14.5 million was primarily due to an increase of $12.6 million in personnel-related costs due to increased selling, general and administrative headcount, including an increase of $5.1 million in stock-based compensation driven by awards granted under our equity compensation plans and an increase of $1.6 million related to an organizational restructuring. There were also increases of $1.0 million and $0.9 million in other expenses and legal, consulting, and professional fees, respectively, primarily related to developing our commercialization capabilities.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(expense), net was $5.6 million and $11.7 million for the three and six months ended June 30, 2026, respectively, compared to $6.2 million and $12.2 million for the three and six months ended June 30, 2025, respectively. Other income (expense), net consists primarily of interest income from our cash, cash equivalents and marketable securities, partially offset by interest expense associated with our term loan.</w:t>
      </w:r>
    </w:p>
    <w:p>
      <w:pPr>
        <w:pStyle w:val="Heading2"/>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Income Tax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Income tax expense was $0.1 million for both the three and six months ended June 30, 2026, compared to $0.1 million and $0.2 million for the three and six months ended June 30, 2025, respectively. This expense primarily relates to state income tax resulting from an increase in interest income.</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our inception, we have not generated any revenue from product sales and have incurred significant operating losses. We expect to continue to incur significant expenses and operating losses in the foreseeable future as we advance the clinical development of our product candidates. We expect that our research and development and selling, general and administrative costs will continue to increase significantly, including in connection with conducting clinical trials and manufacturing for our product candidates to support commercialization and providing selling, general and administrative support for our operations, including the costs associated with operating as a public company. As a result, we may need additional capital to fund our operations, which we may obtain from additional equity or debt financings, collaborations, licensing arrangements or other sources. See “Risk Factors” included within Item 1A of this Quarterly Report on Form 10-Q for additional risks associated with our substantial capital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date, we have funded our operations primarily with proceeds from the sale of our convertible preferred stock and common stock, the proceeds from the merger with Gemini, proceeds from various private and public sales of our equity securities and proceeds from borrowings under the Hercules Loan Agreement. Through June 30, 2026, we have received net proceeds of $144.5 million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sales of our Series Seed, Series A and Series B convertible preferred stock, $89.5 million from the merger with Gemini, $941.8 million from various private and public sales of our equity securities, and $57.6 million from net borrowings under the Hercules Loan Agreement. As of June 30, 2026, we had cash, cash equivalents and marketable securities of $717.7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significant operating losses since inception and, as of June 30, 2026, had an accumulated deficit of $633.2 million. In addition, we expect to continue to incur significant and increasing expenses and operating losses for the foreseeable future. We believe that our cash, cash equivalents and marketable securities will be sufficient to fund our current operating and capital expenditure plans and our debt service obligations into 2029, without taking into account any potential net cash inflows from bitopertin or any other marketed product, if approved during such period. We have based these estimates on assumptions that may prove to be wrong, and we could exhaust our available capital resources sooner than we expect. We may also pursue additional cash resources through public or private equity offerings, collaborations or additional debt financing.</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provides information regarding our cash flows for each period presented (in thousands):</w:t>
      </w:r>
    </w:p>
    <w:tbl>
      <w:tblPr>
        <w:tblW w:w="8719" w:type="dxa"/>
        <w:jc w:val="left"/>
        <w:tblInd w:w="0" w:type="dxa"/>
        <w:tblLayout w:type="fixed"/>
        <w:tblCellMar>
          <w:top w:w="28" w:type="dxa"/>
          <w:left w:w="28" w:type="dxa"/>
          <w:bottom w:w="28" w:type="dxa"/>
          <w:right w:w="28" w:type="dxa"/>
        </w:tblCellMar>
      </w:tblPr>
      <w:tblGrid>
        <w:gridCol w:w="5766"/>
        <w:gridCol w:w="146"/>
        <w:gridCol w:w="211"/>
        <w:gridCol w:w="841"/>
        <w:gridCol w:w="166"/>
        <w:gridCol w:w="146"/>
        <w:gridCol w:w="211"/>
        <w:gridCol w:w="841"/>
        <w:gridCol w:w="391"/>
      </w:tblGrid>
      <w:tr>
        <w:trPr/>
        <w:tc>
          <w:tcPr>
            <w:tcW w:w="5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(89,294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(220,944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245,143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(65,095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cash flows from operating activities are greatly influenced by our use of cash for operating expenses and working capital requirements to support our business. We have historically experienced negative cash flows from operating activities as we invested in developing our portfolio, drug discovery efforts, conducting clinical trials and manufacturing, and related infrastructure. The cash used in operating activities resulted primarily from our net losses adjusted for non-cash charges and changes in components of operating assets and liabilities, which are primarily the result of increased expenses and timing of vendor payments.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2026, net cash used in operating activities of $106.4 million was primarily due to our net loss of $123.0 million and the change in operating assets and liabilities of $8.6 million. These were partially offset by non-cash expenses of $25.2 million which included $25.9 million in stock-based compensation, reduced by $1.6 million from amortization and accretion of investment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2025, net cash used in operating activities of $89.3 million was primarily due to our net loss of $89.3 million and the change in operating assets and liabilities of $11.2 million. These were partially offset by non-cash expenses of $11.2 million which included $14.8 million in stock-based compensation, reduced by $5.1 million from amortization and accretion of investment securities.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2026, net cash provided by investing activities was primarily due to maturities of marketable securities of $266.4 million, partially offset by purchases of marketable securities of $186.5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2025, net cash used in investing activities was primarily due to purchases of marketable securities of $405.9 million, partially offset by maturities of marketable securities of $185.8 million.</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2026, net cash provided by financing activities of $34.0 million consisted primarily of net proceeds from the issuance of long-term debt of $30.0 million and proceeds from stock option exercises.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2025, net cash provided by financing activities of $245.1 million consisted primarily of aggregate net proceeds of $243.4 million from our underwritten offering in January 2025.</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Future Funding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expect our expenses to continue to increase in connection with our ongoing activities, particularly as we continue the research and development of, initiate and complete clinical trials of, and seek regulatory approval for, our product candidates. In addition, depending on the status of regulatory approval, or if we obtain regulatory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current or future product candidates or otherwise expand more rapidly than presently anticipated. Furthermore, we expect to continue to incur costs associated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 operating as a public company. Our future capital requirements will depend on and could increase significantly as a result of many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progress of preclinical and clinical development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and scope of preclinical and clinical programs we decide to pursue;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raise additional funds to the extent necessary to complete clinical development of and commercialize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new and maintain existing licensing or collaboration arrangements and the progress of the development efforts of third parties with whom we may enter into such arrangements;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our current research and development programs and to establish new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successful initiation, enrollment and completion of clinical trials with safety, tolerability and efficacy profiles that are satisfactory to the FDA or any comparable foreign regulatory authority;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receipt and related terms of regulatory approvals from applicable regulatory authorities for any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raw materials for use in production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terms of agreements with third-party manufacturers for supply of product candidate components for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and maintain patents, trade secret protection and regulatory exclusivity, both in the United States and internationally;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protect our other rights in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commercializing product candidates, if and when approved, whether alone or in collaboration with others;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obtaining and maintaining third-party insurance coverage and adequate reimbursement for any approved products.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may take longer than we anticipate to become commercially available, if they become commercially available at all. Accordingly, we may need to obtain substantial additional funds to achieve our business objectives.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Until such time, if ever, as we can generate substantial product revenue, we expect to finance our cash needs through a combination of equity offerings, debt financings, collaborations, strategic alliances, and marketing, distribution or licensing arrangements with third parties. However, we may be unable to raise additional funds or enter into such other arrangements when needed on favorable terms or at all. To the extent that we raise additional capital through the sale of equity or convertible debt securities, the ownership interest of our existing stockholders may be materially diluted, and the terms of such securities could include liquidation or other preferences that adversely affect the rights of our common stockholders.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Contractual Obligations and Other Commitments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summarizes our contractual obligations as of June 30, 2026 and the effects that such obligations are expected to have on our liquidity and cash flows in future periods (in thousands):</w:t>
      </w:r>
    </w:p>
    <w:tbl>
      <w:tblPr>
        <w:tblW w:w="8217" w:type="dxa"/>
        <w:jc w:val="left"/>
        <w:tblInd w:w="0" w:type="dxa"/>
        <w:tblLayout w:type="fixed"/>
        <w:tblCellMar>
          <w:top w:w="28" w:type="dxa"/>
          <w:left w:w="28" w:type="dxa"/>
          <w:bottom w:w="28" w:type="dxa"/>
          <w:right w:w="28" w:type="dxa"/>
        </w:tblCellMar>
      </w:tblPr>
      <w:tblGrid>
        <w:gridCol w:w="2686"/>
        <w:gridCol w:w="146"/>
        <w:gridCol w:w="211"/>
        <w:gridCol w:w="571"/>
        <w:gridCol w:w="146"/>
        <w:gridCol w:w="146"/>
        <w:gridCol w:w="290"/>
        <w:gridCol w:w="580"/>
        <w:gridCol w:w="146"/>
        <w:gridCol w:w="146"/>
        <w:gridCol w:w="211"/>
        <w:gridCol w:w="571"/>
        <w:gridCol w:w="146"/>
        <w:gridCol w:w="146"/>
        <w:gridCol w:w="211"/>
        <w:gridCol w:w="421"/>
        <w:gridCol w:w="146"/>
        <w:gridCol w:w="146"/>
        <w:gridCol w:w="364"/>
        <w:gridCol w:w="596"/>
        <w:gridCol w:w="1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9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Less Than </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1 to 3 </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3 to 5 </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More Than </w:t>
              <w:br/>
              <w:t>5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Operating lease commitments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8"/>
        </w:rPr>
      </w:pPr>
      <w:r>
        <w:rPr>
          <w:rFonts w:ascii="Times New Roman" w:hAnsi="Times New Roman"/>
          <w:color w:val="000000"/>
          <w:sz w:val="18"/>
        </w:rPr>
        <w:t>(1) Amounts reflect contractual rent payments due for our leased and subleased office spaces in Watertown, Massachusetts as of June 30, 2026 and include contractual payments due under our forward-starting lease which is expected to commence in December 2026. The term date for our existing lease is December 31, 2029 and the term date for our existing sublease is November 30, 2026.</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enter into contracts in the normal course of business with CROs, CDMOs and other third parties for preclinical studies, clinical trials and manufacturing services. These contracts typically do not contain minimum purchase commitments and are generally cancelable by us upon written notice. Payments due upon cancellation consist of payments for services provided or expenses incurred, including noncancelable obligations of our service providers, up to the date of cancellation and, in the case of certain arrangements with CROs and CDMOs, may include non-cancelable fees. These payments are not included in the table above as the amount and timing of such payments are not fixed and estimable.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also entered into license agreements under which we are obligated to make specified milestone and royalty payments. We have not included future payments under these agreements in the table of contractual obligations above since the payment obligations under these agreements are contingent upon future events such as regulatory milestones or generating product sales. We are unable to estimate the timing or likelihood of achieving these milestones or generating future product sales. For additional information about our license agreements and amounts that could become payable in the future under such agreements, see our condensed consolidated financial statements.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Our management’s discussion and analysis of our financial condition and results of operations is based on our condensed consolidated financial statements, which have been prepared in accordance with U.S. generally accepted accounting principles, or GAAP. The preparation of our condensed consolidated financial statements and related disclosures requires us to make estimates and judgments that affect the reported amounts of assets, liabilities, and costs and expenses.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See our Annual Report on Form 10-K for the year ended December 31, 2025 for more </w:t>
      </w:r>
      <w:r>
        <w:rPr>
          <w:rFonts w:ascii="Times New Roman" w:hAnsi="Times New Roman"/>
          <w:color w:val="212529"/>
          <w:sz w:val="20"/>
        </w:rPr>
        <w:t>information about critical accounting policies as well as a description of our other significant accounting policies</w:t>
      </w:r>
      <w:r>
        <w:rPr>
          <w:rFonts w:ascii="Times New Roman" w:hAnsi="Times New Roman"/>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have been no material changes to our critical accounting estimates from those described in Part II, Item 7. “Management’s Discussion and Analysis of Financial Condition and Results of Operations” included in our Annual Report on Form 10-K for the year ended December 31, 2025.</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Recently Issued and Adopted Accounting Pronouncements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 description of recently issued and certain recently adopted accounting pronouncements that have or may potentially impact our financial position and results of operations is included in </w:t>
      </w:r>
      <w:r>
        <w:rPr>
          <w:rFonts w:ascii="Times New Roman" w:hAnsi="Times New Roman"/>
          <w:i/>
          <w:color w:val="000000"/>
          <w:sz w:val="20"/>
        </w:rPr>
        <w:t>Note 2 - Summary of Significant Accounting Policies</w:t>
      </w:r>
      <w:r>
        <w:rPr>
          <w:rFonts w:ascii="Times New Roman" w:hAnsi="Times New Roman"/>
          <w:color w:val="000000"/>
          <w:sz w:val="20"/>
        </w:rPr>
        <w:t xml:space="preserve"> to our consolidated financial statements in our Annual Report on Form 10-K for the year ended December 31, 2025.</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2" w:name="item_3_quantitative_and_qualitative"/>
      <w:bookmarkEnd w:id="12"/>
      <w:r>
        <w:rPr>
          <w:rFonts w:ascii="Times New Roman" w:hAnsi="Times New Roman"/>
          <w:b/>
          <w:color w:val="000000"/>
          <w:sz w:val="20"/>
        </w:rPr>
        <w:t>ITEM 3. QUANTITATIVE AND QUALITATIVE DISCLOSURES ABOUT MARKET RISKS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and December 31, 2025, we had cash, cash equivalents and marketable securities of $717.7 million and $791.2 million, respectively. As of June 30, 2026 and December 31, 2025, our cash equivalents consisted of corporate debt securities with original maturities of three months or less and our marketable securities consisted of U.S. treasury, U.S. government agency, and corporate debt securities which were classified as available-for-sale securities. Our primary investment objectives are the preservation of capital and the maintenance of liquidity, and our investment policy defines allowable investments based on quality of the institutions and financial instruments designed to minimize risk exposure. Our exposure to interest rate sensitivity is affected by changes in the general level of U.S. interest rates. Our marketable securities are subject to interest rate risk and will fall in value if market interest rates increase. Due to the short-term maturities and low risk profiles of our investments, we do not anticipate a significant exposure to interest rate risk. If market interest rates were to increase immediately and uniformly by one percentage point from levels as of June 30, 2026, the net fair value of our marketable securities would decrease by approximately $4.2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employees and operations are primarily located in the United States. We have, from time to time, engaged in contracts with contractors or other vendors in a currency other than the U.S. dollar. To date, we have had minimal exposure to fluctuations in foreign currency exchange rates as the time period between the date that transactions are initiated, and the date of payment or receipt of payment is generally of short duration. Accordingly, we believe we do not have a material exposure to foreign currency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Inflation generally affects us by increasing our cost of labor and contract research. We do not believe that inflation had a material effect on our business, financial condition or results of operations during the three and six months ended June 30, 2026 and 2025.</w:t>
      </w:r>
    </w:p>
    <w:p>
      <w:pPr>
        <w:pStyle w:val="TextBody"/>
        <w:bidi w:val="0"/>
        <w:spacing w:before="240" w:after="283"/>
        <w:jc w:val="both"/>
        <w:rPr>
          <w:rFonts w:ascii="Times New Roman" w:hAnsi="Times New Roman"/>
          <w:b/>
          <w:color w:val="000000"/>
          <w:sz w:val="20"/>
        </w:rPr>
      </w:pPr>
      <w:bookmarkStart w:id="13" w:name="item_4_controls_and_procedures"/>
      <w:bookmarkEnd w:id="13"/>
      <w:r>
        <w:rPr>
          <w:rFonts w:ascii="Times New Roman" w:hAnsi="Times New Roman"/>
          <w:b/>
          <w:color w:val="000000"/>
          <w:sz w:val="20"/>
        </w:rPr>
        <w:t>ITEM 4. CONTROLS AND PROCEDURES</w:t>
      </w:r>
    </w:p>
    <w:p>
      <w:pPr>
        <w:pStyle w:val="Heading2"/>
        <w:bidi w:val="0"/>
        <w:spacing w:before="120" w:after="283"/>
        <w:jc w:val="both"/>
        <w:rPr>
          <w:rFonts w:ascii="Times New Roman" w:hAnsi="Times New Roman"/>
          <w:color w:val="000000"/>
          <w:sz w:val="20"/>
        </w:rPr>
      </w:pPr>
      <w:r>
        <w:rPr>
          <w:rFonts w:ascii="Times New Roman" w:hAnsi="Times New Roman"/>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under the supervision and with the participation of our Principal Executive Officer (our Chief Executive Officer) and Principal Financial Officer (our Chief Financial Officer), has evaluated the effectiveness of our disclosure controls and procedures as of June 30,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Management recognizes that any disclosure controls and procedures, no matter how well designed and operated, can provide only reasonable assurance of achieving their objectives, and management necessarily applies its judgment in evaluating the cost-benefit relationship of possible controls and procedures. Based on such evaluation, our Principal Executive Officer and Principal Financial Officer have concluded that as of June 30, 2026, our disclosure controls and procedures were effective at the reasonable assurance level.</w:t>
      </w:r>
    </w:p>
    <w:p>
      <w:pPr>
        <w:pStyle w:val="Heading2"/>
        <w:bidi w:val="0"/>
        <w:spacing w:before="120" w:after="283"/>
        <w:jc w:val="both"/>
        <w:rPr>
          <w:rFonts w:ascii="Times New Roman" w:hAnsi="Times New Roman"/>
          <w:color w:val="000000"/>
          <w:sz w:val="20"/>
        </w:rPr>
      </w:pPr>
      <w:r>
        <w:rPr>
          <w:rFonts w:ascii="Times New Roman" w:hAnsi="Times New Roman"/>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Except as described above, there were no changes in our internal control over financial reporting (as defined in Rules 13a-15(f) and 15d-15(f) under the Exchange Act) that occurred during the quarter ended June 30, 2026 that have materially affected, or are reasonably likely to materially affect, our internal control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4" w:name="part_ii"/>
      <w:bookmarkEnd w:id="14"/>
      <w:r>
        <w:rPr>
          <w:rFonts w:ascii="Times New Roman" w:hAnsi="Times New Roman"/>
          <w:b/>
          <w:color w:val="000000"/>
          <w:sz w:val="20"/>
        </w:rPr>
        <w:t>PART II</w:t>
      </w:r>
      <w:r>
        <w:rPr>
          <w:rFonts w:ascii="Times New Roman" w:hAnsi="Times New Roman"/>
          <w:color w:val="000000"/>
          <w:sz w:val="20"/>
        </w:rPr>
        <w:t>—</w:t>
      </w:r>
      <w:r>
        <w:rPr>
          <w:rFonts w:ascii="Times New Roman" w:hAnsi="Times New Roman"/>
          <w:b/>
          <w:color w:val="000000"/>
          <w:sz w:val="20"/>
        </w:rPr>
        <w:t>OTHER INFORMATION</w:t>
      </w:r>
    </w:p>
    <w:p>
      <w:pPr>
        <w:pStyle w:val="TextBody"/>
        <w:bidi w:val="0"/>
        <w:spacing w:before="240" w:after="283"/>
        <w:jc w:val="both"/>
        <w:rPr>
          <w:rFonts w:ascii="Times New Roman" w:hAnsi="Times New Roman"/>
          <w:b/>
          <w:color w:val="000000"/>
          <w:sz w:val="20"/>
        </w:rPr>
      </w:pPr>
      <w:bookmarkStart w:id="15" w:name="item_1_legal_proceedings"/>
      <w:bookmarkEnd w:id="15"/>
      <w:r>
        <w:rPr>
          <w:rFonts w:ascii="Times New Roman" w:hAnsi="Times New Roman"/>
          <w:b/>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be subject to legal proceedings and claims in the ordinary course of business. We are not currently aware of any such proceedings or claims that we believe will have, individually or in the aggregate, a material adverse effect on our business, financial condition or results of operations.</w:t>
      </w:r>
    </w:p>
    <w:p>
      <w:pPr>
        <w:pStyle w:val="TextBody"/>
        <w:bidi w:val="0"/>
        <w:spacing w:before="240" w:after="283"/>
        <w:jc w:val="both"/>
        <w:rPr>
          <w:rFonts w:ascii="Times New Roman" w:hAnsi="Times New Roman"/>
          <w:b/>
          <w:color w:val="000000"/>
          <w:sz w:val="20"/>
        </w:rPr>
      </w:pPr>
      <w:bookmarkStart w:id="16" w:name="item_1a_risk_factors"/>
      <w:bookmarkEnd w:id="16"/>
      <w:r>
        <w:rPr>
          <w:rFonts w:ascii="Times New Roman" w:hAnsi="Times New Roman"/>
          <w:b/>
          <w:color w:val="000000"/>
          <w:sz w:val="20"/>
        </w:rPr>
        <w:t>ITEM 1A. RISK FACTORS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Set forth below are the risks that we believe are material to our investors and they should be carefully considered. If any of the following risks and uncertainties actually occurs, our business, prospects, financial condition and results of operations could be materially and adversely affected. The risks described below are not intended to be exhaustive and other factors not presently known to us or that we currently believe are immaterial may affect our business, prospects, financial condition and results of operations if they occur. This section contains forward-looking statements. You should refer to the explanation of the qualifications and limitations on forward-looking statements beginning on page 1 of this Quarterly Report on Form 10-Q.</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Limited Operating History, Financial Position and Capital Requirements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limited operating history may make it difficult for you to evaluate the success of our business to date and to assess our future viability.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commenced operations in 2017 and are a clinical-stage biopharmaceutical company with a limited operating history. Biopharmaceutical product development is a highly speculative undertaking and involves a substantial degree of risk. Since our inception in October 2017, we have devoted substantially all of our efforts to organizing and staffing our company, business planning, capital raising, establishing and maintaining our intellectual property portfolio, building our pipeline of product candidates, conducting drug discovery activities, undertaking preclinical studies, conducting clinical trials, preparing for the potential commercialization of bitopertin, if approved, and providing general and administrative support for these operations. We have not yet demonstrated our ability to successfully develop any product candidate, obtain regulatory approvals, manufacture a commercial-scale product or arrange for a third party to do so on our behalf, or conduct sales and marketing activities necessary for successful product commercialization. Consequently, any predictions you make about our future success or viability may not be as accurate as they could be if we had a longer operating history or a history of successfully developing and commercializing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as our business grows,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have incurred significant net losses since our inception and anticipate that we will continue to incur losses for the foreseeable future.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net losses were $123.0 million and $89.3 million for the six months ended June 30, 2026 and 2025, respectively. We had an accumulated deficit of $633.2 million as of June 30, 2026. Substantially all of our net losses have resulted from costs incurred in connection with our research and development programs and from selling, general and administrative costs associated with our operations. We expect our research and development expenses to continue to increase significantly in connection with the commencement and continuation of clinical trials of our product candidates. In addition, if we obtain regulatory approval for our product candidates, we will incur significant sales, marketing and manufacturing expenses. We also will continue to incur additional costs associated with operating as a public company and expect to continue to incur significant and increasing operating losses over the next several years and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amount of our future losses is uncertain and our quarterly and annual operating results may fluctuate significantly in the future due to a variety of factors, many of which are outside of our control and may be difficult to predict,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success or failure of preclinical studies and clinical trials for our product candidates or competing product candidates, or any other change in the competitive landscape of our industry, including consolidation among our competitors or partners;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successfully open clinical trial sites and recruit and retain subjects for clinical trials and any delays caused by difficulties in such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regulatory approval for our product candidates, and the timing and scope of any such approvals we may receive;</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cost of, and level of investment in, research and development activities relating to our product candidates, which may change from time to time;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manufacturing our product candidates and products, should they receive regulatory approval, which may vary depending on the quantity of production and the terms of our agreements with manufacturers;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attract, hire and retain qualified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expenditures that we will or may incur to develop additional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level of demand for our products should they receive regulatory approval, which may vary significantly;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risk/benefit profile, cost and reimbursement policies with respect to our product candidates, if approved, and existing and potential future therapeutics that compete with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changing and volatile U.S. and global economic environments;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future accounting pronouncements or changes in our accounting policies.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us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guidance we may provide.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have no products approved for commercial sale and have not generated any revenue from product sales.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become profitable depends upon our ability to generate revenue. To date, we have not generated collaborative revenue from our product candidates and have not generated revenue from product sales. We do not expect to generate significant revenue unless and until we obtain regulatory approval of, and begin to sell, one or more of our product candidates, which may take longer than we anticipate, or may not occur at all. Our ability to generate revenue depends on a number of factors, including, but not limited to, our ability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successfully complete our ongoing and planned preclinical studies for our current and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timely file and receive acceptance of our Investigational New Drug applications, or INDs, in order to commence our planned clinical trials or future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successfully enroll subjects in and complete our ongoing and planned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initiate and successfully complete all safety and efficacy studies necessary to obtain U.S. and foreign regulatory approval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successfully address the prevalence, duration and severity of potential side effects or other safety issues experienced with our product candidates, if 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timely file New Drug Applications, or NDAs, and Biologics License Applications, or BLAs, and receive regulatory approvals for our product candidates from the U.S. Food and Drug Administration, or the FDA, and comparable foreign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and maintain clinical and commercial manufacturing capabilities or make arrangements with third-party manufacturers for clinical supply and commercial manufacturing;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 and maintain patent and trade secret protection or regulatory exclusivity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launch commercial sales of our products, if and when approved, whether alone or in collaboration with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 and maintain acceptance of our products, if and when approved, by patients, the medical community and third-party payors;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position our product candidates to effectively compete with other therapies;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 and maintain healthcare coverage and adequate reimbursement, if and when our product candidates are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enforce and defend intellectual property rights and claims;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 a continued acceptable safety profile of our products following approval.</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do not achieve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existing and any future indebtedness could adversely affect our ability to operate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2024, we entered into a Loan and Security Agreement, or the Hercules Loan Agreement, with the lenders party thereto, or the Lenders, and Hercules Capital, Inc., as administrative agent and collateral agent, or the Agent. The Hercules Loan Agreement provides for up to $200.0 million of senior secured term loans, or the Term Loan, available to us in multiple tranches. The Term Loan will mature on December 1, 2029. Our obligations under the Hercules Loan Agreement are secured, subject to customary permitted liens and other agreed-upon exceptions, by a first-priority perfected security interest in all of our tangible and intangible assets, other than intellectual property.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Hercules Loan Agreement contains customary affirmative and negative covenants that could prevent us from taking certain actions without the consent of the Lenders. These covenants may limit our flexibility in operating our business and our ability to take actions that might be advantageous to us and our stockholders. Affirmative covenants include, among others, a financial covenant requiring us to maintain a minimum amount of qualified cash. Negative covenants include, among others: restrictions on transferring any part of our business or intellectual property; incurring additional indebtedness; engaging in mergers or acquisitions; paying dividends or making other distributions; making investments; and creating other liens on our assets, in each case subject to customary exceptions.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Hercules Loan Agreement also contains customary events of default, including the occurrence of a Material Adverse Effect (as defined in the Hercules Loan Agreement), and failure to make payments when due or comply with other covenants therein. We intend to satisfy our current and future debt service obligations with our then-existing cash and cash equivalents. However, we may not have sufficient funds, and may be unable to arrange for additional financing, to pay the amounts due under Hercules Loan Agreement or any other debt instruments. Upon the occurrence and continuance of an event of default, the Lenders may accelerate all of our repayment obligations and take control of our pledged assets, potentially requiring us to renegotiate our agreement on terms less favorable to us or to immediately cease operations. Any declaration by the Lenders of an event of default would therefore significantly harm our business and prospects and could cause the price of our common stock to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raise any additional debt financing, the terms of such additional debt could further restrict our operating and financial flexibility.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need to raise substantial additional funding. If we are unable to raise capital when needed or on terms acceptable to us, we may be forced to delay, reduce or eliminate some of our product development programs or commercialization efforts.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development of pharmaceutical products is capital-intensive. We are currently advancing our hematologic disease programs through preclinical and clinical development. We expect our expenses to significantly increase in connection with our ongoing activities, particularly as we continue the research and development of, initiate and complete clinical trials of, and seek regulatory approval for, our product candidates. In addition, if we obtain regulatory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current or future product candidates or otherwise expand more rapidly than presently anticipated. Furthermore, we expect to continue to incur costs associated with operating as a public company. Accordingly, we may need to obtain substantial additional funding in connection with our continuing operations. If we are unable to raise capital when needed or on attractive terms, we may be forced to delay, reduce or eliminate certain of our research and development programs or future commercialization efforts.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that our cash, cash equivalents and marketable securities will be sufficient to fund our current operating and capital expenditure plans and our debt service obligations into 2029, without taking into account any potential net cash inflows from bitopertin or any other marketed product, if approved during such period. However, we have based this estimate on assumptions that may prove to be wrong, and we could exhaust our available capital resources sooner than expected. Our future capital requirements will depend on and could increase significantly as a result of many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progress of preclinical and clinical development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and scope of preclinical and clinical programs we decide to pursue;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raise additional funds to the extent necessary to complete clinical development of and commercialize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new and maintain existing licensing or collaboration arrangements and the progress of the development efforts of third parties with whom we may enter into such arrangements;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our current research and development programs and to establish new programs;</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successful initiation, enrollment and completion of clinical trials with safety, tolerability and efficacy profiles that are satisfactory to the FDA or any comparable foreign regulatory authority;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receipt and related terms of regulatory approvals from applicable regulatory authorities for any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raw materials for use in production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terms of agreements with third-party manufacturers for supply of product candidate components for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and maintain patents, trade secret protection and regulatory exclusivity, both in the United States and internationally;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protect our other rights in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commercializing product candidates, if and when approved, whether alone or in collaboration with others;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and maintaining third-party insurance coverage and adequate reimbursement for any approved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Identifying potential product candidates and conducting preclinical development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 if any, will be derived from sales of products that may take longer than we anticipate to become commercially available, if they become commercially available at all. Accordingly, we may need to continue to rely on additional financing to achieve our business objectives.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additional fundraising efforts may divert our management from their day-to-day activities, which may adversely affect our ability to develop and commercialize our product candidates. Disruptions in the financial markets in general may make equity and debt financing more difficult to obtain and may have a material adverse effect on our ability to meet our fundraising needs. We cannot guarantee that future financing will be available in sufficient amounts or on terms acceptable to us, if at 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unable to obtain funding on a timely basis or on acceptable terms, we may be required to significantly curtail, delay or discontinue one or more of our research or development programs or the commercialization of any product that has received regulatory approval or be unable to expand our operations or otherwise capitalize on our business opportunities as desired, which could materially affect our business, financial condition and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Raising additional capital may cause dilution to our stockholders, restrict our operations or require us to relinquish rights to our technologies or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Until such time, if ever, we can generate substantial product revenue, we expect to finance our cash needs through a combination of private and public equity offerings, debt financings, collaborations, strategic alliances and licensing arrangements. Other than up to $50.0 million of additional advances that may be drawn at our option until April 30, 2027 under the Hercules Loan Agreement, we do not have any committed external source of funds. The terms of any financing may adversely affect the holdings or the rights of our stockholders and the issuance of additional securities, whether equity or debt, by us, or the possibility of such issuance, may cause the market price of our shares to decline. To the extent that we raise additional capital through the sale of common stock or securities convertible or exchangeable into common stock, your ownership interest will be diluted, and the terms of those securities may include liquidation or other preferences that may materially adversely affect your rights as a common stockholder. Additional debt financing, if available, would increase our fixed payment obligations and may involve agreements that include covenants limiting or restricting our ability to take specific actions, such as incurring additional debt, acquiring, selling or licensing intellectual property rights, and making capital expenditures, declaring dividends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also could be required to seek funds through arrangements with collaborators or otherwise at an earlier stage than otherwise would be desirable. If we raise funds through collaborations, strategic alliances or licensing arrangements with third parties, we may have to relinquish valuable rights to our intellectual property, future revenue streams, research programs or product candidates, grant licenses on terms that may not be favorable to us or grant rights to develop and market product candidates that we would otherwise prefer to develop and market ourself, any of which may have a material adverse effect on our business, operating results and prospects.</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Risks Related to the Discovery and Development of Our Product Candidates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have not yet progressed any product candidates through a Phase 3 clinical trial and may be unable to successfully complete any additional clinical trials for any product candidates we develop. Certain of our programs are still in preclinical development and may never advance to clinical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currently have only three product candidates in clinical development, none of which has yet progressed through a completed Phase 3 clinical trial. As such, we have not yet demonstrated our ability to successfully complete large-scale, pivotal clinical trials, obtain regulatory approvals, manufacture a commercial scale product or arrange for a third party to do so on our behalf or conduct sales and marketing activities necessary for successful commercialization. The majority of our programs are still in preclinical and early to mid-stage clinical development. Our clinical programs may not advance to the next stage of clinical development, and our preclinical programs may never advance to clinical development or through clinical development, as applicable. We may not initiate any clinical trial of our product candidates until we have submitted an IND to the FDA or comparable submissions with equivalent regulatory authorities and received regulatory clearance. We may not be able to submit INDs or other regulatory filings for any of our product candidates on the timelines we expect, if at all. For example, we may experience manufacturing delays or other delays with IND-enabling studies. Moreover, we cannot be sure that submission of regulatory filings with the FDA or other regulatory authorities will result in such regulatory authorities allowing clinical trials to begin on a timely basis or at all, or that, once begun, such trials will be completed on schedule, if at all, or that issues will not arise that require us to revise, postpone, suspend or terminate our clinical trials. For example, we filed an IND in April 2022 with the FDA to initiate the AURORA Phase 2 trial of bitopertin in EPP patients, but the FDA initially placed the initiation of this trial on clinical hold; we received clearance to initiate the study in July 2022 after the study design was finalized with the FDA, and we initiated the study in October 2022. Commencing any of our clinical trials is subject to finalizing the trial design based on discussions with the FDA and other regulatory authorities. Any guidance we receive from the FDA or other regulatory authorities is subject to change. The outcomes of our interactions with these regulatory authorities, including interactions critical to successfully advancing through the different phases of clinical development, such as end-of-phase 2 meetings with the FDA, may be difficult to predict ahead of time. In particular, regulatory authorities could change their position, including on the acceptability of our trial designs or the clinical endpoints selected, which may require us to complete additional clinical trials or result in the composition of stricter approval conditions than currently expected. Our ability to successfully advance from preclinical studies through the different phases of clinical development is therefore subject to significant uncertainty. Successful completion of our clinical trials is a prerequisite to submitting an NDA or a BLA to the FDA, a Marketing Authorisation Application, or MAA, to the European Medicines Agency, or EMA, or other marketing applications to regulatory authorities in other jurisdictions, for each product candidate and, consequently, the regulatory approval of each product candidate.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single well-controlled clinical trial may not be sufficient for approval. Historically, the FDA has generally required two well-controlled clinical trials to support registration of a new drug or biologic, although exceptions have been made in cases of a severe disease with few treatment options, and in principle this exception may appear applicable to many of the diseases that we seek to treat, such as EPP, XLP, anemia of MF, DBA and others. More recently, the FDA has indicated that its default position will be that one well-controlled clinical trial, combined with confirmatory evidence, will serve as the basis of marketing authorization of novel products. Nonetheless, the FDA and other regulators may always require additional clinical trials to support regulatory approval.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required to conduct additional preclinical studies or clinical trials or other testing of our product candidates beyond those that are currently contemplated, if we are unable to successfully complete clinical trials of our product candidates or other testing, if the results of these trials or tests are not positive or are only modestly positive or if there are safety concerns, we may: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 delayed in obtaining regulatory approval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obtain regulatory approval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 regulatory approval for indications or patient populations that are not as broad as intended or desired;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be subject to post-marketing testing requirements;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experience having the product removed from the market after obtaining regulatory approval.</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programs are focused on the development of therapeutics for patients with hematologic diseases, which is a rapidly evolving area of science, and the approach we are taking to discover and develop product candidates is novel and may never lead to approved or marketable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discovery and development of therapeutics for patients with hematologic diseases is an emerging field, and the scientific discoveries that form the basis for our efforts to discover and develop product candidates are relatively new. The scientific evidence to support the feasibility of developing product candidates based on these discoveries is both preliminary and limited. Although we believe, based on our preclinical work and clinical results to date, that our programs have the potential to provide disease-modifying therapies, future clinical results may not confirm this hypothesis or may only confirm it for certain alterations or certain indications. The patient populations for our product candidates are limited to those with specific hematologic diseases. We cannot be certain that the patient populations for each specific disease will be large enough to allow us to successfully obtain approval for and commercialize our product candidates and achieve profitability.</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Clinical development involves a lengthy and expensive process, with an uncertain outcome.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preclinical studies and future and ongoing clinical trials may not be successful. Currently, the majority of our programs are in preclinical and early to mid-stage clinical development. It is impossible to know when or if any of our product candidates will prove effective and safe in humans or will receive regulatory approval. Before obtaining regulatory approval from regulatory authorities for the sale of any product candidate, we must complete preclinical studies and then conduct extensive clinical trials to demonstrate the safety and efficacy of our product candidates or the safety, purity and potency of our biological product candidates in humans. There is no guarantee that our product candidates will advance in accordance with the timelines we anticipate, if at all. Clinical testing is expensive, difficult to design and implement, can take many years to complete and outcomes are uncertain. Although we design our clinical trials with the intent of mitigating potential risks, a failure of one or more clinical trials can occur at any stage of testing. The outcome of preclinical development testing and early clinical trials may not be predictive of the success of later clinical trials, and interim, top-line, initial or preliminary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 Our preclinical studies and future and ongoing clinical trials may not be successful.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some of the clinical trials we conduct, such as our completed BEACON Phase 2 clinical trial of bitopertin, our ongoing RALLY-MF Phase 2 clinical trial of selcodebart (DISC-0974), and our ongoing clinical trials of DISC-3405, may be open-label in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clinical trial may not be predictive of future clinical trial results when studied in a controlled environment with a placebo or active control.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May 2021, we entered into a license agreement with Roche, or the Roche Agreement, pursuant to which, among other things, Roche granted us an exclusive and sublicensable (subject to Roche’s consent, except with respect to affiliates) worldwide license under certain of Roche’s patent rights and know-how to develop and commercialize bitopertin. Although bitopertin was originally evaluated by Roche in over 4,000 individuals, Roche did not evaluate bitopertin in EPP or XLP, so the safety data generated from Roche’s clinical trials of bitopertin may not be predictive or indicative of the results of our clinical trials. We may face similar challenges with respect to our other product candidates, for which preclinical results or prior clinical trial results may not be indicative or predictive of future clinical trial results.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Because we are developing some of our product candidates for the treatment of diseases in which there is little clinical experience and, in some cases, using new endpoints or methodologies, the FDA or other regulatory authorities may not consider the endpoints of our clinical trials to predict or provide clinically meaningful results.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of our product candidates are designed to treat diseases for which there are few available therapeutic options. For example, in the United States there are currently no therapies approved to treat anemia of MF and there is only one approved therapy to treat EPP. As a result, the design and conduct of clinical trials of product candidates for the treatment of these diseases may take longer, be more costly or be less effective as part of the novelty of development in these diseases. In some cases, we may use new or novel endpoints or methodologies. The FDA or other regulatory authorities may not consider the endpoints of our clinical trials to be validated or clinically meaningful and we may need to conduct proof-of-concept studies or additional work to refine our endpoints and inform the design of future studies before initiating pivotal studies of our product candidates. Even if applicable regulatory authorities do not object to our proposed endpoints in an earlier stage clinical trial, such regulatory authorities may require evaluation of additional or different clinical endpoints in later-stage clinical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Even if the FDA does find our clinical trial success criteria to be sufficiently supported and clinically meaningful at the time, we may not achieve the pre-specified endpoint to a degree of statistical significance in any pivotal or other clinical trials we may conduct for our product candidates. Further, even if we do achieve the pre-specified criteria, our trials may produce results that are unpredictable or inconsistent with the results of the more traditional efficacy endpoints in the trial. For example, in the Complete Response Letter, or CRL, that the FDA issued in February 2026 with respect to our NDA for accelerated approval of bitopertin in EPP and XLP, the FDA agreed that clinical data from our AURORA and BEACON clinical trials provided sufficient evidence that bitopertin significantly lowers whole blood metal-free PPIX, but concluded that the trials did not show evidence of association between percent change in PPIX and sunlight exposure-based endpoints as measured in the trials. As such, the FDA determined that there is uncertainty regarding whether bitopertin’s effect on PPIX is reasonably likely to predict clinical benefit, despite the strong mechanistic and biological plausibility supporting the use of the PPIX biomarker in protoporphyria. As a result, the FDA did not approve our NDA and indicated instead that we would need to provide evidence of clinical benefit from an additional trial, such as our ongoing APOLLO trial, to support a potential traditional approval. The FDA also could change its view or give overriding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weight to other efficacy endpoints over a primary endpoint, even if we achieve statistically significant results on that primary endpoint, if for example we do not do so on our secondary efficacy endpoints. The FDA also weighs the benefits of a product candidate against its risks and the FDA may view the efficacy results in the context of safety as not being supportive of approval. Other regulatory authorities in Europe and other countries may make similar findings with respect to these endpoints.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Interim, top-line, initial and preliminary data from our clinical trials that we announce or publish from time to time may change as more patient data become available and are subject to confirmation, audit and verification procedures that could result in material changes in the final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publicly disclose interim, top-line, initial or preliminary data from our clinical trials, which is based on a preliminary analysis of then-available data, and the results and related findings and conclusions are subject to change following a more comprehensive review of the data. For example, we announced initial data from our RALLY-MF Phase 2 selcodebart trial in patients with anemia of MF in December 2025 and additional interim data from this trial in June 2026. We also may make assumptions, estimations, calculations and conclusions as part of our analyses of data, and may not have received or had the opportunity to fully and carefully evaluate all data. As a result, the interim, top-line, initial or preliminary results that we report may differ from future results of the same trials, or different conclusions or considerations may qualify such results, once additional data have been received and fully evaluated. Interim, top-line, initial and preliminary data from clinical trials are subject to the risk that one or more of the clinical outcomes may materially change as patient enrollment continues and more patient data become available. Interim, top-line, initial and preliminary data also remain subject to audit and verification procedures that may result in the final data being materially different from the interim, top-line, initial or preliminary data we previously published. As a result, interim, top-line, initial and preliminary data should be viewed with caution until the final data are available. Adverse differences between interim, top-line, initial or preliminary data and final data could significantly harm our business prospects and may cause the price of our common stock to fluctuate or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regulatory agencies and others, may not accept or agree with our assumptions, estimates, calculations, conclusions or analyses or may interpret or weigh the importance of data differently, which could adversely impact the potential of the particular program, the likelihood of obtaining regulatory approval of the particular product candidate, commercialization of any approved product and the business prospects of the company in general.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the interim, top-line, initial or preliminary data that we report differs from actual results, or if regulatory authorities or others, disagree with the conclusions reached, our ability to obtain approval for, and commercialize, our product candidates may be significantly impaired, which could materially harm our business, operating results, prospects or financial condition.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incur additional costs or experience delays in initiating or completing, or ultimately be unable to complete, the development and commercialization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experience delays in initiating or completing our preclinical studies or clinical trials, including as a result of delays in obtaining, or failure to obtain, the FDA’s authorization to initiate clinical trials under future INDs. Additionally, we cannot be certain that preclinical studies or clinical trials for our product candidates will not require redesign, will enroll an adequate number of subjects on time, or will be completed on schedule, if at all. We may experience numerous unforeseen events during, or as a result of, preclinical studies and clinical trials that could delay or prevent our ability to receive regulatory authorizations, regulatory approval or commercialize our product candidates,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receive feedback from regulatory authorities that requires us to modify the design or implementation of our preclinical studies or clinical trials or to delay or terminate a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regulators or institutional review boards, or IRBs, or ethics committees may delay or may not authorize us or our investigators to commence a clinical trial or conduct a clinical trial at a prospective trial site;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experience delays in reaching, or fail to reach, agreement on acceptable terms with prospective trial sites and prospective clinical research organizations, or CROs, the terms of which can be subject to extensive negotiation and may vary significantly among different CROs and trial 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preclinical studies or clinical trials of our product candidates may not produce differentiated or clinically significant results across indications;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patients required for clinical trials of our product candidates may be larger than anticipated, enrollment in these clinical trials may be slower than anticipated or participants may drop out of these clinical trials or fail to return for post-treatment follow-up at a higher rate than anticipated;</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third-party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 or may deviate from the clinical trial protocol or drop out of the trial, which may require that we add new clinical trial sites or investigators;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clinical trials of our product candidates may be greater than anticipated;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supply or quality of our product candidates or other materials necessary to conduct clinical trials of our product candidates may be insufficient or inadequate, and any transfer of manufacturing activities may require unforeseen manufacturing or formulation changes;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product candidates may have undesirable side effects or other unexpected characteristics, causing us, regulators or IRBs or ethics committees to suspend or terminate the trials, or reports may arise from preclinical or clinical testing of other hematologic disease therapies that raise safety or efficacy concerns about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future collaborators may conduct clinical trials in ways they view as advantageous to them but that are suboptimal for us;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regulators may revise the requirements for approving our product candidates, or such requirements may not be as anticipated.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could encounter delays if a clinical trial is suspended or terminated by us, by the IRBs or ethics committees of the institutions at which such trials are being conducted or by the FDA or other regulatory authorities, or if the Data Safety Monitoring Board, or DSMB, for such trial recommends suspension or termination of the trial. Such authorities may impose or recommend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For example, we filed an IND in April 2022 with the FDA to initiate the AURORA Phase 2 trial of bitopertin in EPP patients, but the FDA initially placed the initiation of this trial on clinical hold; we received clearance to initiate the study in July 2022 after the study design was finalized with the FDA and initiated the study in October 2022.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principal investigators for our current and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we experience delays or difficulties in the enrollment of patients in clinical trials, our receipt of necessary regulatory approvals could be delayed or prevented.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 with specific rare hematologic diseases for the development of our product candidates, our ability to enroll eligible patients may be limited or may result in slower enrollment than we anticipate.</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experience difficulties with identifying specific patient populations for any defined trial cohorts. The patient eligibility criteria defined in our trial protocols may limit the patient populations eligible for our clinical trials. We will also rely on the willingness and ability of clinicians to screen their patients, such as for specific genetic hematologic conditions, to indicate which patients may be eligible for enrollment in our clinical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some of our competitors have ongoing clinical trials for product candidates that are intended to treat the same indications as our product candidates, and patients who would otherwise be eligible for our clinical trials may choose instead to enroll in clinical trials of our competitors’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the process of finding patients may prove costly. We also may not be able to identify, recruit or enroll a sufficient number of patients to complete our clinical trials because of the small patient populations with rare hematologic diseases,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Patient enrollment may be affected by other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severity of the disease under investigation;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efforts to obtain and maintain patient consents and facilitate timely enrollment in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monitor patients adequately during and after treatment;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 that patients enrolled in clinical trials will drop out of the clinical trials before clinical trial completion;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recruit clinical trial investigators with the appropriate competencies and experience;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reporting of the preliminary results of any of our clinical trials;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factors we may not be able to control, including the impacts of any public health crises, that may limit patients, principal investigators or staff or clinical site availability.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Results from early preclinical studies and clinical trials of our programs and product candidates are not necessarily predictive of the results of later preclinical studies and clinical trials of our programs and product candidates. If we cannot replicate the results from earlier preclinical studies and clinical trials of our programs and product candidates in our later preclinical studies and clinical trials, we may be unable to successfully develop, obtain regulatory approval for and commercialize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results from early preclinical studies and clinical trials of bitopertin, selcodebart, DISC-0998, DISC-3405 or our other product candidates or programs may not necessarily be predictive of the results from later preclinical studies and clinical trials. For example, we previously announced positive data from our Phase 2 BEACON and AURORA clinical trials of bitopertin in patients with EPP, but there can be no assurance that our Phase 3 APOLLO clinical trial of bitopertin in patients with EPP will be successful or that the results of our APOLLO clinical trial will support a traditional approval of bitopertin for EPP. In addition, we previously announced positive initial data from our RALLY-MF Phase 2 clinical trial of selcodebart in patients with anemia of MF. However, there can be no assurance that selcodebart will achieve the desired effects in this indication. Further, we announced positive results from a Phase 1 clinical trial of DISC-3405 in healthy adult volunteers in December 2024 and June 2025, which may not be indicative or predictive of future clinical trial results. Similarly, even if we are able to complete our planned preclinical studies and clinical trials of our product candidates according to our current development timeline, the results from such preclinical studies and clinical trials of our product candidates may not be replicated in subsequent preclinical studies or clinical trial results.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companies in the biopharmaceutical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regulatory approval.</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clinical trials or those of our future collaborators may reveal significant adverse events not seen in prior preclinical studies or clinical trials and may result in a safety profile that could inhibit regulatory approval or market acceptance of any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Before obtaining regulatory approvals for the commercial sale of any products, we must demonstrate through lengthy, complex and expensive preclinical studies and clinical trials that our product candidates regulated as drugs are safe and effective and our product candidates regulated as biologics are safe, pure and potent for use in each target indication.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and adherence to the clinical trial protocols and the rate of dropout among clinical trial participants. Many product candidates that initially showed promise in early-stage testing have later been found to cause side</w:t>
        <w:br/>
        <w:t>effects that prevented further development. Results of our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trial or result in potential product liability claims.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our product candidates could cause undesirable side effects in clinical trials related to on-target toxicity. If on-target toxicity is observed,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have not yet been observed. For example, bitopertin may demonstrate toxicities in patients with hematologic diseases not previously observed by Roche when it was studied in different indications. If significant adverse events or other side effects are observed in any of our current or future clinical trials, we may have difficulty recruiting patients to our clinical trials, patients may drop out of our trials, or we may be required to abandon the trials or development efforts of one or more product candidates altogether. We, the FDA or other applicable regulatory authorities, or an IRB may suspend or terminate clinical trials of a product candidate at any time for various reasons, including a belief that subjects in such trials are being exposed to unacceptable health risks or adverse side effects. Further, undesirable side effects in one of our clinical trials for a product candidate in one indication could adversely affect enrollment in clinical trials, regulatory approval and commercialization of such product candidate in other indications. Even if the side effects do not preclude the product from obtaining or maintaining regulatory approval, undesirable side effects may inhibit market acceptance of the approved product due to its tolerability versus other therapies. Any of these developments could materially harm our business, operating results, financial condition and prospects.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Some of our product candidates modulate pathways for which there are currently no approved or effective therapies, which may result in greater research and development expenses, regulatory issues that could delay or prevent approval or discovery of unknown or unanticipated adverse effects on safety or efficacy.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Some of our product candidates modulate pathways for which there are currently no approved or effective therapies, which may result in uncertainty. We select programs for targets based on compelling biological rationale, including evidence of expected biological effects in humans. We explore new programs based on extensive preclinical data analysis which sometimes cannot predict efficacy or safety in humans. 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the mechanism of action of any of our product candidates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 of action also means that fewer people are trained in or experienced with product candidates of this type, which may make it more difficult to find, hire and retain personnel for research, development and manufacturing positions. If our product candidates utilize a novel mechanism of action that has not been the subject of extensive study compared to more well-known product candidates, there is also an increased risk that we may discover previously unknown or unanticipated adverse effects during our preclinical studies and clinical trials. Our product candidates may achieve lower efficacy in patients than expected. Any such events could adversely impact our business prospects, operating results and financial condition.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have conducted and are currently conducting clinical trials for bitopertin, and may in the future conduct additional clinical trials of our product candidates, outside the United States, and the FDA and comparable foreign regulatory authorities may not accept data from such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conducted BEACON, our Phase 2 open-label, parallel-dose clinical trial of bitopertin in EPP and XLP patients, at sites in Australia. All participants who completed BEACON were eligible to participate in HELIOS, an open-label, long-term extension study of bitopertin in EPP and XLP patients, that we are also conducting in Australia, as well as the United States. We are also conducting APOLLO, a Phase 3, randomized, double-blind, placebo-controlled clinical trial of bitopertin in EPP and XLP patients, in Canada, Europe and Australia, as well as the United States. We may in the future choose to conduct additional clinical trials of our product candidates outside the United States, including in Europe, Australia, or other foreign jurisdictions. The acceptance of trial data from clinical trials conducted outside the United States by the FDA may be subject to certain conditions. In cases where data from clinical trials conducted outside the United States are intended to serve as the sole basis for regulatory approval in the United States, the FDA will generally not approve the application on the basis of foreign data alone unless (i) the data are applicable to the United States population and United States medical practices,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will be subject to the applicable local laws of the foreign jurisdictions where the trials are conducted. There can be no assurance that the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would be costly and time-consuming and delay aspects of our business plan, and which may result in our product candidates not receiving regulatory approval or clearance for commercialization in the applicable jurisdiction.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Although we intend to explore other therapeutic opportunities in addition to the programs and product candidates that we are currently developing, we may fail to identify viable new product candidates for clinical development for a number of reasons. If we fail to identify additional product candidates, our business could be materially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programs to pursue the development of our existing and planned product candidates for additional indications and to identify new product candidates and disease targets require substantial technical, financial and human resources whether or not they are ultimately successful. Our research programs may initially show promise in identifying potential indications and/or product candidates, yet fail to yield results for clinical development for a number of reasons,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research methodology used may not be successful in identifying potential indications and/or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product candidates may, after further study, be shown to have harmful adverse effects or other characteristics that indicate they are unlikely to be effective products;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may take greater human and financial resources than we will possess to identify additional therapeutic opportunities for our product candidates or to develop suitable potential product candidates through internal research programs, thereby limiting our ability to develop, diversify and expand our product portfolio.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Accordingly, there can be no assurance that we will ever be able to identify additional therapeutic opportunities for our product candidates or to develop suitable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we are not able to obtain, or if there are delays in obtaining, required regulatory approvals for any of our product candidates, we will not be able to commercialize, or will be delayed in commercializing, such product candidates, and our ability to generate revenue will be materially impaired.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regulatory approval. Currently, all of our product candidates are in discovery, preclinical or clinical development, and we have not received approval to market any of our product candidates from regulatory authorities in any jurisdiction. It is possible that our product candidates, including any product candidates we may seek to develop in the future, will never obtain regulatory approval. We have limited experience in filing and supporting the applications necessary to gain regulatory approvals and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side effects, toxicities or other characteristics that may preclude us from obtaining regulatory approval or prevent or limit commercial use. In addition, regulatory authorities may find fault with our manufacturing process or facilities or that of third-party contract manufacturers. We may also face greater than expected difficulty in manufacturing our product candidates.</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process of obtaining regulatory approvals, both in the United States and abroad, is expensive and often takes many years. If the FDA or a comparable foreign regulatory authority requires that we perform additional preclinical studies or clinical trials, approval may be delayed, if obtained at all. The length of such a delay varies substantially based upon a variety of factors, including the type, complexity and novelty of the product candidate involved. Changes in regulatory approval policies during the development period, changes in or enactment of additional statutes or regulations, or changes in regulatory review policies for each submitted NDA, BLA, or equivalent application types, may cause delays in the approval or rejection of an application. The FDA and comparable foreign regulatory authorities have substantial discretion in the approval process and may refuse to accept any application for review. Even if the FDA or a comparable foreign regulatory authority accepts an application for review, we can provide no assurance that an accepted application will ultimately result in an approval. Any guidance we receive from the FDA or other comparable regulatory authorities during the development or marketing application review processes is subject to change. As such, the outcomes of our interactions with such regulatory authorities during such review processes, such as pre-NDA or Type A meetings with the FDA, and the ultimate approval decision, are subject to significant uncertainty. Among other things, the FDA or a comparable foreign regulatory authority may decide that our data is insufficient for approval and require additional preclinical, clinical or other studies. Our product candidates could be delayed in receiving, or fail to receive, regulatory approval for many reasons, including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or comparable foreign regulatory authorities may disagree with the design or implementation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able to enroll a sufficient number of patients in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unable to demonstrate to the satisfaction of the FDA or comparable foreign regulatory authorities that a product candidate is safe and effective for its proposed indication;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results of clinical trials may not meet the level of statistical significance required by the FDA or comparable foreign regulatory authorities for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unable to demonstrate that a product candidate’s clinical and other benefits outweigh its safety risks;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or comparable foreign regulatory authorities may disagree with our interpretation of data from preclinical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data collected from clinical trials of our product candidates may not be sufficient to support the submission of an NDA, BLA or other submission or to obtain regulatory approval in the United States or elsewhere;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or comparable foreign regulatory authorities may find deficiencies with or fail to approve the manufacturing processes or facilities of third-party manufacturers with which we contract for clinical and commercial supplies;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approval policies or regulations of the FDA or comparable foreign regulatory authorities may significantly change such that our clinical data are insufficient for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example, we submitted an NDA for accelerated approval of bitopertin in EPP and XLP in the United States in September 2025. In February 2026, the FDA issued a CRL. Although the FDA agreed that clinical data from our AURORA and BEACON clinical trials provided sufficient evidence that bitopertin significantly lowers whole blood metal-free PPIX, the FDA concluded that the trials did not show evidence of association between percent change in PPIX and sunlight exposure-based endpoints as measured in the trials. As such, the FDA determined that there is uncertainty regarding whether bitopertin’s effect in PPIX is reasonably likely to predict clinical benefit despite the strong mechanistic and biological plausibility supporting the use of the PPIX biomarker in protoporphyria. As a result, the FDA did not approve our NDA and indicated instead that we would need to provide evidence of a clinical benefit from an additional clinical trial, such as our ongoing APOLLO trial, to support a potential traditional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we were to obtain regulatory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experience delays in obtaining, or if we fail to obtain, approval of our product candidates, the commercial prospects for our product candidates may be harmed and our ability to generate revenue will be materially impaired.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 public health crisis, pandemic, epidemic, or outbreak of an infectious or highly contagious disease, may materially and adversely affect our business and financial results and could cause a disruption to the development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Public health crises such as pandemics or similar outbreaks could adversely impact our business. The extent to which an outbreak of highly infectious or contagious diseases impacts our operations or those of our third-party partners, including our preclinical studies or clinical trial operations, will depend on future developments, which are highly uncertain and cannot be predicted with confidence, including the scope, severity and duration of the outbreak, actions taken to contain the outbreak or mitigate its impact, and the direct and indirect economic effects of the outbreak and containment measures, among others.</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patient populations that our product candidates target may be particularly susceptible to highly infectious or contagious diseases, which may make it more difficult for us to identify patients able to enroll in our current and future clinical trials and may impact the ability of enrolled patients to complete any such trials.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Commercialization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face substantial competition, which may result in others discovering, developing or commercializing products before or more successfully than we do.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development and commercialization of new products in the biopharmaceutical and related industries is highly competitive. We compete in the segments of the pharmaceutical, biotechnology, and other related markets that develop therapies in the field of hematologic diseases. There are other companies focusing on developing therapies in the field of hematologic diseases. We also compete more broadly across the market for cost-effective and reimbursable treatments. Some of these competitive products and therapies are based on scientific approaches that are the same as or similar to our approach, and others are based on entirely different approaches. These companies include divisions of large pharmaceutical companies and biotechnology companies of various sizes.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See the “Business—Competition” section of our Annual Report on Form 10-K for the year ended December 31, 2025 for examples of the competition that our product candidates face.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product candidates that we successfully develop and commercialize will compete with currently approved therapies and new therapies that may become available in the future from segments of the pharmaceutical, biotechnology and other related markets. Key product features that would affect our ability to effectively compete with other therapeutics include the efficacy, safety and convenience of our products. We believe principal competitive factors to our business include, among other things, our ability to successfully transition research programs into clinical development, ability to raise capital and the scalability of the platform, pipeline and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of the companies that we compete against or which we may compete against in the future have significantly greater financial resources and expertise in research and development, manufacturing, preclinical and clinical testing,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If these or other barriers to entry do not remain in place, other companies may be able to more directly or effectively compete with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regulatory approval for their products sooner than we may obtain approval for our product candidates, which could result in our competitors establishing a strong market position before we or our collaborators are able to enter the market. The key competitive factors affecting the success of all of our product candidates, if approved, are likely to be their efficacy, safety, convenience, price, level of generic competition and availability of reimbursement from government and other third-party payors.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the market opportunities for our programs and product candidates are smaller than we estimate or if any regulatory approval that we obtain is based on a narrower definition of the patient population, our revenue and ability to achieve profitability could be materially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incidence and prevalence for the target patient populations of our programs and product candidates have not been established with precision. Our lead heme biosynthesis modulation product candidate, bitopertin, is an oral, selective inhibitor of GlyT1. We are initially focused on developing bitopertin for the treatment of EPP and XLP, which are both diseases marked by severe photosensitivity and damage to the hepatobiliary system caused by the accumulation of PPIX. We are initially focused on developing selcodebart for anemia of MF and anemia of inflammatory bowel disease, or IBD. We are initially focused on developing DISC-3405 for the treatment of PV and sickle cell disease, or SCD. Our projections of both the number of people who have these diseases, as well as the subset of people with these diseases who have the potential to benefit from treatment with our programs and product candidates, are based on our estimates.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total addressable market opportunity will ultimately depend upon, among other things, the diagnosis criteria included in the final label, the indications for which our product candidates are approved for sale, acceptance by the medical community and patient access, product pricing and reimbursement. The number of patients with EPP, XLP, anemias of MF or IBD, PV, SCD, or other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indications for which our product candidates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We may not be successful in our efforts to identify additional product candidates. Due to our limited resources and access to capital, we must prioritize development of certain product candidates, which may prove to be the wrong choice and may adversely affect our business.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cannot be certain that the patient populations for each specific disease will be large enough to allow us to successfully obtain approval for our product candidates, or successfully commercialize any of our product candidates, if approved, and achieve profitability.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our current product candidates or any future product candidates do not achieve broad market acceptance, the revenue that we generate from our sales may be limited, and we may never become profitable.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never commercialized a product candidate for any indication. Even if our current product candidates and any future product candidates are approved by the appropriate regulatory authorities for marketing and sale, they may not gain acceptance among physicians, patients, third-party payors, and others in the medical community. If any product candidates for which we may obtain regulatory approval do not gain an adequate level of market acceptance, we may not generate significant revenue and may not become profitable or may be significantly delayed in achieving profitability. Market acceptance of our current product candidates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heme biosynthesis modulation therapies or hepcidin-targeted agents is unsafe, whether related to our or our competitors’ products, our products may not be accepted by the general public or the medical community. Future adverse events in the hematologic diseases or the biopharmaceutical industry could also result in greater governmental regulation, stricter labeling requirements and potential regulatory delays in the testing or approvals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us to establish or maintain pricing sufficient to realize a sufficient return on our investment. Government authorities and third-party payors, such as private health insurers and health maintenance organizations, decide which medications they will pay for and establish reimbursement levels.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Efforts to educate the medical community and third-party payors on the benefits of our current product candidates and any future product candidates may require significant resources and may not be successful. If our current product candidates or any future product candidates are approved but do not achieve an adequate level of market acceptance, we could be prevented from or significantly delayed in achieving profitability. The degree of market acceptance of any of our current product candidates and any future product candidates will depend on a number of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efficacy of our current product candidates and any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prevalence and severity of adverse events associated with our current product candidates and any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clinical indications for which our product candidates are approved and the approved claims that we may make for the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limitations or warnings contained in the product’s FDA-approved labeling or those of comparable foreign regulatory authorities, including potential limitations or warnings for our current product candidates and any future product candidates that may be more restrictive than other competitive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standard of care for the targeted indications for our current product candidates and any future product candidates, which could reduce the marketing impact of any claims that we could make following FDA approval or approval by comparable foreign regulatory authorities, if obtained;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relative convenience and ease of administration of our current product candidates and any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treatment compared with the economic and clinical benefit of alternative treatments or therapies;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adequate coverage or reimbursement by third-party payors, including government healthcare programs such as Medicare and Medicaid and other healthcare payors;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price concessions required by third-party payors to obtain coverage;</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willingness of patients to pay out-of-pocket in the absence of adequate coverage and reimbursement;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and strength of our marketing and distribution of our current product candidates and any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safety, efficacy, and other potential advantages over, and availability of, alternative treatments already used or that may later be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distribution and use restrictions imposed by the FDA or comparable foreign regulatory authorities with respect to our current product candidates and any future product candidates or to which we agree as part of a Risk Evaluation and Mitigation Strategy, or REMS, or voluntary risk management plan;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of market introduction of our current product candidates and any future product candidates, as well as competitive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offer our current product candidates and any future product candidates for sale at competitive prices;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willingness of the target patient population to try new therapies and of physicians to prescribe these therapies;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and strength of our third-party manufacturer and supplier support;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approval of other new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publicity about our current product candidates and any future product candidates or favorable publicity about competitive products;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product liability claims.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successful in addressing these or other factors that might affect the market acceptance of our product candidates. Failure to achieve widespread market acceptance of our product candidates would materially harm our business, financial condition and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For certain commercial prescription drug and biological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Additionally, under the Food and Drug Omnibus Reform Act of 2022, or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restrictions on the marketing or manufacturing of the product, withdrawal of the product from the market or voluntary or mandatory product recalls;</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manufacturing delays and supply disruptions where regulatory inspections identify observations of noncompliance requiring remediation;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revisions to the labeling, including limitation on approved uses or the addition of additional warnings, contraindications or other safety information, including boxed warnings;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imposition of a REMS which may include distribution or use restrictions;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requirements to conduct additional post-market clinical trials to assess the safety of the product;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trial holds;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fines, warning letters or other regulatory enforcement action;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refusal by the FDA to approve pending applications or supplements to approved applications filed by us or suspension or revocation of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seizure or detention, or refusal to permit the import or export of products;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FDA’s and other regulatory authorities’ policies may change and additional government regulations may be enacted that could prevent, limit or delay regulatory approval of our product candidates. In addition, the U.S. Supreme Court’s July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pStyle w:val="TextBody"/>
        <w:bidi w:val="0"/>
        <w:spacing w:before="120" w:after="283"/>
        <w:jc w:val="both"/>
        <w:rPr>
          <w:rFonts w:ascii="Times New Roman" w:hAnsi="Times New Roman"/>
          <w:sz w:val="20"/>
        </w:rPr>
      </w:pPr>
      <w:r>
        <w:rPr>
          <w:rFonts w:ascii="Times New Roman" w:hAnsi="Times New Roman"/>
          <w:b/>
          <w:i/>
          <w:color w:val="000000"/>
          <w:sz w:val="20"/>
        </w:rPr>
        <w:t>Product liability lawsuits brought against us could cause us to incur substantial liabilities and could limit commercialization of any product candidates that we may develop.</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face an inherent risk of product liability lawsuits related to the testing of any product candidates in human clinical trials and will face an even greater risk if we commercially sell such product candidates. If we cannot successfully defend ourselves against any such claims, we may incur substantial liabilities. Regardless of merit or eventual outcome, liability claims may result 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decreased demand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injury to our reputation;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withdrawal of clinical trial participants;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termination of clinical trial sites or entire trial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litigation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substantial monetary awards to or costly settlements with patients or other claimants;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recalls or a change in the indications for which products may be used;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of revenue;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diversion of management and scientific resources from our business operations;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inability to commercialize our product candidates.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highly dependent upon consumer perceptions of us and the safety and quality of any product candidate we commercialize. We could be adversely affected if we are subject to negative publicity. We could also be adversely affected if any of our future products or any similar products distributed by other companies prove to be, or are asserted to be, harmful to patients. Although we maintain product liability insurance coverage, it may not be adequate to cover all liabilities that we may incur. We anticipate that we may need to further increase our insurance coverage as we begin additional clinical trials or if we successfully commercialize additional product candidates. Insurance coverage is increasingly expensive. We may not be able to maintain insurance coverage at a reasonable cost or in an amount adequate to satisfy any liability that may arise.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120" w:after="283"/>
        <w:jc w:val="both"/>
        <w:rPr>
          <w:rFonts w:ascii="Times New Roman" w:hAnsi="Times New Roman"/>
          <w:sz w:val="20"/>
        </w:rPr>
      </w:pPr>
      <w:r>
        <w:rPr>
          <w:rFonts w:ascii="Times New Roman" w:hAnsi="Times New Roman"/>
          <w:b/>
          <w:i/>
          <w:color w:val="000000"/>
          <w:sz w:val="20"/>
        </w:rPr>
        <w:t>We rely on third parties to conduct our clinical trials for our product candidates, as well as potential investigator-sponsored clinical trials of our product candidates. If these third parties do not successfully carry out their contractual duties, comply with</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regulatory requirements, or meet expected deadlines, we may not be able to obtain regulatory approval for or commercialize our product candidates and our business could be substantially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do not have the ability to independently conduct clinical trials. We have relied on and expect to continue to rely on medical institutions, clinical investigators, contract laboratories and other third parties, such as CROs, to conduct or otherwise support the Phase 3 APOLLO clinical trial of bitopertin in EPP and XLP, as well as clinical trials for our other product candidates. As a result, many important aspects of our development programs, including their conduct and timing, are outside of our direct control. Our reliance on third parties to conduct future clinical trials also results in less direct control over the management of data developed through clinical trials than would be the case if we were relying entirely upon our own staff.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Nevertheless, we are responsible for ensuring that each of our clinical trials is conducted in accordance with the applicable protocol, legal and regulatory requirements and scientific standards, and our reliance on CROs or other third parties will not relieve us of our regulatory responsibilities. For any violations of laws and regulations during the conduct of our clinical trials, we could be subject to warning letters or enforcement action that may include civil penalties up to and including criminal prosecution. For example, we, our principal investigators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or the EEA, and comparable foreign regulatory authorities for any products in clinical development. The FDA enforces GCP regulations through periodic inspections of clinical trial sponsors, principal investigators and trial sites. If we, our principal investigators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will comply with GCPs. In addition, our clinical trials must be conducted with product candidates produced under current Good Manufacturing Practice, or cGMP, regulations. Our failure or the failure of our principal investigators or CROs to comply with these regulations may require us to repeat clinical trials, which would delay the regulatory approval process, significantly increase our expenditures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Communicating with outside parties can also be challenging, potentially leading to mistakes as well as difficulties in coordinating activities. Outside parties may: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have staffing difficulties;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 to comply with contractual obligations;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experience regulatory compliance issues;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undergo changes in priorities or become financially distressed;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form relationships with other entities, some of which may be our competitors.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These factors may materially adversely affect the willingness or ability of third parties to conduct our clinical trials and may subject us to unexpected cost increases that are beyond our control. If the principal investigators or CROs do not perform clinical trials in a satisfactory manner, breach their obligations to us or fail to comply with regulatory requirements, or if any of our relationships with these third-party principal investigators or CROs terminate, the development, regulatory approval and commercialization of our product candidates may be delayed, we may not be able to obtain regulatory approval and commercialize our product candidates or our development program may be materially and irreversibly harmed. If we are unable to rely on clinical data collected by our principal investigators or CROs, we could be required to repeat, extend the duration of, or increase the size of any clinical trials we conduct and this could significantly delay commercialization and require significantly greater expenditures.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also rely on academic and private non-academic institutions to conduct and sponsor clinical trials relating to our product candidates, such as the clinical trial of bitopertin in DBA, which is being conducted by NIH under a collaborative research and development agreement. We will not control the design or conduct of any investigator-sponsored trials, and it is possible that the FDA or non-U.S. regulatory authorities will not view these investigator-sponsored trials as providing adequate support for future clinical trials, whether controlled by us or third parties, for any one or more reasons, including elements of the design or execution of the trials or safety concerns or other trial results. Such arrangements will likely provide us certain information rights with respect to the investigator-sponsored trials, including access to and the ability to use and reference the data, including for our own regulatory filings,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of our product candidates. Further, if investigators or institutions breach their obligations with respect to the clinical development of our product candidates, or if the data proves to be inadequate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compared to the first-hand knowledge we might have gained had the investigator-sponsored trials been sponsored and conducted by us, then our ability to design and conduct any future clinical trials ourself may be adversely affected.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might not realize the anticipated benefits of our current collaborations with Mabwell or NIH, or any other collaborations we enter into in the future.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development, commercialization and/or strategic collaborations, including those that we have with Mabwell and NIH, are subject to numerous risks, which include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may have significant control or discretion in determining the efforts and resources that they will apply to a collaboration, and might not commit sufficient efforts and resources or might misapply those efforts and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have limited influence or control over the approaches to research, development and/or commercialization of product candidates in the territories in which our collaboration partners lead research, development and/or commercialization;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might not pursue research, development and/or commercialization of collaboration product candidates or might elect not to continue or renew research, development and/or commercialization programs based on preclinical studies and/or clinical trial results, changes in their strategic focus, availability of funding or other factors, such as a business combination that diverts resources or creates competing priorities;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might delay, provide insufficient resources to, or modify or stop research or clinical development for collaboration product candidates or require a new formulation of a product candidate for clinical testing;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with sales, marketing and distribution rights to one or more product candidates might not commit sufficient resources to sales, marketing and distribution or might otherwise fail to successfully commercialize those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might not properly maintain or defend our intellectual property rights or might use our intellectual property improperly or in a way that jeopardizes our intellectual property or exposes us to potential liability;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collaboration activities might result in the collaborator having intellectual property covering our activities or product candidates, which could limit our rights or ability to research, develop and/or commercialize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might not be in compliance with laws applicable to their activities under the collaboration, which could impact the collaboration and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disputes might arise between a collaborator and us that could cause a delay or termination of the collaboration or result in costly litigation that diverts management attention and resources;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collaborations might be terminated, which could result in a need for additional capital to pursue further research, development and/or commercialization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funding provided by a collaborator might not be sufficient to advance product candidates under the collaboration. If a collaborator terminates a collaboration or a program under a collaboration, including by failing to exercise a license or other option under the collaboration, whether because we fail to meet a milestone or otherwise, any potential revenue from the collaboration would be significantly reduced or eliminated. In addition, we will likely need to either secure other funding to advance research, development and/or commercialization of the relevant product candidate or abandon that program, the development of the relevant product candidate could be significantly delayed, and our cash expenditures could increase significantly if we are to continue research, development and/or commercialization of the relevant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one or more of these risks, if realized, could reduce or eliminate future revenue from product candidates under our collaborations, and could have a material adverse effect on our business, financial condition, results of operations and/or growth prospects.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have established collaborations with Mabwell and NIH and may seek to establish additional collaborations, and, if we are not able to establish them on commercially reasonable terms, or at all, we may have to alter our development and commercialization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product development programs and the potential commercialization of our product candidates will require substantial additional cash to fund expenses. For some of our product candidates, we may decide to collaborate with pharmaceutical and biotechnology companies, such as our collaborations with Mabwell and NIH, for the development and potential commercialization of those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own evaluation of a potential collaboration. Such factors a potential collaborator will use to evaluate a collaboration may include the design or results of clinical trials, the likelihood of approval by the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FDA or comparable foreign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also restricted by Roche’s right of first negotiation under our current license agreement with them and may in the future be restricted under other license or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contract with third parties for the manufacture of our product candidates for preclinical development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do not currently own or operate, nor do we have any plans to establish in the future, any manufacturing facilities. As such, we rely, and expect to continue to rely, on third parties such as contract development and manufacturing organizations, or CDMOs, for the manufacture of our product candidates for preclinical development and clinical testing. We also expect to rely on third parties for the commercial manufacture of our products if any of our product candidates receive regulatory approval. This reliance on third parties increases the risk that we will not have sufficient quantities of our product candidates or products or such quantities at an acceptable time, cost or quality, which could delay, prevent or impair our development or commercialization efforts.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facilities used by our CDMOs to manufacture our product candidates must be inspected by the FDA pursuant to pre-approval inspections that will be conducted after we submit our marketing applications to the FDA. We do not control the manufacturing process of, and will be completely dependent on, our CDMOs for compliance with cGMPs in connection with the manufacture of our product candidates. If our CDMOs cannot successfully manufacture material that conforms to our specifications and the strict regulatory requirements of the FDA or others, they will not be able to pass regulatory inspections and/or maintain regulatory compliance. In addition, we have no control over the ability of our CDMOs to maintain adequate quality control, quality assurance and qualified personnel. If the FDA or a comparable foreign regulatory authority finds deficiencies with or does not approve these facilities for the manufacture of our product candidates or if it finds deficiencies or withdraws any such approval in the future, we may need to find alternative manufacturing facilities, which would significantly impact our ability to develop, obtain regulatory approval for or market our product candidates, if approved.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any CDMO with whom we contract fails to perform its obligations, we may be forced to enter into an agreement with a different CDMO, which we may not be able to do on reasonable terms, if at all. In such a scenario, our clinical trials supply could be delayed significantly as we establish alternative supply sources. In some cases, the technical skills required to manufacture our product candidates may be unique or proprietary to the original CDMO and we may have difficulty, or there may be contractual restrictions prohibiting us from, transferring such skills to a back-up or alternate supplier, or we may be unable to transfer such skills at all.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CDMO could negatively affect our ability to develop product candidates or commercialize our products in a timely manner or within budget. In addition, changes in manufacturers often involve changes in manufacturing procedures and processes, which could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 that we conduct bridging studies between our prior supply used in our clinical trials and that of any new manufacturer. We may be unsuccessful in demonstrating the comparability of clinical supplies which could require the conduct of additional clinical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our failure, or the failure of our CDMOs, to comply with applicable regulations could result in sanctions, including clinical holds, fines, injunctions, civil penalties, delays, suspension or withdrawal of approvals, license revocation, seizures or recalls of product candidates or products, if approved, operating restrictions and criminal prosecutions, any of which could significantly and adversely affect our business and supplies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unable to establish any additional agreements with CDMOs or do so on acceptable terms. Reliance on CDMOs entails additional risks,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reliance on the third party for regulatory compliance and quality assurance;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possible breach of the manufacturing agreement by the third party;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possible misappropriation of our proprietary information, including our trade secrets and know-how;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possible termination or nonrenewal of the agreement by the third party at a time that is costly or inconvenient for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product candidates and any products that we may develop may compete with other product candidates and approved products for access to manufacturing facilities. There are a limited number of CDMOs that operate under cGMP regulations and that might be capable of manufacturing for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performance failure on the part of our existing or future manufacturers could delay clinical development or regulatory approval. If our current CDMOs cannot perform as agreed, we may be required to replace such CDMOs. In addition, there has been increased governmental focus in the U.S. on contracting with Chinese companies for the development or manufacturing of pharmaceutical products. For example, legislation pending in Congress would prohibit U.S. federal funding in connection with biotechnology equipment or services produced or provided by certain named Chinese “biotechnology companies of concern” and loans and grants to, and federal contracts with any entity that uses biotechnology equipment or services from one of these entities. The legislation would also give the federal government the authority to name additional “biotechnology companies of concern” that are engaged in research activities with the Chinese government and that pose a risk of U.S. national security. In addition, in 2025, the United States imposed substantial tariffs on imports from China as well as on other trading partners, including Canada, Mexico, and the EU. We currently rely on certain foreign or foreign-owned third-party vendors to manufacture certain materials used in clinical trials of our product candidates or to provide services in connection with certain clinical trials or certain discovery activities. Our engagement with these foreign and foreign-owned vendors may be subject to additional U.S. legislation, investigations, sanctions, further escalation of tariffs, trade restrictions and other foreign regulatory requirements, which could cause us to need to identify alternate service providers, increase the cost or reduce the supply of materials available to us, delay the procurement or supply of these materials, delay or impact clinical trials, or have an adverse effect on our ability to secure significant commitments from governments to purchase our potential therapies, any of which could adversely affect our financial condition and business prospects. We continue to assess the legislation and the tariffs as they develop to determine the effect, if any, on our contractual relationships.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current and anticipated future dependence upon others for the manufacture of our product candidates or products may adversely affect our future profit margins and our ability to commercialize any products that receive regulatory approval on a timely and competitive basis.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 third parties upon whom we rely for the supply of the active pharmaceutical ingredients used in our product candidates are our sole sources of supply, and the loss of any of these suppliers could significantly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active pharmaceutical ingredients, or API, used in certain of our product candidates are supplied to us from single-source suppliers. Our ability to successfully develop such product candidates, and to ultimately supply any resulting commercial products in quantities sufficient to meet the market demand, depends in part on our ability to obtain the API for these products in accordance with regulatory requirements and in sufficient quantities for clinical testing and commercialization. We do not currently have arrangements in place for a redundant or second-source supply of any such API in the event any of our current suppliers of such API cease their operations for any reason. We are also unable to predict how changing global economic conditions or potential global health concerns or crises will affect our third-party suppliers and manufacturers. Regional issues may in some cases accentuate these risks. For example, the pharmaceutical industry generally, and in some instances we or other third parties on which we rely, depend on China-based suppliers or service providers for certain raw materials, products and services, or other activities. Our ability or the ability of our collaborators or such other third parties to continue to engage these China-based suppliers or service providers for certain preclinical research programs and clinical development programs could be restricted due to geopolitical developments between the United States and China, including as a result of the further escalation of tariffs or other trade restrictions or if the proposed federal legislation that would prohibit U.S. federal funding in connection with biotechnology equipment or services produced or provided by certain named Chinese “biotechnology companies of concern” or a similar law were to be enacted. Any negative impact of such matters on our third-party suppliers and manufacturers may also have an adverse impact on our results of operations or financial condition.</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all of our product candidates, we intend to identify and qualify additional manufacturers to provide such API.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our ability to timely meet our demand in the future based on past performance. While our suppliers have generally met our demand for their products on a timely basis in the past, they may subordinate our needs in the future to their other customers.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Establishing additional or replacement suppliers for the API used in our product candidates, if required, may not be accomplished quickly. If we are able to find a replacement supplier, such replacement supplier would need to be qualified and may require additional regulatory inspection or approval, which could result in further delay. While we seek to maintain adequate inventory of the API used in our product candidates, any interruption or delay in the supply of components or materials, or our inability to obtain such API from alternate sources at acceptable prices in a timely manner could impede, delay, limit or prevent our development and commercialization efforts, which could harm our business, results of operations, financial condition and prospects.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 manufacture of biologics is complex and our third-party manufacturers may encounter difficulties in production. If any of our third-party manufacturers encounter such difficulties, our ability to provide supply of product candidates for clinical trials or products for patients, if approved, could be delayed or prevented.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Selcodebart, DISC-0998, and DISC-3405 are monoclonal antibodies. Manufacturing biologics, like monoclonal antibodies, especially in large quantities, is often complex and may require the use of innovative technologies to handle living cells. Each lot of an approved biologic must undergo thorough testing for identity, strength, quality, purity and potency. Manufacturing biologics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manufacturers, such facilities may need to be closed for an extended period of time to investigate and remedy the contamination, which could delay clinical trials and adversely harm our business.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any third-party manufacturer of any of our product candidates is unable to increase the scale of its production of such product candidates or increase the product yield of its manufacturing, then our costs to manufacture such product or product candidate may increase and any commercialization may be delayed.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components and raw materials. Even if we obtain regulatory approval for any of our current product candidates or any future product candidates, there is no assurance that our manufacturers will be able to manufacture the approved product to specifications acceptable to the FDA or other comparable foreign regulatory authorities, to produce it in sufficient quantities to meet the requirements for the potential commercial launch of such product or to meet potential future demand. If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 success depends in part on our ability to obtain and maintain proprietary or intellectual property protection in the U.S. and other countries for our current or future product candidates, including our current lead product candidates, bitopertin, selcodebart and DISC-3405, and our other current or future programs, including DISC-0998, as well as for their respective compositions, formulations, methods used to manufacture them and methods of treatment, in addition to successfully defending these patents against third-party challenges. We seek to protect our proprietary and intellectual property position by, among other methods, filing patent applications in the U.S. and abroad related to our proprietary technology, inventions, and improvements that are important to the development and implementation of our business. Our ability to stop unauthorized third parties from making, using, selling, offering to sell, or importing our product candidates is dependent upon the extent to which we have rights under valid and enforceable patents or trade secrets that cover these activities. We also rely on trade secrets, know-how and continuing technological innovation to develop and maintain our proprietary and intellectual property position.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in-licensed, and may in the future in-license, a portion of our intellectual property, and, if we fail to comply with our obligations under these license arrangements, we could lose such intellectual property rights or owe damages to the licensor of such intellectual property. In particular, we have exclusively licensed intellectual property rights from Roche to develop and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commercialize bitopertin, including certain back-up compounds and derivatives, for all prophylactic and therapeutic uses. The Roche license covers know-how, and certain specified Roche patent rights, including a composition of matter patent for bitopertin that expires in 2026. We also have exclusively licensed intellectual property rights from AbbVie Deutschland GmbH &amp; Co. KG, or AbbVie, to develop and commercialize selcodebart and DISC-0998. The AbbVie license covers know-how, and certain specified AbbVie patent rights, including composition of matter and methods of use patents and patent applications for selcodebart and DISC-0998. We also have exclusively licensed intellectual property rights from Mabwell to develop and commercialize antibody products containing Mabwell’s MWTX-001, MWTX-002, and MWTX-003 antibodies. The Mabwell license covers know-how and certain specified Mabwell patent rights, including composition of matter and methods of use patents and patent applications for MWTX-001, MWTX-002 and MWTX-003.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patent position of biotechnology and pharmaceutical companies generally is highly uncertain, involves complex legal and factual questions and has in recent years been the subject of much litigation. The degree of patent protection we require to successfully commercialize our current or future product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bitopertin, selcodebart, DISC-3405 or our other current or future product candidates. In addition, if the breadth or strength of protection provided by our patent applications or any patents we may own or in-license is threatened, we could dissuade companies from collaborating with us to license, develop or commercialize current or future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laws of foreign countries may not protect our rights to the same extent as the laws of the U.S. For example, in jurisdictions outside the U.S.,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Furthermore, patents have a limited lifespan. In the U.S.,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Additionally, our product candidates may or may not be eligible for such extensions or we may not be able to obtain such protections due to procedural or other reasons.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at least 18 months after the earliest priority date of the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patent prosecution process is expensive and time-consuming, and we may not be able to file and prosecute all necessary or desirable patent applications at a reasonable cost or in a timely manner. Further, with respect to certain pending patent applications covering our current or future product candidates,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Prosecution could require that claim scope narrow such that a clinical or product candidate or program is not adequately protected by the patent.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Even if we acquire patent protection that we expect should enable us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patents may be challenged in the courts or patent offices in the U.S. and abroad. We may become involved in post-grant proceedings such as opposition, derivation, reexamination, </w:t>
      </w:r>
      <w:r>
        <w:rPr>
          <w:rFonts w:ascii="Times New Roman" w:hAnsi="Times New Roman"/>
          <w:i/>
          <w:color w:val="000000"/>
          <w:sz w:val="20"/>
        </w:rPr>
        <w:t>inter partes</w:t>
      </w:r>
      <w:r>
        <w:rPr>
          <w:rFonts w:ascii="Times New Roman" w:hAnsi="Times New Roman"/>
          <w:color w:val="000000"/>
          <w:sz w:val="20"/>
        </w:rPr>
        <w:t xml:space="preserve"> review, post-grant review, invalidation, or interference proceedings challenging our patent rights or the patent rights of others from whom we may in the future obtain licenses to such rights, in the U.S. Patent and Trademark Office, or USPTO, the European Patent Office, or EPO, or in other countries. In addition, we may be subject to a third-party submission to the USPTO, the EPO, or elsewhere, that may reduce the scope or preclude the granting of claims from our pending patent applications. Competitors may allege that they invented the inventions claimed in our issued patents or patent applications prior to us, or may file patent applications before we do. Competitors may also claim that we are infringing their patents and that we therefore cannot practice our technology as claimed under our patents or patent applications. Competitors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may also contest our patents by claiming to an administrative patent authority or judge that the invention was not patent-eligible, was not original, was not novel, was obvious, and/or lacked inventive step, and/or that the patent application filing failed to meet relevant requirements relating to description, basis, enablement, clarity, and/or support; in litigation, a competitor could claim that our patents, if issued, are not valid or are unenforceable for a number of reasons. If a court or administrative patent authority agrees, we would lose our protection of those challenged patents.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it, or could limit the duration of the patent protection covering our technology and current or future product candidates. Such challenges may also result in our inability to manufacture or commercialize our current or future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they are unchallenged, our issued patents and our pending patent applications, if issued, may not provide us with any meaningful protection or prevent competitors from designing around our patent claims to circumvent patents we may own or in-license by developing similar or alternative technologies or products in a non-infringing manner. For example, a third-party may develop a competitive product that provides benefits similar to one or more of our current or future product candidates but that has a different composition that falls outside the scope of our patent protection. If the patent protection provided by the patents and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 Furthermore, generic manufacturers may develop, seek approval for and launch generic versions of our products, and may challenge the scope, validity or enforceability of our patents, requiring us to engage in complex, lengthy and costly litigation or other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also intend to rely on regulatory exclusivity for protection of our product candidates, if approved for commercial sale. Implementation and enforcement of regulatory exclusivity, which may consist of regulatory data protection and market protection, varies widely from country to country. Failure to qualify for regulatory exclusivity or failure to obtain or to maintain the extent or duration of such protections that we expect for our product candidates, if approved, could affect our decision on whether to market the products in a particular country or countries or could otherwise have an adverse impact on our revenue or results of operations.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 submission, deadlines, fee payment and other requirements imposed by governmental patent agencies, and our patent protection could be reduced or eliminated if we fail to comply with these requirements. We may miss a filing deadline for patent protection on these inventions.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our trademarks and trade names for our products or company name are not adequately protected in one or more countries where we intend to market our products, we may delay the launch of product brand names, use different trademarks or tradenames in different countries, or face other potentially adverse consequences to building our product brand recognition.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trademarks or trade names may be challenged, infringed, diluted, circumvented or declared generic or determined to be infringing on other marks. We intend to rely on both registration and common law protection for our trademarks. We may not be able to protect our rights to these trademarks and trade names or may be forced to stop using these names, which we need for name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recognition by potential partners or customers in our markets of interest. During the trademark registration process, we may receive Office Actions from the USPTO or from comparable agencies in foreign jurisdictions objecting to the registration of our trademark. Although we would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 applications or registrations, and our trademark applications or registrations may not survive such proceedings. If we are unable to obtain a registered trademark or establish name recognition based on our trademarks and trade names, we may not be able to compete effectively and our business may be adversely affected.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we are unable to adequately protect and enforce our trade secrets, our business and competitive position would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the protection afforded by patents we may own or in-license, we seek to rely on trade secret protection,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Furthermore, the laws of some foreign countries do not protect proprietary rights and trade secrets to the same extent or in the same manner as the laws of the U.S. As a result, we may encounter significant problems in protecting and defending our intellectual property both in the U.S. and abroad. If we are unable to prevent unauthorized material disclosure of our intellectual property to third parties, we will not be able to establish or maintain a competitive advantage in our market, which could materially adversely affect our business, financial condition, results of operations and future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If any of our trade secrets were to be lawfully obtained or independently developed by a competitor or other third party, we would have no right to prevent them from using that technology or information to compete with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addition, we take other appropriate precautions, such as physical and technological security measures, to guard against misappropriation of our proprietary technology by third parties.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ineffective or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initiate, become a defendant in or otherwise become party to lawsuits to protect or enforce our intellectual property rights, which could be expensive, time-consuming, and unsuccessful.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Competitors may infringe any patents we may own or in-license. In addition, any patents we may own or in-license also may become involved in inventorship, priority, validity or unenforceability disputes.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one or more of any patents we may own or in-license is not valid or is unenforceable or that the other party’s use of our technology that may be patented falls under the safe harbor to patent infringement under 35 U.S.C. §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271(e)(1). There is also the risk that, even if the validity of these patents is upheld, the court may refuse to stop the other party from using the technology at issue on the grounds that any patents we may own or in-license do not cover the technology in question or that such third-party’s activities do not infringe our patent applications or any patents we may own or in-license. An adverse result in any litigation or defense proceedings could put one or more of any patents we may own or in-license at risk of being invalidated, held unenforceable, or interpreted narrowly and could put our patent applications at risk of not issuing.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its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Post-grant proceedings provoked by third parties or brought by or before the USPTO or other patent granting authority may be necessary to determine the validity or priority of inventions with respect to our patent applications or any patents we may own or in-license. These proceedings are expensive and an unfavorable outcome could result in a loss of our current patent rights and could require us to cease using the related technology or to attempt to license rights to us from the prevailing party. Our business could be harmed if the prevailing party does not offer us a license on commercially reasonable terms.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able to detect infringement against any patents we may own or in-license. Even if we detect infringement by a third party of any patents we may own or in-license, we may choose not to pursue litigation against or settlement with the third party. If we later sue such third-party for patent infringement, the third-party may have certain legal defenses available to it, which otherwise would not be available except for the delay between when the infringement was first detected and when the suit was brought. Such legal defenses may make it impossible for us to enforce any patents we may own or in-license against such third party.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Intellectual property litigation and administrative patent office patent validity challenges in one or more countries could cause us to spend substantial resources and distract our personnel from their normal responsibilities.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to such disputes, such disputes could adversely impact our business reputation and/or protection of our proprietary technology.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intellectual property landscape relevant to our product candidates and programs is crowded, and third parties may initiate legal proceedings alleging that we are infringing, misappropriating or otherwise violating their intellectual property rights, the outcome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w:t>
      </w:r>
      <w:r>
        <w:rPr>
          <w:rFonts w:ascii="Times New Roman" w:hAnsi="Times New Roman"/>
          <w:i/>
          <w:color w:val="000000"/>
          <w:sz w:val="20"/>
        </w:rPr>
        <w:t>inter partes</w:t>
      </w:r>
      <w:r>
        <w:rPr>
          <w:rFonts w:ascii="Times New Roman" w:hAnsi="Times New Roman"/>
          <w:color w:val="000000"/>
          <w:sz w:val="20"/>
        </w:rPr>
        <w:t xml:space="preserve"> 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current or future product candidates and other technologies that we have developed, are developing or may develop in the future do not or will not infringe, misappropriate or otherwise violate existing or future patents or other valid intellectual property rights owned by third parties. For example,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are rightfully owned by their former or concurrent employer. Litigation may be necessary to defend against these claims.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While certain activities related to development and clinical testing of our current or future product candidates may be subject to safe harbor of patent infringement, such as under 35 U.S.C. §271(e)(1), upon receiving regulatory approval for such candidates we or any of our current or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 third party claims that we infringe, misappropriate or otherwise violate its intellectual property rights, we may face a number of issues,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infringement, misappropriation and other intellectual property claims which, regardless of merit, may be expensive and time-consuming to litigate and may divert our management’s attention from our core business and may impact our reputation;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court prohibiting us from developing, manufacturing, marketing or selling our current product candidates, including bitopertin, DISC-0974 and DISC-3405, or future product candidates, or from using our proprietary technologies, unless the third-party licenses its product rights to us, which we are not required to do, on commercially reasonable terms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redesigning our current or future product candidates or processes so they do not infringe, misappropriate or violate third-party intellectual property rights, which may not be possible or may require substantial monetary expenditures and time;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may choose to challenge the patentability of claims in a third party’s U.S. patent by requesting that the USPTO review the patent claims in an ex-parte re-exam, </w:t>
      </w:r>
      <w:r>
        <w:rPr>
          <w:rFonts w:ascii="Times New Roman" w:hAnsi="Times New Roman"/>
          <w:i/>
          <w:color w:val="000000"/>
          <w:sz w:val="20"/>
        </w:rPr>
        <w:t>inter partes</w:t>
      </w:r>
      <w:r>
        <w:rPr>
          <w:rFonts w:ascii="Times New Roman" w:hAnsi="Times New Roman"/>
          <w:color w:val="000000"/>
          <w:sz w:val="20"/>
        </w:rPr>
        <w:t xml:space="preserve">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current or future product candidates or proprietary technologies.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Third parties may assert that we are employing their proprietary technology without authorization. Patents issued in the U.S.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U.S. may be maintained in secrecy until the patents are issued, patent applications in the U.S. and many foreign jurisdictions are typically not published until 18 months after their earliest priority filing date, and publications in the scientific literature often lag behind actual discoveries, we cannot be certain that others have not filed patent applications covering our current or future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current or future product candidates may be impaired or delayed, which could in turn significantly harm our business. Even if we obtain a license, it may be nonexclusive, thereby giving our competitors access to the same technologies licensed to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Parties making claims against us may seek and obtain injunctive or other equitable relief, which could effectively block our ability to further develop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current or future product candidates. We may fail to obtain any of these licenses at a reasonable cost or on reasonable terms, if at all. In that event, we would be unable to further develop and commercialize our current or future product candidates, which could harm our business significantly.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be unable to obtain patent or other intellectual property protection for our current or future product candidates or our future products, if any, in all jurisdictions throughout the world, and we may not be able to adequately enforce our intellectual property rights even in the jurisdictions where we seek protection.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not be able to pursue patent coverage of our current or future product candidates in all countries. Filing, prosecuting and defending patents on current or future product candidates in all countries throughout the world would be prohibitively expensive, and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U.S. These products may compete with our current or future product candidates and in jurisdictions where we do not have any issued patents, our patent applications or other intellectual property rights may not be effective or sufficient to prevent them from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competing. Much of our patent portfolio is at an early stage. We will need to decide whether and in which jurisdictions to pursue protection for the various inventions in our portfolio prior to applicable deadlines.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and/or methods of using biopharmaceutical products, which could make it difficult for us to stop the infringement of any patents we may own or in-license or marketing of competing products in violation of our proprietary rights generally. Proceedings to enforce any rights we may have in our 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not obtain licenses or sublicenses to intellectual property rights in all markets on equally or sufficiently favorable terms with third parties.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party to license agreements with Roche, AbbVie and Mabwell and we may from time to time in the future be party to other license and collaboration agreements with third parties to advance our research or allow commercialization of current or future product candidates. Such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 See “Business-Collaborations and License Agreement” of our Annual Report on Form 10-K for the year ended December 31, 2025 for more information regarding our license agreements with Roche, AbbVie and Mabwell. In spite of our best efforts, our licensors might conclude that we have materially breached our license agreements and might therefore terminate the license agreements, thereby removing or limiting our ability to develop and commercialize products and technologies covered by these license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termination of these licenses, or if the underlying patents fail to provide the intended exclusivity, could result in the loss of significant rights and could harm our ability to commercialize our current or future product candidates, and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Disputes may also arise between us and our licensors regarding intellectual property subject to a license agreement,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and the extent to which our technology and processes infringe, misappropriate or otherwise violate intellectual property rights of the licensor that is not subject to the licensing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right to sublicense patent and other rights to third parties under collaborative development relationships;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diligence obligations with respect to the use of the licensed technology in relation to our development and commercialization of our current or future product candidates, and what activities satisfy those diligence obligations;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priority of invention of any patented technology;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ownership of inventions and know-how resulting from the joint creation or use of intellectual property by our current or future licensors and us and our partners.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future licensing arrangements on acceptable terms, we may be unable to successfully develop and commercialize the affected current or future product candidates, which could have a material adverse effect on our business, financial conditions, results of operations and prospects.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Any granted patents we may own or in-license covering our current or future product candidates or other valuable technology could be narrowed or found invalid or unenforceable if challenged in court or before administrative bodies in the U.S. or abroad, including the USPTO and the EPO. A patent asserted in a judicial court could be found invalid or unenforceable during the enforcement proceeding. Administrative or judicial proceedings challenging the validity of our patents or individual patent claims could take months or years to resolve.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or our licensors or strategic partners initiate legal proceedings against a third party to enforce a patent covering one of our current or future product candidates, the defendant could counterclaim that such patent, as applicable, is invalid and/or unenforceable. In patent litigation in the U.S.,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 or judicial requirements, including lack of patentable subject matter, lack of written description, lack of novelty, obviousness, non-enablement, or double patenting. Grounds for an unenforceability assertion could be an allegation that someone connected with prosecution of the patent withheld relevant information from the USPTO that was material to patentability, or made a misleading statement, with an intent to deceive the USPTO, in the process of obtaining the patent during patent prosecution. Third parties may also raise similar claims before administrative bodies in the U.S. or abroad, even outside the context of litigation. Such mechanisms include re-examination, inter partes review, post grant review and equivalent proceedings in foreign jurisdictions (such as opposition proceedings). Such proceedings could result in revocation or amendment to our patent applications or any patents we may own or in-license in such a way that they no longer cover our current or future product candidates. The outcome following legal assertions of invalidity and unenforceability is unpredictable. An adverse determination in any such submission, proceeding or litigation could reduce the scope of, or invalidate or render unenforceable, any rights we may have from our patent applications or any patents we may own or in-license, allow third parties to commercialize our current or future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our or our current or future licensors’ priority of invention or other features of patentability with respect to our patent applications and any patents we may own or in-license.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current or future product candidates and other technologies. With respect to the validity question, for example, we cannot be certain that there is no invalidating prior art, of which we or our current or future licensing partners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current or future product candidates. Such a loss of patent protection could have a material adverse impact on our business and our ability to commercialize or license our technology and current or future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Such proceedings also may result in substantial cost and require significant time from our scientists and management, even if the eventual outcome is favorable to us. If we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current or future product candidates we may develop. The loss of exclusivity or the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narrowing of our patent application claims could limit our ability to stop others from using or commercializing similar or identical technology and products. Any of the foregoing could have a material adverse effect on our business, results of operations, financial condition and prospects.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Changes in patent law could diminish the value of patents in general, thereby impairing our ability to protect our current or future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Patent reform legislation in the U.S.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 inventor to file” system.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U.S. remain confidential until patents issue. As mentioned above, patent applications in the U.S.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pending patent applications that have been published can, subject to certain limitations, be later amended in a manner that could cover our current or future product candidates or the use of our current or future product candidates. The scope of a patent claim is determined by an interpretation of the law, the written disclosure in a patent and the patent’s prosecution history. Our interpretation of the relevance or the scope and/or validity of a patent or a pending application may be incorrect, which may negatively impact our ability to market 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that are held to be infringing. We might, if possible, also be forced to redesign current or future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Intellectual property rights do not guarantee commercial success of current or future product candidates or other business activities. Numerous factors may limit any potential competitive advantage provided by our intellectual property rights.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patent applications that we own or may in-license may not lead to issued patents;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patents, should they issue, that we may own or in-license, may not provide us with any competitive advantages, may be narrowed in scope, or may be challenged and held invalid or unenforceable;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third parties may compete with us in jurisdictions where we do not pursue and obtain patent protection;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current or future licensors or collaborators, might not have been the first to make the inventions covered by a patent application that we own or may in-license;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current or future licensors or collaborators, might not have been the first to file patent applications covering a particular invention;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independently develop similar or alternative technologies without infringing, misappropriating or otherwise violating our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competitors might conduct research and development activities in the U.S.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able to obtain and/or maintain necessary licenses on reasonable terms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third parties may assert an ownership interest in our intellectual property and, if successful, such disputes may preclude us from exercising exclusive rights, or any rights at all, over that intellectual property;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choose not to file a patent in order to maintain certain trade secrets or know-how, and a third-party may subsequently file a patent covering such trade secrets or know-how;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able to maintain the confidentiality of our trade secrets or other proprietary information;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develop or in-license additional proprietary technologies that are patentable;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patents of others may have an adverse effect on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Should any of these events occur, they could significantly harm our business, financial condition, results of operations and prospects.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regulatory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also submit marketing applications in other countries. Regulatory authorities in jurisdictions outside of the United States have requirements for approval of product candidates with which we must comply prior to marketing in those jurisdictions.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regulatory approvals, our target market will be reduced and our ability to realize the full market potential of our product candidates will be harmed.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seek priority review designation for one or more of our product candidates, but we might not receive such designation, and even if we do, such designation may not lead to a faster regulatory review or approval process.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previously requested and received priority review for our NDA for bitopertin for EPP and XLP, and may request priority review of applications for our other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seek orphan drug designation for certain of our product candidates, and we may be unsuccessful or may be unable to maintain the benefits associated with orphan drug designation, including the potential for market exclusivity.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received orphan drug designation from the FDA for bitopertin for the treatment of EPP and for DISC-3405 for the treatment of PV. As part of our business strategy, we may seek orphan drug designation for certain of our product candidates and indications, as appropriate. Regulatory authorities in some jurisdictions, including the United States and Europe, may designate drugs for relatively small patient populations as orphan drugs. Under the Orphan Drug Act, the FDA may designate a drug or biologic as an orphan drug if it is a product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the product will be recovered from sales in the United States. In the United States, orphan drug designation entitles a party to financial incentives such as opportunities for grant funding towards clinical trial costs, tax advantages and user-fee waivers.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Similarly, in the European Union, the European Commission, upon the recommendation of the EMA’s Committee for Orphan Medicinal Products, grants orphan designation in respect of products that are intended for the diagnosis, prevention or treatment of life-threatening or chronically debilitating conditions affecting no more than 5 in 10,000 persons in the European Union. Additionally, designation may be granted for products intended for the diagnosis, prevention, or treatment of a life-threatening, seriously debilitating or serious and chronic condition when, without incentives, it is unlikely that sales of the product in the European Union would generate sufficient return to justify the necessary investment in developing the product. In each case, there must be no satisfactory method of diagnosis, prevention, or treatment of the applicable condition which is authorized for marketing in the European Union (or, if such a method exists, the applicable product would be of significant benefit to those affected by the condition). In the European Union, orphan designation entitles a party to financial incentives such as reduction of fees or fee waivers. The European Commission has granted orphan designation for bitopertin for treatment of EPP and for selcodebart for treatment of myelofibrosis.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Generally, if a product with an orphan designation subsequently receives the first regulatory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 United States and ten years in the European Union. The European Union market exclusivity period can be reduced to six years if, at the end of the fifth year, it is determined that a product no longer meets the criteria for orphan designation, including if the product is sufficiently profitable so that market exclusivity is no longer justified.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we obtain orphan drug exclusivity for one of our product candidates, that exclusivity may not effectively protect our product candidate from competition because different products can be approved for the same condition.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product to meet the needs of patients with the rare disease or condition or if another product with the same active moiety is determined to be safer, more effective, or represents a major contribution to patient care. Orphan drug designation neither shortens the development time or regulatory review time of a product nor gives the product any advantage in the regulatory review or approval process. While we may seek orphan drug designation for our product candidates, we may never receive such designations. Even if we do receive such designations, there is no guarantee that we will enjoy the benefits of those designations.</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may further reevaluate its regulations and policies under the Orphan Drug Act. We do not know if, when or how the FDA may change its orphan drug regulations and policies in the future, and it is uncertain how any changes might affect our business. Depending on what changes the FDA may make to its orphan drug regulations and policies, our business could be adversely impacted.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have received rare pediatric disease designation for bitopertin. However, a marketing application for bitopertin, if approved, may not meet the eligibility criteria for a rare pediatric disease priority review voucher.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May 2024, we received rare pediatric disease designation for bitopertin in patients with EPP and XLP. The FDA defines “rare pediatric disease” as a (i) serious or life-threatening disease in which the serious or life-threatening manifestations primarily affect ages from birth to 18 years, including age groups often called neonates, infants, children and adolescents; and (ii) a rare disease or condition within the meaning of the Orphan Drug Act. Vouchers for rare pediatric disease drugs are awarded for qualifying applications when the drug receives approval. However, designation of a product candidate as a product for a rare pediatric disease does not guarantee that a marketing application for such product candidate will meet the eligibility criteria for a rare pediatric disease priority review voucher at the time the application is approved. In September 2025, we submitted an NDA for accelerated approval of bitopertin in EPP and XLP in the United States and we requested a rare pediatric disease review voucher. In February 2026, the FDA issued a CRL indicating that, while accelerated approval was not warranted, results from an additional clinical trial, such as our ongoing APOLLO clinical trial, could serve as evidence to support a potential traditional approval. We plan to submit a response to the CRL following receipt of topline data from APOLLO. However, even if the FDA ultimately approves our NDA for bitopertin, the FDA may determine that the NDA does not meet the eligibility criteria for a priority review voucher.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current law, after September 30, 2029, the FDA may not award any rare pediatric disease priority review vouchers. However, it is possible that the FDA's authority to do so may be extended by Congress in the future.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 breakthrough therapy designation and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seek a breakthrough therapy designation for certain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are designated as breakthrough therapies, the FDA may later withdraw the designation if it determines that such product candidates no longer meet the conditions for such designation.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were granted fast track designation by the FDA for DISC-3405 for the treatment of PV in September 2023 and for selcodebart for the treatment of anemia in non-dialysis dependent chronic kidney disease in February 2024, and we may seek fast track designation for certain of our product candidates. If a drug or biologic is intended for the treatment of a serious or life-threatening condition and the drug or biologic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the FDA may disagree and instead decide not to grant it. Even if we do receive fast track designation, we may not experience a faster development process, review or approval compared to conventional FDA procedures. The FDA may withdraw fast track designation if it believes that the designation no longer meets the conditions for such designation. Fast track designation alone does not guarantee qualification for the FDA’s priority review procedures.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sought approval from the FDA for bitopertin for EPP and XLP, and we may seek approval for any of our other product candidates, under the Accelerated Approval Program. If we are not able to use such program, we may be required to conduct additional clinical trials beyond those that are contemplated, which would increase the expense of obtaining, and delay the receipt of, necessary marketing approvals, if we receive them at all. In addition, even if the Accelerated Approval Program is available to us, it may not lead to expedited approval of our product candidates, or approval at 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sought accelerated approval of bitopertin for EPP and XLP, and we may seek accelerated approval for any of our other product candidates.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It is possible that at the time of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submission of a marketing application or as a result of the FDA's review of the marketing application, the FDA may determine that our product candidate is not eligible for accelerated approval or that accelerated approval is not warranted. For example, in February 2026, the FDA issued a CRL in response to our NDA for accelerated approval of bitopertin for EPP and XLP. Although the FDA agreed that clinical data from AURORA and BEACON provided sufficient evidence that bitopertin significantly lowers whole blood metal-free PPIX, the FDA concluded that the trials did not show evidence of association between percent change in PPIX and sunlight exposure-based endpoints as measured in the trials. As such, the FDA determined that there is uncertainty regarding whether bitopertin’s effect on PPIX is reasonably likely to predict clinical benefit, despite the strong mechanistic and biological plausibility supporting the use of the PPIX biomarker in protoporphyria, and therefore decided that accelerated approval was not warranted. Moreover, FDA may revise how it implements accelerated approval, which could negatively affect the development of our current or future product candidates.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condition of approval, the FDA generally requires that a sponsor of a drug or biologic receiving accelerated approval perform adequate and well-controlled post-marketing clinical trials. These confirmatory trials must be completed with due diligence. Under FDORA, the FDA is permitted to require that a post-approval confirmatory trial or trials be underway prior to approval or within a specified time period after the date accelerated approval is granted. FDORA also requires sponsors to send updates to the FDA every 180 days on the status of such trials, including progress toward enrollment targets, and the FDA must promptly post this information publicly. FDORA also gives the FDA increased authority to withdraw approval of a drug or biologic granted accelerated approval on an expedited basis if the sponsor fails to conduct confirmatory studies in a timely manner, send the necessary updates to the FDA, or if such post-approval trials fail to verify the product’s predicted clinical benefit. Under FDORA, the FDA is empowered to take action, such as issuing fines, against companies that fail to conduct with due diligence any post-approval confirmatory trial or submit timely reports to the agency on their progress. In addition, the FDA currently requires, unless the sponsor is otherwise informed by the agency, submission of launch promotional materials during the pre-approval period, which could adversely impact the timing of the commercial launch of the product.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not able to obtain accelerated approval for a product candidate, we may be required to conduct additional clinical trials beyond those that are contemplated, which would increase the expense of obtaining, and delay the receipt of, traditional FDA approval, if received at all. For example, as we were not able to obtain accelerated approval for bitopertin in EPP or XLP, we will need to successfully complete at least one additional clinical trial, such as our ongoing Phase 3 APOLLO trial, before responding to the FDA's CRL in support of a potential traditional approval.</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our drug product candidates or any of our future drug product candidates obtain regulatory approval, additional competitors could enter the market with generic versions of such products, which may result in a material decline in sales of our competing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Drug Price Competition and Patent Term Restoration Act of 1984, or the Hatch-Waxman Amendments to the Federal Food, Drug, and Cosmetic Act, or the FDCA, a company may file an abbreviated new drug application, or ANDA, seeking approval of a generic version of an approved innovator product. Under the Hatch-Waxman Amendments, a company may also submit an NDA under section 505(b)(2) of the FDCA that references the FDA’s prior approval of the innovator product or preclinical studies and/or clinical trials that were not conducted by, or for, the applicant and for which the applicant has not obtained a right of reference. A 505(b)(2) NDA product may be for a new or improved version of the original innovator product. The Hatch-Waxman Amendments also provide for certain periods of regulatory exclusivity, which preclude FDA approval (or in some circumstances, FDA filing and review) of an ANDA or 505(b)(2) NDA.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for the applicable, approved innovator product, a generic or 505(b)(2) applicant that seeks to market our product before expiration of the patents must include in their applications what is known as a “Paragraph IV” certification, challenging the validity or enforceability, or claiming non-infringement, of the listed patent or patents. Notice of the certification must be given to the patent owner and NDA holder and if, within 45 days of receiving notice, either the patent owner or NDA holder sues for patent infringement, approval of the ANDA or 505(b)(2) NDA is stayed for up to 30 months.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Accordingly, if any of our product candidates that are regulated as drugs are approved, competitors could file ANDAs for generic versions of these products or 505(b)(2) NDAs that reference our products. If there are patents listed for such drug products in the Orange Book, those ANDAs and 505(b)(2)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successful in securing or maintaining proprietary patent protection for products and technologies we develop or licenses, despite expending a significant amount of resources that could have been focused on other areas of our business. Moreover, if any of our owned or in-licensed patents that are listed in the Orange Book are successfully challenged by way of a Paragraph IV certification and subsequent litigation, the affected product could immediately face generic competition and our sales would likely decline rapidly and materially.</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approved, our investigational products regulated as biologics may face competition from biosimilars or interchangeable products approved through an abbreviated regulatory pathway.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Biologics Price Competition and Innovation Act of 2009, or BPCIA, created an abbreviated approval pathway for biologic products that are biosimilar to or interchangeable with an FDA-licensed reference biologic product. Under the BPCIA, an application for a biosimilar or interchangeable product may not be submitted to the FDA until four years following the date that the reference product was first licensed by the FDA. In addition, the approval of a biosimilar or interchangeable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that any of our product candidates approved as a biologic product under a BLA should qualify for the 12-year period of exclusivity. However, there is a risk that this exclusivity could be shortened due to congressional action or otherwise, or that the FDA will not consider our investigational medicines to be reference products, potentially creating the opportunity for biosimilar competition sooner than anticipated. Other aspects of the BPCIA, some of which may impact the BPCIA exclusivity provisions, have also been the subject of litigation. Moreover, the extent to which a biosimilar or interchangeable product, once licensed, will be substituted for any one of our reference products in a way that is similar to traditional generic substitution for non-biologic products is not yet clear, and will depend on a number of marketplace and regulatory factors that are still developing. If competitors are able to obtain regulatory approval for biosimilars or interchangeable products referencing our products, our products may become subject to competition from such biosimilars or interchangeable products, with the attendant competitive pressure and consequences.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 FDA, the EMA and other regulatory authorities may implement additional regulations or restrictions on the development and commercialization of our product candidates, and such changes can be difficult to predict.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the EMA and regulatory authorities in other countries have each expressed interest in further regulating biotechnology products.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 Adverse developments in clinical trials of products conducted by others may cause the FDA or other oversight bodies to change the requirements for approval of any of our product candidates.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continue to advance our product candidates, we will be required to consult with these regulatory agencies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 FDA and other regulatory agencies actively enforce the laws and regulations prohibiting the promotion of off-label uses.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if approved.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Inadequate funding for the NIH, CMS, FDA, the SEC and other government agencies, including from government shut downs, or other disruptions to these agencies’ operations, including significant leadership, personnel, or policy changes, could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ability of the FDA to review and approve new products, NIH’s ability to conduct and partner with industry on important research, and CMS’s ability to operate efficiently can be affected by a variety of factors, including government budget and funding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levels, ability to hire and retain key personnel and accept the payment of user fees, and statutory, regulatory and policy changes. Average review times at the agency have fluctuated in recent years as a result.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example, over the last several years the U.S. government has shut down several times, including in October 2025, and certain regulatory agencies, such as the FDA and the SEC, have had to furlough critical FDA, SEC and other government employees and stop critical activities. If a prolonged government shutdown or a widespread freeze on federal funding occurs in the future, it could significantly impact the ability of the FDA to timely review and process our regulatory submissions, NIH to conduct research or provide grants, or other agencies to slow their work, which could have a material adverse effect on our business. Further, future government shutdowns could impact our ability to access the public markets and obtain necessary capital in order to properly capitalize and continue our operations. In addition, the current administration has previously sought to reduce the NIH budget and bar disbursements for funding of medical research, and may seek to do so in the future, which could decrease the ability of facilities that rely on NIH funding to enroll and conduct clinical trials or increase the costs to us of conducting clinical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disruptions at the FDA and other federal agencies, including substantial leadership departures, personnel cuts, and policy changes, could result in delays in the FDA’s responsiveness or in its ability to review and/or approve new drug submissions or applications, issue regulations or guidance, or implement or enforce regulatory requirements in a timely fashion, any of which could adversely affect our business. For example, during 2025, certain federal agencies, including the FDA, conducted significant layoffs and it is currently unclear whether and how such staff reductions may impact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there is substantial uncertainty as how the current administration's modifications to the requirements and policies of the FDA and other relevant regulatory agencies may affect our product candidates and any products for which we obtain approval. This uncertainty could present new challenges as we navigate development and approval of our product candidates. The current administration could also issue or promulgate executive orders, regulations, policies or guidance that adversely affect us or create a more challenging or costly environment to pursue the development of new therapeutic candidates.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Current and future healthcare reform measures may have a material adverse effect on our business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United States and many foreign jurisdictions have enacted and/or proposed legislative and regulatory changes affecting the healthcare system that could prevent or delay regulatory approval of our current or future product candidates or any future product candidates, restrict or regulate post-approval activities, and affect our ability to profitably sell a product for which we obtain regulatory approval. Changes in laws, regulations, statutes or the interpretation of existing laws and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For more information, see “Business—Government Regulation—Current and Future U.S. Healthcare Reform Legislation” in our Annual Report on Form 10-K for the year ended December 31,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United States, there have been, and continue to be, a significant number of legislative initiatives to contain healthcare costs, including at the state level where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product candidates or additional pricing pressures. In particular, any policy changes through CMS as well as local state Medicaid programs, could have a significant impact on our business. For example, CMS may develop new payment and delivery models, including most-favored nation proposals, bundled payment models, or other drug pricing reforms, any of which could have a material adverse effect on our business.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 The continuing efforts of the government, insurance companies, managed care organizations and other payors of healthcare services to contain or reduce costs of healthcare and/or impose price controls may adversely affect the demand for our current or future product candidates, if we obtain regulatory approval; our ability to set a price that we believe is fair for our products; our ability to obtain coverage and reimbursement approval for a product; our ability to generate revenue and achieve or maintain profitability; the level of taxes that we are required to pay; and the availability of capital.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expect that these existing laws and other healthcare reform measures that may be adopted in the future may result in additional reductions in Medicare and other healthcare funding, more rigorous coverage criteria, new payment methodologies and additional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downward pressure on the price that we receive for any approved product. Any reduction in reimbursement from Medicare or other government programs may result in a similar reduction in payments from private payors, which may adversely affect our future profitability.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relationships with customers, healthcare providers, physicians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future profits and earnings.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will play a primary role in the recommendation and prescription of any product candidates for which we obtain regulatory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regulatory approval. Restrictions under applicable federal and state healthcare laws and regulations, include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of up to ten years,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 The Anti-Kickback Statute has been interpreted to apply to arrangements between pharmaceutical manufacturers, on the one hand, and prescribers, purchasers and formulary managers, on the other. The HHS, Office of Inspector General, or OIG, heavily scrutinizes relationships between pharmaceutical companies and persons in a position to generate referrals for or the purchase of their products, such as physicians, other healthcare providers, and pharmacy benefit managers, among others. However, there are a number of statutory exceptions and regulatory safe harbors protecting some common activities from prosecution;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civil and criminal false claims and civil monetary penalties laws, including the federal False Claims Act, or FCA,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In addition, the government may assert that a claim including items and services resulting from a violation of the federal Anti-Kickback Statute constitutes a false of fraudulent claim for purposes of the False Claims Act. The federal False Claims Act also permits a private individual acting as a “whistleblower” to bring actions on behalf of the federal government alleging violations of the federal False Claims Act and to share in any monetary recovery;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Health Insurance Portability and Accountability Act of 1996, or HIPAA, which imposes criminal and civil liability for executing a scheme to defraud any healthcare benefit program (e.g. public or private),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physician payment transparency requirements, sometimes referred to as the “Sunshine Act” under the ACA, which require manufacturers of drugs, devices, biologics and medical supplies that are reimbursable under Medicare, Medicaid, or the Children’s Health Insurance Program to report to HHS information related to transfers of value made to physicians, nurse practitioners, certified nurse anesthetists, physician assistants, clinical nurse specialists, and certified nurse midwives as well as teaching hospitals. Manufacturers are also required to disclose ownership and investment interests held by physicians and their immediate family members;</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federal consumer protection and unfair competition laws, which broadly regulate marketplace activities and activities that potentially harm consumers;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federal price reporting laws, which require manufacturers to calculate and report complex pricing metrics to government programs, where such reported prices may be used in the calculation of reimbursement and/or discounts on approved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also be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European Union General Data Protection Regulation, also govern the privacy and security of health information, many of which differ from each other in significant ways and often are not preempted by HIPAA, thus complicating compliance efforts. Any failure or perceived failure to comply with an applicable legal requirement could result in penalties and reputational harm.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United States, to help patients afford our approved product, we may utilize programs to assist them, including patient assistance programs and co-pay coupon programs for eligible patients.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In addition, at least one insurer has directed its network pharmacies to no longer accept co-pay coupons for certain specialty drugs the insurer identified. Our co-pay coupon programs could become the target of similar insurer actions. In addition, in November 2013, the CMS issued guidance to the issuers of qualified health plans sold through the ACA’s marketplaces encouraging such plans to reject patient cost-sharing support from third parties and indicating that the CMS intends to monitor the provision of such support and may take regulatory action to limit it in the future. The CMS subsequently issued a rule requiring individual market qualified health plans to accept third-party premium and cost-sharing payments from certain government-related entities. In September 2014, the OIG of the HHS issued a Special Advisory Bulletin warning manufacturers that they may be subject to sanctions under the federal anti-kickback statute and/or civil monetary penalty laws if they do not take appropriate steps to exclude Part D beneficiaries from using co-pay coupons. Accordingly, companies exclude these Part D beneficiaries from using co-pay coupons.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and therefore could have a material adverse effect on our sales, business,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Third party patient assistance programs that receive financial support from companies have become the subject of enhanced government and regulatory scrutiny. The OIG has established guidelines that suggest that it is lawful for pharmaceutical manufacturers to make donations to charitable organizations who provide co-pay assistance to Medicare patients, provided that such organizations, among other things, are bona fide charities, are entirely independent of and not controlled by the manufacturer, provide aid to applicants on a first-come basis according to consistent financial criteria and do not link aid to use of a donor’s product. However, donations to patient assistance programs have received some negative publicity and have been the subject of multiple government enforcement actions, related to allegations regarding their use to promote branded pharmaceutical products over other less costly alternatives. Specifically, in recent years, there have been multiple settlements resulting out of government claims challenging the legality of their patient assistance programs under a variety of federal and state laws. It is possible that we may make grants to independent charitable foundations that help financially needy patients with their premium, co-pay, and co-insurance obligations. If we choose to do so, and if we or our vendors or donation recipients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foundation support for our patients who need assistance.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disgorgement, imprisonment, the exclusion from participation in federal and state government funded healthcare programs, such as Medicare and Medicaid, reputational harm, and the curtailment or restructuring of our operations. It may also subject us to additional reporting obligations and oversight, if we become subject to a corporate integrity agreement, deferred prosecution agreement, or other agreement to resolve allegations of non-compliance with these laws. If any of the physicians or other providers or entities with whom we expect to do business is found not to be in compliance with applicable laws, they may be subject to similar criminal, civil or administrative sanctions, including exclusions from government funded healthcare programs.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In addition, we may incur substantial costs in order to comply with current or future environmental, health and safety laws and regulations. Current or future environmental laws and regulations may impair our research, development and production efforts, which could harm our business, prospects, financial condition or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Compliance with U.S. and global privacy and security requirements could result in additional costs and liabilities to us or inhibit our ability to collect and process data globally, and the failure to comply with such requirements could expose us to criminal sanctions, civil penalties, contractual damages, reputational harm, administrative burdens and diminished profits and future earnings.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regulatory framework for the collection, use, safeguarding, sharing, transfer and other processing of personal information worldwide is rapidly evolving and is likely to remain uncertain for the foreseeable future. We possess and process sensitive information, including patient health information. In the U.S., there are numerous federal and state privacy and data security laws and regulations governing the collection, use, disclosure and protection of personal information, including health information privacy laws, security breach notification laws and consumer protection laws. These federal and state laws, in many cases, are not preempted by HIPAA and may be subject to varying interpretations by the courts and government agencies. These varying interpretations can create complex compliance issues for us and our partners and potentially expose us to additional expense, adverse publicity and liability, any of which could adversely affect our business. There is ongoing concern from privacy advocates, regulators and others regarding data privacy and security issues, and the number of jurisdictions with data privacy and security laws has been increasing. Also, there are ongoing public policy discussions regarding whether the standards for de-identification, anonymization or pseudonymization of health information are sufficient, and the risk of re-identification sufficiently small, to adequately protect patient privacy. We expect that there will continue to be new proposed and amended laws, regulations and industry standards concerning privacy, data protection and information security in the United States. For example, California enacted the California Consumer Privacy Act, or CCPA, as amended by the California Privacy Rights Act, is a comprehensive privacy law that broadly defines personal information, gives California residents expanded rights to access and delete their personal information, and places stringent privacy and security obligations on businesses covered by the law, including obligations to provide detailed disclosures to California consumers about their data collection, use and sharing practices, and to provide such consumers with ways to opt out of certain sales or transfers of personal information. A state agency was created to regulate the implementation and enforcement of the CCPA which may increase the risk of regulatory fines and penalties. The CCPA also provides for civil penalties, and allows for a private right of action for certain types of data breaches, which may lead to increased data breach litigation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Comprehensive laws similar to the CCPA have been passed in numerous other states outside of California. These laws are substantially similar in scope and contain many of the same requirements and exceptions as the CCPA, including a general exemption for clinical trial data and limited obligations for entities regulated by HIPAA. However, we cannot yet determine the full impact these laws or other such future laws, regulations and standards may have on our current or future business. Any of these laws may broaden their scope in the future, and similar laws have been proposed on both federal and state levels. Such proposed legislation, if enacted, may add additional complexity, variation in requirements, restrictions and potential legal risk, require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additional investment of resources in compliance programs, impact strategies and the availability of previously useful data and could result in increased compliance costs and/or changes in our business practices and policies.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comprehensive consumer privacy laws, certain states have enacted privacy laws with more limited focus. For example, the state of Washington passed the “My Health My Data Act” to protect medical and health information not subject to HIPAA. This law has a private right of action, which increases the relevant compliance risk. Connecticut and Nevada have also passed similar laws regulating consumer health data. Other states have proposed and/or passed legislation that regulates the privacy and/or security of certain specific types of information. For example, a small number of states have passed laws that regulate biometric information. The existence of comprehensive privacy laws in different states in the country make our compliance obligations more complex and costly and may increase the likelihood that we may be subject to enforcement actions or otherwise incur liability for noncompliance. These various privacy and security laws may impact our business activities, including our identification of research subjects, relationships with business partners and ultimately the marketing and distribution of our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collection, use, storage, disclosure, transfer or other processing of personal data regarding individuals in the EEA and UK, including personal health data, is subject to the EU General Data Protection Regulation 2016/679, or EU GDPR, with respect to individuals in the EEA and the UK General Data Protection Regulation (following the incorporation of the EU GDPR into UK law), or UK GDPR, with respect to individuals in the UK, and together with the EU GDPR, GDPR. The GDPR is wide-ranging in scope and imposes numerous requirements on companies that process personal data, including requirements relating to having a legal basis or condition for processing personal data, stricter requirements relating to processing sensitive data (including health data), where required by GDPR obtaining consent of the individuals to whom the personal data relates, providing information to individuals regarding data processing activities, implementing safeguards to protect the security and confidentiality of personal data, providing notification of data breaches, requiring data protection impact assessments for high risk processing and taking certain measures when engaging third-party processors. The GDPR permits data protection authorities to impose large penalties for violations of the GDPR, including potential fines of up to €20 million (£17.5 million for the UK)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is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GDPR provides that EEA Member States may make their own further laws and regulations in relation to the processing of genetic, biometric or health data, which could result in differences between Member States, limit our ability to use and share personal data or could cause our costs to increase, and harm our business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GDPR also imposes strict rules on the transfer of personal data to countries outside the EEA and UK not deemed adequate for the transfer of such personal data by competent data protection authorities, or third countries, including the United States in certain circumstances unless a derogation exists or we may need to incorporate a GDPR transfer mechanism (such as the European Commission approved standard contractual clauses, or SCCs or the UK International Data Transfer Addendum, or IDTA) into our agreements with third parties to govern such transfers of personal data and carry out transfer impact assessments. Further, the European Union and United States have adopted its adequacy decision for the EU-U.S. Data Privacy Framework, or the Framework, which entered into force on July 11, 2023. This Framework provides that the protection of personal data transferred between the European Union and the United States is comparable to that offered in the European Union. This provides a further avenue to ensuring transfers to the United States are carried out in line with GDPR. There has been an extension to the Framework to cover UK transfers to the United States. The Framework could be challenged like its predecessor frameworks. The international transfer obligations under the EEA and UK data protection regimes will require effort and cost and may result in us needing to make strategic considerations around where EEA/UK personal data is located and which service providers we can utilize for the processing of EEA/UK personal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the UK is regarded as a third country under the EU GDPR, the European Commission has issued an “Adequacy Decision” recognizing the UK as providing adequate protection under the EU GDPR and, therefore, transfers of personal data subject to the EU GDPR to the UK remain unrestricted. The UK government has confirmed that personal data transfers from the UK to the EEA remain free flowing.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Despite Brexit, the UK and EEA data protection regimes remain largely aligned. However, going forward, there is increasing risk for divergence in application, interpretation and enforcement of the data protection laws as between the UK and EEA, creating additional regulatory uncertainty. For example, the UK Data (Use and Access) Act 2025 (“UK Act”), now in force, further differentiates the UK’s data protection regime. In December 2025, the European Commission adopted a decision determining that the UK continues to provide a level of data protection that is “essentially equivalent” to the EU standards and extended the validity of the UK adequacy decision for six years, through December 2031. While this renewal reduces immediate adequacy concerns, uncertainty remains regarding how UK data protection laws will evolve in the medium to longer term. The lack of clarity on future UK laws and regulations and their interaction with EU laws and regulations may affect our efforts to maintain a harmonized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approach to processing European personal data and expose us to two parallel regimes where the UK GDPR and EU GDPR both apply with differing interpretation and enforcement approaches. This could increase our legal risk, uncertainty, complexity and compliance cost associated with the handling of European personal data, and may require us to adapt our privacy and data security compliance programs to account for legal and regulatory divergence between the UK and EEA. The European Commission has also proposed reforms under the “Digital Omnibus” package which, if adopted, may further modify GDPR-related requirements, including by clarifying the scope of “personal data” and the treatment of coded or de-identified data, potentially requiring further adjustments to our European privacy compliance framework. In the EEA, the NIS 2 Directive, or NIS 2, is replacing the cybersecurity legal framework under the current NIS framework, aiming to ensure a high level of cybersecurity in the region. NIS 2 expands on the scope of the current NIS framework, extending to additional sectors and expanding the list of in-scope healthcare organizations providing services in the EEA, including to certain providers engaged in research and development of medicinal products. To the extent applicable, the new regime imposes direct obligations on management regarding compliance with NIS 2, requiring covered organizations to put in place certain cyber risk management measures, and strengthens incident reporting requirements and provides supervisory authorities with greater oversight. The majority of these obligations will not come into force until national legislation implementing NIS 2 becomes effective in the relevant EU Member State. EU Member States had until October 17, 2024 to transpose NIS 2 into national legislation, although many countries have still not completed this process. As such, the cybersecurity regulatory landscape in the EU is currently fragmented and uncertain. To the extent we become subject to NIS 2, we may need to increase investment in our cybersecurity compliance programs. Under NIS 2, companies may be subject to administrative fines of up to the higher amount of €10 million or 2% of worldwide annual revenue.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of these evolving compliance and operational requirements impose potentially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If we or third-party CDMOs, CROs or other contractors or consultants fail to comply with U.S. and international data protection laws and regulations, it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financial condition, results of operations and prospects.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 use of new and evolving technologies, such as artificial intelligence, in our business may result in spending material resources and presents risks and challenges that can impact our business including by posing security and other risks to our confidential and/or proprietary information, including personal information, and as a result we may be exposed to reputational harm and liability.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use and integrate artificial intelligence, or AI, into our business processes, and this innovation presents risks and challenges that could affect its adoption, and therefore our business. If we enable or offer solutions that draw controversy due to perceived or actual negative societal impact, we may experience brand or reputational harm, competitive harm or legal liability. The use of certain AI technology can give rise to cybersecurity and intellectual property risks, including compromises to personal or other confidential information, proprietary intellectual property and intellectual property infringement. To the extent we develop our own AI systems, then the risk of intellectual property infringement could arise from third party data sources being used to train our AI models, and from the output of AI systems reproducing or incorporating third party intellectual property rights, in each case without the right to do so. Further, a risk of our proprietary intellectual property rights being compromised through the use of AI could arise through third party vendors using our data to train their models and/or to generate output for other users of their systems. If our third party vendors use our data (which includes personal data) to train their AI models and/or to generate output for other users of their systems, this could also give rise to regulatory risks. Additionally, we expect to see increasing government and supranational regulation related to AI use and ethics, which may also significantly increase the burden and cost of research, development and compliance in this area. For example, the European Union’s Artificial Intelligence Act, or the AI Act, the world’s first comprehensive AI law, is currently in effect with respect to most of its provisions. As currently enacted, the AI Act, which may be amended as part of the EU’s Digital Omnibus, imposes significant obligations on providers and deployers of high risk AI systems, and encourages providers and deployers of AI systems to account for European Union ethical principles in their development and use of these systems. If we develop or use AI systems that are governed by the AI Act, it may necessitate ensuring higher standards of data quality, transparency, and human oversight, as well as adhering to specific and potentially burdensome and costly ethical, accountability, and administrative requirements.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United States, the AI regulatory environment is complex and uncertain. Over the past year, states have advanced, and in some cases passed, dozens of laws focusing on AI governance and regulation, including on deployment of AI in healthcare settings. At the federal level, the current Administration has endorsed a federal moratorium on the enforcement of state AI laws, including through a December 11,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rapid evolution of AI will require the application of significant resources to design, develop, test and maintain our products and services to help ensure that AI is implemented in accordance with applicable law and regulation and in a socially responsible manner and to minimize any real or perceived unintended harmful impacts. Our vendors may in turn incorporate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Employee Matters and Managing Growth</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future success depends on our ability to retain key executives and experienced scientists and to attract, retain, and motivate qualified personnel.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highly dependent on many of our key employees and members of our executive management team as well as the other principal members of our management, scientific and clinical teams. Although we have entered into employment letter agreements with certain of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We also conducted an organizational restructuring in February 2026, which could impede future recruiting and hiring efforts. If we are unable to continue to attract and retain high quality personnel, our ability to pursue our growth strategy will be limited.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Recruiting and retaining qualified scientific, clinical, manufacturing and sales and marketing personnel will also be critical to our success. The loss of the services of our executive officers or other key employees, including temporary loss due to illness,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particular, we have experienced a very competitive hiring environment in the greater Boston area of Massachusetts,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be unable to adequately protect our information systems and infrastructure from cyberattacks or security compromises, cybersecurity incidents or data breaches, which could result in the disclosure of confidential or proprietary information, including personal data, damage our reputation, and subject us to significant financial and legal exposure.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information technology systems and infrastructure that we or our third-party providers operate to process, transmit and store electronic information in our day-to-day operations. In connection with our product discovery efforts, we may collect and use a variety of personal data and other confidential and/or proprietary data, such as names, mailing addresses, email addresses, phone numbers and clinical trial information. A successful cyberattack could result in the theft, destruction or misuse of intellectual property, data, or other misappropriation of assets, or otherwise compromise our confidential or proprietary information and disrupt our operations. Cyberattacks generally are increasing in their frequency, sophistication and intensity, including in relation to the proliferation of artificial intelligence-enabled systems, and have become increasingly difficult to detect. Cyberattacks could include wrongful conduct by hostile foreign governments, insiders such as employees, contractors or other third-parties and industrial espionage, wire fraud and other forms of cyber fraud, the deployment of harmful malware, ransomware, denial-of-service, social engineering fraud (including phishing attacks) or other means to threaten or compromise the security, confidentiality, integrity and availability of systems and information. A successful cyberattack could cause serious negative consequences for us, including, without limitation, the disruption of operations, the misappropriation of protected information or confidential business information, including personal data, financial information, trade secrets, financial loss and the disclosure of corporate strategic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Like other companies in our industry, we, and our third party vendors, have experienced, and will continue to experience, cybersecurity threats and incidents relating to our information technology systems and infrastructure. Although we devote resources designed to protect our information systems and infrastructure, we realize that cyberattacks are a threat, and there can be no assurance that our efforts will prevent or adequately address information security compromises, incidents or breaches that would result in business, legal, financial or reputational harm to it, or would have a material adverse effect on our results of operations and financial condition. Any failure to prevent or mitigate cybersecurity incidents, data breaches, compromises or other improper access to, use of, or disclosure of protected information, including our clinical data or patients’ personal data could require us to notify impacted stakeholders (including affected individuals, regulators and investors) and result in significant liability through litigation and regulatory investigations and enforcement actions, including under state (e.g., state breach notification and consumer protection laws), federal (e.g., HIPAA, as amended by the Health Information Technology for Economic and Clinical Health Act of 2009 ("HITECH")), and international law (e.g., the GDPR), and may cause a material adverse impact to our reputation, affect our ability to conduct new studies and potentially disrupt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our third-party providers to implement effective security measures and identify and correct for any such failures, deficiencies, vulnerabilities, compromises, cybersecurity incidents or data breaches. We also rely on our employees and consultants to safeguard their security credentials and follow our policies and procedures regarding use and access of computers and other devices that may contain protected information and our sensitive information. If we or our third-party providers fail to maintain or protect our information technology systems, infrastructure and data integrity effectively or fail to anticipate, plan for or manage significant disruptions to our information technology systems and infrastructure, we or our third-party providers could have difficulty preventing, detecting and controlling such cyber-attacks, and any such attacks could result in the losses described above as well as disputes with physicians, patients and our partners, regulatory sanctions or penalties, increases in operating expenses, expenses or lost revenue or other adverse consequences, any of which could have a material adverse effect on our business, results of operations, financial condition, prospects and cash flows. Any failure by such third parties to prevent or adequately mitigate cybersecurity incidents, data breaches, compromises or other improper access to or disclosure of such information could have similarly adverse consequences for us. If we are unable to prevent or adequately mitigate the impact of such cybersecurity incidents, compromises or data breaches, we could be exposed to litigation and governmental investigations, inquiries, orders, penalties or fines, which could lead to a potential disruption to our business and financial penalties or losses. By way of example, the CCPA creates individual privacy rights for California consumers and increases the privacy and security obligations of entities handling certain personal data. The CCPA provides for civil penalties of up to $7,500 per violation, as well as a private right of action for certain types of data breaches that has, and is expected to continue to, increase the volume of data breach related litigation filed in California. Our contracts may not contain limitations of liability for data breaches we experience, and even where they do, there can be no assurance that such limits are sufficient to protect us from material damages or claims related to our privacy and data security obligations. Further, although we maintain cyber liability insurance, this insurance may not provide adequate coverage against potential liabilities related to cybersecurity incidents or data breaches we may experience.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Technological developments, including advances in frontier artificial intelligence models, may increase the sophistication and speed of cybersecurity incidents and other malicious attacks that we experience. These technologies may enable threat actors to better identify vulnerabilities, develop targeted exploits, conduct phishing or social engineering campaigns, or otherwise compromise or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breach our information systems more efficiently. Vulnerabilities that affect us or our third-party service providers may be exploited more rapidly, and although we maintain cybersecurity risk management processes designed to address cybersecurity threats, evolving artificial intelligence capabilities may reduce these safeguards’ effectiveness and require additional investments and resources.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expect to expand our development and regulatory capabilities and potentially implement sales, marketing and distribution capabilities, and as a result, we may encounter difficulties in managing our growth, which could disrupt our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we had 165 full-time employees and no part-time employees. We expect to experience significant growth in the number of our employees and the scope of our operations, particularly as we mature as a public company and in the areas of product development, regulatory affairs and, in anticipation of the potential regulatory approval of bitopertin,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also conducted an organizational restructuring in February 2026. We may not realize, in full or in part, the anticipated benefits, savings and improvements in our cost structure from this restructuring effort due to unforeseen difficulties, delays or unexpected costs. If we are unable to realize the expected operational efficiencies and cost savings from this restructuring, our operating results and financial condition would be adversely affected. Furthermore, the effects of this restructuring may be disruptive to our operations. For example, headcount reductions could yield unanticipated consequences, such as increased difficulties in implementing our business strategy, including retention of remaining employees.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acquired, and in the future may acquire additional, businesses or products, and we may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 FDIC, as receiver. Similarly, on March 12, 2023, Signature Bank and Silvergate Capital Corp. were each placed into receivership. Although a statement by the Department of the Treasury, the Federal Reserve and the FDIC indicated that all depositors of SVB (such as our Company)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Subsequent to these events, additional financial institutions have experienced similar failures and have been placed into receivership. It is possible that other banks will face similar difficulty in the future.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the Company, the financial institutions with which the Company has credit agreements or arrangements directly, such as Hercules Capital,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the Company has financial or business relationships, but could also include factors involving financial markets or the financial services industry generally.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Changes in tax law may adversely affect us or our investors.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rules dealing with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such changes have been made and changes are likely to continue to occur in the future. For example, on July 4, 2025, the “One Big Beautiful Bill Act,” or OBBBA, was signed into law, which is considered the enactment date under U.S. GAAP. Key corporate tax provisions include the restoration of 100% bonus depreciation, immediate expensing for domestic research and experimental expenditures, changes to Section 163(j) interest limitations, updates to GILTI and FDII rules, amendments to energy credits, and expanded Section 162(m) aggregation requirements. In accordance with ASC Topic 740, the effects of the new tax law will be recognized in the period of enactment. The Company has evaluated the impact of the OBBBA, and although we do not expect the legislation to have a material financial statement effect, it cannot be predicted whether, when, in what form or with what effective dates other tax laws, regulations and rulings may be enacted, promulgated or issued, which could result in an increase in our or our stockholders’ tax liability or require changes in the manner in which we operate in order to minimize or mitigate any adverse effects of changes in tax law. Further, existing tax laws, statutes, rules, regulations, rulings or ordinances could be interpreted, changed, modified or applied adversely to us. Prospective investors should consult their tax advisors regarding the potential consequences of changes in tax law on our business and on the ownership and disposition of our common stock.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future taxable income may be subject to certain limitations.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2025, we had federal and state net operating loss carryforwards of $342.9 million and $331.8 million, respectively. Substantially all of the federal net operating loss carryforwards are not subject to expiration and the state net operating loss carryforwards begin to expire in 2037. As of December 31, 2025, we also had federal and state research and development tax credit carryforwards of $32.1 million and $4.3 million, respectively, which begin to expire in 2037. These net operating loss and tax credit carryforwards could expire unused and be unavailable to offset future income tax liabilities. Under current law, unused U.S. federal and certain state net operating losses generated for tax years beginning after December 31, 2017 are not subject to expiration and may be carried forward indefinitely. Such U.S. federal net operating losses generally may not be carried back to prior taxable years, except that, net operating losses generated in 2018, 2019 and 2020 may be carried back to each of the five tax years preceding the tax years of such losses. For taxable years beginning after December 31, 2020, the deductibility of U.S. federal net operating losses generated for tax years beginning after December 31, 2017 is limited to 80% of our taxable income in any future taxable year. In addition, in general, under Sections 382 and 383 of the Internal Revenue Code of 1986, as amended, or the Code, a corporation that undergoes an “ownership change” is subject to limitations on its ability to utilize its pre-change net operating losses or tax credits, or NOLs or credits, to offset future taxable income or taxes. For these purposes, an ownership change generally occurs when one or more stockholders or groups of stockholders who each owns at least 5% of a corporation’s stock increase their aggregate stock ownership by more than 50 percentage points over their lowest ownership percentage (by value) within a specified testing period. Our existing NOLs or credits may be subject to limitations arising from previous ownership changes, and if we undergo an ownership change, our ability to utilize NOLs or credits could be further limited by Sections 382 and 383 of the Code. In addition, future changes in our stock ownership, many of which are outside of our control, could result in an ownership change under Sections 382 and 383 of the Code. Our NOLs or credits may also be impaired under state law. Accordingly, we may not be able to utilize a material portion of our NOLs or credits.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are subject to certain U.S. and foreign anti-corruption, anti-money laundering, export control, sanctions and other trade laws and regulations. We can face serious consequences for violations.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Among other matters, U.S. and foreign anti-corruption, anti-money laundering, export control, sanctions and other trade laws and regulations, which are collectively referred to as Trade Laws, prohibit companies and their employees, agents, CROs,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currently engage, and expect to continue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Significant political, trade or regulatory developments, unfavorable global economic conditions, and other circumstances beyond our control, could have a material adverse effect on our business, financial condition or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results of operations could be adversely affected by general conditions in the global economy and in the global financial markets. For example, in 2008, the global financial crisis caused extreme volatility and disruptions in the capital and credit markets and the COVID-19 pandemic caused significant volatility and uncertainty in U.S. and international markets. See “Risks Related to the Discovery and Development of Our Product Candidates-A public health crisis, pandemic, epidemic, or outbreak of an infectious or highly contagious disease may materially and adversely affect our business and financial results and could cause a disruption to the development of our product candidates.” In addition, the impact of geopolitical tension, such as a deterioration in the bilateral relationship between the United States and China or an escalation in conflict between Russia and Ukraine, the United States and Iran, and in the Middle East, including any resulting sanctions, export controls or other restrictive actions, also could lead to disruption, instability and volatility in the global markets. For example, in 2025, the United States imposed tariffs on imports on its trading partners, including Canada, Mexico, the EU and China. Historically, tariffs have led to increased political and trade tensions.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products.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other circumstances beyond our control could cause business disruptions that could seriously harm our future revenue and financial condition and increase our costs and expenses. Our operations, and those of our vendors and suppliers, could be subject to power shortages, telecommunications failures, water shortages, civil unrest, labor disputes, violence, earthquakes, floods, hurricanes, typhoons, fires, extreme weather conditions, and other natural or man-made disasters or business interruptions. The occurrence of any of these business disruptions could seriously harm our operations and financial condition and increase our costs and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of the foregoing could harm our business and we cannot anticipate all of the ways in which the current economic climate and financial market conditions or other circumstances beyond our control could adversely impact our business.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employees, principal investigators, CROs and consultants may engage in misconduct or other improper activities, including non-compliance with regulatory standards and requirements or insider trading.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Other activities subject to these laws include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ourself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 market price of our common stock has been, and may continue to be, volatile.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Historically, the market price of our common stock has fluctuated over a wide range, and it is likely that the price of our common stock will continue to be volatile in the future. Some of the factors that may cause the market price of our common stock to fluctuate include: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results of clinical trials and preclinical studies of our product candidates, or those of our competitors or our existing or future collaborators;</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meet or exceed financial and development projections we may provide to the public;</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meet or exceed the financial and development projections of the investment community;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announcements of significant acquisitions, strategic collaborations, joint ventures or capital commitments by us or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actions taken by regulatory agencies with respect to our product candidates, clinical studies, and manufacturing processes, our ability to receive regulatory approval for product candidates, and the terms of such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disputes or other developments relating to proprietary rights, including patents, litigation matters, and our ability to obtain patent protection for our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additions or departures of key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lawsuits, including patent or stockholder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securities or industry analysts do not publish research or reports about our business, or if they issue adverse or misleading opinions regarding our business and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market valuations of similar companies;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market or macroeconomic conditions or market conditions in the pharmaceutical and biotechnology sectors;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of securities by us or our security holders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fail to raise an adequate amount of capital to fund our operations and continued development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trading volume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announcements by competitors of new commercial products, clinical progress or lack thereof, significant contracts, commercial relationships or capital commitments;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publicity relating to our hematology-focused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introduction of technological innovations or new therapies that compete with our products and services;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period-to-period fluctuations in our financial results.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the stock markets in general have experienced substantial volatility that has often been unrelated to the operating performance of individual companies. These broad market fluctuations may also adversely affect the trading price of our common stock. In addition, a recession, depression or other sustained adverse market event could materially and adversely affect our business and the value of our common stock. 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and financial condition.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have incurred and will continue to incur increased costs and increased demands upon management as a result of complying with the laws and regulations affecting public companies.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continue to incur significant legal, accounting and other expenses as a public company that we did not incur as a private company, including costs associated with public company reporting obligations under the Securities Exchange Act of 1934, as amended, or the Exchange Act.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devote and will need to continue to devote a substantial amount of time to these compliance initiatives. Moreover, these rules and regulations have increased and will continue to increase our legal and financial compliance costs and will make some activities more time-consuming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the board of directors or on board committees or to serve as executive officers, or to obtain certain types of insurance, including directors’ and officers’ insurance, on acceptable terms.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 As described further below, we have previously identified a material weakness in our internal control over financial reporting. Any testing by us conducted in connection with Section 404, or any testing by our independent registered public accounting firm, may reveal additional deficiencies in our internal control over financial reporting that are deemed to be material weaknesses or that may require prospective or retroactive changes to our financial statements or identify other areas for further attention or improvement.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Section 404, we are required to furnish a report by our management on our internal control over financial reporting. To continue to achieve and maintain compliance with Section 404, we engage in a process to document and evaluate our internal control over financial reporting, which is both costly and challenging. In this regard, we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from time to time we may not be able to conclude that our internal control over financial reporting is effective as required by Section 404.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as we no longer qualify as a non-accelerated filer or an emerging growth company, we are required to include an attestation report on internal control over financial reporting issued by our independent registered public accounting firm. If we are unable to maintain effective internal control over financial reporting, we may not have adequate, accurate or timely financial information, and our independent registered public accounting firm may issue a report that is adverse. A material weakness could result in a restatement of our financial statements, failure to meet our reporting obligations in a timely manner,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Ineffective internal control over financial reporting could also reduce our ability to obtain financing or could increase the cost of any financing we obtain. Any of these could, in turn, result in an adverse reaction in the financial markets due to a loss of confidence in the reliability of our financial statements.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have previously identified a material weakness in our internal controls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As disclosed under Item 9A of our Annual Report on Form 10-K for the fiscal year ended December 31, 2024, we previously identified a material weakness in internal controls related to a lack of design and maintenance of effective Information Technology General Controls, or ITGCs, over certain key financial IT systems. As a result, the related business process controls (specifically, the IT application controls and IT-dependent manual controls) that are dependent on the ineffective ITGCs, or that use information produced from the systems impacted by the ineffective ITGCs, were also ineffective. Although the material weakness did not result in any material misstatements in our consolidated financial statements for the periods presented and there were no changes to previously released financial results, our management concluded that these control deficiencies constituted a material weakness and that our internal control over financial reporting was not effective as of December 31,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result of the material weakness, we (i) developed and implemented additional training and awareness programs addressing ITGCs and policies, including educating control owners concerning the principles and requirements of each control, with a focus on user access; (ii) increased the extent of oversight and verification checks included in the operation of user access and program change management controls and processes; (iii) deployed additional tools to support administration of user access and program change management; and (iv) enhanced quarterly management reporting on the remediation measures to the Audit Committee of the Board of Directors. As of December 31, 2025, the material weakness had been remediated.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have remediated this material weakness, investor perceptions of our company may suffer as a result of this previous material weakness or any future material weakness in our internal controls and cause a decline in the price of our common stock.</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Provisions in our charter documents and under Delaware law could make an acquisition of us more difficult and may discourage any takeover attempts our stockholders may consider favorable, and may lead to entrenchment of management.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Provisions of our amended and restated certificate of incorporation and amended and restated bylaws could delay or prevent changes in control or changes in management without the consent of the board of directors. These provisions will include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board of directors divided into three classes serving staggered three-year terms, such that not all members of the board will be elected at one time;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 cumulative voting in the election of directors, which limits the ability of minority stockholders to elect director candidates;</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prohibition on stockholder action by written consent, which means that all stockholder action must be taken at an annual or special meeting of the stockholders;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requirement that special meetings of stockholders be called only by the chairman of the board of directors, the Chief Executive Officer or by a majority of the total number of authorized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advance notice requirements for stockholder proposals and nominations for election to the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requirement that no member of the board of directors may be removed from office by stockholders except for cause and, in addition to any other vote required by law, upon the approval of not less than two-thirds of all outstanding shares of voting stock then entitled to vote in the election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requirement of approval of not less than two-thirds of all outstanding shares of voting stock to amend any bylaws by stockholder action or to amend specific provisions of the certificate of incorporation;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authority of the board of directors to issue preferred stock on terms determined by the board of directors without stockholder approval and which preferred stock may include rights superior to the rights of the holders of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these provisions would apply even if we were to receive an offer that some stockholders may consider beneficial.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also be subject to the anti-takeover provisions contained in Section 203 of the DGCL, or Section 203.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certificate of incorporation and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certificate of incorporation and bylaws provide that the Court of Chancery of the State of Delaware is the sole and exclusive forum for any derivative action or proceeding brought on our behalf, any action asserting a breach of fiduciary duty, any action asserting a claim against it arising pursuant to any provisions of the DGCL, our certificate of incorporation or our bylaws, or any action asserting a claim against us that is governed by the internal affairs doctrine. The exclusive forum provision does not apply to actions arising under the Exchange Act. Our amended and restated bylaws also provide that the federal district courts of the United States of America will be the exclusive forum for the resolution of any complaint asserting a cause of action under the Securities Act. The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certificate of incorporation and bylaws to be inapplicable or unenforceable in an action, we may incur additional costs associated with resolving such action in other jurisdictions, which could materially and adversely affect our business, financial condition and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do not anticipate that we will pay any cash dividends in the foreseeable future.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current expectation is that we will retain our future earnings, if any, to fund the growth of our business as opposed to paying dividends. As a result, capital appreciation, if any, of our common stock will be your sole source of gain, if any, for the foreseeable future.</w:t>
      </w:r>
    </w:p>
    <w:p>
      <w:pPr>
        <w:pStyle w:val="TextBody"/>
        <w:bidi w:val="0"/>
        <w:spacing w:before="120" w:after="283"/>
        <w:jc w:val="both"/>
        <w:rPr>
          <w:rFonts w:ascii="Times New Roman" w:hAnsi="Times New Roman"/>
          <w:sz w:val="20"/>
        </w:rPr>
      </w:pPr>
      <w:r>
        <w:rPr>
          <w:rFonts w:ascii="Times New Roman" w:hAnsi="Times New Roman"/>
          <w:b/>
          <w:i/>
          <w:color w:val="000000"/>
          <w:sz w:val="20"/>
        </w:rPr>
        <w:t>Sales of a significant number of shares by existing stockholders could cause our stock price to decline.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our existing securityholders sell, or indicate an intention to sell, substantial amounts of our common stock in the public market, the trading price of our common stock could decline. As of June 30, 2026, we had 38,345,666 shares of common stock outstanding. All outstanding shares of common stock, other than shares held by our affiliates are freely tradable, without restriction, in the public market. In addition, shares of common stock that are subject to outstanding options of ours are or will become eligible for sale in the public market to the extent permitted by the provisions of various vesting agreements and Rules 144 and 701 under the Securities Act. If these shares are sold, the trading price of our common stock could decline.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executive officers, directors and principal stockholders have the ability to significantly influence all matters submitted to our stockholders for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our executive officers, directors and principal stockholders, in the aggregate, beneficially owned approximately 31% of our outstanding shares of common stock. As a result, if these stockholders were to choose to act together, they would be able to significantly influence all matters submitted to our stockholders for approval, as well as our management and affairs. For example, these persons, if they choose to act together, would significantly influence the election of directors and approval of any merger, consolidation or sale of all or substantially all of our assets. This concentration of voting power could delay or prevent an acquisition of us on terms that other stockholders may desire.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equity research analysts do not publish research or reports, or publish unfavorable research or reports, about us, our business or our market, our stock price and trading volume could decline.</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trading market for our common stock will be influenced by the research and reports that equity research analysts publish about us and our business.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17" w:name="item_2_unregistered_sales"/>
      <w:bookmarkEnd w:id="17"/>
      <w:r>
        <w:rPr>
          <w:rFonts w:ascii="Times New Roman" w:hAnsi="Times New Roman"/>
          <w:b/>
          <w:color w:val="000000"/>
          <w:sz w:val="20"/>
        </w:rPr>
        <w:t>ITEM 2. UNREGISTERED SALES</w:t>
      </w:r>
      <w:r>
        <w:rPr>
          <w:rFonts w:ascii="Times New Roman" w:hAnsi="Times New Roman"/>
          <w:color w:val="000000"/>
          <w:sz w:val="20"/>
        </w:rPr>
        <w:t xml:space="preserve"> </w:t>
      </w:r>
      <w:r>
        <w:rPr>
          <w:rFonts w:ascii="Times New Roman" w:hAnsi="Times New Roman"/>
          <w:b/>
          <w:color w:val="000000"/>
          <w:sz w:val="20"/>
        </w:rPr>
        <w:t>OF EQUITY SECURITIES AND USE OF PROCEEDS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 Recent Sales of Unregistered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(b) Use of Proceeds from Initial Public Offering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 Issuer Purchases of Equity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both"/>
        <w:rPr>
          <w:rFonts w:ascii="Times New Roman" w:hAnsi="Times New Roman"/>
          <w:sz w:val="20"/>
        </w:rPr>
      </w:pPr>
      <w:bookmarkStart w:id="18" w:name="item_3_defaults_upon"/>
      <w:bookmarkEnd w:id="18"/>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both"/>
        <w:rPr>
          <w:rFonts w:ascii="Times New Roman" w:hAnsi="Times New Roman"/>
          <w:b/>
          <w:color w:val="000000"/>
          <w:sz w:val="20"/>
        </w:rPr>
      </w:pPr>
      <w:bookmarkStart w:id="19" w:name="item_4_mine_safety"/>
      <w:bookmarkEnd w:id="19"/>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both"/>
        <w:rPr>
          <w:rFonts w:ascii="Times New Roman" w:hAnsi="Times New Roman"/>
          <w:b/>
          <w:color w:val="000000"/>
          <w:sz w:val="20"/>
        </w:rPr>
      </w:pPr>
      <w:bookmarkStart w:id="20" w:name="item_5_other_information"/>
      <w:bookmarkEnd w:id="20"/>
      <w:r>
        <w:rPr>
          <w:rFonts w:ascii="Times New Roman" w:hAnsi="Times New Roman"/>
          <w:b/>
          <w:color w:val="000000"/>
          <w:sz w:val="20"/>
        </w:rPr>
        <w:t>ITEM 5. OTHER INFORMATION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discloses any officer (as defined in Rule 16a-1(f) under the Exchange Act) or director who entered into, modified or terminated a Rule 10b5-1 trading arrangement or non-Rule 10b5-1 trading arrangement (as such terms are defined in Item 408 of Regulation S-K) during the three months ended June 30, 2026:</w:t>
      </w:r>
    </w:p>
    <w:tbl>
      <w:tblPr>
        <w:tblW w:w="10205" w:type="dxa"/>
        <w:jc w:val="left"/>
        <w:tblInd w:w="0" w:type="dxa"/>
        <w:tblLayout w:type="fixed"/>
        <w:tblCellMar>
          <w:top w:w="28" w:type="dxa"/>
          <w:left w:w="28" w:type="dxa"/>
          <w:bottom w:w="28" w:type="dxa"/>
          <w:right w:w="28" w:type="dxa"/>
        </w:tblCellMar>
      </w:tblPr>
      <w:tblGrid>
        <w:gridCol w:w="1250"/>
        <w:gridCol w:w="146"/>
        <w:gridCol w:w="2952"/>
        <w:gridCol w:w="146"/>
        <w:gridCol w:w="1009"/>
        <w:gridCol w:w="146"/>
        <w:gridCol w:w="1170"/>
        <w:gridCol w:w="146"/>
        <w:gridCol w:w="250"/>
        <w:gridCol w:w="1168"/>
        <w:gridCol w:w="146"/>
        <w:gridCol w:w="146"/>
        <w:gridCol w:w="1530"/>
      </w:tblGrid>
      <w:tr>
        <w:trPr/>
        <w:tc>
          <w:tcPr>
            <w:tcW w:w="12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r>
      <w:tr>
        <w:trPr/>
        <w:tc>
          <w:tcPr>
            <w:tcW w:w="1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and Title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Type of Trading Arrangement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Action Taken</w:t>
              <w:br/>
              <w:t>(Date of Action)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Duration or End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Number of Securities to be Sold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Trading Arrangement</w:t>
            </w:r>
          </w:p>
        </w:tc>
      </w:tr>
      <w:tr>
        <w:trPr/>
        <w:tc>
          <w:tcPr>
            <w:tcW w:w="1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Savage, M.D., Ph.D.</w:t>
              <w:br/>
              <w:t>Chief Medical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Trading plan intended to satisfy the affirmative defense conditions of Securities Exchange Act Rule 10b5-1(c)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Adoption</w:t>
              <w:br/>
              <w:t>(April 10,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Date</w:t>
              <w:br/>
              <w:t>(December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Sale</w:t>
            </w:r>
          </w:p>
        </w:tc>
      </w:tr>
      <w:tr>
        <w:trPr/>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Jean Franchi</w:t>
              <w:b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Trading plan intended to satisfy the affirmative defense conditions of Securities Exchange Act Rule 10b5-1(c)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Adoption</w:t>
              <w:br/>
              <w:t>(June 17,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Date</w:t>
              <w:br/>
              <w:t>(December 31,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Up to 22,917</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Sale</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(1) The aggregate number of shares available for sale cannot yet be determined, as it will be reduced by the number of shares sold to cover tax withholding obligations upon the vesting of Restricted Stock Units (RSUs). For disclosure purposes, the figures in this table reflect the maximum number of shares underlying the RSUs, without deducting shares that may be sold to cover taxes.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Amended and Restated Employment Agreements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July 29, 2026, we entered into amended and restated employment agreements, effective as of July 29, 2026 (collectively, the “Amended Employment Agreements”), with each of John D. Quisel, J.D., Ph.D., our President and Chief Executive Officer; Jean Franchi, our Chief Financial Officer; Pamela Stephenson, M.P.H., our Chief Commercial Officer; William Savage, M.D., Ph.D., our Chief Medical Officer; and Jonathan Yu, M.B.A., our Chief Operating Officer (collectively, the “Executives”). The Amended Employment Agreements supersede and replace all Executives’ prior employment agreements. The Amended Employment Agreements will be filed as exhibits to the Company’s Quarterly Report on Form 10-Q for the quarter ended September 30, 2026.</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Dr. John D. Quisel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amended and restated employment agreement with Dr. Quisel (the “Quisel Amended Employment Agreement”) provides for his continued at-will employment as our President and Chief Executive Officer, an annual base salary of $735,000, and a target annual bonus opportunity equal to 60% of base salary, in accordance with his previously approved base salary and target annual bonus opportunity. Dr. Quisel will be eligible to participate in the employee benefit plans generally available to our employees.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Consistent with the terms of Dr. Quisel’s prior employment agreement, the Quisel Amended Employment Agreement continues to provide that, if Dr. Quisel is terminated by us without Cause or resigns for Good Reason, in either case outside the period beginning three months before and ending 12 months after a Change in Control (the “Change in Control Period”), Dr. Quisel will be entitled to (i) continued base salary payments for 12 months; (ii) a lump-sum payment equal to a pro rata portion of his target annual bonus for the fiscal year of termination and any earned but unpaid bonus for the preceding fiscal year; (iii) immediate vesting of 25% of his then-unvested equity awards subject to time-based vesting; and (iv) payment of the Company’s employer contribution toward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COBRA coverage for up to 12 months following the termination date, subject to his continued copayment at the active employee rate.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lieu of the severance payments and benefits described above, the Quisel Amended Employment Agreement provides that if Dr. Quisel is terminated by us without Cause or resigns for Good Reason, in either case during the Change in Control Period, Dr. Quisel will be entitled to (i) a lump-sum cash payment equal to the sum of 21 months of his then-current base salary (or the base salary in effect immediately before the Change in Control, if higher), 1.75 times his target annual bonus for the fiscal year of termination and any earned but unpaid bonus for the preceding fiscal year; (ii) immediate and full vesting of all of his outstanding equity awards subject to time-based vesting; and (iii) payment of the Company’s employer contribution toward COBRA coverage for up to 18 months following the termination date, subject to his continued copayment at the active employee rate.</w:t>
      </w:r>
    </w:p>
    <w:p>
      <w:pPr>
        <w:pStyle w:val="TextBody"/>
        <w:bidi w:val="0"/>
        <w:jc w:val="both"/>
        <w:rPr>
          <w:rFonts w:ascii="Times New Roman" w:hAnsi="Times New Roman"/>
          <w:color w:val="000000"/>
          <w:sz w:val="20"/>
        </w:rPr>
      </w:pPr>
      <w:r>
        <w:rPr>
          <w:rFonts w:ascii="Times New Roman" w:hAnsi="Times New Roman"/>
          <w:color w:val="000000"/>
          <w:sz w:val="20"/>
        </w:rPr>
        <w:t>All severance payments and benefits under the Quisel Amended Employment Agreement are conditioned upon the timely execution by Dr. Quisel of a separation agreement and release of claims in our favor and continued compliance with his continuing obligations. If any payments or benefits to Dr. Quisel would be subject to the excise tax imposed by Section 4999 of the Internal Revenue Code of 1986, as amended, those payments and benefits will be reduced to the extent necessary to avoid the excise tax, but only if the reduction would result in a greater after-tax benefit to Dr. Quisel than payment in full. Dr. Quisel also remains subject to confidentiality, assignment of inventions, nonsolicitation, noncompetition and other restrictive covenants.</w:t>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Ms. Jean Franchi</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amended and restated employment agreement with Ms. Franchi (the “Franchi Amended Employment Agreement”) provides for her continued at-will employment as our Chief Financial Officer, an annual base salary of $550,000, and a target annual bonus opportunity equal to 45% of base salary, in accordance with her previously approved base salary and target annual bonus opportunity. Ms. Franchi will be eligible to participate in the employee benefit plans generally available to our employees.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Consistent with the terms of Ms. Franchi’s prior employment agreement, the Franchi Amended Employment Agreement continues to provide that, if Ms. Franchi is terminated by us without Cause or resigns for Good Reason, in either case outside the Change in Control Period, Ms. Franchi will be entitled to (i) continued base salary payments for nine months; (ii) any earned but unpaid bonus for the preceding fiscal year; and (iii) payment of the Company’s employer contribution toward COBRA coverage for up to nine months following the termination date, subject to her continued copayment at the active employee rate.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lieu of the severance payments and benefits described above, the Franchi Amended Employment Agreement provides that, if Ms. Franchi is terminated by us without Cause or resigns for Good Reason, in either case during the Change in Control Period, Ms. Franchi will be entitled to (i) a lump-sum cash payment equal to the sum of 15 months of her then-current base salary (or the base salary in effect immediately before the Change in Control, if higher), 1.25 times her target annual bonus for the fiscal year of termination and any earned but unpaid bonus for the preceding fiscal year; (ii) immediate and full vesting of all of her outstanding equity awards subject to time-based vesting; and (iii) payment of the Company’s employer contribution toward COBRA coverage for up to 15 months following the termination date, subject to her continued copayment at the active employee rate.</w:t>
      </w:r>
    </w:p>
    <w:p>
      <w:pPr>
        <w:pStyle w:val="TextBody"/>
        <w:bidi w:val="0"/>
        <w:jc w:val="both"/>
        <w:rPr>
          <w:rFonts w:ascii="Times New Roman" w:hAnsi="Times New Roman"/>
          <w:color w:val="000000"/>
          <w:sz w:val="20"/>
        </w:rPr>
      </w:pPr>
      <w:r>
        <w:rPr>
          <w:rFonts w:ascii="Times New Roman" w:hAnsi="Times New Roman"/>
          <w:color w:val="000000"/>
          <w:sz w:val="20"/>
        </w:rPr>
        <w:t>All severance payments and benefits under the Franchi Amended Employment Agreement are conditioned upon the timely execution by Ms. Franchi of a separation agreement and release of claims in our favor and continued compliance with her continuing obligations. If any payments or benefits to Ms. Franchi would be subject to the excise tax imposed by Section 4999 of the Internal Revenue Code of 1986, as amended, those payments and benefits will be reduced to the extent necessary to avoid the excise tax, but only if the reduction would result in a greater after-tax benefit to Ms. Franchi than payment in full. Ms. Franchi also remains subject to confidentiality, assignment of inventions, nonsolicitation, noncompetition and other restrictive covenants.</w:t>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Ms. Pamela Stephenson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amended and restated employment agreement with Ms. Stephenson (the “Stephenson Amended Employment Agreement”) provides for her continued at-will employment as our Chief Commercial Officer, an annual base salary of $538,000, and a target annual bonus opportunity equal to 45% of base salary, in accordance with her previously approved base salary and target annual bonus opportunity. Ms. Stephenson will be eligible to participate in the employee benefit plans generally available to our employees.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Consistent with the terms of Ms. Stephenson’s prior employment agreement, the Stephenson Amended Employment Agreement continues to provide that, if Ms. Stephenson is terminated by us without Cause or resigns for Good Reason, in either case outside the Change in Control Period, Ms. Stephenson will be entitled to (i) continued base salary payments for nine months; (ii) any earned but unpaid bonus for the preceding fiscal year; and (iii) payment of the Company’s employer contribution toward COBRA coverage for up to nine months following the termination date, subject to her continued copayment at the active employee rate.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lieu of the severance payments and benefits described above, the Stephenson Amended Employment Agreement provides that if Ms. Stephenson is terminated by us without Cause or resigns for Good Reason, in either case during the Change in Control Period, Ms. Stephenson will be entitled to (i) a lump-sum cash payment equal to the sum of 15 months of her then-current base salary (or the base salary in effect immediately before the Change in Control, if higher), 1.25 times her target annual bonus for the fiscal year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of termination and any earned but unpaid bonus for the preceding fiscal year; (ii) immediate and full vesting of all of her outstanding equity awards subject to time-based vesting; and (iii) payment of the Company’s employer contribution toward COBRA coverage for up to 15 months following the termination date, subject to her continued copayment at the active employee rate.</w:t>
      </w:r>
    </w:p>
    <w:p>
      <w:pPr>
        <w:pStyle w:val="TextBody"/>
        <w:bidi w:val="0"/>
        <w:jc w:val="both"/>
        <w:rPr>
          <w:rFonts w:ascii="Times New Roman" w:hAnsi="Times New Roman"/>
          <w:color w:val="000000"/>
          <w:sz w:val="20"/>
        </w:rPr>
      </w:pPr>
      <w:r>
        <w:rPr>
          <w:rFonts w:ascii="Times New Roman" w:hAnsi="Times New Roman"/>
          <w:color w:val="000000"/>
          <w:sz w:val="20"/>
        </w:rPr>
        <w:t>All severance payments and benefits under the Stephenson Amended Employment Agreement are conditioned upon the timely execution by Ms. Stephenson of a separation agreement and release of claims in our favor and continued compliance with her continuing obligations. If any payments or benefits to Ms. Stephenson would be subject to the excise tax imposed by Section 4999 of the Internal Revenue Code of 1986, as amended, those payments and benefits will be reduced to the extent necessary to avoid the excise tax, but only if the reduction would result in a greater after-tax benefit to Ms. Stephenson than payment in full. Ms. Stephenson also remains subject to confidentiality, assignment of inventions, nonsolicitation, noncompetition and other restrictive covenants.</w:t>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Dr. William Savage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amended and restated employment agreement with Dr. Savage (the “Savage Amended Employment Agreement”) provides for his continued at-will employment as our Chief Medical Officer, an annual base salary of $556,000, and a target annual bonus opportunity equal to 45% of base salary, in accordance with his previously approved base salary and target annual bonus opportunity. Dr. Savage will be eligible to participate in the employee benefit plans generally available to our employees.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Consistent with the terms of Dr. Savage’s prior employment agreement, the Savage Amended Employment Agreement continues to provide that, if Dr. Savage is terminated by us without Cause or resigns for Good Reason, in either case outside the Change in Control Period, Dr. Savage will be entitled to (i) continued base salary payments for nine months; (ii) any earned but unpaid bonus for the preceding fiscal year; and (iii) payment of the Company’s employer contribution toward COBRA coverage for up to nine months following the termination date, subject to his continued copayment at the active employee rate.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lieu of the severance payments and benefits described above, the Savage Amended Employment Agreement provides that if Dr. Savage is terminated by us without Cause or resigns for Good Reason, in either case during the Change in Control Period, Dr. Savage will be entitled to (i) a lump-sum cash payment equal to the sum of 15 months of his then-current base salary (or the base salary in effect immediately before the Change in Control, if higher), 1.25 times his target annual bonus for the fiscal year of termination and any earned but unpaid bonus for the preceding fiscal year; (ii) immediate and full vesting of all of his outstanding equity awards subject to time-based vesting; and (iii) payment of the Company’s employer contribution toward COBRA coverage for up to 15 months following the termination date, subject to his continued copayment at the active employee rate.</w:t>
      </w:r>
    </w:p>
    <w:p>
      <w:pPr>
        <w:pStyle w:val="TextBody"/>
        <w:bidi w:val="0"/>
        <w:jc w:val="both"/>
        <w:rPr>
          <w:rFonts w:ascii="Times New Roman" w:hAnsi="Times New Roman"/>
          <w:color w:val="000000"/>
          <w:sz w:val="20"/>
        </w:rPr>
      </w:pPr>
      <w:r>
        <w:rPr>
          <w:rFonts w:ascii="Times New Roman" w:hAnsi="Times New Roman"/>
          <w:color w:val="000000"/>
          <w:sz w:val="20"/>
        </w:rPr>
        <w:t>All severance payments and benefits under the Savage Amended Employment Agreement are conditioned upon the timely execution by Dr. Savage of a separation agreement and release of claims in our favor and continued compliance with his continuing obligations. If any payments or benefits to Dr. Savage would be subject to the excise tax imposed by Section 4999 of the Internal Revenue Code of 1986, as amended, those payments and benefits will be reduced to the extent necessary to avoid the excise tax, but only if the reduction would result in a greater after-tax benefit to Dr. Savage than payment in full.. Dr. Savage also remains subject to confidentiality, assignment of inventions, nonsolicitation, noncompetition and other restrictive covenants.</w:t>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Mr. Jonathan Yu</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amended and restated employment agreement with Mr. Yu (the “Yu Amended Employment Agreement”) provides for his continued at-will employment as our Chief Operating Officer, an annual base salary of $530,000, and a target annual bonus opportunity equal to 45% of base salary, in accordance with his previously approved base salary and target annual bonus opportunity. Mr. Yu will be eligible to participate in the employee benefit plans generally available to our employees.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Consistent with the terms of Mr. Yu’s prior employment agreement, the Yu Amended Employment Agreement continues to provide that, if Mr. Yu is terminated by us without Cause or resigns for Good Reason, in either case outside the Change in Control Period, Mr. Yu will be entitled to (i) continued base salary payments for nine months; (ii) any earned but unpaid bonus for the preceding fiscal year; and (iii) payment of the Company’s employer contribution toward COBRA coverage for up to nine months following the termination date, subject to his continued copayment at the active employee rate.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lieu of the severance payments and benefits described above, the Yu Amended Employment Agreement provides that if Mr. Yu is terminated by us without Cause or resigns for Good Reason, in either case during the Change in Control Period, Mr. Yu will be entitled to (i) a lump-sum cash payment equal to the sum of 15 months of his then-current base salary (or the base salary in effect immediately before the Change in Control, if higher), 1.25 times his target annual bonus for the fiscal year of termination and any earned but unpaid bonus for the preceding fiscal year; (ii) immediate and full vesting of all of his outstanding equity awards subject to time-based vesting; and (iii) payment of the Company’s employer contribution toward COBRA coverage for up to 15 months following the termination date, subject to his continued copayment at the active employee rate.</w:t>
      </w:r>
    </w:p>
    <w:p>
      <w:pPr>
        <w:pStyle w:val="TextBody"/>
        <w:bidi w:val="0"/>
        <w:jc w:val="both"/>
        <w:rPr>
          <w:rFonts w:ascii="Times New Roman" w:hAnsi="Times New Roman"/>
          <w:color w:val="000000"/>
          <w:sz w:val="20"/>
        </w:rPr>
      </w:pPr>
      <w:r>
        <w:rPr>
          <w:rFonts w:ascii="Times New Roman" w:hAnsi="Times New Roman"/>
          <w:color w:val="000000"/>
          <w:sz w:val="20"/>
        </w:rPr>
        <w:t xml:space="preserve">All severance payments and benefits under the Yu Amended Employment Agreement are conditioned upon the timely execution by Mr. Yu of a separation agreement and release of claims in our favor and continued compliance with his continuing obligations.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any payments or benefits to Mr. Yu would be subject to the excise tax imposed by Section 4999 of the Internal Revenue Code of 1986, as amended, those payments and benefits will be reduced to the extent necessary to avoid the excise tax, but only if the reduction would result in a greater after-tax benefit to Mr. Yu than payment in full. Mr. Yu also remains subject to confidentiality, assignment of inventions, nonsolicitation, noncompetition and other restrictive covenants.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exhibits filed as part of this Quarterly Report are set forth on the Exhibit Index, which is incorporated herein by reference.</w:t>
      </w:r>
    </w:p>
    <w:p>
      <w:pPr>
        <w:pStyle w:val="TextBody"/>
        <w:bidi w:val="0"/>
        <w:spacing w:before="120" w:after="120"/>
        <w:jc w:val="center"/>
        <w:rPr>
          <w:rFonts w:ascii="Times New Roman" w:hAnsi="Times New Roman"/>
          <w:b/>
          <w:color w:val="000000"/>
          <w:sz w:val="20"/>
        </w:rPr>
      </w:pPr>
      <w:r>
        <w:rPr>
          <w:rFonts w:ascii="Times New Roman" w:hAnsi="Times New Roman"/>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896"/>
        <w:gridCol w:w="146"/>
        <w:gridCol w:w="9163"/>
      </w:tblGrid>
      <w:tr>
        <w:trPr/>
        <w:tc>
          <w:tcPr>
            <w:tcW w:w="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3" w:type="dxa"/>
            <w:tcBorders/>
            <w:vAlign w:val="center"/>
          </w:tcPr>
          <w:p>
            <w:pPr>
              <w:pStyle w:val="TableContents"/>
              <w:bidi w:val="0"/>
              <w:spacing w:before="0" w:after="283"/>
              <w:jc w:val="left"/>
              <w:rPr>
                <w:sz w:val="4"/>
                <w:szCs w:val="4"/>
              </w:rPr>
            </w:pPr>
            <w:r>
              <w:rPr>
                <w:sz w:val="4"/>
                <w:szCs w:val="4"/>
              </w:rPr>
            </w:r>
          </w:p>
        </w:tc>
      </w:tr>
      <w:tr>
        <w:trPr/>
        <w:tc>
          <w:tcPr>
            <w:tcW w:w="8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3" w:type="dxa"/>
            <w:tcBorders/>
            <w:tcMar>
              <w:top w:w="0" w:type="dxa"/>
              <w:left w:w="0" w:type="dxa"/>
              <w:bottom w:w="0" w:type="dxa"/>
              <w:right w:w="0" w:type="dxa"/>
            </w:tcMar>
            <w:vAlign w:val="center"/>
          </w:tcPr>
          <w:p>
            <w:pPr>
              <w:pStyle w:val="TableContents"/>
              <w:bidi w:val="0"/>
              <w:spacing w:before="0" w:after="283"/>
              <w:jc w:val="both"/>
              <w:rPr/>
            </w:pPr>
            <w:r>
              <w:fldChar w:fldCharType="begin"/>
            </w:r>
            <w:r>
              <w:rPr>
                <w:rStyle w:val="InternetLink"/>
                <w:sz w:val="20"/>
                <w:u w:val="single"/>
                <w:rFonts w:ascii="Times New Roman" w:hAnsi="Times New Roman"/>
                <w:color w:val="0000FF"/>
              </w:rPr>
              <w:instrText xml:space="preserve"> HYPERLINK "https://www.sec.gov/Archives/edgar/data/1816736/000114036122032239/ny20005172x1_s4.htm" \l "tANNEXA"</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Agreement and Plan of Merger and Reorganization, dated as of August 9, 2022, by and among Gemini Therapeutics, Inc. Gemstone Merger Sub, Inc. and Disc Medicine, Inc. (incorporated by reference to Annex A to the Registrant’s Proxy Statement/Prospectus on Form S-4 filed on September 2, 2022).</w:t>
            </w:r>
            <w:r>
              <w:rPr>
                <w:rStyle w:val="InternetLink"/>
                <w:sz w:val="20"/>
                <w:u w:val="single"/>
                <w:rFonts w:ascii="Times New Roman" w:hAnsi="Times New Roman"/>
                <w:color w:val="0000FF"/>
              </w:rPr>
              <w:fldChar w:fldCharType="end"/>
            </w:r>
          </w:p>
        </w:tc>
      </w:tr>
      <w:tr>
        <w:trPr/>
        <w:tc>
          <w:tcPr>
            <w:tcW w:w="8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163" w:type="dxa"/>
            <w:tcBorders/>
            <w:tcMar>
              <w:top w:w="0" w:type="dxa"/>
              <w:left w:w="0" w:type="dxa"/>
              <w:bottom w:w="0" w:type="dxa"/>
              <w:right w:w="0" w:type="dxa"/>
            </w:tcMar>
            <w:vAlign w:val="center"/>
          </w:tcPr>
          <w:p>
            <w:pPr>
              <w:pStyle w:val="TableContents"/>
              <w:bidi w:val="0"/>
              <w:spacing w:before="0" w:after="283"/>
              <w:jc w:val="both"/>
              <w:rPr/>
            </w:pPr>
            <w:hyperlink r:id="rId2">
              <w:r>
                <w:rPr>
                  <w:rStyle w:val="InternetLink"/>
                  <w:rFonts w:ascii="Times New Roman" w:hAnsi="Times New Roman"/>
                  <w:color w:val="0000FF"/>
                  <w:sz w:val="20"/>
                  <w:u w:val="single"/>
                </w:rPr>
                <w:t>Amended and Restated Certificate of Incorporation of Disc Medicine, Inc., dated February 5, 2021 (incorporated by reference to Exhibit 3.1 to the Registrant’s Current Report on Form 8-K filed on February 11, 2021).</w:t>
              </w:r>
            </w:hyperlink>
          </w:p>
        </w:tc>
      </w:tr>
      <w:tr>
        <w:trPr/>
        <w:tc>
          <w:tcPr>
            <w:tcW w:w="8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163" w:type="dxa"/>
            <w:tcBorders/>
            <w:tcMar>
              <w:top w:w="0" w:type="dxa"/>
              <w:left w:w="0" w:type="dxa"/>
              <w:bottom w:w="0" w:type="dxa"/>
              <w:right w:w="0" w:type="dxa"/>
            </w:tcMar>
            <w:vAlign w:val="center"/>
          </w:tcPr>
          <w:p>
            <w:pPr>
              <w:pStyle w:val="TableContents"/>
              <w:bidi w:val="0"/>
              <w:spacing w:before="0" w:after="283"/>
              <w:jc w:val="both"/>
              <w:rPr/>
            </w:pPr>
            <w:hyperlink r:id="rId3">
              <w:r>
                <w:rPr>
                  <w:rStyle w:val="InternetLink"/>
                  <w:rFonts w:ascii="Times New Roman" w:hAnsi="Times New Roman"/>
                  <w:color w:val="0000FF"/>
                  <w:sz w:val="20"/>
                  <w:u w:val="single"/>
                </w:rPr>
                <w:t>Certificate of Amendment to the Amended and Restated Certificate of Incorporation of Disc Medicine, Inc., dated December 28, 2022 (incorporated by reference to Exhibit 3.1 to the Registrant’s Current Report on Form 8-K filed on December 29, 2022).</w:t>
              </w:r>
            </w:hyperlink>
          </w:p>
        </w:tc>
      </w:tr>
      <w:tr>
        <w:trPr/>
        <w:tc>
          <w:tcPr>
            <w:tcW w:w="8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163" w:type="dxa"/>
            <w:tcBorders/>
            <w:tcMar>
              <w:top w:w="0" w:type="dxa"/>
              <w:left w:w="0" w:type="dxa"/>
              <w:bottom w:w="0" w:type="dxa"/>
              <w:right w:w="0" w:type="dxa"/>
            </w:tcMar>
            <w:vAlign w:val="center"/>
          </w:tcPr>
          <w:p>
            <w:pPr>
              <w:pStyle w:val="TableContents"/>
              <w:bidi w:val="0"/>
              <w:spacing w:before="0" w:after="283"/>
              <w:jc w:val="both"/>
              <w:rPr/>
            </w:pPr>
            <w:hyperlink r:id="rId4">
              <w:r>
                <w:rPr>
                  <w:rStyle w:val="InternetLink"/>
                  <w:rFonts w:ascii="Times New Roman" w:hAnsi="Times New Roman"/>
                  <w:color w:val="0000FF"/>
                  <w:sz w:val="20"/>
                  <w:u w:val="single"/>
                </w:rPr>
                <w:t>Certificate of Amendment to the Amended and Restated Certificate of Incorporation of Disc Medicine, Inc., dated December 29, 2022 (incorporated by reference to Exhibit 3.2 to the Registrant’s Current Report on Form 8-K filed on December 29, 2022).</w:t>
              </w:r>
            </w:hyperlink>
          </w:p>
        </w:tc>
      </w:tr>
      <w:tr>
        <w:trPr/>
        <w:tc>
          <w:tcPr>
            <w:tcW w:w="8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163" w:type="dxa"/>
            <w:tcBorders/>
            <w:tcMar>
              <w:top w:w="0" w:type="dxa"/>
              <w:left w:w="0" w:type="dxa"/>
              <w:bottom w:w="0" w:type="dxa"/>
              <w:right w:w="0" w:type="dxa"/>
            </w:tcMar>
            <w:vAlign w:val="center"/>
          </w:tcPr>
          <w:p>
            <w:pPr>
              <w:pStyle w:val="TableContents"/>
              <w:bidi w:val="0"/>
              <w:spacing w:before="0" w:after="283"/>
              <w:jc w:val="both"/>
              <w:rPr/>
            </w:pPr>
            <w:r>
              <w:fldChar w:fldCharType="begin"/>
            </w:r>
            <w:r>
              <w:rPr>
                <w:rStyle w:val="InternetLink"/>
                <w:sz w:val="20"/>
                <w:u w:val="single"/>
                <w:rFonts w:ascii="Times New Roman" w:hAnsi="Times New Roman"/>
                <w:color w:val="0000FF"/>
              </w:rPr>
              <w:instrText xml:space="preserve"> HYPERLINK "https://www.sec.gov/Archives/edgar/data/1816736/000121390021002636/fs42021a5_fsdevelopment.htm" \l "T53"</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Amended and Restated By-laws of Disc Medicine, Inc. (incorporated by reference to Annex C to the Registrant's Proxy Statement/Prospectus on Form S-4/A filed on January 19, 2021 (Registration No. 333-249785)).</w:t>
            </w:r>
            <w:r>
              <w:rPr>
                <w:rStyle w:val="InternetLink"/>
                <w:sz w:val="20"/>
                <w:u w:val="single"/>
                <w:rFonts w:ascii="Times New Roman" w:hAnsi="Times New Roman"/>
                <w:color w:val="0000FF"/>
              </w:rPr>
              <w:fldChar w:fldCharType="end"/>
            </w:r>
          </w:p>
        </w:tc>
      </w:tr>
      <w:tr>
        <w:trPr/>
        <w:tc>
          <w:tcPr>
            <w:tcW w:w="8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163" w:type="dxa"/>
            <w:tcBorders/>
            <w:tcMar>
              <w:top w:w="0" w:type="dxa"/>
              <w:left w:w="0" w:type="dxa"/>
              <w:bottom w:w="0" w:type="dxa"/>
              <w:right w:w="0" w:type="dxa"/>
            </w:tcMar>
            <w:vAlign w:val="center"/>
          </w:tcPr>
          <w:p>
            <w:pPr>
              <w:pStyle w:val="TableContents"/>
              <w:bidi w:val="0"/>
              <w:spacing w:before="0" w:after="283"/>
              <w:jc w:val="left"/>
              <w:rPr/>
            </w:pPr>
            <w:hyperlink w:anchor="iron-ex10_1.htm">
              <w:r>
                <w:rPr>
                  <w:rStyle w:val="InternetLink"/>
                  <w:rFonts w:ascii="Times New Roman" w:hAnsi="Times New Roman"/>
                  <w:color w:val="0000FF"/>
                  <w:sz w:val="20"/>
                  <w:u w:val="single"/>
                </w:rPr>
                <w:t>First Amendment to the Loan and Security Agreement, dated as of June 25, 2026 by and between the Registrant and Hercules Capital, Inc.</w:t>
              </w:r>
            </w:hyperlink>
          </w:p>
        </w:tc>
      </w:tr>
      <w:tr>
        <w:trPr/>
        <w:tc>
          <w:tcPr>
            <w:tcW w:w="8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163" w:type="dxa"/>
            <w:tcBorders/>
            <w:tcMar>
              <w:top w:w="0" w:type="dxa"/>
              <w:left w:w="0" w:type="dxa"/>
              <w:bottom w:w="0" w:type="dxa"/>
              <w:right w:w="0" w:type="dxa"/>
            </w:tcMar>
            <w:vAlign w:val="center"/>
          </w:tcPr>
          <w:p>
            <w:pPr>
              <w:pStyle w:val="TableContents"/>
              <w:bidi w:val="0"/>
              <w:spacing w:before="0" w:after="283"/>
              <w:jc w:val="both"/>
              <w:rPr/>
            </w:pPr>
            <w:hyperlink w:anchor="iron-ex31_1.htm">
              <w:r>
                <w:rPr>
                  <w:rStyle w:val="InternetLink"/>
                  <w:rFonts w:ascii="Times New Roman" w:hAnsi="Times New Roman"/>
                  <w:color w:val="0000FF"/>
                  <w:sz w:val="20"/>
                  <w:u w:val="single"/>
                </w:rPr>
                <w:t>Certification of Principal Executive Officer pursuant to Section 302 of the Sarbanes-Oxley Act of 2002</w:t>
              </w:r>
            </w:hyperlink>
          </w:p>
        </w:tc>
      </w:tr>
      <w:tr>
        <w:trPr/>
        <w:tc>
          <w:tcPr>
            <w:tcW w:w="8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163" w:type="dxa"/>
            <w:tcBorders/>
            <w:tcMar>
              <w:top w:w="0" w:type="dxa"/>
              <w:left w:w="0" w:type="dxa"/>
              <w:bottom w:w="0" w:type="dxa"/>
              <w:right w:w="0" w:type="dxa"/>
            </w:tcMar>
            <w:vAlign w:val="center"/>
          </w:tcPr>
          <w:p>
            <w:pPr>
              <w:pStyle w:val="TableContents"/>
              <w:bidi w:val="0"/>
              <w:spacing w:before="0" w:after="283"/>
              <w:jc w:val="both"/>
              <w:rPr/>
            </w:pPr>
            <w:hyperlink w:anchor="iron-ex31_2.htm">
              <w:r>
                <w:rPr>
                  <w:rStyle w:val="InternetLink"/>
                  <w:rFonts w:ascii="Times New Roman" w:hAnsi="Times New Roman"/>
                  <w:color w:val="0000FF"/>
                  <w:sz w:val="20"/>
                  <w:u w:val="single"/>
                </w:rPr>
                <w:t>Certification of Principal Financial Officer pursuant to Section 302 of the Sarbanes-Oxley Act of 2002</w:t>
              </w:r>
            </w:hyperlink>
          </w:p>
        </w:tc>
      </w:tr>
      <w:tr>
        <w:trPr/>
        <w:tc>
          <w:tcPr>
            <w:tcW w:w="8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163" w:type="dxa"/>
            <w:tcBorders/>
            <w:tcMar>
              <w:top w:w="0" w:type="dxa"/>
              <w:left w:w="0" w:type="dxa"/>
              <w:bottom w:w="0" w:type="dxa"/>
              <w:right w:w="0" w:type="dxa"/>
            </w:tcMar>
            <w:vAlign w:val="center"/>
          </w:tcPr>
          <w:p>
            <w:pPr>
              <w:pStyle w:val="TableContents"/>
              <w:bidi w:val="0"/>
              <w:spacing w:before="0" w:after="283"/>
              <w:jc w:val="both"/>
              <w:rPr/>
            </w:pPr>
            <w:hyperlink w:anchor="iron-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r>
      <w:tr>
        <w:trPr/>
        <w:tc>
          <w:tcPr>
            <w:tcW w:w="8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1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w:t>
            </w:r>
          </w:p>
        </w:tc>
      </w:tr>
      <w:tr>
        <w:trPr/>
        <w:tc>
          <w:tcPr>
            <w:tcW w:w="8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1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16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Filed herewith.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The certifications furnished in Exhibit 32.1 hereto are deemed to be furnished with this Quarterly Report on Form 10-Q and will not be deemed to be “filed” for purposes of Section 18 of the Securities Exchange Act of 1934, as amended, except to the extent that the Registrant specifically incorporates it by reference.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The annexes, schedules, and certain exhibits to the Merger Agreement have been omitted pursuant to Item 601(b)(2) of Regulation S-K. The Registrant hereby agrees to furnish supplementally a copy of any omitted annex, schedule or exhibit to the Commission upon request.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Portions of this document that constitute confidential information have been redacted pursuant to Item 601(b)(10) of Regulation S-K.</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tbl>
      <w:tblPr>
        <w:tblW w:w="5992" w:type="dxa"/>
        <w:jc w:val="left"/>
        <w:tblInd w:w="0" w:type="dxa"/>
        <w:tblLayout w:type="fixed"/>
        <w:tblCellMar>
          <w:top w:w="28" w:type="dxa"/>
          <w:left w:w="28" w:type="dxa"/>
          <w:bottom w:w="28" w:type="dxa"/>
          <w:right w:w="28" w:type="dxa"/>
        </w:tblCellMar>
      </w:tblPr>
      <w:tblGrid>
        <w:gridCol w:w="1711"/>
        <w:gridCol w:w="109"/>
        <w:gridCol w:w="406"/>
        <w:gridCol w:w="3766"/>
      </w:tblGrid>
      <w:tr>
        <w:trPr/>
        <w:tc>
          <w:tcPr>
            <w:tcW w:w="1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DISC MEDICINE, INC.</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30,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Quisel</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John Quisel, J.D., Ph.D.</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30,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Jean Franchi</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Jean Franchi</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right"/>
        <w:rPr/>
      </w:pPr>
      <w:bookmarkStart w:id="23" w:name="iron-ex10_1.htm"/>
      <w:bookmarkStart w:id="24" w:name="ksironex10_1"/>
      <w:bookmarkEnd w:id="23"/>
      <w:bookmarkEnd w:id="24"/>
      <w:r>
        <w:rPr/>
        <w:t> </w:t>
      </w:r>
      <w:r>
        <w:br w:type="page"/>
      </w:r>
    </w:p>
    <w:p>
      <w:pPr>
        <w:pStyle w:val="TextBody"/>
        <w:bidi w:val="0"/>
        <w:spacing w:before="120" w:after="283"/>
        <w:jc w:val="right"/>
        <w:rPr>
          <w:rFonts w:ascii="Times New Roman" w:hAnsi="Times New Roman"/>
          <w:b/>
          <w:color w:val="000000"/>
          <w:sz w:val="22"/>
        </w:rPr>
      </w:pPr>
      <w:r>
        <w:rPr>
          <w:rFonts w:ascii="Times New Roman" w:hAnsi="Times New Roman"/>
          <w:b/>
          <w:color w:val="000000"/>
          <w:sz w:val="22"/>
        </w:rPr>
        <w:t>Exhibit 10.1</w:t>
      </w:r>
    </w:p>
    <w:p>
      <w:pPr>
        <w:pStyle w:val="TextBody"/>
        <w:bidi w:val="0"/>
        <w:spacing w:before="240" w:after="240"/>
        <w:jc w:val="both"/>
        <w:rPr>
          <w:rFonts w:ascii="Times New Roman" w:hAnsi="Times New Roman"/>
          <w:b/>
          <w:color w:val="000000"/>
          <w:sz w:val="22"/>
        </w:rPr>
      </w:pPr>
      <w:r>
        <w:rPr>
          <w:rFonts w:ascii="Times New Roman" w:hAnsi="Times New Roman"/>
          <w:b/>
          <w:color w:val="000000"/>
          <w:sz w:val="22"/>
        </w:rPr>
        <w:t>Certain identified information has been excluded from this exhibit because it is both (i) not material and (ii) is the type of information that the registrant treats as private or confidential. Triple asterisks denote omissions.</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FIRST AMENDMENT</w:t>
        <w:br/>
        <w:t>TO</w:t>
        <w:br/>
        <w:t>LOAN AND SECURITY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This </w:t>
      </w:r>
      <w:r>
        <w:rPr>
          <w:rFonts w:ascii="Times New Roman" w:hAnsi="Times New Roman"/>
          <w:b/>
          <w:color w:val="000000"/>
          <w:sz w:val="22"/>
        </w:rPr>
        <w:t xml:space="preserve">FIRST </w:t>
      </w:r>
      <w:r>
        <w:rPr>
          <w:rFonts w:ascii="Times New Roman" w:hAnsi="Times New Roman"/>
          <w:b/>
          <w:smallCaps/>
          <w:color w:val="000000"/>
          <w:sz w:val="22"/>
        </w:rPr>
        <w:t>Amendment To Loan And Security Agreement</w:t>
      </w:r>
      <w:r>
        <w:rPr>
          <w:rFonts w:ascii="Times New Roman" w:hAnsi="Times New Roman"/>
          <w:color w:val="000000"/>
          <w:sz w:val="20"/>
        </w:rPr>
        <w:t xml:space="preserve"> </w:t>
      </w:r>
      <w:r>
        <w:rPr>
          <w:rFonts w:ascii="Times New Roman" w:hAnsi="Times New Roman"/>
          <w:color w:val="000000"/>
          <w:sz w:val="22"/>
        </w:rPr>
        <w:t>(this “</w:t>
      </w:r>
      <w:r>
        <w:rPr>
          <w:rFonts w:ascii="Times New Roman" w:hAnsi="Times New Roman"/>
          <w:b/>
          <w:color w:val="000000"/>
          <w:sz w:val="22"/>
        </w:rPr>
        <w:t>Amendment</w:t>
      </w:r>
      <w:r>
        <w:rPr>
          <w:rFonts w:ascii="Times New Roman" w:hAnsi="Times New Roman"/>
          <w:color w:val="000000"/>
          <w:sz w:val="20"/>
        </w:rPr>
        <w:t>”</w:t>
      </w:r>
      <w:r>
        <w:rPr>
          <w:rFonts w:ascii="Times New Roman" w:hAnsi="Times New Roman"/>
          <w:color w:val="000000"/>
          <w:sz w:val="22"/>
        </w:rPr>
        <w:t>) is dated as of June 25, 2026 and is entered into by and among DISC MEDICINE, INC., a Delaware corporation (“</w:t>
      </w:r>
      <w:r>
        <w:rPr>
          <w:rFonts w:ascii="Times New Roman" w:hAnsi="Times New Roman"/>
          <w:b/>
          <w:color w:val="000000"/>
          <w:sz w:val="22"/>
        </w:rPr>
        <w:t>Company</w:t>
      </w:r>
      <w:r>
        <w:rPr>
          <w:rFonts w:ascii="Times New Roman" w:hAnsi="Times New Roman"/>
          <w:color w:val="000000"/>
          <w:sz w:val="20"/>
        </w:rPr>
        <w:t>”</w:t>
      </w:r>
      <w:r>
        <w:rPr>
          <w:rFonts w:ascii="Times New Roman" w:hAnsi="Times New Roman"/>
          <w:color w:val="000000"/>
          <w:sz w:val="22"/>
        </w:rPr>
        <w:t>), each of its Subsidiaries (other than Excluded Subsidiaries and the MSC Subsidiary) from time to time party to the Loan Agreement as borrower (individually or collectively with the Company, as the context may require, “</w:t>
      </w:r>
      <w:r>
        <w:rPr>
          <w:rFonts w:ascii="Times New Roman" w:hAnsi="Times New Roman"/>
          <w:b/>
          <w:color w:val="000000"/>
          <w:sz w:val="22"/>
        </w:rPr>
        <w:t>Borrower</w:t>
      </w:r>
      <w:r>
        <w:rPr>
          <w:rFonts w:ascii="Times New Roman" w:hAnsi="Times New Roman"/>
          <w:color w:val="000000"/>
          <w:sz w:val="20"/>
        </w:rPr>
        <w:t>”</w:t>
      </w:r>
      <w:r>
        <w:rPr>
          <w:rFonts w:ascii="Times New Roman" w:hAnsi="Times New Roman"/>
          <w:color w:val="000000"/>
          <w:sz w:val="22"/>
        </w:rPr>
        <w:t>), the several banks and other financial institutions or entities from time to time parties to the Loan Agreement (collectively, referred to as “</w:t>
      </w:r>
      <w:r>
        <w:rPr>
          <w:rFonts w:ascii="Times New Roman" w:hAnsi="Times New Roman"/>
          <w:b/>
          <w:color w:val="000000"/>
          <w:sz w:val="22"/>
        </w:rPr>
        <w:t>Lender</w:t>
      </w:r>
      <w:r>
        <w:rPr>
          <w:rFonts w:ascii="Times New Roman" w:hAnsi="Times New Roman"/>
          <w:color w:val="000000"/>
          <w:sz w:val="20"/>
        </w:rPr>
        <w:t>”</w:t>
      </w:r>
      <w:r>
        <w:rPr>
          <w:rFonts w:ascii="Times New Roman" w:hAnsi="Times New Roman"/>
          <w:color w:val="000000"/>
          <w:sz w:val="22"/>
        </w:rPr>
        <w:t>) and HERCULES CAPITAL, INC., a Maryland corporation, in its capacity as administrative agent and collateral agent for itself and Lender (in such capacity, “</w:t>
      </w:r>
      <w:r>
        <w:rPr>
          <w:rFonts w:ascii="Times New Roman" w:hAnsi="Times New Roman"/>
          <w:b/>
          <w:color w:val="000000"/>
          <w:sz w:val="22"/>
        </w:rPr>
        <w:t>Agent</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i/>
          <w:color w:val="000000"/>
          <w:sz w:val="22"/>
        </w:rPr>
        <w:t>Capitalized terms used herein without definition shall have the same meanings given them in the Loan Agreement (as defined below)</w:t>
      </w:r>
      <w:r>
        <w:rPr>
          <w:rFonts w:ascii="Times New Roman" w:hAnsi="Times New Roman"/>
          <w:color w:val="000000"/>
          <w:sz w:val="22"/>
        </w:rPr>
        <w:t>.</w:t>
      </w:r>
    </w:p>
    <w:p>
      <w:pPr>
        <w:pStyle w:val="TextBody"/>
        <w:bidi w:val="0"/>
        <w:spacing w:before="0" w:after="240"/>
        <w:jc w:val="left"/>
        <w:rPr>
          <w:rFonts w:ascii="Times New Roman" w:hAnsi="Times New Roman"/>
          <w:b/>
          <w:smallCaps/>
          <w:color w:val="000000"/>
          <w:sz w:val="22"/>
        </w:rPr>
      </w:pPr>
      <w:r>
        <w:rPr>
          <w:rFonts w:ascii="Times New Roman" w:hAnsi="Times New Roman"/>
          <w:b/>
          <w:smallCaps/>
          <w:color w:val="000000"/>
          <w:sz w:val="22"/>
        </w:rPr>
        <w:t>Recitals</w:t>
      </w:r>
    </w:p>
    <w:p>
      <w:pPr>
        <w:pStyle w:val="TextBody"/>
        <w:bidi w:val="0"/>
        <w:spacing w:before="0" w:after="240"/>
        <w:jc w:val="both"/>
        <w:rPr>
          <w:rFonts w:ascii="Times New Roman" w:hAnsi="Times New Roman"/>
          <w:sz w:val="20"/>
        </w:rPr>
      </w:pPr>
      <w:r>
        <w:rPr>
          <w:rFonts w:ascii="Times New Roman" w:hAnsi="Times New Roman"/>
          <w:b/>
          <w:color w:val="000000"/>
          <w:sz w:val="22"/>
        </w:rPr>
        <w:t>A.</w:t>
      </w:r>
      <w:r>
        <w:rPr>
          <w:rFonts w:ascii="Times New Roman" w:hAnsi="Times New Roman"/>
          <w:color w:val="000000"/>
          <w:sz w:val="20"/>
        </w:rPr>
        <w:t xml:space="preserve"> </w:t>
      </w:r>
      <w:r>
        <w:rPr>
          <w:rFonts w:ascii="Times New Roman" w:hAnsi="Times New Roman"/>
          <w:color w:val="000000"/>
          <w:sz w:val="22"/>
        </w:rPr>
        <w:t>Borrower, Agent and Lender have entered into that certain Loan and Security Agreement dated as of November 6, 2024, among Borrower, Agent and Lender (as amended, restated, amended and restated, supplemented or otherwise modified from time to time, the “</w:t>
      </w:r>
      <w:r>
        <w:rPr>
          <w:rFonts w:ascii="Times New Roman" w:hAnsi="Times New Roman"/>
          <w:b/>
          <w:color w:val="000000"/>
          <w:sz w:val="22"/>
        </w:rPr>
        <w:t>Loan Agreement</w:t>
      </w:r>
      <w:r>
        <w:rPr>
          <w:rFonts w:ascii="Times New Roman" w:hAnsi="Times New Roman"/>
          <w:color w:val="000000"/>
          <w:sz w:val="20"/>
        </w:rPr>
        <w:t>”</w:t>
      </w:r>
      <w:r>
        <w:rPr>
          <w:rFonts w:ascii="Times New Roman" w:hAnsi="Times New Roman"/>
          <w:color w:val="000000"/>
          <w:sz w:val="22"/>
        </w:rPr>
        <w:t>), pursuant to which Lender has agreed to extend and make available to Borrower certain advances of money.</w:t>
      </w:r>
    </w:p>
    <w:p>
      <w:pPr>
        <w:pStyle w:val="TextBody"/>
        <w:bidi w:val="0"/>
        <w:spacing w:before="0" w:after="240"/>
        <w:jc w:val="both"/>
        <w:rPr>
          <w:rFonts w:ascii="Times New Roman" w:hAnsi="Times New Roman"/>
          <w:sz w:val="20"/>
        </w:rPr>
      </w:pPr>
      <w:r>
        <w:rPr>
          <w:rFonts w:ascii="Times New Roman" w:hAnsi="Times New Roman"/>
          <w:b/>
          <w:color w:val="000000"/>
          <w:sz w:val="22"/>
        </w:rPr>
        <w:t>B.</w:t>
      </w:r>
      <w:r>
        <w:rPr>
          <w:rFonts w:ascii="Times New Roman" w:hAnsi="Times New Roman"/>
          <w:color w:val="000000"/>
          <w:sz w:val="20"/>
        </w:rPr>
        <w:t xml:space="preserve"> </w:t>
      </w:r>
      <w:r>
        <w:rPr>
          <w:rFonts w:ascii="Times New Roman" w:hAnsi="Times New Roman"/>
          <w:color w:val="000000"/>
          <w:sz w:val="22"/>
        </w:rPr>
        <w:t>In accordance with Section 11.3 of the Loan Agreement, Borrower has requested that Agent and Lender agree to amend certain provisions of the Loan Agreement.</w:t>
      </w:r>
    </w:p>
    <w:p>
      <w:pPr>
        <w:pStyle w:val="TextBody"/>
        <w:bidi w:val="0"/>
        <w:spacing w:before="0" w:after="240"/>
        <w:jc w:val="both"/>
        <w:rPr>
          <w:rFonts w:ascii="Times New Roman" w:hAnsi="Times New Roman"/>
          <w:sz w:val="20"/>
        </w:rPr>
      </w:pPr>
      <w:r>
        <w:rPr>
          <w:rFonts w:ascii="Times New Roman" w:hAnsi="Times New Roman"/>
          <w:b/>
          <w:color w:val="000000"/>
          <w:sz w:val="22"/>
        </w:rPr>
        <w:t>C.</w:t>
      </w:r>
      <w:r>
        <w:rPr>
          <w:rFonts w:ascii="Times New Roman" w:hAnsi="Times New Roman"/>
          <w:color w:val="000000"/>
          <w:sz w:val="20"/>
        </w:rPr>
        <w:t xml:space="preserve"> </w:t>
      </w:r>
      <w:r>
        <w:rPr>
          <w:rFonts w:ascii="Times New Roman" w:hAnsi="Times New Roman"/>
          <w:color w:val="000000"/>
          <w:sz w:val="22"/>
        </w:rPr>
        <w:t>Agent and Lender have agreed to so amend the Loan Agreement upon the terms and conditions more fully set forth herein.</w:t>
      </w:r>
    </w:p>
    <w:p>
      <w:pPr>
        <w:pStyle w:val="TextBody"/>
        <w:bidi w:val="0"/>
        <w:spacing w:before="0" w:after="240"/>
        <w:jc w:val="left"/>
        <w:rPr>
          <w:rFonts w:ascii="Times New Roman" w:hAnsi="Times New Roman"/>
          <w:b/>
          <w:smallCaps/>
          <w:color w:val="000000"/>
          <w:sz w:val="22"/>
        </w:rPr>
      </w:pPr>
      <w:r>
        <w:rPr>
          <w:rFonts w:ascii="Times New Roman" w:hAnsi="Times New Roman"/>
          <w:b/>
          <w:smallCaps/>
          <w:color w:val="000000"/>
          <w:sz w:val="22"/>
        </w:rPr>
        <w:t>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NOW, THEREFORE, in consideration of the foregoing Recitals and other good and valuable consideration, the receipt and adequacy of which is hereby acknowledged, and intending to be legally bound, the parties hereto agree as follows:</w:t>
      </w:r>
    </w:p>
    <w:p>
      <w:pPr>
        <w:pStyle w:val="TextBody"/>
        <w:bidi w:val="0"/>
        <w:spacing w:before="0" w:after="240"/>
        <w:jc w:val="left"/>
        <w:rPr>
          <w:rFonts w:ascii="Times New Roman" w:hAnsi="Times New Roman"/>
          <w:b/>
          <w:smallCaps/>
          <w:color w:val="000000"/>
          <w:sz w:val="22"/>
        </w:rPr>
      </w:pPr>
      <w:r>
        <w:rPr>
          <w:rFonts w:ascii="Times New Roman" w:hAnsi="Times New Roman"/>
          <w:b/>
          <w:smallCaps/>
          <w:color w:val="000000"/>
          <w:sz w:val="22"/>
        </w:rPr>
        <w:t>1.</w:t>
      </w:r>
    </w:p>
    <w:p>
      <w:pPr>
        <w:pStyle w:val="TextBody"/>
        <w:bidi w:val="0"/>
        <w:spacing w:before="0" w:after="240"/>
        <w:jc w:val="left"/>
        <w:rPr/>
      </w:pPr>
      <w:r>
        <w:rPr>
          <w:rFonts w:ascii="Times New Roman" w:hAnsi="Times New Roman"/>
          <w:b/>
          <w:smallCaps/>
          <w:color w:val="000000"/>
          <w:sz w:val="22"/>
        </w:rPr>
        <w:t>Amendments</w:t>
      </w:r>
      <w:r>
        <w:rPr>
          <w:rFonts w:ascii="Times New Roman" w:hAnsi="Times New Roman"/>
          <w:color w:val="000000"/>
          <w:sz w:val="22"/>
        </w:rPr>
        <w: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w:t>
      </w:r>
    </w:p>
    <w:p>
      <w:pPr>
        <w:pStyle w:val="TextBody"/>
        <w:bidi w:val="0"/>
        <w:spacing w:before="0" w:after="240"/>
        <w:jc w:val="both"/>
        <w:rPr/>
      </w:pPr>
      <w:r>
        <w:rPr>
          <w:rFonts w:ascii="Times New Roman" w:hAnsi="Times New Roman"/>
          <w:color w:val="000000"/>
          <w:sz w:val="22"/>
        </w:rPr>
        <w:t xml:space="preserve">The Loan Agreement (including Addendum 5 thereto, but excluding the other addendums, schedules and exhibits thereto) is hereby amended to reflect the changes which are attached as Annex A hereto, such that on the First Amendment Closing Date the terms set forth in </w:t>
      </w:r>
      <w:r>
        <w:rPr>
          <w:rFonts w:ascii="Times New Roman" w:hAnsi="Times New Roman"/>
          <w:b/>
          <w:color w:val="000000"/>
          <w:sz w:val="22"/>
          <w:u w:val="single"/>
        </w:rPr>
        <w:t>Annex A</w:t>
      </w:r>
      <w:r>
        <w:rPr>
          <w:rFonts w:ascii="Times New Roman" w:hAnsi="Times New Roman"/>
          <w:color w:val="000000"/>
          <w:sz w:val="22"/>
        </w:rPr>
        <w:t>hereto which appear in bold and double underlined text (</w:t>
      </w:r>
      <w:r>
        <w:rPr>
          <w:rFonts w:ascii="Times New Roman" w:hAnsi="Times New Roman"/>
          <w:b/>
          <w:color w:val="0070C1"/>
          <w:sz w:val="22"/>
          <w:u w:val="single"/>
        </w:rPr>
        <w:t>inserted text</w:t>
      </w:r>
      <w:r>
        <w:rPr>
          <w:rFonts w:ascii="Times New Roman" w:hAnsi="Times New Roman"/>
          <w:color w:val="000000"/>
          <w:sz w:val="22"/>
        </w:rPr>
        <w:t>) shall be added to the Loan Agreement and the terms appearing as text which is stricken (</w:t>
      </w:r>
      <w:r>
        <w:rPr>
          <w:rFonts w:ascii="Times New Roman" w:hAnsi="Times New Roman"/>
          <w:b/>
          <w:strike/>
          <w:color w:val="FF0000"/>
          <w:sz w:val="22"/>
        </w:rPr>
        <w:t>deleted text</w:t>
      </w:r>
      <w:r>
        <w:rPr>
          <w:rFonts w:ascii="Times New Roman" w:hAnsi="Times New Roman"/>
          <w:color w:val="000000"/>
          <w:sz w:val="22"/>
        </w:rPr>
        <w:t>) shall be deleted from the Loan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1.2.</w:t>
      </w:r>
    </w:p>
    <w:p>
      <w:pPr>
        <w:pStyle w:val="TextBody"/>
        <w:bidi w:val="0"/>
        <w:spacing w:before="0" w:after="240"/>
        <w:jc w:val="both"/>
        <w:rPr/>
      </w:pPr>
      <w:r>
        <w:rPr>
          <w:rFonts w:ascii="Times New Roman" w:hAnsi="Times New Roman"/>
          <w:color w:val="000000"/>
          <w:sz w:val="22"/>
          <w:u w:val="single"/>
        </w:rPr>
        <w:t>Post-Closing</w:t>
      </w:r>
      <w:r>
        <w:rPr>
          <w:rFonts w:ascii="Times New Roman" w:hAnsi="Times New Roman"/>
          <w:color w:val="000000"/>
          <w:sz w:val="22"/>
        </w:rPr>
        <w:t xml:space="preserve">. Borrower shall deliver to Agent, not later 30 days from the date of this Amendment (or such longer period of time as agreed to by Agent in writing in its sole discretion), a Joinder Agreement by [***] and such other documents and instruments as shall be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requested by Agent to effectuate the transactions contemplated by such Joinder Agreement (in each case in form and substance acceptable to Agent). Borrower acknowledges and agrees that the failure of Borrower to satisfy the requirement set forth in the immediately preceding sentence shall result in an immediate Event of Default under the Loan Agreement for which there shall be no grace or cure period.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1.3.</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reference in the Loan Agreement to “this Agreement” and the words “hereof,” “herein,” “hereunder,” or words of like import, shall mean and be a reference to the Loan Agreement as amended by this Amendment.</w:t>
      </w:r>
    </w:p>
    <w:p>
      <w:pPr>
        <w:pStyle w:val="TextBody"/>
        <w:bidi w:val="0"/>
        <w:spacing w:before="0" w:after="240"/>
        <w:jc w:val="both"/>
        <w:rPr>
          <w:rFonts w:ascii="Times New Roman" w:hAnsi="Times New Roman"/>
          <w:b/>
          <w:smallCaps/>
          <w:color w:val="000000"/>
          <w:sz w:val="22"/>
        </w:rPr>
      </w:pPr>
      <w:r>
        <w:rPr>
          <w:rFonts w:ascii="Times New Roman" w:hAnsi="Times New Roman"/>
          <w:b/>
          <w:smallCaps/>
          <w:color w:val="000000"/>
          <w:sz w:val="22"/>
        </w:rPr>
        <w:t>2.</w:t>
      </w:r>
    </w:p>
    <w:p>
      <w:pPr>
        <w:pStyle w:val="TextBody"/>
        <w:bidi w:val="0"/>
        <w:spacing w:before="0" w:after="240"/>
        <w:jc w:val="both"/>
        <w:rPr/>
      </w:pPr>
      <w:r>
        <w:rPr>
          <w:rFonts w:ascii="Times New Roman" w:hAnsi="Times New Roman"/>
          <w:b/>
          <w:smallCaps/>
          <w:color w:val="000000"/>
          <w:sz w:val="22"/>
        </w:rPr>
        <w:t>Borrower’s Representations And Warranties</w:t>
      </w:r>
      <w:r>
        <w:rPr>
          <w:rFonts w:ascii="Times New Roman" w:hAnsi="Times New Roman"/>
          <w:color w:val="000000"/>
          <w:sz w:val="22"/>
        </w:rPr>
        <w:t>. Borrower represents and warrants that: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Immediately upon giving effect to this Amendment (i) the representations and warranties contained in the Loan Documents are true and correct in all material respects except to the extent such representations and warranties relate to an earlier date, in which case they are true and correct in all material respects as of such date and (ii) no default or Event of Default has occurred and is continuing with respect to which Borrower has not been notified in writing by Agent or Lender.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Borrower has the corporate or other applicable company power and authority to execute and deliver this Amendment and to perform its obligations under the Loan Agreement, as amended by this Amendment.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2.3.</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execution and delivery by Borrower of this Amendment and the performance by Borrower of its obligations under the Loan Agreement, as amended by this Amendment, have been duly authorized by all necessary corporate or other applicable company action on the part of Borrower.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2.4.</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Amendment has been duly executed and delivered by Borrower and is the binding obligation of Borrower, enforceable against it in accordance with its terms, except as such enforceability may be limited by bankruptcy, insolvency, reorganization, receivership, moratorium or other laws affecting creditors’ rights generally and by general principles of equity.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2.5.</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As of the date hereof, it has no defenses against the obligations to pay any amounts under the Secured Obligations. Borrower acknowledges that each of Agent and Lender has, as of the date hereof, acted in good faith and has conducted in a commercially reasonable manner its relationships with Borrower in connection with this Amendment and in connection with the Loan Documents.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Borrower understands and acknowledges that each of Agent and Lender is entering into this Amendment in reliance upon, and in partial consideration for, the above representations and warranties, and agrees that such reliance is reasonable and appropriate.</w:t>
      </w:r>
    </w:p>
    <w:p>
      <w:pPr>
        <w:pStyle w:val="TextBody"/>
        <w:bidi w:val="0"/>
        <w:spacing w:before="0" w:after="240"/>
        <w:jc w:val="both"/>
        <w:rPr>
          <w:rFonts w:ascii="Times New Roman" w:hAnsi="Times New Roman"/>
          <w:b/>
          <w:smallCaps/>
          <w:color w:val="000000"/>
          <w:sz w:val="22"/>
        </w:rPr>
      </w:pPr>
      <w:r>
        <w:rPr>
          <w:rFonts w:ascii="Times New Roman" w:hAnsi="Times New Roman"/>
          <w:b/>
          <w:smallCaps/>
          <w:color w:val="000000"/>
          <w:sz w:val="22"/>
        </w:rPr>
        <w:t>3.</w:t>
      </w:r>
    </w:p>
    <w:p>
      <w:pPr>
        <w:pStyle w:val="TextBody"/>
        <w:bidi w:val="0"/>
        <w:spacing w:before="0" w:after="240"/>
        <w:jc w:val="both"/>
        <w:rPr/>
      </w:pPr>
      <w:r>
        <w:rPr>
          <w:rFonts w:ascii="Times New Roman" w:hAnsi="Times New Roman"/>
          <w:b/>
          <w:smallCaps/>
          <w:color w:val="000000"/>
          <w:sz w:val="22"/>
        </w:rPr>
        <w:t>Limitation</w:t>
      </w:r>
      <w:r>
        <w:rPr>
          <w:rFonts w:ascii="Times New Roman" w:hAnsi="Times New Roman"/>
          <w:color w:val="000000"/>
          <w:sz w:val="22"/>
        </w:rPr>
        <w:t xml:space="preserve">. The amendments set forth in this Amendment shall be limited precisely as written and shall not be deemed (a) to be a waiver or modification of any other term or condition of the Loan Agreement or of any other instrument or agreement referred to therein or to prejudice any right or remedy which Agent and/or Lender may now have or may have in the future under or in connection with the Loan Agreement (as amended hereby) or any instrument or agreement referred to therein; or (b) to be a consent to any future amendment or modification or waiver to any instrument or agreement the execution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and delivery of which is consented to hereby. Except as expressly amended hereby, the Loan Agreement shall continue in full force and effect.</w:t>
      </w:r>
    </w:p>
    <w:p>
      <w:pPr>
        <w:pStyle w:val="TextBody"/>
        <w:bidi w:val="0"/>
        <w:spacing w:before="0" w:after="240"/>
        <w:jc w:val="both"/>
        <w:rPr>
          <w:rFonts w:ascii="Times New Roman" w:hAnsi="Times New Roman"/>
          <w:b/>
          <w:smallCaps/>
          <w:color w:val="000000"/>
          <w:sz w:val="22"/>
        </w:rPr>
      </w:pPr>
      <w:r>
        <w:rPr>
          <w:rFonts w:ascii="Times New Roman" w:hAnsi="Times New Roman"/>
          <w:b/>
          <w:smallCaps/>
          <w:color w:val="000000"/>
          <w:sz w:val="22"/>
        </w:rPr>
        <w:t>4.</w:t>
      </w:r>
    </w:p>
    <w:p>
      <w:pPr>
        <w:pStyle w:val="TextBody"/>
        <w:bidi w:val="0"/>
        <w:spacing w:before="0" w:after="240"/>
        <w:jc w:val="both"/>
        <w:rPr/>
      </w:pPr>
      <w:r>
        <w:rPr>
          <w:rFonts w:ascii="Times New Roman" w:hAnsi="Times New Roman"/>
          <w:b/>
          <w:smallCaps/>
          <w:color w:val="000000"/>
          <w:sz w:val="22"/>
        </w:rPr>
        <w:t>Effectiveness</w:t>
      </w:r>
      <w:r>
        <w:rPr>
          <w:rFonts w:ascii="Times New Roman" w:hAnsi="Times New Roman"/>
          <w:color w:val="000000"/>
          <w:sz w:val="22"/>
        </w:rPr>
        <w:t>. This Amendment shall become effective upon the satisfaction of all the following conditions precedent (such date of satisfaction of all such conditions precedent, the “</w:t>
      </w:r>
      <w:r>
        <w:rPr>
          <w:rFonts w:ascii="Times New Roman" w:hAnsi="Times New Roman"/>
          <w:b/>
          <w:color w:val="000000"/>
          <w:sz w:val="22"/>
        </w:rPr>
        <w:t>First Amendment Closing Date</w:t>
      </w:r>
      <w:r>
        <w:rPr>
          <w:color w:val="000000"/>
        </w:rPr>
        <w:t>”</w:t>
      </w:r>
      <w:r>
        <w:rPr>
          <w:rFonts w:ascii="Times New Roman" w:hAnsi="Times New Roman"/>
          <w:color w:val="000000"/>
          <w:sz w:val="22"/>
        </w:rPr>
        <w: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4.1.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Amendment. Borrower, Agent and Lender shall have duly executed and delivered this Amendment to Lender.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4.2.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Secretary’s Certificates. Borrower shall have delivered secretary’s certificates to Agent, dated as of the First Amendment Closing Date and executed by the secretary of Borrower, with appropriate insertions and attachments, including such items described in Section 4.1(c), (d) and (e) of the Loan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4.3.</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Good Standing Certificates. Borrower shall have delivered a certificate of good standing for Borrower from its state of incorporation and similar certificates from all other jurisdictions in which it does business and where the failure to be qualified would reasonably be expected to have a Material Adverse Effect.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4.4.</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Searches. Borrower shall have delivered (a) certified copies, dated as of a recent date, of searches for financing statements filed in the central filing office of the State of Delaware accompanied by written evidence (including any UCC termination statements) that the Liens on any Collateral indicated in any such financing statements either constitute Permitted Liens and (b) current searches at the U.S. Patent and Trademark Office or the U.S. Copyright Office, as applicable, listing issued or pending Current Company IP of Borrower.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4.5.</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Advance Request. Agent shall have received a duly executed Advance Request with respect to the Tranche 1-B Advance to be made on or about the First Amendment Closing Date at least five (5) Business Days before the First Amendment Closing Date.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4.6.</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Payment of Lender Expenses. Borrower shall have paid all reasonable Lender expenses (including all reasonable attorneys’ fees and reasonable expenses) incurred through the date of this Amendment for the documentation and negotiation of this Amendment, in each case, to the extent invoiced on or prior to the First Amendment Closing Date.</w:t>
      </w:r>
    </w:p>
    <w:p>
      <w:pPr>
        <w:pStyle w:val="TextBody"/>
        <w:bidi w:val="0"/>
        <w:spacing w:before="0" w:after="240"/>
        <w:jc w:val="both"/>
        <w:rPr>
          <w:rFonts w:ascii="Times New Roman" w:hAnsi="Times New Roman"/>
          <w:b/>
          <w:smallCaps/>
          <w:color w:val="000000"/>
          <w:sz w:val="22"/>
        </w:rPr>
      </w:pPr>
      <w:r>
        <w:rPr>
          <w:rFonts w:ascii="Times New Roman" w:hAnsi="Times New Roman"/>
          <w:b/>
          <w:smallCaps/>
          <w:color w:val="000000"/>
          <w:sz w:val="22"/>
        </w:rPr>
        <w:t>5.</w:t>
      </w:r>
    </w:p>
    <w:p>
      <w:pPr>
        <w:pStyle w:val="TextBody"/>
        <w:bidi w:val="0"/>
        <w:spacing w:before="0" w:after="240"/>
        <w:jc w:val="both"/>
        <w:rPr/>
      </w:pPr>
      <w:r>
        <w:rPr>
          <w:rFonts w:ascii="Times New Roman" w:hAnsi="Times New Roman"/>
          <w:b/>
          <w:smallCaps/>
          <w:color w:val="000000"/>
          <w:sz w:val="22"/>
        </w:rPr>
        <w:t>Release</w:t>
      </w:r>
      <w:r>
        <w:rPr>
          <w:rFonts w:ascii="Times New Roman" w:hAnsi="Times New Roman"/>
          <w:color w:val="000000"/>
          <w:sz w:val="22"/>
        </w:rPr>
        <w:t>. In consideration of the agreements of Agent and each Lender contained herein and for other good and valuable consideration, the receipt and sufficiency of which are hereby acknowledged, Borrower, on behalf of itself and its successors, assigns, and other legal representatives, hereby to the extent possible under applicable law fully, absolutely, unconditionally and irrevocably releases, remises and forever discharges Agent and each Lender, and its successors and assigns, and its present and former shareholders, affiliates, subsidiaries, divisions, predecessors, directors, officers, attorneys, employees, agents and other representatives (Agent, Lender and all such other persons being hereinafter referred to collectively as the “</w:t>
      </w:r>
      <w:r>
        <w:rPr>
          <w:rFonts w:ascii="Times New Roman" w:hAnsi="Times New Roman"/>
          <w:b/>
          <w:color w:val="000000"/>
          <w:sz w:val="22"/>
        </w:rPr>
        <w:t>Releasees</w:t>
      </w:r>
      <w:r>
        <w:rPr>
          <w:color w:val="000000"/>
        </w:rPr>
        <w:t xml:space="preserve">” </w:t>
      </w:r>
      <w:r>
        <w:rPr>
          <w:rFonts w:ascii="Times New Roman" w:hAnsi="Times New Roman"/>
          <w:color w:val="000000"/>
          <w:sz w:val="22"/>
        </w:rPr>
        <w:t>and individually as a “</w:t>
      </w:r>
      <w:r>
        <w:rPr>
          <w:rFonts w:ascii="Times New Roman" w:hAnsi="Times New Roman"/>
          <w:b/>
          <w:color w:val="000000"/>
          <w:sz w:val="22"/>
        </w:rPr>
        <w:t>Releasee</w:t>
      </w:r>
      <w:r>
        <w:rPr>
          <w:color w:val="000000"/>
        </w:rPr>
        <w:t>”</w:t>
      </w:r>
      <w:r>
        <w:rPr>
          <w:rFonts w:ascii="Times New Roman" w:hAnsi="Times New Roman"/>
          <w:color w:val="000000"/>
          <w:sz w:val="22"/>
        </w:rPr>
        <w:t xml:space="preserve">), of and from all demands, actions, causes of action, suits, covenants, contracts, controversies, agreements, promises, sums of money, accounts, bills, reckonings, damages and any and all other claims, counterclaims, defenses, rights of set-off, demands and liabilities whatsoever of every name and nature, known or unknown, suspected or unsuspected, both at law and in equity, which Borrower, or any of its successors, assigns, or other legal representatives may now or hereafter own, hold, have or claim to have against the Releasees or any of them for, upon, or by reason of any circumstance, action, cause or thing whatsoever which arises at any time prior to the execution of this Amendment, for or on account of, or in relation to, or in any way in connection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 the Loan Agreement, or any of the other Loan Documents or transactions thereunder or related thereto. Borrower understands, acknowledges and agrees that the release set forth above may be pleaded as a full and complete defense and may be used as a basis for an injunction against any action, suit or other proceeding which may be instituted, prosecuted or attempted in breach of the provisions of such release. Borrower agrees that no fact, event, circumstance, evidence or transaction existing prior to the execution of this Amendment which could now be asserted or which may hereafter be discovered shall affect in any manner the final, absolute and unconditional nature of the release set forth above. Borrower waives the provisions of California Civil Code section 1542, which states: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0" w:after="240"/>
        <w:jc w:val="both"/>
        <w:rPr>
          <w:rFonts w:ascii="Times New Roman" w:hAnsi="Times New Roman"/>
          <w:b/>
          <w:smallCaps/>
          <w:color w:val="000000"/>
          <w:sz w:val="22"/>
        </w:rPr>
      </w:pPr>
      <w:r>
        <w:rPr>
          <w:rFonts w:ascii="Times New Roman" w:hAnsi="Times New Roman"/>
          <w:b/>
          <w:smallCaps/>
          <w:color w:val="000000"/>
          <w:sz w:val="22"/>
        </w:rPr>
        <w:t>6.</w:t>
      </w:r>
    </w:p>
    <w:p>
      <w:pPr>
        <w:pStyle w:val="TextBody"/>
        <w:bidi w:val="0"/>
        <w:spacing w:before="0" w:after="240"/>
        <w:jc w:val="both"/>
        <w:rPr/>
      </w:pPr>
      <w:r>
        <w:rPr>
          <w:rFonts w:ascii="Times New Roman" w:hAnsi="Times New Roman"/>
          <w:b/>
          <w:smallCaps/>
          <w:color w:val="000000"/>
          <w:sz w:val="22"/>
        </w:rPr>
        <w:t>Counterparts</w:t>
      </w:r>
      <w:r>
        <w:rPr>
          <w:rFonts w:ascii="Times New Roman" w:hAnsi="Times New Roman"/>
          <w:color w:val="000000"/>
          <w:sz w:val="22"/>
        </w:rPr>
        <w:t>. This Amendment may be signed in any number of counterparts, and by different parties hereto in separate counterparts, with the same effect as if the signatures to each such counterpart were upon a single instrument. All counterparts shall be deemed an original of this Amendment. This Amendment may be executed by facsimile, portable document format (.pdf) or similar technology signature, and such signature shall constitute an original for all purposes.</w:t>
      </w:r>
    </w:p>
    <w:p>
      <w:pPr>
        <w:pStyle w:val="TextBody"/>
        <w:bidi w:val="0"/>
        <w:spacing w:before="0" w:after="240"/>
        <w:jc w:val="both"/>
        <w:rPr>
          <w:rFonts w:ascii="Times New Roman" w:hAnsi="Times New Roman"/>
          <w:b/>
          <w:smallCaps/>
          <w:color w:val="000000"/>
          <w:sz w:val="22"/>
        </w:rPr>
      </w:pPr>
      <w:r>
        <w:rPr>
          <w:rFonts w:ascii="Times New Roman" w:hAnsi="Times New Roman"/>
          <w:b/>
          <w:smallCaps/>
          <w:color w:val="000000"/>
          <w:sz w:val="22"/>
        </w:rPr>
        <w:t>7.</w:t>
      </w:r>
    </w:p>
    <w:p>
      <w:pPr>
        <w:pStyle w:val="TextBody"/>
        <w:bidi w:val="0"/>
        <w:spacing w:before="0" w:after="240"/>
        <w:jc w:val="both"/>
        <w:rPr/>
      </w:pPr>
      <w:r>
        <w:rPr>
          <w:rFonts w:ascii="Times New Roman" w:hAnsi="Times New Roman"/>
          <w:b/>
          <w:smallCaps/>
          <w:color w:val="000000"/>
          <w:sz w:val="22"/>
        </w:rPr>
        <w:t>Incorporation By Reference</w:t>
      </w:r>
      <w:r>
        <w:rPr>
          <w:rFonts w:ascii="Times New Roman" w:hAnsi="Times New Roman"/>
          <w:color w:val="000000"/>
          <w:sz w:val="22"/>
        </w:rPr>
        <w:t xml:space="preserve">. The provisions of Section 11 of the Loan Agreement shall be deemed incorporated herein by reference, </w:t>
      </w:r>
      <w:r>
        <w:rPr>
          <w:rFonts w:ascii="Times New Roman" w:hAnsi="Times New Roman"/>
          <w:i/>
          <w:color w:val="000000"/>
          <w:sz w:val="22"/>
        </w:rPr>
        <w:t>mutatis mutandis</w:t>
      </w:r>
      <w:r>
        <w:rPr>
          <w:rFonts w:ascii="Times New Roman" w:hAnsi="Times New Roman"/>
          <w:color w:val="000000"/>
          <w:sz w:val="22"/>
        </w:rPr>
        <w:t>.</w:t>
      </w:r>
    </w:p>
    <w:p>
      <w:pPr>
        <w:pStyle w:val="TextBody"/>
        <w:bidi w:val="0"/>
        <w:spacing w:before="0" w:after="240"/>
        <w:jc w:val="both"/>
        <w:rPr>
          <w:rFonts w:ascii="Times New Roman" w:hAnsi="Times New Roman"/>
          <w:b/>
          <w:smallCaps/>
          <w:color w:val="000000"/>
          <w:sz w:val="22"/>
        </w:rPr>
      </w:pPr>
      <w:r>
        <w:rPr>
          <w:rFonts w:ascii="Times New Roman" w:hAnsi="Times New Roman"/>
          <w:b/>
          <w:smallCaps/>
          <w:color w:val="000000"/>
          <w:sz w:val="22"/>
        </w:rPr>
        <w:t>8.</w:t>
      </w:r>
    </w:p>
    <w:p>
      <w:pPr>
        <w:pStyle w:val="TextBody"/>
        <w:bidi w:val="0"/>
        <w:spacing w:before="0" w:after="240"/>
        <w:jc w:val="both"/>
        <w:rPr/>
      </w:pPr>
      <w:r>
        <w:rPr>
          <w:rFonts w:ascii="Times New Roman" w:hAnsi="Times New Roman"/>
          <w:b/>
          <w:smallCaps/>
          <w:color w:val="000000"/>
          <w:sz w:val="22"/>
        </w:rPr>
        <w:t>Reaffirmation</w:t>
      </w:r>
      <w:r>
        <w:rPr>
          <w:rFonts w:ascii="Times New Roman" w:hAnsi="Times New Roman"/>
          <w:color w:val="000000"/>
          <w:sz w:val="22"/>
        </w:rPr>
        <w:t>. By executing and delivering a counterpart hereof, (i) Borrower hereby agrees that all Advances incurred by Borrower shall be secured by the Collateral pursuant to the applicable Loan Documents in accordance with the terms and provisions thereof and (ii) Borrower hereby (A) agrees that, notwithstanding the effectiveness of this Amendment, after giving effect to this Amendment, the Loan Documents continue to be in full force and effect, (B) agrees that all of the Liens and security interests created and arising under the Loan Documents remain in full force and effect on a continuous basis, and the perfected status and priority of each such Lien and security interest continues in full force and effect on a continuous basis, unimpaired, uninterrupted and undischarged, as collateral security for its obligations, liabilities and indebtedness under the Loan Agreement to the extent provided in, and subject to the limitations and qualifications set forth in, such Loan Documents (as amended by this Amendment) and (C) affirms and confirms all of its obligations, liabilities and indebtedness under the Loan Agreement and each other Loan Document, in each case after giving effect to this Amendment, including the pledge of and/or grant of a security interest in its assets as Collateral pursuant to the Loan Documents to secure such Secured Obligations, all as provided in the Loan Documents, and acknowledges and agrees that such obligations, liabilities, guarantee, pledge and grant continue in full force and effect in respect of, and to secure, such Secured Obligations under the Loan Agreement and the other Loan Documents, in each case, to the extent provided in, and subject to the limitations and qualifications set forth in, such Loan Documents (as amended by this Amendment).</w:t>
      </w:r>
    </w:p>
    <w:p>
      <w:pPr>
        <w:pStyle w:val="TextBody"/>
        <w:bidi w:val="0"/>
        <w:spacing w:before="0" w:after="24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Signature Page Follows</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b/>
          <w:smallCaps/>
          <w:color w:val="000000"/>
          <w:sz w:val="22"/>
        </w:rPr>
        <w:t>In Witness Whereof</w:t>
      </w:r>
      <w:r>
        <w:rPr>
          <w:rFonts w:ascii="Times New Roman" w:hAnsi="Times New Roman"/>
          <w:color w:val="000000"/>
          <w:sz w:val="22"/>
        </w:rPr>
        <w:t>, the parties have duly authorized and caused this Amendment to be executed as of the date first written above.</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BORROWERS: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DISC MEDICINE, INC.</w:t>
      </w:r>
    </w:p>
    <w:p>
      <w:pPr>
        <w:pStyle w:val="TextBody"/>
        <w:bidi w:val="0"/>
        <w:jc w:val="left"/>
        <w:rPr>
          <w:rFonts w:ascii="Times New Roman" w:hAnsi="Times New Roman"/>
          <w:sz w:val="20"/>
        </w:rPr>
      </w:pPr>
      <w:r>
        <w:rPr>
          <w:rFonts w:ascii="Times New Roman" w:hAnsi="Times New Roman"/>
          <w:color w:val="000000"/>
          <w:sz w:val="22"/>
        </w:rPr>
        <w:t>Signature:</w:t>
      </w:r>
      <w:r>
        <w:rPr>
          <w:rFonts w:ascii="Times New Roman" w:hAnsi="Times New Roman"/>
          <w:color w:val="000000"/>
          <w:sz w:val="20"/>
          <w:u w:val="single"/>
        </w:rPr>
        <w:t xml:space="preserve"> </w:t>
      </w:r>
      <w:r>
        <w:rPr>
          <w:rFonts w:ascii="Times New Roman" w:hAnsi="Times New Roman"/>
          <w:color w:val="000000"/>
          <w:sz w:val="22"/>
          <w:u w:val="single"/>
        </w:rPr>
        <w:t>/s/ Jean Franchi</w:t>
      </w:r>
      <w:r>
        <w:rPr>
          <w:rFonts w:ascii="Times New Roman" w:hAnsi="Times New Roman"/>
          <w:color w:val="000000"/>
          <w:sz w:val="20"/>
          <w:u w:val="single"/>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Print Name: Jean Franchi</w:t>
      </w:r>
    </w:p>
    <w:p>
      <w:pPr>
        <w:pStyle w:val="TextBody"/>
        <w:bidi w:val="0"/>
        <w:spacing w:before="0" w:after="240"/>
        <w:jc w:val="left"/>
        <w:rPr>
          <w:rFonts w:ascii="Times New Roman" w:hAnsi="Times New Roman"/>
          <w:sz w:val="20"/>
        </w:rPr>
      </w:pPr>
      <w:r>
        <w:rPr>
          <w:rFonts w:ascii="Times New Roman" w:hAnsi="Times New Roman"/>
          <w:color w:val="000000"/>
          <w:sz w:val="22"/>
        </w:rPr>
        <w:t>Title</w:t>
      </w:r>
      <w:r>
        <w:rPr>
          <w:rFonts w:ascii="Times New Roman" w:hAnsi="Times New Roman"/>
          <w:color w:val="000000"/>
          <w:sz w:val="15"/>
        </w:rPr>
        <w:t>:</w:t>
      </w:r>
      <w:r>
        <w:rPr>
          <w:rFonts w:ascii="Times New Roman" w:hAnsi="Times New Roman"/>
          <w:color w:val="000000"/>
          <w:sz w:val="20"/>
        </w:rPr>
        <w:t xml:space="preserve"> </w:t>
      </w:r>
      <w:r>
        <w:rPr>
          <w:rFonts w:ascii="Times New Roman" w:hAnsi="Times New Roman"/>
          <w:color w:val="000000"/>
          <w:sz w:val="22"/>
        </w:rPr>
        <w:t>Chief Financial Officer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DISC MEDICINE OPCO, INC.</w:t>
      </w:r>
    </w:p>
    <w:p>
      <w:pPr>
        <w:pStyle w:val="TextBody"/>
        <w:bidi w:val="0"/>
        <w:jc w:val="left"/>
        <w:rPr>
          <w:rFonts w:ascii="Times New Roman" w:hAnsi="Times New Roman"/>
          <w:sz w:val="20"/>
        </w:rPr>
      </w:pPr>
      <w:r>
        <w:rPr>
          <w:rFonts w:ascii="Times New Roman" w:hAnsi="Times New Roman"/>
          <w:color w:val="000000"/>
          <w:sz w:val="22"/>
        </w:rPr>
        <w:t>Signature:</w:t>
      </w:r>
      <w:r>
        <w:rPr>
          <w:rFonts w:ascii="Times New Roman" w:hAnsi="Times New Roman"/>
          <w:color w:val="000000"/>
          <w:sz w:val="20"/>
          <w:u w:val="single"/>
        </w:rPr>
        <w:t xml:space="preserve"> </w:t>
      </w:r>
      <w:r>
        <w:rPr>
          <w:rFonts w:ascii="Times New Roman" w:hAnsi="Times New Roman"/>
          <w:color w:val="000000"/>
          <w:sz w:val="22"/>
          <w:u w:val="single"/>
        </w:rPr>
        <w:t>/s/ Jean Franchi</w:t>
      </w:r>
      <w:r>
        <w:rPr>
          <w:rFonts w:ascii="Times New Roman" w:hAnsi="Times New Roman"/>
          <w:color w:val="000000"/>
          <w:sz w:val="20"/>
          <w:u w:val="single"/>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Print Name: Jean Franchi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Title: Treasurer</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[Signature Page – First Amendment to Loan and Security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Accepted in San Mateo, California:</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AGENT: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HERCULES CAPITAL, INC.</w:t>
      </w:r>
    </w:p>
    <w:p>
      <w:pPr>
        <w:pStyle w:val="TextBody"/>
        <w:bidi w:val="0"/>
        <w:jc w:val="left"/>
        <w:rPr>
          <w:rFonts w:ascii="Times New Roman" w:hAnsi="Times New Roman"/>
          <w:sz w:val="20"/>
        </w:rPr>
      </w:pPr>
      <w:r>
        <w:rPr>
          <w:rFonts w:ascii="Times New Roman" w:hAnsi="Times New Roman"/>
          <w:color w:val="000000"/>
          <w:sz w:val="22"/>
        </w:rPr>
        <w:t xml:space="preserve">Signature: </w:t>
      </w:r>
      <w:r>
        <w:rPr>
          <w:rFonts w:ascii="Times New Roman" w:hAnsi="Times New Roman"/>
          <w:color w:val="000000"/>
          <w:sz w:val="22"/>
          <w:u w:val="single"/>
        </w:rPr>
        <w:t xml:space="preserve">/s/ Seth Meyer </w:t>
      </w:r>
    </w:p>
    <w:p>
      <w:pPr>
        <w:pStyle w:val="TextBody"/>
        <w:bidi w:val="0"/>
        <w:jc w:val="left"/>
        <w:rPr>
          <w:rFonts w:ascii="Times New Roman" w:hAnsi="Times New Roman"/>
          <w:color w:val="000000"/>
          <w:sz w:val="22"/>
        </w:rPr>
      </w:pPr>
      <w:r>
        <w:rPr>
          <w:rFonts w:ascii="Times New Roman" w:hAnsi="Times New Roman"/>
          <w:color w:val="000000"/>
          <w:sz w:val="22"/>
        </w:rPr>
        <w:t>Print Name: Seth Meyer</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Title: President</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LENDERS: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HERCULES CAPITAL, INC.</w:t>
      </w:r>
    </w:p>
    <w:p>
      <w:pPr>
        <w:pStyle w:val="TextBody"/>
        <w:bidi w:val="0"/>
        <w:jc w:val="left"/>
        <w:rPr>
          <w:rFonts w:ascii="Times New Roman" w:hAnsi="Times New Roman"/>
          <w:sz w:val="20"/>
        </w:rPr>
      </w:pPr>
      <w:r>
        <w:rPr>
          <w:rFonts w:ascii="Times New Roman" w:hAnsi="Times New Roman"/>
          <w:color w:val="000000"/>
          <w:sz w:val="22"/>
        </w:rPr>
        <w:t>Signature:</w:t>
      </w:r>
      <w:r>
        <w:rPr>
          <w:rFonts w:ascii="Times New Roman" w:hAnsi="Times New Roman"/>
          <w:color w:val="000000"/>
          <w:sz w:val="22"/>
          <w:u w:val="single"/>
        </w:rPr>
        <w:t xml:space="preserve">/s/ Seth Meyer </w:t>
      </w:r>
    </w:p>
    <w:p>
      <w:pPr>
        <w:pStyle w:val="TextBody"/>
        <w:bidi w:val="0"/>
        <w:jc w:val="left"/>
        <w:rPr>
          <w:rFonts w:ascii="Times New Roman" w:hAnsi="Times New Roman"/>
          <w:color w:val="000000"/>
          <w:sz w:val="22"/>
        </w:rPr>
      </w:pPr>
      <w:r>
        <w:rPr>
          <w:rFonts w:ascii="Times New Roman" w:hAnsi="Times New Roman"/>
          <w:color w:val="000000"/>
          <w:sz w:val="22"/>
        </w:rPr>
        <w:t>Print Name: Seth Meyer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Title: President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HERCULES CAPITAL IV, L.P.</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By: Hercules Technology SBIC Management, LLC, its General Partner</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By: Hercules Capital, Inc., its Manager</w:t>
      </w:r>
    </w:p>
    <w:p>
      <w:pPr>
        <w:pStyle w:val="TextBody"/>
        <w:bidi w:val="0"/>
        <w:jc w:val="left"/>
        <w:rPr>
          <w:rFonts w:ascii="Times New Roman" w:hAnsi="Times New Roman"/>
          <w:sz w:val="20"/>
        </w:rPr>
      </w:pPr>
      <w:r>
        <w:rPr>
          <w:rFonts w:ascii="Times New Roman" w:hAnsi="Times New Roman"/>
          <w:color w:val="000000"/>
          <w:sz w:val="22"/>
        </w:rPr>
        <w:t>Signature:</w:t>
      </w:r>
      <w:r>
        <w:rPr>
          <w:rFonts w:ascii="Times New Roman" w:hAnsi="Times New Roman"/>
          <w:color w:val="000000"/>
          <w:sz w:val="22"/>
          <w:u w:val="single"/>
        </w:rPr>
        <w:t xml:space="preserve">/s/ Seth Meyer </w:t>
      </w:r>
    </w:p>
    <w:p>
      <w:pPr>
        <w:pStyle w:val="TextBody"/>
        <w:bidi w:val="0"/>
        <w:jc w:val="left"/>
        <w:rPr>
          <w:rFonts w:ascii="Times New Roman" w:hAnsi="Times New Roman"/>
          <w:color w:val="000000"/>
          <w:sz w:val="22"/>
        </w:rPr>
      </w:pPr>
      <w:r>
        <w:rPr>
          <w:rFonts w:ascii="Times New Roman" w:hAnsi="Times New Roman"/>
          <w:color w:val="000000"/>
          <w:sz w:val="22"/>
        </w:rPr>
        <w:t>Print Name: Seth Meyer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Title: President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HERCULES SBIC V, L.P.</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By: Hercules Technology SBIC Management, LLC, its General Partner</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By: Hercules Capital, Inc., its Manager</w:t>
      </w:r>
    </w:p>
    <w:p>
      <w:pPr>
        <w:pStyle w:val="TextBody"/>
        <w:bidi w:val="0"/>
        <w:jc w:val="left"/>
        <w:rPr>
          <w:rFonts w:ascii="Times New Roman" w:hAnsi="Times New Roman"/>
          <w:sz w:val="20"/>
        </w:rPr>
      </w:pPr>
      <w:r>
        <w:rPr>
          <w:rFonts w:ascii="Times New Roman" w:hAnsi="Times New Roman"/>
          <w:color w:val="000000"/>
          <w:sz w:val="22"/>
        </w:rPr>
        <w:t>Signature:</w:t>
      </w:r>
      <w:r>
        <w:rPr>
          <w:rFonts w:ascii="Times New Roman" w:hAnsi="Times New Roman"/>
          <w:color w:val="000000"/>
          <w:sz w:val="22"/>
          <w:u w:val="single"/>
        </w:rPr>
        <w:t xml:space="preserve">/s/ Seth Meyer </w:t>
      </w:r>
    </w:p>
    <w:p>
      <w:pPr>
        <w:pStyle w:val="TextBody"/>
        <w:bidi w:val="0"/>
        <w:jc w:val="left"/>
        <w:rPr>
          <w:rFonts w:ascii="Times New Roman" w:hAnsi="Times New Roman"/>
          <w:color w:val="000000"/>
          <w:sz w:val="22"/>
        </w:rPr>
      </w:pPr>
      <w:r>
        <w:rPr>
          <w:rFonts w:ascii="Times New Roman" w:hAnsi="Times New Roman"/>
          <w:color w:val="000000"/>
          <w:sz w:val="22"/>
        </w:rPr>
        <w:t>Print Name: Seth Meyer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Title: President</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[Signature Page – First Amendment to Loan and Security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HERCULES PRIVATE CREDIT FUND 1 L.P.</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By: Hercules Private Global Venture Growth Fund GP I LLC, its General Partner</w:t>
      </w:r>
    </w:p>
    <w:p>
      <w:pPr>
        <w:pStyle w:val="TextBody"/>
        <w:bidi w:val="0"/>
        <w:jc w:val="left"/>
        <w:rPr>
          <w:rFonts w:ascii="Times New Roman" w:hAnsi="Times New Roman"/>
          <w:sz w:val="20"/>
        </w:rPr>
      </w:pPr>
      <w:r>
        <w:rPr>
          <w:rFonts w:ascii="Times New Roman" w:hAnsi="Times New Roman"/>
          <w:color w:val="000000"/>
          <w:sz w:val="22"/>
        </w:rPr>
        <w:t>Signature:</w:t>
      </w:r>
      <w:r>
        <w:rPr>
          <w:rFonts w:ascii="Times New Roman" w:hAnsi="Times New Roman"/>
          <w:color w:val="000000"/>
          <w:sz w:val="20"/>
          <w:u w:val="single"/>
        </w:rPr>
        <w:t xml:space="preserve"> </w:t>
      </w:r>
      <w:r>
        <w:rPr>
          <w:rFonts w:ascii="Times New Roman" w:hAnsi="Times New Roman"/>
          <w:color w:val="000000"/>
          <w:sz w:val="22"/>
          <w:u w:val="single"/>
        </w:rPr>
        <w:t xml:space="preserve">/s/ Seth Meyer </w:t>
      </w:r>
    </w:p>
    <w:p>
      <w:pPr>
        <w:pStyle w:val="TextBody"/>
        <w:bidi w:val="0"/>
        <w:jc w:val="left"/>
        <w:rPr>
          <w:rFonts w:ascii="Times New Roman" w:hAnsi="Times New Roman"/>
          <w:color w:val="000000"/>
          <w:sz w:val="22"/>
        </w:rPr>
      </w:pPr>
      <w:r>
        <w:rPr>
          <w:rFonts w:ascii="Times New Roman" w:hAnsi="Times New Roman"/>
          <w:color w:val="000000"/>
          <w:sz w:val="22"/>
        </w:rPr>
        <w:t>Print Name: Seth Meyer</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Title: Authorized Signatory</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HERCULES PRIVATE FUND ONE LLC</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By: Hercules Private Credit Fund 1 L.P., its sole member</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By: Hercules Private Global Venture Growth Fund GP I LLC</w:t>
      </w:r>
    </w:p>
    <w:p>
      <w:pPr>
        <w:pStyle w:val="TextBody"/>
        <w:bidi w:val="0"/>
        <w:jc w:val="left"/>
        <w:rPr>
          <w:rFonts w:ascii="Times New Roman" w:hAnsi="Times New Roman"/>
          <w:sz w:val="20"/>
        </w:rPr>
      </w:pPr>
      <w:r>
        <w:rPr>
          <w:rFonts w:ascii="Times New Roman" w:hAnsi="Times New Roman"/>
          <w:color w:val="000000"/>
          <w:sz w:val="22"/>
        </w:rPr>
        <w:t>Signature:</w:t>
      </w:r>
      <w:r>
        <w:rPr>
          <w:rFonts w:ascii="Times New Roman" w:hAnsi="Times New Roman"/>
          <w:color w:val="000000"/>
          <w:sz w:val="20"/>
          <w:u w:val="single"/>
        </w:rPr>
        <w:t xml:space="preserve"> </w:t>
      </w:r>
      <w:r>
        <w:rPr>
          <w:rFonts w:ascii="Times New Roman" w:hAnsi="Times New Roman"/>
          <w:color w:val="000000"/>
          <w:sz w:val="22"/>
          <w:u w:val="single"/>
        </w:rPr>
        <w:t xml:space="preserve">/s/ Seth Meyer </w:t>
      </w:r>
    </w:p>
    <w:p>
      <w:pPr>
        <w:pStyle w:val="TextBody"/>
        <w:bidi w:val="0"/>
        <w:jc w:val="left"/>
        <w:rPr>
          <w:rFonts w:ascii="Times New Roman" w:hAnsi="Times New Roman"/>
          <w:color w:val="000000"/>
          <w:sz w:val="22"/>
        </w:rPr>
      </w:pPr>
      <w:r>
        <w:rPr>
          <w:rFonts w:ascii="Times New Roman" w:hAnsi="Times New Roman"/>
          <w:color w:val="000000"/>
          <w:sz w:val="22"/>
        </w:rPr>
        <w:t>Print Name: Seth Meyer</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Title: Authorized Signatory</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HERCULES PRIVATE GLOBAL VENTURE GROWTH FUND I L.P.</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By: Hercules Private Global Venture Growth Fund GP I LLC, its General Partner</w:t>
      </w:r>
    </w:p>
    <w:p>
      <w:pPr>
        <w:pStyle w:val="TextBody"/>
        <w:bidi w:val="0"/>
        <w:jc w:val="left"/>
        <w:rPr>
          <w:rFonts w:ascii="Times New Roman" w:hAnsi="Times New Roman"/>
          <w:sz w:val="20"/>
        </w:rPr>
      </w:pPr>
      <w:r>
        <w:rPr>
          <w:rFonts w:ascii="Times New Roman" w:hAnsi="Times New Roman"/>
          <w:color w:val="000000"/>
          <w:sz w:val="22"/>
        </w:rPr>
        <w:t>Signature:</w:t>
      </w:r>
      <w:r>
        <w:rPr>
          <w:rFonts w:ascii="Times New Roman" w:hAnsi="Times New Roman"/>
          <w:color w:val="000000"/>
          <w:sz w:val="20"/>
          <w:u w:val="single"/>
        </w:rPr>
        <w:t xml:space="preserve"> </w:t>
      </w:r>
      <w:r>
        <w:rPr>
          <w:rFonts w:ascii="Times New Roman" w:hAnsi="Times New Roman"/>
          <w:color w:val="000000"/>
          <w:sz w:val="22"/>
          <w:u w:val="single"/>
        </w:rPr>
        <w:t xml:space="preserve">/s/ Seth Meyer </w:t>
      </w:r>
    </w:p>
    <w:p>
      <w:pPr>
        <w:pStyle w:val="TextBody"/>
        <w:bidi w:val="0"/>
        <w:jc w:val="left"/>
        <w:rPr>
          <w:rFonts w:ascii="Times New Roman" w:hAnsi="Times New Roman"/>
          <w:color w:val="000000"/>
          <w:sz w:val="22"/>
        </w:rPr>
      </w:pPr>
      <w:r>
        <w:rPr>
          <w:rFonts w:ascii="Times New Roman" w:hAnsi="Times New Roman"/>
          <w:color w:val="000000"/>
          <w:sz w:val="22"/>
        </w:rPr>
        <w:t>Print Name: Seth Meyer</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Title: Authorized Signatory</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[Signature Page – First Amendment to Loan and Security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HERCULES GROWTH LENDING FUND IVLP</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By: Hercules Growth Lending Fund GP LLC, its General Partner</w:t>
      </w:r>
    </w:p>
    <w:p>
      <w:pPr>
        <w:pStyle w:val="TextBody"/>
        <w:bidi w:val="0"/>
        <w:jc w:val="left"/>
        <w:rPr>
          <w:rFonts w:ascii="Times New Roman" w:hAnsi="Times New Roman"/>
          <w:sz w:val="20"/>
        </w:rPr>
      </w:pPr>
      <w:r>
        <w:rPr>
          <w:rFonts w:ascii="Times New Roman" w:hAnsi="Times New Roman"/>
          <w:color w:val="000000"/>
          <w:sz w:val="22"/>
        </w:rPr>
        <w:t>Signature:</w:t>
      </w:r>
      <w:r>
        <w:rPr>
          <w:rFonts w:ascii="Times New Roman" w:hAnsi="Times New Roman"/>
          <w:color w:val="000000"/>
          <w:sz w:val="20"/>
          <w:u w:val="single"/>
        </w:rPr>
        <w:t xml:space="preserve"> </w:t>
      </w:r>
      <w:r>
        <w:rPr>
          <w:rFonts w:ascii="Times New Roman" w:hAnsi="Times New Roman"/>
          <w:color w:val="000000"/>
          <w:sz w:val="22"/>
          <w:u w:val="single"/>
        </w:rPr>
        <w:t xml:space="preserve">/s/ Seth Meyer </w:t>
      </w:r>
    </w:p>
    <w:p>
      <w:pPr>
        <w:pStyle w:val="TextBody"/>
        <w:bidi w:val="0"/>
        <w:jc w:val="left"/>
        <w:rPr>
          <w:rFonts w:ascii="Times New Roman" w:hAnsi="Times New Roman"/>
          <w:color w:val="000000"/>
          <w:sz w:val="22"/>
        </w:rPr>
      </w:pPr>
      <w:r>
        <w:rPr>
          <w:rFonts w:ascii="Times New Roman" w:hAnsi="Times New Roman"/>
          <w:color w:val="000000"/>
          <w:sz w:val="22"/>
        </w:rPr>
        <w:t>Print Name: Seth Meyer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Title: Authorized Signatory</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[Signature Page – First Amendment to Loan and Security Agreement]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Annex A</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Amended Loan Agreement</w:t>
      </w:r>
    </w:p>
    <w:p>
      <w:pPr>
        <w:pStyle w:val="TextBody"/>
        <w:bidi w:val="0"/>
        <w:spacing w:before="0" w:after="240"/>
        <w:jc w:val="center"/>
        <w:rPr>
          <w:rFonts w:ascii="Times New Roman" w:hAnsi="Times New Roman"/>
          <w:sz w:val="20"/>
        </w:rPr>
      </w:pPr>
      <w:r>
        <w:rPr>
          <w:rFonts w:ascii="Times New Roman" w:hAnsi="Times New Roman"/>
          <w:color w:val="000000"/>
          <w:sz w:val="22"/>
        </w:rPr>
        <w:t xml:space="preserve">(see </w:t>
      </w:r>
      <w:r>
        <w:rPr>
          <w:rFonts w:ascii="Times New Roman" w:hAnsi="Times New Roman"/>
          <w:i/>
          <w:color w:val="000000"/>
          <w:sz w:val="22"/>
        </w:rPr>
        <w:t>attached</w:t>
      </w:r>
      <w:r>
        <w:rPr>
          <w:rFonts w:ascii="Times New Roman" w:hAnsi="Times New Roman"/>
          <w:color w:val="000000"/>
          <w:sz w:val="22"/>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r>
        <w:rPr>
          <w:rFonts w:ascii="Times New Roman" w:hAnsi="Times New Roman"/>
          <w:b/>
          <w:i/>
          <w:strike/>
          <w:color w:val="FF0000"/>
          <w:sz w:val="22"/>
        </w:rPr>
        <w:t>Execution Version</w:t>
      </w:r>
      <w:r>
        <w:rPr>
          <w:rFonts w:ascii="Times New Roman" w:hAnsi="Times New Roman"/>
          <w:b/>
          <w:i/>
          <w:color w:val="0000FF"/>
          <w:sz w:val="22"/>
          <w:u w:val="single"/>
        </w:rPr>
        <w:t>Conformed through First Amendment Closing Date</w:t>
      </w:r>
    </w:p>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LOAN AND SECURITY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THIS LOAN AND SECURITY AGREEMENT </w:t>
      </w:r>
      <w:r>
        <w:rPr>
          <w:rFonts w:ascii="Times New Roman" w:hAnsi="Times New Roman"/>
          <w:color w:val="0000FF"/>
          <w:sz w:val="22"/>
          <w:u w:val="single"/>
        </w:rPr>
        <w:t>(as amended by that certain First Amendment)</w:t>
      </w:r>
      <w:r>
        <w:rPr>
          <w:rFonts w:ascii="Times New Roman" w:hAnsi="Times New Roman"/>
          <w:color w:val="0000FF"/>
          <w:sz w:val="20"/>
        </w:rPr>
        <w:t xml:space="preserve"> </w:t>
      </w:r>
      <w:r>
        <w:rPr>
          <w:rFonts w:ascii="Times New Roman" w:hAnsi="Times New Roman"/>
          <w:color w:val="000000"/>
          <w:sz w:val="22"/>
        </w:rPr>
        <w:t>is made and dated as of November 6, 2024 and is entered into by and among DISC MEDICINE, INC., a Delaware corporation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and each of its Subsidiaries (other than Excluded Subsidiaries and the MSC Subsidiary) (hereinafter individually and collectively referred to as “</w:t>
      </w:r>
      <w:r>
        <w:rPr>
          <w:rFonts w:ascii="Times New Roman" w:hAnsi="Times New Roman"/>
          <w:color w:val="000000"/>
          <w:sz w:val="22"/>
          <w:u w:val="single"/>
        </w:rPr>
        <w:t>Borrower</w:t>
      </w:r>
      <w:r>
        <w:rPr>
          <w:rFonts w:ascii="Times New Roman" w:hAnsi="Times New Roman"/>
          <w:color w:val="000000"/>
          <w:sz w:val="20"/>
        </w:rPr>
        <w:t>”</w:t>
      </w:r>
      <w:r>
        <w:rPr>
          <w:rFonts w:ascii="Times New Roman" w:hAnsi="Times New Roman"/>
          <w:color w:val="000000"/>
          <w:sz w:val="22"/>
        </w:rPr>
        <w:t>), the several banks and other financial institutions or entities from time to time parties to this Agreement (collectively, referred to as the “</w:t>
      </w:r>
      <w:r>
        <w:rPr>
          <w:rFonts w:ascii="Times New Roman" w:hAnsi="Times New Roman"/>
          <w:color w:val="000000"/>
          <w:sz w:val="22"/>
          <w:u w:val="single"/>
        </w:rPr>
        <w:t>Lenders</w:t>
      </w:r>
      <w:r>
        <w:rPr>
          <w:rFonts w:ascii="Times New Roman" w:hAnsi="Times New Roman"/>
          <w:color w:val="000000"/>
          <w:sz w:val="20"/>
        </w:rPr>
        <w:t>”</w:t>
      </w:r>
      <w:r>
        <w:rPr>
          <w:rFonts w:ascii="Times New Roman" w:hAnsi="Times New Roman"/>
          <w:color w:val="000000"/>
          <w:sz w:val="22"/>
        </w:rPr>
        <w:t>) and HERCULES CAPITAL, INC., a Maryland corporation, in its capacity as administrative agent and collateral agent for itself and Lenders (in such capacity, including any successors or assigns, “</w:t>
      </w:r>
      <w:r>
        <w:rPr>
          <w:rFonts w:ascii="Times New Roman" w:hAnsi="Times New Roman"/>
          <w:color w:val="000000"/>
          <w:sz w:val="22"/>
          <w:u w:val="single"/>
        </w:rPr>
        <w:t>Agent</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RECITALS</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Borrower has requested the Lenders make available to Borrower up to four (4) tranches (Tranche 1, Tranche 2, Tranche 3 and Tranche 4 (as defined herein)) of term loans in an aggregate principal amount of up to Two Hundred Million Dollars ($200,000,000) (collectively, the “</w:t>
      </w:r>
      <w:r>
        <w:rPr>
          <w:rFonts w:ascii="Times New Roman" w:hAnsi="Times New Roman"/>
          <w:color w:val="000000"/>
          <w:sz w:val="22"/>
          <w:u w:val="single"/>
        </w:rPr>
        <w:t>Term Loan</w:t>
      </w:r>
      <w:r>
        <w:rPr>
          <w:rFonts w:ascii="Times New Roman" w:hAnsi="Times New Roman"/>
          <w:color w:val="000000"/>
          <w:sz w:val="20"/>
        </w:rPr>
        <w:t>”</w:t>
      </w:r>
      <w:r>
        <w:rPr>
          <w:rFonts w:ascii="Times New Roman" w:hAnsi="Times New Roman"/>
          <w:color w:val="000000"/>
          <w:sz w:val="22"/>
        </w:rPr>
        <w:t>); and</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The Lenders are willing to make the Term Loan on the terms and conditions set forth in this Agreement.</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NOW, THEREFORE, Borrower, Agent and the Lenders agree as follows:</w:t>
      </w:r>
    </w:p>
    <w:p>
      <w:pPr>
        <w:pStyle w:val="TextBody"/>
        <w:bidi w:val="0"/>
        <w:spacing w:before="0" w:after="240"/>
        <w:jc w:val="center"/>
        <w:rPr>
          <w:rFonts w:ascii="Times New Roman" w:hAnsi="Times New Roman"/>
          <w:sz w:val="20"/>
        </w:rPr>
      </w:pPr>
      <w:r>
        <w:rPr>
          <w:rFonts w:ascii="Times New Roman" w:hAnsi="Times New Roman"/>
          <w:b/>
          <w:color w:val="000000"/>
          <w:sz w:val="22"/>
        </w:rPr>
        <w:t xml:space="preserve">SECTION 1 </w:t>
      </w:r>
      <w:r>
        <w:rPr>
          <w:rFonts w:ascii="Times New Roman" w:hAnsi="Times New Roman"/>
          <w:b/>
          <w:color w:val="000000"/>
          <w:sz w:val="22"/>
          <w:u w:val="single"/>
        </w:rPr>
        <w:t>DEFINITIONS AND RULES OF CONSTRUCTION</w:t>
      </w:r>
    </w:p>
    <w:p>
      <w:pPr>
        <w:pStyle w:val="TextBody"/>
        <w:bidi w:val="0"/>
        <w:spacing w:before="0" w:after="240"/>
        <w:jc w:val="both"/>
        <w:rPr>
          <w:rFonts w:ascii="Times New Roman" w:hAnsi="Times New Roman"/>
          <w:sz w:val="20"/>
        </w:rPr>
      </w:pPr>
      <w:r>
        <w:rPr>
          <w:rFonts w:ascii="Times New Roman" w:hAnsi="Times New Roman"/>
          <w:color w:val="000000"/>
          <w:sz w:val="22"/>
        </w:rPr>
        <w:t>1.1</w:t>
      </w:r>
      <w:r>
        <w:rPr>
          <w:rFonts w:ascii="Times New Roman" w:hAnsi="Times New Roman"/>
          <w:color w:val="000000"/>
          <w:sz w:val="20"/>
        </w:rPr>
        <w:t xml:space="preserve"> </w:t>
      </w:r>
      <w:r>
        <w:rPr>
          <w:rFonts w:ascii="Times New Roman" w:hAnsi="Times New Roman"/>
          <w:color w:val="000000"/>
          <w:sz w:val="22"/>
        </w:rPr>
        <w:t>Unless otherwise defined herein, the following capitalized terms shall have the following meanings:</w:t>
      </w:r>
    </w:p>
    <w:p>
      <w:pPr>
        <w:pStyle w:val="TextBody"/>
        <w:bidi w:val="0"/>
        <w:spacing w:before="0" w:after="240"/>
        <w:jc w:val="both"/>
        <w:rPr/>
      </w:pPr>
      <w:r>
        <w:rPr>
          <w:color w:val="000000"/>
        </w:rPr>
        <w:t>“</w:t>
      </w:r>
      <w:r>
        <w:rPr>
          <w:rFonts w:ascii="Times New Roman" w:hAnsi="Times New Roman"/>
          <w:color w:val="000000"/>
          <w:sz w:val="22"/>
          <w:u w:val="single"/>
        </w:rPr>
        <w:t>Account Control Agreement(s)</w:t>
      </w:r>
      <w:r>
        <w:rPr>
          <w:rFonts w:ascii="Times New Roman" w:hAnsi="Times New Roman"/>
          <w:color w:val="000000"/>
          <w:sz w:val="20"/>
        </w:rPr>
        <w:t xml:space="preserve">” </w:t>
      </w:r>
      <w:r>
        <w:rPr>
          <w:rFonts w:ascii="Times New Roman" w:hAnsi="Times New Roman"/>
          <w:color w:val="000000"/>
          <w:sz w:val="22"/>
        </w:rPr>
        <w:t>means any agreement entered into by and among the Agent, Borrower and a third party bank or other institution (including a Securities Intermediary) in which Borrower maintains a Deposit Account or an account holding Investment Property and which perfects Agent’s first priority security interest in the subject account or accounts.</w:t>
      </w:r>
    </w:p>
    <w:p>
      <w:pPr>
        <w:pStyle w:val="TextBody"/>
        <w:bidi w:val="0"/>
        <w:spacing w:before="0" w:after="240"/>
        <w:jc w:val="both"/>
        <w:rPr/>
      </w:pPr>
      <w:r>
        <w:rPr>
          <w:color w:val="000000"/>
        </w:rPr>
        <w:t>“</w:t>
      </w:r>
      <w:r>
        <w:rPr>
          <w:rFonts w:ascii="Times New Roman" w:hAnsi="Times New Roman"/>
          <w:color w:val="000000"/>
          <w:sz w:val="22"/>
          <w:u w:val="single"/>
        </w:rPr>
        <w:t>ACH Authorization</w:t>
      </w:r>
      <w:r>
        <w:rPr>
          <w:rFonts w:ascii="Times New Roman" w:hAnsi="Times New Roman"/>
          <w:color w:val="000000"/>
          <w:sz w:val="20"/>
        </w:rPr>
        <w:t xml:space="preserve">” </w:t>
      </w:r>
      <w:r>
        <w:rPr>
          <w:rFonts w:ascii="Times New Roman" w:hAnsi="Times New Roman"/>
          <w:color w:val="000000"/>
          <w:sz w:val="22"/>
        </w:rPr>
        <w:t>means the ACH Debit Authorization Agreement in substantially the form of Exhibit G, which account numbers shall be redacted for security purposes if and when filed publicly by the relevant Borrower.</w:t>
      </w:r>
    </w:p>
    <w:p>
      <w:pPr>
        <w:pStyle w:val="TextBody"/>
        <w:bidi w:val="0"/>
        <w:spacing w:before="0" w:after="240"/>
        <w:jc w:val="both"/>
        <w:rPr/>
      </w:pPr>
      <w:r>
        <w:rPr>
          <w:color w:val="000000"/>
        </w:rPr>
        <w:t>“</w:t>
      </w:r>
      <w:r>
        <w:rPr>
          <w:rFonts w:ascii="Times New Roman" w:hAnsi="Times New Roman"/>
          <w:color w:val="000000"/>
          <w:sz w:val="22"/>
          <w:u w:val="single"/>
        </w:rPr>
        <w:t>Acquisition</w:t>
      </w:r>
      <w:r>
        <w:rPr>
          <w:rFonts w:ascii="Times New Roman" w:hAnsi="Times New Roman"/>
          <w:color w:val="000000"/>
          <w:sz w:val="20"/>
        </w:rPr>
        <w:t xml:space="preserve">” </w:t>
      </w:r>
      <w:r>
        <w:rPr>
          <w:rFonts w:ascii="Times New Roman" w:hAnsi="Times New Roman"/>
          <w:color w:val="000000"/>
          <w:sz w:val="22"/>
        </w:rPr>
        <w:t>means any transaction or series of related transactions for the purpose of or resulting, directly or indirectly, in (a) the acquisition of all or substantially all of the assets of a Person, or of any business, line of business or division or other unit of operation of a Person, (b) the acquisition of the Equity Interests of any Person, whether or not involving a merger, consolidation or similar transaction with such other Person, or otherwise causing any Person to become a Subsidiary of Borrower, or (c) the acquisition of, or the right to use, develop or sell (in each case, including through licensing), any product, product line or Intellectual Property of or from any other Person.</w:t>
      </w:r>
    </w:p>
    <w:p>
      <w:pPr>
        <w:pStyle w:val="TextBody"/>
        <w:bidi w:val="0"/>
        <w:spacing w:before="0" w:after="240"/>
        <w:jc w:val="both"/>
        <w:rPr/>
      </w:pPr>
      <w:r>
        <w:rPr>
          <w:color w:val="000000"/>
        </w:rPr>
        <w:t>“</w:t>
      </w:r>
      <w:r>
        <w:rPr>
          <w:rFonts w:ascii="Times New Roman" w:hAnsi="Times New Roman"/>
          <w:color w:val="000000"/>
          <w:sz w:val="22"/>
          <w:u w:val="single"/>
        </w:rPr>
        <w:t>Advance(s)</w:t>
      </w:r>
      <w:r>
        <w:rPr>
          <w:rFonts w:ascii="Times New Roman" w:hAnsi="Times New Roman"/>
          <w:color w:val="000000"/>
          <w:sz w:val="20"/>
        </w:rPr>
        <w:t xml:space="preserve">” </w:t>
      </w:r>
      <w:r>
        <w:rPr>
          <w:rFonts w:ascii="Times New Roman" w:hAnsi="Times New Roman"/>
          <w:color w:val="000000"/>
          <w:sz w:val="22"/>
        </w:rPr>
        <w:t>means a Term Loan Advance.</w:t>
      </w:r>
    </w:p>
    <w:p>
      <w:pPr>
        <w:pStyle w:val="TextBody"/>
        <w:bidi w:val="0"/>
        <w:spacing w:before="0" w:after="240"/>
        <w:jc w:val="both"/>
        <w:rPr/>
      </w:pPr>
      <w:r>
        <w:rPr>
          <w:color w:val="000000"/>
        </w:rPr>
        <w:t>“</w:t>
      </w:r>
      <w:r>
        <w:rPr>
          <w:rFonts w:ascii="Times New Roman" w:hAnsi="Times New Roman"/>
          <w:color w:val="000000"/>
          <w:sz w:val="22"/>
          <w:u w:val="single"/>
        </w:rPr>
        <w:t>Advance Date</w:t>
      </w:r>
      <w:r>
        <w:rPr>
          <w:rFonts w:ascii="Times New Roman" w:hAnsi="Times New Roman"/>
          <w:color w:val="000000"/>
          <w:sz w:val="20"/>
        </w:rPr>
        <w:t xml:space="preserve">” </w:t>
      </w:r>
      <w:r>
        <w:rPr>
          <w:rFonts w:ascii="Times New Roman" w:hAnsi="Times New Roman"/>
          <w:color w:val="000000"/>
          <w:sz w:val="22"/>
        </w:rPr>
        <w:t>means the funding date of any Advance.</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Advance Request</w:t>
      </w:r>
      <w:r>
        <w:rPr>
          <w:rFonts w:ascii="Times New Roman" w:hAnsi="Times New Roman"/>
          <w:color w:val="000000"/>
          <w:sz w:val="20"/>
        </w:rPr>
        <w:t xml:space="preserve">” </w:t>
      </w:r>
      <w:r>
        <w:rPr>
          <w:rFonts w:ascii="Times New Roman" w:hAnsi="Times New Roman"/>
          <w:color w:val="000000"/>
          <w:sz w:val="22"/>
        </w:rPr>
        <w:t xml:space="preserve">means a request for an Advance submitted by Borrower to Agent in substantially the form of </w:t>
      </w:r>
      <w:r>
        <w:rPr>
          <w:rFonts w:ascii="Times New Roman" w:hAnsi="Times New Roman"/>
          <w:color w:val="000000"/>
          <w:sz w:val="22"/>
          <w:u w:val="single"/>
        </w:rPr>
        <w:t>Exhibit A</w:t>
      </w:r>
      <w:r>
        <w:rPr>
          <w:rFonts w:ascii="Times New Roman" w:hAnsi="Times New Roman"/>
          <w:color w:val="000000"/>
          <w:sz w:val="22"/>
        </w:rPr>
        <w:t>, in which account numbers shall be redacted for security purposes if and when filed publicly by Borrower.</w:t>
      </w:r>
    </w:p>
    <w:p>
      <w:pPr>
        <w:pStyle w:val="TextBody"/>
        <w:bidi w:val="0"/>
        <w:spacing w:before="0" w:after="240"/>
        <w:jc w:val="both"/>
        <w:rPr/>
      </w:pPr>
      <w:r>
        <w:rPr>
          <w:color w:val="000000"/>
        </w:rPr>
        <w:t>“</w:t>
      </w:r>
      <w:r>
        <w:rPr>
          <w:rFonts w:ascii="Times New Roman" w:hAnsi="Times New Roman"/>
          <w:color w:val="000000"/>
          <w:sz w:val="22"/>
          <w:u w:val="single"/>
        </w:rPr>
        <w:t>Affiliate</w:t>
      </w:r>
      <w:r>
        <w:rPr>
          <w:rFonts w:ascii="Times New Roman" w:hAnsi="Times New Roman"/>
          <w:color w:val="000000"/>
          <w:sz w:val="20"/>
        </w:rPr>
        <w:t xml:space="preserve">” </w:t>
      </w:r>
      <w:r>
        <w:rPr>
          <w:rFonts w:ascii="Times New Roman" w:hAnsi="Times New Roman"/>
          <w:color w:val="000000"/>
          <w:sz w:val="22"/>
        </w:rPr>
        <w:t>means (a) any Person that directly or indirectly controls, is controlled by, or is under common control with the Person in question, (b) any Person directly or indirectly owning, controlling or holding with power to vote ten percent (10%) or more of the outstanding voting securities of another Person, (c) any Person ten percent (10%) or more of whose outstanding voting securities are directly or indirectly owned, controlled or held by another Person with power to vote such securities, or (d) any Person related by blood or marriage to any Person described in subsection (a), (b) or (c) of this definition. As used in the definition of “Affiliate,” the term “control” means the possession, directly or indirectly, of the power to direct or cause the direction of the management and policies of a Person, whether through ownership of voting securities, by contract or otherwise.</w:t>
      </w:r>
    </w:p>
    <w:p>
      <w:pPr>
        <w:pStyle w:val="TextBody"/>
        <w:bidi w:val="0"/>
        <w:spacing w:before="0" w:after="240"/>
        <w:jc w:val="both"/>
        <w:rPr/>
      </w:pPr>
      <w:r>
        <w:rPr>
          <w:color w:val="000000"/>
        </w:rPr>
        <w:t>“</w:t>
      </w:r>
      <w:r>
        <w:rPr>
          <w:rFonts w:ascii="Times New Roman" w:hAnsi="Times New Roman"/>
          <w:color w:val="000000"/>
          <w:sz w:val="22"/>
          <w:u w:val="single"/>
        </w:rPr>
        <w:t>Agreement</w:t>
      </w:r>
      <w:r>
        <w:rPr>
          <w:rFonts w:ascii="Times New Roman" w:hAnsi="Times New Roman"/>
          <w:color w:val="000000"/>
          <w:sz w:val="20"/>
        </w:rPr>
        <w:t xml:space="preserve">” </w:t>
      </w:r>
      <w:r>
        <w:rPr>
          <w:rFonts w:ascii="Times New Roman" w:hAnsi="Times New Roman"/>
          <w:color w:val="000000"/>
          <w:sz w:val="22"/>
        </w:rPr>
        <w:t>means this Loan and Security Agreement, as amended, restated, amended and restated, supplemented or otherwise modified from time to time.</w:t>
      </w:r>
    </w:p>
    <w:p>
      <w:pPr>
        <w:pStyle w:val="TextBody"/>
        <w:bidi w:val="0"/>
        <w:spacing w:before="0" w:after="240"/>
        <w:jc w:val="both"/>
        <w:rPr/>
      </w:pPr>
      <w:r>
        <w:rPr>
          <w:color w:val="000000"/>
        </w:rPr>
        <w:t>“</w:t>
      </w:r>
      <w:r>
        <w:rPr>
          <w:rFonts w:ascii="Times New Roman" w:hAnsi="Times New Roman"/>
          <w:color w:val="000000"/>
          <w:sz w:val="22"/>
          <w:u w:val="single"/>
        </w:rPr>
        <w:t>Amortization Date</w:t>
      </w:r>
      <w:r>
        <w:rPr>
          <w:rFonts w:ascii="Times New Roman" w:hAnsi="Times New Roman"/>
          <w:color w:val="000000"/>
          <w:sz w:val="20"/>
        </w:rPr>
        <w:t xml:space="preserve">” </w:t>
      </w:r>
      <w:r>
        <w:rPr>
          <w:rFonts w:ascii="Times New Roman" w:hAnsi="Times New Roman"/>
          <w:color w:val="000000"/>
          <w:sz w:val="22"/>
        </w:rPr>
        <w:t>means initially, December 1, 2028; provided however, that if the Tranche 3 Milestone is achieved, such date shall be extended to December 1, 2029.</w:t>
      </w:r>
    </w:p>
    <w:p>
      <w:pPr>
        <w:pStyle w:val="TextBody"/>
        <w:bidi w:val="0"/>
        <w:spacing w:before="0" w:after="240"/>
        <w:jc w:val="both"/>
        <w:rPr/>
      </w:pPr>
      <w:r>
        <w:rPr>
          <w:color w:val="000000"/>
        </w:rPr>
        <w:t>“</w:t>
      </w:r>
      <w:r>
        <w:rPr>
          <w:rFonts w:ascii="Times New Roman" w:hAnsi="Times New Roman"/>
          <w:color w:val="000000"/>
          <w:sz w:val="22"/>
          <w:u w:val="single"/>
        </w:rPr>
        <w:t>Anti-Corruption Laws</w:t>
      </w:r>
      <w:r>
        <w:rPr>
          <w:rFonts w:ascii="Times New Roman" w:hAnsi="Times New Roman"/>
          <w:color w:val="000000"/>
          <w:sz w:val="20"/>
        </w:rPr>
        <w:t xml:space="preserve">” </w:t>
      </w:r>
      <w:r>
        <w:rPr>
          <w:rFonts w:ascii="Times New Roman" w:hAnsi="Times New Roman"/>
          <w:color w:val="000000"/>
          <w:sz w:val="22"/>
        </w:rPr>
        <w:t>means all laws, rules, and regulations of any jurisdiction applicable to Borrower or any of its Affiliates from time to time concerning or relating to bribery or corruption, including without limitation the United States Foreign Corrupt Practices Act of 1977, as amended, the UK Bribery Act 2010 and other similar legislation in any other jurisdictions.</w:t>
      </w:r>
    </w:p>
    <w:p>
      <w:pPr>
        <w:pStyle w:val="TextBody"/>
        <w:bidi w:val="0"/>
        <w:spacing w:before="0" w:after="240"/>
        <w:jc w:val="both"/>
        <w:rPr/>
      </w:pPr>
      <w:r>
        <w:rPr>
          <w:color w:val="000000"/>
        </w:rPr>
        <w:t>“</w:t>
      </w:r>
      <w:r>
        <w:rPr>
          <w:rFonts w:ascii="Times New Roman" w:hAnsi="Times New Roman"/>
          <w:color w:val="000000"/>
          <w:sz w:val="22"/>
          <w:u w:val="single"/>
        </w:rPr>
        <w:t>Anti-Terrorism Laws</w:t>
      </w:r>
      <w:r>
        <w:rPr>
          <w:rFonts w:ascii="Times New Roman" w:hAnsi="Times New Roman"/>
          <w:color w:val="000000"/>
          <w:sz w:val="20"/>
        </w:rPr>
        <w:t xml:space="preserve">” </w:t>
      </w:r>
      <w:r>
        <w:rPr>
          <w:rFonts w:ascii="Times New Roman" w:hAnsi="Times New Roman"/>
          <w:color w:val="000000"/>
          <w:sz w:val="22"/>
        </w:rPr>
        <w:t>means any laws, rules, regulations or orders relating to terrorism or money laundering, including without limitation Executive Order No. 13224 (effective September 24, 2001), the USA PATRIOT Act, the laws comprising or implementing the Bank Secrecy Act, and the laws administered by OFAC.</w:t>
      </w:r>
    </w:p>
    <w:p>
      <w:pPr>
        <w:pStyle w:val="TextBody"/>
        <w:bidi w:val="0"/>
        <w:spacing w:before="0" w:after="240"/>
        <w:jc w:val="both"/>
        <w:rPr/>
      </w:pPr>
      <w:r>
        <w:rPr>
          <w:color w:val="000000"/>
        </w:rPr>
        <w:t>“</w:t>
      </w:r>
      <w:r>
        <w:rPr>
          <w:rFonts w:ascii="Times New Roman" w:hAnsi="Times New Roman"/>
          <w:color w:val="000000"/>
          <w:sz w:val="22"/>
          <w:u w:val="single"/>
        </w:rPr>
        <w:t>Approval Milestone</w:t>
      </w:r>
      <w:r>
        <w:rPr>
          <w:rFonts w:ascii="Times New Roman" w:hAnsi="Times New Roman"/>
          <w:color w:val="000000"/>
          <w:sz w:val="20"/>
        </w:rPr>
        <w:t xml:space="preserve">” </w:t>
      </w:r>
      <w:r>
        <w:rPr>
          <w:rFonts w:ascii="Times New Roman" w:hAnsi="Times New Roman"/>
          <w:color w:val="000000"/>
          <w:sz w:val="22"/>
        </w:rPr>
        <w:t>means the satisfaction of each of the following events: (a) no Default or Event of Default shall have occurred and be continuing, (b) Company shall have stated in Company’s public filings with the Securities and Exchange Commission (as confirmed by Agent in its reasonable discretion) that the FDA has approved the commercialization in the United States of bitopertin for indications related to the treatment of patients with Erythropoietic Porphyria, with a label claim that is generally consistent in all material respects with that sought in Company’s New Drug Application filing, and (c) FDA’s approval of bitopertin shall remain effective.</w:t>
      </w:r>
    </w:p>
    <w:p>
      <w:pPr>
        <w:pStyle w:val="TextBody"/>
        <w:bidi w:val="0"/>
        <w:spacing w:before="0" w:after="240"/>
        <w:jc w:val="both"/>
        <w:rPr/>
      </w:pPr>
      <w:r>
        <w:rPr>
          <w:color w:val="000000"/>
        </w:rPr>
        <w:t>“</w:t>
      </w:r>
      <w:r>
        <w:rPr>
          <w:rFonts w:ascii="Times New Roman" w:hAnsi="Times New Roman"/>
          <w:color w:val="000000"/>
          <w:sz w:val="22"/>
          <w:u w:val="single"/>
        </w:rPr>
        <w:t>Blocked Person</w:t>
      </w:r>
      <w:r>
        <w:rPr>
          <w:rFonts w:ascii="Times New Roman" w:hAnsi="Times New Roman"/>
          <w:color w:val="000000"/>
          <w:sz w:val="20"/>
        </w:rPr>
        <w:t xml:space="preserve">” </w:t>
      </w:r>
      <w:r>
        <w:rPr>
          <w:rFonts w:ascii="Times New Roman" w:hAnsi="Times New Roman"/>
          <w:color w:val="000000"/>
          <w:sz w:val="22"/>
        </w:rPr>
        <w:t>means any Person: (a) listed in the annex to, or is otherwise subject to the provisions of, Executive Order No. 13224, (b) owned or controlled by, or acting for or on behalf of, any Person that is listed in the annex to, or is otherwise subject to the provisions of, Executive Order No. 13224, (c) with which any Lender is prohibited from dealing or otherwise engaging in any transaction by any Anti-Terrorism Law, (d) that commits, threatens or conspires to commit or supports “terrorism” as defined in Executive Order No. 13224, or (e) that is named a “specially designated national” or “blocked person” on the most current list published by OFAC or other similar list.</w:t>
      </w:r>
    </w:p>
    <w:p>
      <w:pPr>
        <w:pStyle w:val="TextBody"/>
        <w:bidi w:val="0"/>
        <w:spacing w:before="0" w:after="240"/>
        <w:jc w:val="both"/>
        <w:rPr/>
      </w:pPr>
      <w:r>
        <w:rPr>
          <w:color w:val="000000"/>
        </w:rPr>
        <w:t>“</w:t>
      </w:r>
      <w:r>
        <w:rPr>
          <w:rFonts w:ascii="Times New Roman" w:hAnsi="Times New Roman"/>
          <w:color w:val="000000"/>
          <w:sz w:val="22"/>
          <w:u w:val="single"/>
        </w:rPr>
        <w:t>Board of Directors</w:t>
      </w:r>
      <w:r>
        <w:rPr>
          <w:rFonts w:ascii="Times New Roman" w:hAnsi="Times New Roman"/>
          <w:color w:val="000000"/>
          <w:sz w:val="20"/>
        </w:rPr>
        <w:t xml:space="preserve">” </w:t>
      </w:r>
      <w:r>
        <w:rPr>
          <w:rFonts w:ascii="Times New Roman" w:hAnsi="Times New Roman"/>
          <w:color w:val="000000"/>
          <w:sz w:val="22"/>
        </w:rPr>
        <w:t>means, with respect to any Person, the board of directors or comparable governing body of such Person, or any subcommittee thereof, as applicable.</w:t>
      </w:r>
    </w:p>
    <w:p>
      <w:pPr>
        <w:pStyle w:val="TextBody"/>
        <w:bidi w:val="0"/>
        <w:spacing w:before="0" w:after="240"/>
        <w:jc w:val="both"/>
        <w:rPr/>
      </w:pPr>
      <w:r>
        <w:rPr>
          <w:color w:val="000000"/>
        </w:rPr>
        <w:t>“</w:t>
      </w:r>
      <w:r>
        <w:rPr>
          <w:rFonts w:ascii="Times New Roman" w:hAnsi="Times New Roman"/>
          <w:color w:val="000000"/>
          <w:sz w:val="22"/>
          <w:u w:val="single"/>
        </w:rPr>
        <w:t>Borrower Products</w:t>
      </w:r>
      <w:r>
        <w:rPr>
          <w:rFonts w:ascii="Times New Roman" w:hAnsi="Times New Roman"/>
          <w:color w:val="000000"/>
          <w:sz w:val="20"/>
        </w:rPr>
        <w:t xml:space="preserve">” </w:t>
      </w:r>
      <w:r>
        <w:rPr>
          <w:rFonts w:ascii="Times New Roman" w:hAnsi="Times New Roman"/>
          <w:color w:val="000000"/>
          <w:sz w:val="22"/>
        </w:rPr>
        <w:t>means all products, software, service offerings, technical data or technology currently being designed, manufactured or sold by Borrower or which Borrower intends to sell,</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license, or distribute in the future including any products or service offerings under development, collectively, together with all products, software, service offerings, technical data or technology that have been sold, licensed or distributed by Borrower since its incorporation and remain material to its business.</w:t>
      </w:r>
    </w:p>
    <w:p>
      <w:pPr>
        <w:pStyle w:val="TextBody"/>
        <w:bidi w:val="0"/>
        <w:spacing w:before="0" w:after="240"/>
        <w:jc w:val="both"/>
        <w:rPr/>
      </w:pPr>
      <w:r>
        <w:rPr>
          <w:color w:val="000000"/>
        </w:rPr>
        <w:t>“</w:t>
      </w:r>
      <w:r>
        <w:rPr>
          <w:rFonts w:ascii="Times New Roman" w:hAnsi="Times New Roman"/>
          <w:color w:val="000000"/>
          <w:sz w:val="22"/>
          <w:u w:val="single"/>
        </w:rPr>
        <w:t>Borrower’s Books</w:t>
      </w:r>
      <w:r>
        <w:rPr>
          <w:rFonts w:ascii="Times New Roman" w:hAnsi="Times New Roman"/>
          <w:color w:val="000000"/>
          <w:sz w:val="20"/>
        </w:rPr>
        <w:t xml:space="preserve">” </w:t>
      </w:r>
      <w:r>
        <w:rPr>
          <w:rFonts w:ascii="Times New Roman" w:hAnsi="Times New Roman"/>
          <w:color w:val="000000"/>
          <w:sz w:val="22"/>
        </w:rPr>
        <w:t>means Borrower’s or any of its Subsidiaries’ books and records including ledgers, federal, state, local and foreign tax returns, records regarding Borrower’s or its Subsidiaries’ assets or liabilities, the Collateral, business operations or financial condition, and all computer programs or storage or any equipment containing such information.</w:t>
      </w:r>
    </w:p>
    <w:p>
      <w:pPr>
        <w:pStyle w:val="TextBody"/>
        <w:bidi w:val="0"/>
        <w:spacing w:before="0" w:after="240"/>
        <w:jc w:val="both"/>
        <w:rPr/>
      </w:pPr>
      <w:r>
        <w:rPr>
          <w:color w:val="000000"/>
        </w:rPr>
        <w:t>“</w:t>
      </w:r>
      <w:r>
        <w:rPr>
          <w:rFonts w:ascii="Times New Roman" w:hAnsi="Times New Roman"/>
          <w:color w:val="000000"/>
          <w:sz w:val="22"/>
          <w:u w:val="single"/>
        </w:rPr>
        <w:t>Business Day</w:t>
      </w:r>
      <w:r>
        <w:rPr>
          <w:rFonts w:ascii="Times New Roman" w:hAnsi="Times New Roman"/>
          <w:color w:val="000000"/>
          <w:sz w:val="20"/>
        </w:rPr>
        <w:t xml:space="preserve">” </w:t>
      </w:r>
      <w:r>
        <w:rPr>
          <w:rFonts w:ascii="Times New Roman" w:hAnsi="Times New Roman"/>
          <w:color w:val="000000"/>
          <w:sz w:val="22"/>
        </w:rPr>
        <w:t>means any day other than Saturday, Sunday and any other day on which banking institutions in the State of California are closed for business.</w:t>
      </w:r>
    </w:p>
    <w:p>
      <w:pPr>
        <w:pStyle w:val="TextBody"/>
        <w:bidi w:val="0"/>
        <w:spacing w:before="0" w:after="240"/>
        <w:jc w:val="both"/>
        <w:rPr/>
      </w:pPr>
      <w:r>
        <w:rPr>
          <w:color w:val="000000"/>
        </w:rPr>
        <w:t>“</w:t>
      </w:r>
      <w:r>
        <w:rPr>
          <w:rFonts w:ascii="Times New Roman" w:hAnsi="Times New Roman"/>
          <w:color w:val="000000"/>
          <w:sz w:val="22"/>
          <w:u w:val="single"/>
        </w:rPr>
        <w:t>Cash</w:t>
      </w:r>
      <w:r>
        <w:rPr>
          <w:rFonts w:ascii="Times New Roman" w:hAnsi="Times New Roman"/>
          <w:color w:val="000000"/>
          <w:sz w:val="20"/>
        </w:rPr>
        <w:t xml:space="preserve">” </w:t>
      </w:r>
      <w:r>
        <w:rPr>
          <w:rFonts w:ascii="Times New Roman" w:hAnsi="Times New Roman"/>
          <w:color w:val="000000"/>
          <w:sz w:val="22"/>
        </w:rPr>
        <w:t>means all cash, cash equivalents and liquid funds.</w:t>
      </w:r>
    </w:p>
    <w:p>
      <w:pPr>
        <w:pStyle w:val="TextBody"/>
        <w:bidi w:val="0"/>
        <w:spacing w:before="0" w:after="240"/>
        <w:jc w:val="both"/>
        <w:rPr/>
      </w:pPr>
      <w:r>
        <w:rPr>
          <w:color w:val="000000"/>
        </w:rPr>
        <w:t>“</w:t>
      </w:r>
      <w:r>
        <w:rPr>
          <w:rFonts w:ascii="Times New Roman" w:hAnsi="Times New Roman"/>
          <w:color w:val="000000"/>
          <w:sz w:val="22"/>
          <w:u w:val="single"/>
        </w:rPr>
        <w:t>Change in Control</w:t>
      </w:r>
      <w:r>
        <w:rPr>
          <w:rFonts w:ascii="Times New Roman" w:hAnsi="Times New Roman"/>
          <w:color w:val="000000"/>
          <w:sz w:val="20"/>
        </w:rPr>
        <w:t xml:space="preserve">” </w:t>
      </w:r>
      <w:r>
        <w:rPr>
          <w:rFonts w:ascii="Times New Roman" w:hAnsi="Times New Roman"/>
          <w:color w:val="000000"/>
          <w:sz w:val="22"/>
        </w:rPr>
        <w:t>means (a) at any reorganization, recapitalization, consolidation or merger (or similar transaction or series of related transactions) of Company, the sale or exchange of outstanding shares (or similar transaction or series of related transactions) of Company in which the holders of Company’s outstanding shares immediately before consummation of such transaction or series of related transactions do not, immediately after consummation of such transaction or series of related transactions, retain shares representing more than fifty percent (50%) of the voting power of the surviving entity of such transaction or series of related transactions (or the parent of such surviving entity if such surviving entity is wholly owned by such parent), in each case without regard to whether Company is the surviving entity, (b) Borrower ceases to own, directly or indirectly, 100% of the ownership interests in each Subsidiary of such Borrower or Guarantor (except for mergers or consolidations of a Subsidiary into another Subsidiary or into Borrower or Guarantor, as applicable, or the dissolution of a Subsidiary, or other transaction, to the extent permitted hereunder) or (c) “change of control”, “fundamental change”, “make-whole fundamental change” or any comparable term under and as defined in any indenture governing any Permitted Convertible Debt has occurred.</w:t>
      </w:r>
    </w:p>
    <w:p>
      <w:pPr>
        <w:pStyle w:val="TextBody"/>
        <w:bidi w:val="0"/>
        <w:spacing w:before="0" w:after="240"/>
        <w:jc w:val="both"/>
        <w:rPr/>
      </w:pPr>
      <w:r>
        <w:rPr>
          <w:color w:val="000000"/>
        </w:rPr>
        <w:t>“</w:t>
      </w:r>
      <w:r>
        <w:rPr>
          <w:rFonts w:ascii="Times New Roman" w:hAnsi="Times New Roman"/>
          <w:color w:val="000000"/>
          <w:sz w:val="22"/>
          <w:u w:val="single"/>
        </w:rPr>
        <w:t>Closing Date</w:t>
      </w:r>
      <w:r>
        <w:rPr>
          <w:rFonts w:ascii="Times New Roman" w:hAnsi="Times New Roman"/>
          <w:color w:val="000000"/>
          <w:sz w:val="20"/>
        </w:rPr>
        <w:t xml:space="preserve">” </w:t>
      </w:r>
      <w:r>
        <w:rPr>
          <w:rFonts w:ascii="Times New Roman" w:hAnsi="Times New Roman"/>
          <w:color w:val="000000"/>
          <w:sz w:val="22"/>
        </w:rPr>
        <w:t>means the date of this Agreement.</w:t>
      </w:r>
    </w:p>
    <w:p>
      <w:pPr>
        <w:pStyle w:val="TextBody"/>
        <w:bidi w:val="0"/>
        <w:spacing w:before="0" w:after="240"/>
        <w:jc w:val="both"/>
        <w:rPr/>
      </w:pPr>
      <w:r>
        <w:rPr>
          <w:color w:val="000000"/>
        </w:rPr>
        <w:t>“</w:t>
      </w:r>
      <w:r>
        <w:rPr>
          <w:rFonts w:ascii="Times New Roman" w:hAnsi="Times New Roman"/>
          <w:color w:val="000000"/>
          <w:sz w:val="22"/>
          <w:u w:val="single"/>
        </w:rPr>
        <w:t>Code</w:t>
      </w:r>
      <w:r>
        <w:rPr>
          <w:rFonts w:ascii="Times New Roman" w:hAnsi="Times New Roman"/>
          <w:color w:val="000000"/>
          <w:sz w:val="20"/>
        </w:rPr>
        <w:t xml:space="preserve">” </w:t>
      </w:r>
      <w:r>
        <w:rPr>
          <w:rFonts w:ascii="Times New Roman" w:hAnsi="Times New Roman"/>
          <w:color w:val="000000"/>
          <w:sz w:val="22"/>
        </w:rPr>
        <w:t>means the Internal Revenue Code of 1986, as amended.</w:t>
      </w:r>
    </w:p>
    <w:p>
      <w:pPr>
        <w:pStyle w:val="TextBody"/>
        <w:bidi w:val="0"/>
        <w:spacing w:before="0" w:after="240"/>
        <w:jc w:val="both"/>
        <w:rPr/>
      </w:pPr>
      <w:r>
        <w:rPr>
          <w:color w:val="000000"/>
        </w:rPr>
        <w:t>“</w:t>
      </w:r>
      <w:r>
        <w:rPr>
          <w:rFonts w:ascii="Times New Roman" w:hAnsi="Times New Roman"/>
          <w:color w:val="000000"/>
          <w:sz w:val="22"/>
          <w:u w:val="single"/>
        </w:rPr>
        <w:t>Common Stock</w:t>
      </w:r>
      <w:r>
        <w:rPr>
          <w:rFonts w:ascii="Times New Roman" w:hAnsi="Times New Roman"/>
          <w:color w:val="000000"/>
          <w:sz w:val="20"/>
        </w:rPr>
        <w:t xml:space="preserve">” </w:t>
      </w:r>
      <w:r>
        <w:rPr>
          <w:rFonts w:ascii="Times New Roman" w:hAnsi="Times New Roman"/>
          <w:color w:val="000000"/>
          <w:sz w:val="22"/>
        </w:rPr>
        <w:t>means the common stock of Company.</w:t>
      </w:r>
    </w:p>
    <w:p>
      <w:pPr>
        <w:pStyle w:val="TextBody"/>
        <w:bidi w:val="0"/>
        <w:spacing w:before="0" w:after="240"/>
        <w:jc w:val="both"/>
        <w:rPr/>
      </w:pPr>
      <w:r>
        <w:rPr>
          <w:color w:val="000000"/>
        </w:rPr>
        <w:t>“</w:t>
      </w:r>
      <w:r>
        <w:rPr>
          <w:rFonts w:ascii="Times New Roman" w:hAnsi="Times New Roman"/>
          <w:color w:val="000000"/>
          <w:sz w:val="22"/>
          <w:u w:val="single"/>
        </w:rPr>
        <w:t>Company IP</w:t>
      </w:r>
      <w:r>
        <w:rPr>
          <w:rFonts w:ascii="Times New Roman" w:hAnsi="Times New Roman"/>
          <w:color w:val="000000"/>
          <w:sz w:val="20"/>
        </w:rPr>
        <w:t xml:space="preserve">” </w:t>
      </w:r>
      <w:r>
        <w:rPr>
          <w:rFonts w:ascii="Times New Roman" w:hAnsi="Times New Roman"/>
          <w:color w:val="000000"/>
          <w:sz w:val="22"/>
        </w:rPr>
        <w:t>means any and all of the following, as they exist in and throughout the United States of America: (a) Current Company IP; (b) improvements, continuations, continuations-in-part, divisions, provisionals or any substitute applications, any Patent issued with respect to any of the Current Company IP, any Patent right claiming the composition of matter of, or the method of making or using, the Products in the United States of America, any reissue, reexamination, renewal or Patent term extension or adjustment (including any supplementary protection certificate) of any such Patent, and any confirmation Patent or registration Patent or patent of addition based on any such Patent; (c) trade secrets or trade secret rights, including any rights to unpatented inventions, know-how, show-how, operating manuals, confidential or proprietary information, research in progress, algorithms, data, databases, data collections, designs, processes, procedures, methods, protocols, materials, formulae, drawings, schematics, blueprints, flow charts, models, strategies, prototypes, techniques, and the results of experimentation and testing, including samples, in each case, as specifically related to any research, development, manufacture, production, use, commercialization, marketing, importing, storage, transport, offer for sale, distribution or sale of the Products; and (d) any and all IP Ancillary Rights specifically relating to any of the foregoing.</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Compliance Certificate</w:t>
      </w:r>
      <w:r>
        <w:rPr>
          <w:rFonts w:ascii="Times New Roman" w:hAnsi="Times New Roman"/>
          <w:color w:val="000000"/>
          <w:sz w:val="20"/>
        </w:rPr>
        <w:t xml:space="preserve">” </w:t>
      </w:r>
      <w:r>
        <w:rPr>
          <w:rFonts w:ascii="Times New Roman" w:hAnsi="Times New Roman"/>
          <w:color w:val="000000"/>
          <w:sz w:val="22"/>
        </w:rPr>
        <w:t>means a certificate submitted by Borrower to Agent in substantially the form of Exhibit E.</w:t>
      </w:r>
    </w:p>
    <w:p>
      <w:pPr>
        <w:pStyle w:val="TextBody"/>
        <w:bidi w:val="0"/>
        <w:spacing w:before="0" w:after="240"/>
        <w:jc w:val="both"/>
        <w:rPr/>
      </w:pPr>
      <w:r>
        <w:rPr>
          <w:color w:val="000000"/>
        </w:rPr>
        <w:t>“</w:t>
      </w:r>
      <w:r>
        <w:rPr>
          <w:rFonts w:ascii="Times New Roman" w:hAnsi="Times New Roman"/>
          <w:color w:val="000000"/>
          <w:sz w:val="22"/>
          <w:u w:val="single"/>
        </w:rPr>
        <w:t>Contingent Obligation</w:t>
      </w:r>
      <w:r>
        <w:rPr>
          <w:rFonts w:ascii="Times New Roman" w:hAnsi="Times New Roman"/>
          <w:color w:val="000000"/>
          <w:sz w:val="20"/>
        </w:rPr>
        <w:t xml:space="preserve">” </w:t>
      </w:r>
      <w:r>
        <w:rPr>
          <w:rFonts w:ascii="Times New Roman" w:hAnsi="Times New Roman"/>
          <w:color w:val="000000"/>
          <w:sz w:val="22"/>
        </w:rPr>
        <w:t>means, as applied to any Person, any direct or indirect liability, contingent or otherwise, of that Person with respect to (i) any Indebtedness, lease, dividend, letter of credit or other obligation of another Person, including any such obligation directly or indirectly guaranteed, endorsed, co-made or discounted or sold with recourse by that Person, or in respect of which that Person is otherwise directly or indirectly liable; (ii) any obligations with respect to undrawn letters of credit, corporate credit cards or merchant services issued for the account of that Person; and (iii) all obligations arising under any interest rate, currency or commodity swap agreement, interest rate cap agreement, interest rate collar agreement, or other agreement or arrangement designated to protect a Person against fluctuation in interest rates, currency exchange rates or commodity prices; provided, however, that the term “Contingent Obligation” shall not include endorsements for collection or deposit in the ordinary course of business. The amount of any Contingent Obligation shall be deemed to be an amount equal to the stated or determined amount of the primary obligation in respect of which such Contingent Obligation is made or, if not stated or determinable, the maximum reasonably anticipated liability in respect thereof as determined by such Person in good faith; provided, however, that such amount shall not in any event exceed the maximum amount of the obligations under the guarantee or other support arrangement.</w:t>
      </w:r>
    </w:p>
    <w:p>
      <w:pPr>
        <w:pStyle w:val="TextBody"/>
        <w:bidi w:val="0"/>
        <w:spacing w:before="0" w:after="240"/>
        <w:jc w:val="both"/>
        <w:rPr/>
      </w:pPr>
      <w:r>
        <w:rPr>
          <w:color w:val="000000"/>
        </w:rPr>
        <w:t>“</w:t>
      </w:r>
      <w:r>
        <w:rPr>
          <w:rFonts w:ascii="Times New Roman" w:hAnsi="Times New Roman"/>
          <w:color w:val="000000"/>
          <w:sz w:val="22"/>
          <w:u w:val="single"/>
        </w:rPr>
        <w:t>Copyright License</w:t>
      </w:r>
      <w:r>
        <w:rPr>
          <w:rFonts w:ascii="Times New Roman" w:hAnsi="Times New Roman"/>
          <w:color w:val="000000"/>
          <w:sz w:val="20"/>
        </w:rPr>
        <w:t xml:space="preserve">” </w:t>
      </w:r>
      <w:r>
        <w:rPr>
          <w:rFonts w:ascii="Times New Roman" w:hAnsi="Times New Roman"/>
          <w:color w:val="000000"/>
          <w:sz w:val="22"/>
        </w:rPr>
        <w:t>means any written agreement granting any right to use any Copyright or Copyright registration, now owned or hereafter acquired by Borrower or in which Borrower now holds or hereafter acquires any interest.</w:t>
      </w:r>
    </w:p>
    <w:p>
      <w:pPr>
        <w:pStyle w:val="TextBody"/>
        <w:bidi w:val="0"/>
        <w:spacing w:before="0" w:after="240"/>
        <w:jc w:val="both"/>
        <w:rPr/>
      </w:pPr>
      <w:r>
        <w:rPr>
          <w:color w:val="000000"/>
        </w:rPr>
        <w:t>“</w:t>
      </w:r>
      <w:r>
        <w:rPr>
          <w:rFonts w:ascii="Times New Roman" w:hAnsi="Times New Roman"/>
          <w:color w:val="000000"/>
          <w:sz w:val="22"/>
          <w:u w:val="single"/>
        </w:rPr>
        <w:t>Copyrights</w:t>
      </w:r>
      <w:r>
        <w:rPr>
          <w:rFonts w:ascii="Times New Roman" w:hAnsi="Times New Roman"/>
          <w:color w:val="000000"/>
          <w:sz w:val="20"/>
        </w:rPr>
        <w:t xml:space="preserve">” </w:t>
      </w:r>
      <w:r>
        <w:rPr>
          <w:rFonts w:ascii="Times New Roman" w:hAnsi="Times New Roman"/>
          <w:color w:val="000000"/>
          <w:sz w:val="22"/>
        </w:rPr>
        <w:t>means all copyrights, whether registered or unregistered, held pursuant to the laws of the United States of America, any State thereof, or of any other country.</w:t>
      </w:r>
    </w:p>
    <w:p>
      <w:pPr>
        <w:pStyle w:val="TextBody"/>
        <w:bidi w:val="0"/>
        <w:spacing w:before="0" w:after="240"/>
        <w:jc w:val="both"/>
        <w:rPr/>
      </w:pPr>
      <w:r>
        <w:rPr>
          <w:color w:val="000000"/>
        </w:rPr>
        <w:t>“</w:t>
      </w:r>
      <w:r>
        <w:rPr>
          <w:rFonts w:ascii="Times New Roman" w:hAnsi="Times New Roman"/>
          <w:color w:val="000000"/>
          <w:sz w:val="22"/>
          <w:u w:val="single"/>
        </w:rPr>
        <w:t>Default</w:t>
      </w:r>
      <w:r>
        <w:rPr>
          <w:rFonts w:ascii="Times New Roman" w:hAnsi="Times New Roman"/>
          <w:color w:val="000000"/>
          <w:sz w:val="20"/>
        </w:rPr>
        <w:t xml:space="preserve">” </w:t>
      </w:r>
      <w:r>
        <w:rPr>
          <w:rFonts w:ascii="Times New Roman" w:hAnsi="Times New Roman"/>
          <w:color w:val="000000"/>
          <w:sz w:val="22"/>
        </w:rPr>
        <w:t>means a fact, event or condition that constitutes an Event of Default or that, with the giving of notice or the lapse of time, or both, would, unless cured or waived, constitute an Event of Default.</w:t>
      </w:r>
    </w:p>
    <w:p>
      <w:pPr>
        <w:pStyle w:val="TextBody"/>
        <w:bidi w:val="0"/>
        <w:spacing w:before="0" w:after="240"/>
        <w:jc w:val="both"/>
        <w:rPr/>
      </w:pPr>
      <w:r>
        <w:rPr>
          <w:color w:val="000000"/>
        </w:rPr>
        <w:t>“</w:t>
      </w:r>
      <w:r>
        <w:rPr>
          <w:rFonts w:ascii="Times New Roman" w:hAnsi="Times New Roman"/>
          <w:color w:val="000000"/>
          <w:sz w:val="22"/>
          <w:u w:val="single"/>
        </w:rPr>
        <w:t>Deposit Accounts</w:t>
      </w:r>
      <w:r>
        <w:rPr>
          <w:rFonts w:ascii="Times New Roman" w:hAnsi="Times New Roman"/>
          <w:color w:val="000000"/>
          <w:sz w:val="20"/>
        </w:rPr>
        <w:t xml:space="preserve">” </w:t>
      </w:r>
      <w:r>
        <w:rPr>
          <w:rFonts w:ascii="Times New Roman" w:hAnsi="Times New Roman"/>
          <w:color w:val="000000"/>
          <w:sz w:val="22"/>
        </w:rPr>
        <w:t>means any “deposit accounts,” as such term is defined in the UCC, and includes any checking account, savings account, or certificate of deposit.</w:t>
      </w:r>
    </w:p>
    <w:p>
      <w:pPr>
        <w:pStyle w:val="TextBody"/>
        <w:bidi w:val="0"/>
        <w:spacing w:before="0" w:after="240"/>
        <w:jc w:val="both"/>
        <w:rPr/>
      </w:pPr>
      <w:r>
        <w:rPr>
          <w:color w:val="000000"/>
        </w:rPr>
        <w:t>“</w:t>
      </w:r>
      <w:r>
        <w:rPr>
          <w:rFonts w:ascii="Times New Roman" w:hAnsi="Times New Roman"/>
          <w:color w:val="000000"/>
          <w:sz w:val="22"/>
          <w:u w:val="single"/>
        </w:rPr>
        <w:t>Division</w:t>
      </w:r>
      <w:r>
        <w:rPr>
          <w:rFonts w:ascii="Times New Roman" w:hAnsi="Times New Roman"/>
          <w:color w:val="000000"/>
          <w:sz w:val="20"/>
        </w:rPr>
        <w:t xml:space="preserve">” </w:t>
      </w:r>
      <w:r>
        <w:rPr>
          <w:rFonts w:ascii="Times New Roman" w:hAnsi="Times New Roman"/>
          <w:color w:val="000000"/>
          <w:sz w:val="22"/>
        </w:rPr>
        <w:t>means, in reference to any Person which is an entity, the division of such Person into two (2) or more separate Persons, with the dividing Person either continuing or terminating its existence as part of such division, including, without limitation, as contemplated under Section 18-217 of the Delaware Limited Liability Company Act for limited liability companies formed under Delaware law, Section 17-220 of the Delaware Revised Uniform Limited Partnership Act for limited partnerships formed under Delaware law, or any analogous action taken pursuant to any other applicable law with respect to any corporation, limited liability company, partnership or other entity.</w:t>
      </w:r>
    </w:p>
    <w:p>
      <w:pPr>
        <w:pStyle w:val="TextBody"/>
        <w:bidi w:val="0"/>
        <w:spacing w:before="0" w:after="240"/>
        <w:jc w:val="both"/>
        <w:rPr/>
      </w:pPr>
      <w:r>
        <w:rPr>
          <w:color w:val="000000"/>
        </w:rPr>
        <w:t>“</w:t>
      </w:r>
      <w:r>
        <w:rPr>
          <w:rFonts w:ascii="Times New Roman" w:hAnsi="Times New Roman"/>
          <w:color w:val="000000"/>
          <w:sz w:val="22"/>
          <w:u w:val="single"/>
        </w:rPr>
        <w:t>Domestic Subsidiary</w:t>
      </w:r>
      <w:r>
        <w:rPr>
          <w:rFonts w:ascii="Times New Roman" w:hAnsi="Times New Roman"/>
          <w:color w:val="000000"/>
          <w:sz w:val="20"/>
        </w:rPr>
        <w:t xml:space="preserve">” </w:t>
      </w:r>
      <w:r>
        <w:rPr>
          <w:rFonts w:ascii="Times New Roman" w:hAnsi="Times New Roman"/>
          <w:color w:val="000000"/>
          <w:sz w:val="22"/>
        </w:rPr>
        <w:t>means any Subsidiary organized under the laws of the United States of America, any State thereof, the District of Columbia, or any other jurisdiction within the United States of America.</w:t>
      </w:r>
    </w:p>
    <w:p>
      <w:pPr>
        <w:pStyle w:val="TextBody"/>
        <w:bidi w:val="0"/>
        <w:spacing w:before="0" w:after="240"/>
        <w:jc w:val="both"/>
        <w:rPr/>
      </w:pPr>
      <w:r>
        <w:rPr>
          <w:color w:val="000000"/>
        </w:rPr>
        <w:t>“</w:t>
      </w:r>
      <w:r>
        <w:rPr>
          <w:rFonts w:ascii="Times New Roman" w:hAnsi="Times New Roman"/>
          <w:color w:val="000000"/>
          <w:sz w:val="22"/>
          <w:u w:val="single"/>
        </w:rPr>
        <w:t>Due Diligence Fee</w:t>
      </w:r>
      <w:r>
        <w:rPr>
          <w:rFonts w:ascii="Times New Roman" w:hAnsi="Times New Roman"/>
          <w:color w:val="000000"/>
          <w:sz w:val="20"/>
        </w:rPr>
        <w:t xml:space="preserve">” </w:t>
      </w:r>
      <w:r>
        <w:rPr>
          <w:rFonts w:ascii="Times New Roman" w:hAnsi="Times New Roman"/>
          <w:color w:val="000000"/>
          <w:sz w:val="22"/>
        </w:rPr>
        <w:t>means $75,000, which fee has been paid to the Agent and received by the Agent prior to the Closing Date and shall be deemed fully earned on such date regardless of the early termination of this Agreement and shall be applied in its entirety on the Closing Date towards the Lenders’ non-legal transaction costs and due diligence expenses.</w:t>
      </w:r>
    </w:p>
    <w:p>
      <w:pPr>
        <w:pStyle w:val="TextBody"/>
        <w:bidi w:val="0"/>
        <w:spacing w:before="0" w:after="240"/>
        <w:jc w:val="both"/>
        <w:rPr/>
      </w:pPr>
      <w:r>
        <w:rPr>
          <w:color w:val="000000"/>
        </w:rPr>
        <w:t>“</w:t>
      </w:r>
      <w:r>
        <w:rPr>
          <w:rFonts w:ascii="Times New Roman" w:hAnsi="Times New Roman"/>
          <w:color w:val="000000"/>
          <w:sz w:val="22"/>
          <w:u w:val="single"/>
        </w:rPr>
        <w:t>End of Term Charge</w:t>
      </w:r>
      <w:r>
        <w:rPr>
          <w:rFonts w:ascii="Times New Roman" w:hAnsi="Times New Roman"/>
          <w:color w:val="000000"/>
          <w:sz w:val="20"/>
        </w:rPr>
        <w:t xml:space="preserve">” </w:t>
      </w:r>
      <w:r>
        <w:rPr>
          <w:rFonts w:ascii="Times New Roman" w:hAnsi="Times New Roman"/>
          <w:color w:val="000000"/>
          <w:sz w:val="22"/>
        </w:rPr>
        <w:t xml:space="preserve">means any end of term charge payable pursuant to </w:t>
      </w:r>
      <w:r>
        <w:rPr>
          <w:rFonts w:ascii="Times New Roman" w:hAnsi="Times New Roman"/>
          <w:color w:val="000000"/>
          <w:sz w:val="22"/>
          <w:u w:val="single"/>
        </w:rPr>
        <w:t>Section 2.6</w:t>
      </w:r>
      <w:r>
        <w:rPr>
          <w:rFonts w:ascii="Times New Roman" w:hAnsi="Times New Roman"/>
          <w:color w:val="000000"/>
          <w:sz w:val="22"/>
        </w:rPr>
        <w:t>.</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End of Term Charge Percentage</w:t>
      </w:r>
      <w:r>
        <w:rPr>
          <w:rFonts w:ascii="Times New Roman" w:hAnsi="Times New Roman"/>
          <w:color w:val="000000"/>
          <w:sz w:val="20"/>
        </w:rPr>
        <w:t xml:space="preserve">” </w:t>
      </w:r>
      <w:r>
        <w:rPr>
          <w:rFonts w:ascii="Times New Roman" w:hAnsi="Times New Roman"/>
          <w:color w:val="000000"/>
          <w:sz w:val="22"/>
        </w:rPr>
        <w:t>means, for any prepayment or repayment of a Term Loan Advance occurring (i) on or before November 6, 2026, 3.95%; (ii) after November 6, 2026 and prior to November 6, 2028, 5.85%; and (iii) on or after November 6, 2028, 6.75%.</w:t>
      </w:r>
    </w:p>
    <w:p>
      <w:pPr>
        <w:pStyle w:val="TextBody"/>
        <w:bidi w:val="0"/>
        <w:spacing w:before="0" w:after="240"/>
        <w:jc w:val="both"/>
        <w:rPr/>
      </w:pPr>
      <w:r>
        <w:rPr>
          <w:color w:val="000000"/>
        </w:rPr>
        <w:t>“</w:t>
      </w:r>
      <w:r>
        <w:rPr>
          <w:rFonts w:ascii="Times New Roman" w:hAnsi="Times New Roman"/>
          <w:color w:val="000000"/>
          <w:sz w:val="22"/>
          <w:u w:val="single"/>
        </w:rPr>
        <w:t>EP Clinical Milestone</w:t>
      </w:r>
      <w:r>
        <w:rPr>
          <w:rFonts w:ascii="Times New Roman" w:hAnsi="Times New Roman"/>
          <w:color w:val="000000"/>
          <w:sz w:val="20"/>
        </w:rPr>
        <w:t xml:space="preserve">” </w:t>
      </w:r>
      <w:r>
        <w:rPr>
          <w:rFonts w:ascii="Times New Roman" w:hAnsi="Times New Roman"/>
          <w:color w:val="000000"/>
          <w:sz w:val="22"/>
        </w:rPr>
        <w:t>means the satisfaction of each of the following events: (a) no Default or Event of Default shall have occurred and be continuing and (b) Company shall have stated in Company’s public filings with the Securities and Exchange Commission and delivered supporting documentation satisfactory to Agent (in each case, as determined by Agent in its reasonable discretion) that it has achieved the protocol specified primary endpoint(s) from a registrational trial evaluating bitopertin for the treatment of patients with Erythropoietic Porphyria which, taken together with other secondary endpoints and overall safety profile, support the submission of a New Drug Application as the next immediate step in development (as determined by Borrower’s executive team and Board of Directors and subject to Lenders’ reasonable verification).</w:t>
      </w:r>
    </w:p>
    <w:p>
      <w:pPr>
        <w:pStyle w:val="TextBody"/>
        <w:bidi w:val="0"/>
        <w:spacing w:before="0" w:after="240"/>
        <w:jc w:val="both"/>
        <w:rPr/>
      </w:pPr>
      <w:r>
        <w:rPr>
          <w:color w:val="000000"/>
        </w:rPr>
        <w:t>“</w:t>
      </w:r>
      <w:r>
        <w:rPr>
          <w:rFonts w:ascii="Times New Roman" w:hAnsi="Times New Roman"/>
          <w:color w:val="000000"/>
          <w:sz w:val="22"/>
          <w:u w:val="single"/>
        </w:rPr>
        <w:t>Equity Interests</w:t>
      </w:r>
      <w:r>
        <w:rPr>
          <w:rFonts w:ascii="Times New Roman" w:hAnsi="Times New Roman"/>
          <w:color w:val="000000"/>
          <w:sz w:val="20"/>
        </w:rPr>
        <w:t xml:space="preserve">” </w:t>
      </w:r>
      <w:r>
        <w:rPr>
          <w:rFonts w:ascii="Times New Roman" w:hAnsi="Times New Roman"/>
          <w:color w:val="000000"/>
          <w:sz w:val="22"/>
        </w:rPr>
        <w:t>means, with respect to any Person, the capital stock, partnership or limited liability company interest, or other equity securities or equity ownership interests of such Person.</w:t>
      </w:r>
    </w:p>
    <w:p>
      <w:pPr>
        <w:pStyle w:val="TextBody"/>
        <w:bidi w:val="0"/>
        <w:spacing w:before="0" w:after="240"/>
        <w:jc w:val="both"/>
        <w:rPr/>
      </w:pPr>
      <w:r>
        <w:rPr>
          <w:color w:val="000000"/>
        </w:rPr>
        <w:t>“</w:t>
      </w:r>
      <w:r>
        <w:rPr>
          <w:rFonts w:ascii="Times New Roman" w:hAnsi="Times New Roman"/>
          <w:color w:val="000000"/>
          <w:sz w:val="22"/>
          <w:u w:val="single"/>
        </w:rPr>
        <w:t>ERISA</w:t>
      </w:r>
      <w:r>
        <w:rPr>
          <w:rFonts w:ascii="Times New Roman" w:hAnsi="Times New Roman"/>
          <w:color w:val="000000"/>
          <w:sz w:val="20"/>
        </w:rPr>
        <w:t xml:space="preserve">” </w:t>
      </w:r>
      <w:r>
        <w:rPr>
          <w:rFonts w:ascii="Times New Roman" w:hAnsi="Times New Roman"/>
          <w:color w:val="000000"/>
          <w:sz w:val="22"/>
        </w:rPr>
        <w:t>means the Employee Retirement Income Security Act of 1974, as amended, and the regulations promulgated thereunder.</w:t>
      </w:r>
    </w:p>
    <w:p>
      <w:pPr>
        <w:pStyle w:val="TextBody"/>
        <w:bidi w:val="0"/>
        <w:spacing w:before="0" w:after="240"/>
        <w:jc w:val="both"/>
        <w:rPr/>
      </w:pPr>
      <w:r>
        <w:rPr>
          <w:color w:val="000000"/>
        </w:rPr>
        <w:t>“</w:t>
      </w:r>
      <w:r>
        <w:rPr>
          <w:rFonts w:ascii="Times New Roman" w:hAnsi="Times New Roman"/>
          <w:color w:val="000000"/>
          <w:sz w:val="22"/>
          <w:u w:val="single"/>
        </w:rPr>
        <w:t>Excluded Account</w:t>
      </w:r>
      <w:r>
        <w:rPr>
          <w:rFonts w:ascii="Times New Roman" w:hAnsi="Times New Roman"/>
          <w:color w:val="000000"/>
          <w:sz w:val="20"/>
        </w:rPr>
        <w:t xml:space="preserve">” </w:t>
      </w:r>
      <w:r>
        <w:rPr>
          <w:rFonts w:ascii="Times New Roman" w:hAnsi="Times New Roman"/>
          <w:color w:val="000000"/>
          <w:sz w:val="22"/>
        </w:rPr>
        <w:t xml:space="preserve">means (a) any deposit account or securities account exclusively used as a trust, collateral, or escrow account, in each case (1) entered into in the ordinary course of business (2) where the applicable Borrower holds the funds exclusively for the benefit of an unaffiliated third party, (3) such funds are pledged or otherwise encumbered as permitted pursuant to </w:t>
      </w:r>
      <w:r>
        <w:rPr>
          <w:rFonts w:ascii="Times New Roman" w:hAnsi="Times New Roman"/>
          <w:color w:val="000000"/>
          <w:sz w:val="22"/>
          <w:u w:val="single"/>
        </w:rPr>
        <w:t>clauses (ii), (vi)</w:t>
      </w:r>
      <w:r>
        <w:rPr>
          <w:rFonts w:ascii="Times New Roman" w:hAnsi="Times New Roman"/>
          <w:color w:val="000000"/>
          <w:sz w:val="22"/>
        </w:rPr>
        <w:t xml:space="preserve">, </w:t>
      </w:r>
      <w:r>
        <w:rPr>
          <w:rFonts w:ascii="Times New Roman" w:hAnsi="Times New Roman"/>
          <w:color w:val="000000"/>
          <w:sz w:val="22"/>
          <w:u w:val="single"/>
        </w:rPr>
        <w:t>(xiv)</w:t>
      </w:r>
      <w:r>
        <w:rPr>
          <w:rFonts w:ascii="Times New Roman" w:hAnsi="Times New Roman"/>
          <w:color w:val="000000"/>
          <w:sz w:val="22"/>
        </w:rPr>
        <w:t xml:space="preserve">, or </w:t>
      </w:r>
      <w:r>
        <w:rPr>
          <w:rFonts w:ascii="Times New Roman" w:hAnsi="Times New Roman"/>
          <w:color w:val="000000"/>
          <w:sz w:val="22"/>
          <w:u w:val="single"/>
        </w:rPr>
        <w:t>(xv)</w:t>
      </w:r>
      <w:r>
        <w:rPr>
          <w:rFonts w:ascii="Times New Roman" w:hAnsi="Times New Roman"/>
          <w:color w:val="000000"/>
          <w:sz w:val="20"/>
        </w:rPr>
        <w:t xml:space="preserve"> </w:t>
      </w:r>
      <w:r>
        <w:rPr>
          <w:rFonts w:ascii="Times New Roman" w:hAnsi="Times New Roman"/>
          <w:color w:val="000000"/>
          <w:sz w:val="22"/>
        </w:rPr>
        <w:t xml:space="preserve">of the definition of Permitted Liens, and (4) only to the extent required to be excluded pursuant to the underlying documents entered into in connection with such Permitted Liens, (b) any deposit account or securities account exclusively used to secure obligations permitted under </w:t>
      </w:r>
      <w:r>
        <w:rPr>
          <w:rFonts w:ascii="Times New Roman" w:hAnsi="Times New Roman"/>
          <w:color w:val="000000"/>
          <w:sz w:val="22"/>
          <w:u w:val="single"/>
        </w:rPr>
        <w:t>clause (vii)</w:t>
      </w:r>
      <w:r>
        <w:rPr>
          <w:rFonts w:ascii="Times New Roman" w:hAnsi="Times New Roman"/>
          <w:color w:val="000000"/>
          <w:sz w:val="20"/>
        </w:rPr>
        <w:t xml:space="preserve"> </w:t>
      </w:r>
      <w:r>
        <w:rPr>
          <w:rFonts w:ascii="Times New Roman" w:hAnsi="Times New Roman"/>
          <w:color w:val="000000"/>
          <w:sz w:val="22"/>
        </w:rPr>
        <w:t>of the definition of Permitted Indebtedness, and (c) any deposit account exclusively used for payroll, payroll taxes and other employee wage and benefit payments to or for any Borrower’s employees, collectively not to exceed the amount to be paid in the ordinary course of business in (x) the next six payroll cycles, during any period in which Borrower maintains Qualified Cash of at least $100,000,000, and (y) the next two payroll cycles, during any period in which Borrower maintains Qualified Cash less than $100,000,000, and (d) any deposit account or securities account located in jurisdictions outside of the United States (collectively, “</w:t>
      </w:r>
      <w:r>
        <w:rPr>
          <w:rFonts w:ascii="Times New Roman" w:hAnsi="Times New Roman"/>
          <w:color w:val="000000"/>
          <w:sz w:val="22"/>
          <w:u w:val="single"/>
        </w:rPr>
        <w:t>Foreign Accounts</w:t>
      </w:r>
      <w:r>
        <w:rPr>
          <w:rFonts w:ascii="Times New Roman" w:hAnsi="Times New Roman"/>
          <w:color w:val="000000"/>
          <w:sz w:val="20"/>
        </w:rPr>
        <w:t>”</w:t>
      </w:r>
      <w:r>
        <w:rPr>
          <w:rFonts w:ascii="Times New Roman" w:hAnsi="Times New Roman"/>
          <w:color w:val="000000"/>
          <w:sz w:val="22"/>
        </w:rPr>
        <w:t>) to the extent that the value of the property held in accounts described in this clause (d) does not exceed an amount equivalent to $1,000,000 United States dollars, in the aggregate for all such Foreign Accounts.</w:t>
      </w:r>
    </w:p>
    <w:p>
      <w:pPr>
        <w:pStyle w:val="TextBody"/>
        <w:bidi w:val="0"/>
        <w:spacing w:before="0" w:after="240"/>
        <w:jc w:val="both"/>
        <w:rPr/>
      </w:pPr>
      <w:r>
        <w:rPr>
          <w:color w:val="000000"/>
        </w:rPr>
        <w:t>“</w:t>
      </w:r>
      <w:r>
        <w:rPr>
          <w:rFonts w:ascii="Times New Roman" w:hAnsi="Times New Roman"/>
          <w:color w:val="000000"/>
          <w:sz w:val="22"/>
          <w:u w:val="single"/>
        </w:rPr>
        <w:t>Excluded Subsidiaries</w:t>
      </w:r>
      <w:r>
        <w:rPr>
          <w:rFonts w:ascii="Times New Roman" w:hAnsi="Times New Roman"/>
          <w:color w:val="000000"/>
          <w:sz w:val="20"/>
        </w:rPr>
        <w:t xml:space="preserve">” </w:t>
      </w:r>
      <w:r>
        <w:rPr>
          <w:rFonts w:ascii="Times New Roman" w:hAnsi="Times New Roman"/>
          <w:color w:val="000000"/>
          <w:sz w:val="22"/>
        </w:rPr>
        <w:t>means all Foreign Subsidiaries that (a) generate in the aggregate less than 5.00% of the consolidated trailing twelve month revenue calculated in accordance with GAAP of the Company and its Subsidiaries as of the last day of the most recent fiscal month for which financial statements of the Company are available or (b) hold in the aggregate assets that constitute less than 5.00% of consolidated total assets of the Company and its Subsidiaries, at any time; provided that, if the consolidated trailing twelve month revenue calculated in accordance with GAAP or consolidated total assets of all Foreign Subsidiaries that would otherwise be an “Excluded Subsidiary” pursuant to clauses (a) and (b) above exceeds (i) 5.00% of the of the consolidated trailing twelve month revenue calculated in accordance with GAAP of the Company and its Subsidiaries for such fiscal month or (ii) 5.00% of consolidated total assets of the Company and its Subsidiaries, at any time, then Borrower shall designate in writing to the Agent one or more of such Foreign Subsidiaries to become a Borrower to the extent necessary to eliminate such excess.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FDA</w:t>
      </w:r>
      <w:r>
        <w:rPr>
          <w:rFonts w:ascii="Times New Roman" w:hAnsi="Times New Roman"/>
          <w:color w:val="000000"/>
          <w:sz w:val="20"/>
        </w:rPr>
        <w:t xml:space="preserve">” </w:t>
      </w:r>
      <w:r>
        <w:rPr>
          <w:rFonts w:ascii="Times New Roman" w:hAnsi="Times New Roman"/>
          <w:color w:val="000000"/>
          <w:sz w:val="22"/>
        </w:rPr>
        <w:t>means the U.S. Food and Drug Administration or any successor thereto or any other comparable Governmental Authority.</w:t>
      </w:r>
    </w:p>
    <w:p>
      <w:pPr>
        <w:pStyle w:val="TextBody"/>
        <w:bidi w:val="0"/>
        <w:spacing w:before="0" w:after="240"/>
        <w:jc w:val="both"/>
        <w:rPr/>
      </w:pPr>
      <w:r>
        <w:rPr>
          <w:color w:val="000000"/>
        </w:rPr>
        <w:t>“</w:t>
      </w:r>
      <w:r>
        <w:rPr>
          <w:rFonts w:ascii="Times New Roman" w:hAnsi="Times New Roman"/>
          <w:color w:val="000000"/>
          <w:sz w:val="22"/>
          <w:u w:val="single"/>
        </w:rPr>
        <w:t>FDA Laws</w:t>
      </w:r>
      <w:r>
        <w:rPr>
          <w:rFonts w:ascii="Times New Roman" w:hAnsi="Times New Roman"/>
          <w:color w:val="000000"/>
          <w:sz w:val="20"/>
        </w:rPr>
        <w:t xml:space="preserve">” </w:t>
      </w:r>
      <w:r>
        <w:rPr>
          <w:rFonts w:ascii="Times New Roman" w:hAnsi="Times New Roman"/>
          <w:color w:val="000000"/>
          <w:sz w:val="22"/>
        </w:rPr>
        <w:t>means all applicable statutes, rules, regulations, published guidance and Requirements of Law administered, implemented, enforced or issued by FDA or any comparable Governmental Authority.</w:t>
      </w:r>
    </w:p>
    <w:p>
      <w:pPr>
        <w:pStyle w:val="TextBody"/>
        <w:bidi w:val="0"/>
        <w:spacing w:before="0" w:after="240"/>
        <w:jc w:val="both"/>
        <w:rPr/>
      </w:pPr>
      <w:r>
        <w:rPr>
          <w:color w:val="000000"/>
        </w:rPr>
        <w:t>“</w:t>
      </w:r>
      <w:r>
        <w:rPr>
          <w:rFonts w:ascii="Times New Roman" w:hAnsi="Times New Roman"/>
          <w:color w:val="000000"/>
          <w:sz w:val="22"/>
          <w:u w:val="single"/>
        </w:rPr>
        <w:t>Federal Health Care Program Laws</w:t>
      </w:r>
      <w:r>
        <w:rPr>
          <w:rFonts w:ascii="Times New Roman" w:hAnsi="Times New Roman"/>
          <w:color w:val="000000"/>
          <w:sz w:val="20"/>
        </w:rPr>
        <w:t xml:space="preserve">” </w:t>
      </w:r>
      <w:r>
        <w:rPr>
          <w:rFonts w:ascii="Times New Roman" w:hAnsi="Times New Roman"/>
          <w:color w:val="000000"/>
          <w:sz w:val="22"/>
        </w:rPr>
        <w:t>means collectively, federal Medicare or federal or state Medicaid statutes, Sections 1128, 1128A, 1128B, 1128C or 1877 of the Social Security Act (42 U.S.C. §§ 1320a-7, 1320a-7a, 1320a-7b, 1320a-7c, 1320a-7h and 1395nn), the federal TRICARE statute (10 U.S.C. § 1071 et seq.), the civil False Claims Act of 1863 (31 U.S.C. § 3729 et seq.), criminal false claims statutes (e.g., 18 U.S.C. §§ 287 and 1001), the Program Fraud Civil Remedies Act of 1986 (31 U.S.C. § 3801 et seq.), and the Health Insurance Portability and Accountability Act of 1996 (42 U.S.C. §§ 1320d-1329d-8), as amended by the Health Information Technology for Economic and Clinical Health Act, enacted as Title XIII of the American Recovery and Reinvestment Act of 2009, Public Law 111-5 (collectively, “HIPAA”) or related regulations or other Requirements of Law applicable to Borrower that directly or indirectly govern the health care industry, programs of Governmental Authorities related to healthcare, health care professionals or other health care participants, or relationships among health care providers, suppliers, distributors, manufacturers and patients.</w:t>
      </w:r>
    </w:p>
    <w:p>
      <w:pPr>
        <w:pStyle w:val="TextBody"/>
        <w:bidi w:val="0"/>
        <w:spacing w:before="0" w:after="240"/>
        <w:jc w:val="both"/>
        <w:rPr>
          <w:color w:val="0000FF"/>
          <w:u w:val="single"/>
        </w:rPr>
      </w:pPr>
      <w:r>
        <w:rPr>
          <w:color w:val="0000FF"/>
          <w:u w:val="single"/>
        </w:rPr>
        <w:t>“</w:t>
      </w:r>
      <w:r>
        <w:rPr>
          <w:rFonts w:ascii="Times New Roman" w:hAnsi="Times New Roman"/>
          <w:color w:val="0000FF"/>
          <w:sz w:val="22"/>
          <w:u w:val="single"/>
        </w:rPr>
        <w:t>First Amendment” means that certain First Amendment to Loan and Security Agreement dated as of the First Amendment Closing Date.</w:t>
      </w:r>
    </w:p>
    <w:p>
      <w:pPr>
        <w:pStyle w:val="TextBody"/>
        <w:bidi w:val="0"/>
        <w:spacing w:before="0" w:after="240"/>
        <w:jc w:val="both"/>
        <w:rPr>
          <w:color w:val="0000FF"/>
          <w:u w:val="single"/>
        </w:rPr>
      </w:pPr>
      <w:r>
        <w:rPr>
          <w:color w:val="0000FF"/>
          <w:u w:val="single"/>
        </w:rPr>
        <w:t>“</w:t>
      </w:r>
      <w:r>
        <w:rPr>
          <w:rFonts w:ascii="Times New Roman" w:hAnsi="Times New Roman"/>
          <w:color w:val="0000FF"/>
          <w:sz w:val="22"/>
          <w:u w:val="single"/>
        </w:rPr>
        <w:t>First Amendment Closing Date” means June 25, 2026.</w:t>
      </w:r>
    </w:p>
    <w:p>
      <w:pPr>
        <w:pStyle w:val="TextBody"/>
        <w:bidi w:val="0"/>
        <w:spacing w:before="0" w:after="240"/>
        <w:jc w:val="both"/>
        <w:rPr/>
      </w:pPr>
      <w:r>
        <w:rPr>
          <w:color w:val="000000"/>
        </w:rPr>
        <w:t>“</w:t>
      </w:r>
      <w:r>
        <w:rPr>
          <w:rFonts w:ascii="Times New Roman" w:hAnsi="Times New Roman"/>
          <w:color w:val="000000"/>
          <w:sz w:val="22"/>
          <w:u w:val="single"/>
        </w:rPr>
        <w:t>Foreign Subsidiary</w:t>
      </w:r>
      <w:r>
        <w:rPr>
          <w:rFonts w:ascii="Times New Roman" w:hAnsi="Times New Roman"/>
          <w:color w:val="000000"/>
          <w:sz w:val="20"/>
        </w:rPr>
        <w:t xml:space="preserve">” </w:t>
      </w:r>
      <w:r>
        <w:rPr>
          <w:rFonts w:ascii="Times New Roman" w:hAnsi="Times New Roman"/>
          <w:color w:val="000000"/>
          <w:sz w:val="22"/>
        </w:rPr>
        <w:t>means any Subsidiary other than a Domestic Subsidiary.</w:t>
      </w:r>
    </w:p>
    <w:p>
      <w:pPr>
        <w:pStyle w:val="TextBody"/>
        <w:bidi w:val="0"/>
        <w:spacing w:before="0" w:after="240"/>
        <w:jc w:val="both"/>
        <w:rPr/>
      </w:pPr>
      <w:r>
        <w:rPr>
          <w:color w:val="000000"/>
        </w:rPr>
        <w:t>“</w:t>
      </w:r>
      <w:r>
        <w:rPr>
          <w:rFonts w:ascii="Times New Roman" w:hAnsi="Times New Roman"/>
          <w:color w:val="000000"/>
          <w:sz w:val="22"/>
          <w:u w:val="single"/>
        </w:rPr>
        <w:t>GAAP</w:t>
      </w:r>
      <w:r>
        <w:rPr>
          <w:rFonts w:ascii="Times New Roman" w:hAnsi="Times New Roman"/>
          <w:color w:val="000000"/>
          <w:sz w:val="20"/>
        </w:rPr>
        <w:t xml:space="preserve">” </w:t>
      </w:r>
      <w:r>
        <w:rPr>
          <w:rFonts w:ascii="Times New Roman" w:hAnsi="Times New Roman"/>
          <w:color w:val="000000"/>
          <w:sz w:val="22"/>
        </w:rPr>
        <w:t>means generally accepted accounting principles in the United States of America, as in effect from time to time.</w:t>
      </w:r>
    </w:p>
    <w:p>
      <w:pPr>
        <w:pStyle w:val="TextBody"/>
        <w:bidi w:val="0"/>
        <w:spacing w:before="0" w:after="240"/>
        <w:jc w:val="both"/>
        <w:rPr/>
      </w:pPr>
      <w:r>
        <w:rPr>
          <w:color w:val="000000"/>
        </w:rPr>
        <w:t>“</w:t>
      </w:r>
      <w:r>
        <w:rPr>
          <w:rFonts w:ascii="Times New Roman" w:hAnsi="Times New Roman"/>
          <w:color w:val="000000"/>
          <w:sz w:val="22"/>
          <w:u w:val="single"/>
        </w:rPr>
        <w:t>Governmental Authority</w:t>
      </w:r>
      <w:r>
        <w:rPr>
          <w:rFonts w:ascii="Times New Roman" w:hAnsi="Times New Roman"/>
          <w:color w:val="000000"/>
          <w:sz w:val="20"/>
        </w:rPr>
        <w:t xml:space="preserve">” </w:t>
      </w:r>
      <w:r>
        <w:rPr>
          <w:rFonts w:ascii="Times New Roman" w:hAnsi="Times New Roman"/>
          <w:color w:val="000000"/>
          <w:sz w:val="22"/>
        </w:rPr>
        <w:t>means any federal, state, municipal, national or other government, governmental department, commission, board, bureau, court, agency or instrumentality or political subdivision thereof (including the FDA) or any entity or officer exercising executive, legislative, judicial, regulatory or administrative functions of or pertaining to any government or any court, in each case whether associated with a state or locality of the United States, the United States, or a foreign government.</w:t>
      </w:r>
    </w:p>
    <w:p>
      <w:pPr>
        <w:pStyle w:val="TextBody"/>
        <w:bidi w:val="0"/>
        <w:spacing w:before="0" w:after="240"/>
        <w:jc w:val="both"/>
        <w:rPr/>
      </w:pPr>
      <w:r>
        <w:rPr>
          <w:color w:val="000000"/>
        </w:rPr>
        <w:t>“</w:t>
      </w:r>
      <w:r>
        <w:rPr>
          <w:rFonts w:ascii="Times New Roman" w:hAnsi="Times New Roman"/>
          <w:color w:val="000000"/>
          <w:sz w:val="22"/>
          <w:u w:val="single"/>
        </w:rPr>
        <w:t>Guarantor</w:t>
      </w:r>
      <w:r>
        <w:rPr>
          <w:rFonts w:ascii="Times New Roman" w:hAnsi="Times New Roman"/>
          <w:color w:val="000000"/>
          <w:sz w:val="20"/>
        </w:rPr>
        <w:t xml:space="preserve">” </w:t>
      </w:r>
      <w:r>
        <w:rPr>
          <w:rFonts w:ascii="Times New Roman" w:hAnsi="Times New Roman"/>
          <w:color w:val="000000"/>
          <w:sz w:val="22"/>
        </w:rPr>
        <w:t>means any Subsidiary of Borrower that enters into a Guaranty.</w:t>
      </w:r>
    </w:p>
    <w:p>
      <w:pPr>
        <w:pStyle w:val="TextBody"/>
        <w:bidi w:val="0"/>
        <w:spacing w:before="0" w:after="240"/>
        <w:jc w:val="both"/>
        <w:rPr/>
      </w:pPr>
      <w:r>
        <w:rPr>
          <w:color w:val="000000"/>
        </w:rPr>
        <w:t>“</w:t>
      </w:r>
      <w:r>
        <w:rPr>
          <w:rFonts w:ascii="Times New Roman" w:hAnsi="Times New Roman"/>
          <w:color w:val="000000"/>
          <w:sz w:val="22"/>
          <w:u w:val="single"/>
        </w:rPr>
        <w:t>Guaranty</w:t>
      </w:r>
      <w:r>
        <w:rPr>
          <w:rFonts w:ascii="Times New Roman" w:hAnsi="Times New Roman"/>
          <w:color w:val="000000"/>
          <w:sz w:val="20"/>
        </w:rPr>
        <w:t xml:space="preserve">” </w:t>
      </w:r>
      <w:r>
        <w:rPr>
          <w:rFonts w:ascii="Times New Roman" w:hAnsi="Times New Roman"/>
          <w:color w:val="000000"/>
          <w:sz w:val="22"/>
        </w:rPr>
        <w:t>means a guaranty with respect to the Secured Obligations, in form and substance satisfactory to Agent that may be entered into from time to time, as the same may from time to time be amended, restated, modified or otherwise supplemented.</w:t>
      </w:r>
    </w:p>
    <w:p>
      <w:pPr>
        <w:pStyle w:val="TextBody"/>
        <w:bidi w:val="0"/>
        <w:spacing w:before="0" w:after="240"/>
        <w:jc w:val="both"/>
        <w:rPr/>
      </w:pPr>
      <w:r>
        <w:rPr>
          <w:color w:val="000000"/>
        </w:rPr>
        <w:t>“</w:t>
      </w:r>
      <w:r>
        <w:rPr>
          <w:rFonts w:ascii="Times New Roman" w:hAnsi="Times New Roman"/>
          <w:color w:val="000000"/>
          <w:sz w:val="22"/>
          <w:u w:val="single"/>
        </w:rPr>
        <w:t>Indebtedness</w:t>
      </w:r>
      <w:r>
        <w:rPr>
          <w:rFonts w:ascii="Times New Roman" w:hAnsi="Times New Roman"/>
          <w:color w:val="000000"/>
          <w:sz w:val="20"/>
        </w:rPr>
        <w:t xml:space="preserve">” </w:t>
      </w:r>
      <w:r>
        <w:rPr>
          <w:rFonts w:ascii="Times New Roman" w:hAnsi="Times New Roman"/>
          <w:color w:val="000000"/>
          <w:sz w:val="22"/>
        </w:rPr>
        <w:t>of any Person at any date, means, without duplication, indebtedness of any kind, including (a) all indebtedness for borrowed money or the deferred purchase price of property or services (excluding trade credit entered into in the ordinary course of business due within ninety (90) days), including non-contingent reimbursement and other obligations with respect to surety bonds and letters of credit, (b) all obligations evidenced by notes, bonds, debentures or similar instruments, (c) all capital lease obligations, (d) equity securities of such Person subject to repurchase or redemption other than at the sole option of such Person, (e) “earnouts”, purchase price adjustments, profit sharing arrangements, deferred purchase money amounts and similar payment obligations or continuing obligations of any nature arising</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out of purchase and sale contracts, (f) obligations arising under bonus, deferred compensation, incentive compensation or similar arrangements (other than those arising in the ordinary course of business), (g) non-contingent obligations to reimburse any bank or Person in respect of amounts paid under a letter of credit, banker’s acceptance or similar instrument, and (h) all Contingent Obligations.</w:t>
      </w:r>
    </w:p>
    <w:p>
      <w:pPr>
        <w:pStyle w:val="TextBody"/>
        <w:bidi w:val="0"/>
        <w:spacing w:before="0" w:after="240"/>
        <w:jc w:val="both"/>
        <w:rPr/>
      </w:pPr>
      <w:r>
        <w:rPr>
          <w:color w:val="000000"/>
        </w:rPr>
        <w:t>“</w:t>
      </w:r>
      <w:r>
        <w:rPr>
          <w:rFonts w:ascii="Times New Roman" w:hAnsi="Times New Roman"/>
          <w:color w:val="000000"/>
          <w:sz w:val="22"/>
          <w:u w:val="single"/>
        </w:rPr>
        <w:t>Initial Facility Charge</w:t>
      </w:r>
      <w:r>
        <w:rPr>
          <w:rFonts w:ascii="Times New Roman" w:hAnsi="Times New Roman"/>
          <w:color w:val="000000"/>
          <w:sz w:val="20"/>
        </w:rPr>
        <w:t xml:space="preserve">” </w:t>
      </w:r>
      <w:r>
        <w:rPr>
          <w:rFonts w:ascii="Times New Roman" w:hAnsi="Times New Roman"/>
          <w:color w:val="000000"/>
          <w:sz w:val="22"/>
        </w:rPr>
        <w:t xml:space="preserve">means an amount equal to Eight Hundred Twenty Five Thousand Dollars ($825,000), which is payable to the Lenders in accordance with </w:t>
      </w:r>
      <w:r>
        <w:rPr>
          <w:rFonts w:ascii="Times New Roman" w:hAnsi="Times New Roman"/>
          <w:color w:val="000000"/>
          <w:sz w:val="22"/>
          <w:u w:val="single"/>
        </w:rPr>
        <w:t>Section 4.1(i)</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Initial Test Date</w:t>
      </w:r>
      <w:r>
        <w:rPr>
          <w:rFonts w:ascii="Times New Roman" w:hAnsi="Times New Roman"/>
          <w:color w:val="000000"/>
          <w:sz w:val="20"/>
        </w:rPr>
        <w:t xml:space="preserve">” </w:t>
      </w:r>
      <w:r>
        <w:rPr>
          <w:rFonts w:ascii="Times New Roman" w:hAnsi="Times New Roman"/>
          <w:color w:val="000000"/>
          <w:sz w:val="22"/>
        </w:rPr>
        <w:t xml:space="preserve">means (a) </w:t>
      </w:r>
      <w:r>
        <w:rPr>
          <w:rFonts w:ascii="Times New Roman" w:hAnsi="Times New Roman"/>
          <w:strike/>
          <w:color w:val="FF0000"/>
          <w:sz w:val="22"/>
        </w:rPr>
        <w:t>January</w:t>
      </w:r>
      <w:r>
        <w:rPr>
          <w:rFonts w:ascii="Times New Roman" w:hAnsi="Times New Roman"/>
          <w:color w:val="0000FF"/>
          <w:sz w:val="22"/>
          <w:u w:val="single"/>
        </w:rPr>
        <w:t>July</w:t>
      </w:r>
      <w:r>
        <w:rPr>
          <w:rFonts w:ascii="Times New Roman" w:hAnsi="Times New Roman"/>
          <w:color w:val="0000FF"/>
          <w:sz w:val="20"/>
        </w:rPr>
        <w:t xml:space="preserve"> </w:t>
      </w:r>
      <w:r>
        <w:rPr>
          <w:rFonts w:ascii="Times New Roman" w:hAnsi="Times New Roman"/>
          <w:color w:val="000000"/>
          <w:sz w:val="22"/>
        </w:rPr>
        <w:t xml:space="preserve">1, </w:t>
      </w:r>
      <w:r>
        <w:rPr>
          <w:rFonts w:ascii="Times New Roman" w:hAnsi="Times New Roman"/>
          <w:strike/>
          <w:color w:val="FF0000"/>
          <w:sz w:val="22"/>
        </w:rPr>
        <w:t>2027</w:t>
      </w:r>
      <w:r>
        <w:rPr>
          <w:rFonts w:ascii="Times New Roman" w:hAnsi="Times New Roman"/>
          <w:color w:val="0000FF"/>
          <w:sz w:val="22"/>
          <w:u w:val="single"/>
        </w:rPr>
        <w:t>2028</w:t>
      </w:r>
      <w:r>
        <w:rPr>
          <w:rFonts w:ascii="Times New Roman" w:hAnsi="Times New Roman"/>
          <w:color w:val="000000"/>
          <w:sz w:val="22"/>
        </w:rPr>
        <w:t xml:space="preserve">, if the aggregate original principal amount of the Term Loan Advances made hereunder is more than $50,000,000 before such date, (b) if clause (a) does not apply, the first date following </w:t>
      </w:r>
      <w:r>
        <w:rPr>
          <w:rFonts w:ascii="Times New Roman" w:hAnsi="Times New Roman"/>
          <w:strike/>
          <w:color w:val="FF0000"/>
          <w:sz w:val="22"/>
        </w:rPr>
        <w:t>January</w:t>
      </w:r>
      <w:r>
        <w:rPr>
          <w:rFonts w:ascii="Times New Roman" w:hAnsi="Times New Roman"/>
          <w:color w:val="0000FF"/>
          <w:sz w:val="22"/>
          <w:u w:val="single"/>
        </w:rPr>
        <w:t>July</w:t>
      </w:r>
      <w:r>
        <w:rPr>
          <w:rFonts w:ascii="Times New Roman" w:hAnsi="Times New Roman"/>
          <w:color w:val="0000FF"/>
          <w:sz w:val="20"/>
        </w:rPr>
        <w:t xml:space="preserve"> </w:t>
      </w:r>
      <w:r>
        <w:rPr>
          <w:rFonts w:ascii="Times New Roman" w:hAnsi="Times New Roman"/>
          <w:color w:val="000000"/>
          <w:sz w:val="22"/>
        </w:rPr>
        <w:t xml:space="preserve">1, </w:t>
      </w:r>
      <w:r>
        <w:rPr>
          <w:rFonts w:ascii="Times New Roman" w:hAnsi="Times New Roman"/>
          <w:strike/>
          <w:color w:val="FF0000"/>
          <w:sz w:val="22"/>
        </w:rPr>
        <w:t>2027</w:t>
      </w:r>
      <w:r>
        <w:rPr>
          <w:rFonts w:ascii="Times New Roman" w:hAnsi="Times New Roman"/>
          <w:color w:val="0000FF"/>
          <w:sz w:val="22"/>
          <w:u w:val="single"/>
        </w:rPr>
        <w:t>2028</w:t>
      </w:r>
      <w:r>
        <w:rPr>
          <w:rFonts w:ascii="Times New Roman" w:hAnsi="Times New Roman"/>
          <w:color w:val="0000FF"/>
          <w:sz w:val="20"/>
        </w:rPr>
        <w:t xml:space="preserve"> </w:t>
      </w:r>
      <w:r>
        <w:rPr>
          <w:rFonts w:ascii="Times New Roman" w:hAnsi="Times New Roman"/>
          <w:color w:val="000000"/>
          <w:sz w:val="22"/>
        </w:rPr>
        <w:t xml:space="preserve">on which the aggregate original principal amount of the Term Loan Advances made hereunder is more than $50,000,000, and (c) </w:t>
      </w:r>
      <w:r>
        <w:rPr>
          <w:rFonts w:ascii="Times New Roman" w:hAnsi="Times New Roman"/>
          <w:strike/>
          <w:color w:val="FF0000"/>
          <w:sz w:val="22"/>
        </w:rPr>
        <w:t>January</w:t>
      </w:r>
      <w:r>
        <w:rPr>
          <w:rFonts w:ascii="Times New Roman" w:hAnsi="Times New Roman"/>
          <w:color w:val="0000FF"/>
          <w:sz w:val="22"/>
          <w:u w:val="single"/>
        </w:rPr>
        <w:t>July</w:t>
      </w:r>
      <w:r>
        <w:rPr>
          <w:rFonts w:ascii="Times New Roman" w:hAnsi="Times New Roman"/>
          <w:color w:val="0000FF"/>
          <w:sz w:val="20"/>
        </w:rPr>
        <w:t xml:space="preserve"> </w:t>
      </w:r>
      <w:r>
        <w:rPr>
          <w:rFonts w:ascii="Times New Roman" w:hAnsi="Times New Roman"/>
          <w:color w:val="000000"/>
          <w:sz w:val="22"/>
        </w:rPr>
        <w:t xml:space="preserve">1, </w:t>
      </w:r>
      <w:r>
        <w:rPr>
          <w:rFonts w:ascii="Times New Roman" w:hAnsi="Times New Roman"/>
          <w:strike/>
          <w:color w:val="FF0000"/>
          <w:sz w:val="22"/>
        </w:rPr>
        <w:t>2028</w:t>
      </w:r>
      <w:r>
        <w:rPr>
          <w:rFonts w:ascii="Times New Roman" w:hAnsi="Times New Roman"/>
          <w:color w:val="0000FF"/>
          <w:sz w:val="22"/>
          <w:u w:val="single"/>
        </w:rPr>
        <w:t>2029</w:t>
      </w:r>
      <w:r>
        <w:rPr>
          <w:rFonts w:ascii="Times New Roman" w:hAnsi="Times New Roman"/>
          <w:color w:val="000000"/>
          <w:sz w:val="22"/>
        </w:rPr>
        <w:t xml:space="preserve">, if (x) by such date the aggregate original principal amount of the Term Loan Advances made hereunder is more than $50,000,000, and (y) after the </w:t>
      </w:r>
      <w:r>
        <w:rPr>
          <w:rFonts w:ascii="Times New Roman" w:hAnsi="Times New Roman"/>
          <w:color w:val="0000FF"/>
          <w:sz w:val="22"/>
          <w:u w:val="single"/>
        </w:rPr>
        <w:t>First Amendment</w:t>
      </w:r>
      <w:r>
        <w:rPr>
          <w:rFonts w:ascii="Times New Roman" w:hAnsi="Times New Roman"/>
          <w:color w:val="0000FF"/>
          <w:sz w:val="20"/>
        </w:rPr>
        <w:t xml:space="preserve"> </w:t>
      </w:r>
      <w:r>
        <w:rPr>
          <w:rFonts w:ascii="Times New Roman" w:hAnsi="Times New Roman"/>
          <w:color w:val="000000"/>
          <w:sz w:val="22"/>
        </w:rPr>
        <w:t xml:space="preserve">Closing Date and prior to </w:t>
      </w:r>
      <w:r>
        <w:rPr>
          <w:rFonts w:ascii="Times New Roman" w:hAnsi="Times New Roman"/>
          <w:strike/>
          <w:color w:val="FF0000"/>
          <w:sz w:val="22"/>
        </w:rPr>
        <w:t>January</w:t>
      </w:r>
      <w:r>
        <w:rPr>
          <w:rFonts w:ascii="Times New Roman" w:hAnsi="Times New Roman"/>
          <w:color w:val="0000FF"/>
          <w:sz w:val="22"/>
          <w:u w:val="single"/>
        </w:rPr>
        <w:t>July</w:t>
      </w:r>
      <w:r>
        <w:rPr>
          <w:rFonts w:ascii="Times New Roman" w:hAnsi="Times New Roman"/>
          <w:color w:val="0000FF"/>
          <w:sz w:val="20"/>
        </w:rPr>
        <w:t xml:space="preserve"> </w:t>
      </w:r>
      <w:r>
        <w:rPr>
          <w:rFonts w:ascii="Times New Roman" w:hAnsi="Times New Roman"/>
          <w:color w:val="000000"/>
          <w:sz w:val="22"/>
        </w:rPr>
        <w:t xml:space="preserve">1, </w:t>
      </w:r>
      <w:r>
        <w:rPr>
          <w:rFonts w:ascii="Times New Roman" w:hAnsi="Times New Roman"/>
          <w:strike/>
          <w:color w:val="FF0000"/>
          <w:sz w:val="22"/>
        </w:rPr>
        <w:t>2027</w:t>
      </w:r>
      <w:r>
        <w:rPr>
          <w:rFonts w:ascii="Times New Roman" w:hAnsi="Times New Roman"/>
          <w:color w:val="0000FF"/>
          <w:sz w:val="22"/>
          <w:u w:val="single"/>
        </w:rPr>
        <w:t>2028</w:t>
      </w:r>
      <w:r>
        <w:rPr>
          <w:rFonts w:ascii="Times New Roman" w:hAnsi="Times New Roman"/>
          <w:color w:val="000000"/>
          <w:sz w:val="22"/>
        </w:rPr>
        <w:t>, the Borrower raises at least Two Hundred Fifty Million Dollars ($250,000,000) of unrestricted (including, not subject to any redemption, clawback, escrow or similar encumbrance or restriction) net new cash proceeds from the issuance of equity, Permitted Convertible Debt or upfront cash business development proceeds. For the avoidance of doubt, (i) the Initial Test Date shall not occur if the aggregate original principal amount of the Term Loan Advances made hereunder does not exceed $50,000,000 and (ii) foregoing clause (c) shall override foregoing clauses (a) and (b) in the case that more than one such clause shall be satisfied.</w:t>
      </w:r>
    </w:p>
    <w:p>
      <w:pPr>
        <w:pStyle w:val="TextBody"/>
        <w:bidi w:val="0"/>
        <w:spacing w:before="0" w:after="240"/>
        <w:jc w:val="both"/>
        <w:rPr/>
      </w:pPr>
      <w:r>
        <w:rPr>
          <w:color w:val="000000"/>
        </w:rPr>
        <w:t>“</w:t>
      </w:r>
      <w:r>
        <w:rPr>
          <w:rFonts w:ascii="Times New Roman" w:hAnsi="Times New Roman"/>
          <w:color w:val="000000"/>
          <w:sz w:val="22"/>
          <w:u w:val="single"/>
        </w:rPr>
        <w:t>Intellectual Property</w:t>
      </w:r>
      <w:r>
        <w:rPr>
          <w:rFonts w:ascii="Times New Roman" w:hAnsi="Times New Roman"/>
          <w:color w:val="000000"/>
          <w:sz w:val="20"/>
        </w:rPr>
        <w:t xml:space="preserve">” </w:t>
      </w:r>
      <w:r>
        <w:rPr>
          <w:rFonts w:ascii="Times New Roman" w:hAnsi="Times New Roman"/>
          <w:color w:val="000000"/>
          <w:sz w:val="22"/>
        </w:rPr>
        <w:t>means all of Borrower’s Copyrights; Trademarks; Patents; Licenses; trade secrets and inventions; mask works; Borrower’s applications therefor and reissues, extensions, or renewals thereof; and Borrower’s goodwill associated with any of the foregoing, together with Borrower’s rights to sue for past, present and future infringement of Intellectual Property and the goodwill associated therewith.</w:t>
      </w:r>
    </w:p>
    <w:p>
      <w:pPr>
        <w:pStyle w:val="TextBody"/>
        <w:bidi w:val="0"/>
        <w:spacing w:before="0" w:after="240"/>
        <w:jc w:val="both"/>
        <w:rPr/>
      </w:pPr>
      <w:r>
        <w:rPr>
          <w:color w:val="000000"/>
        </w:rPr>
        <w:t>“</w:t>
      </w:r>
      <w:r>
        <w:rPr>
          <w:rFonts w:ascii="Times New Roman" w:hAnsi="Times New Roman"/>
          <w:color w:val="000000"/>
          <w:sz w:val="22"/>
          <w:u w:val="single"/>
        </w:rPr>
        <w:t>Investment</w:t>
      </w:r>
      <w:r>
        <w:rPr>
          <w:rFonts w:ascii="Times New Roman" w:hAnsi="Times New Roman"/>
          <w:color w:val="000000"/>
          <w:sz w:val="20"/>
        </w:rPr>
        <w:t xml:space="preserve">” </w:t>
      </w:r>
      <w:r>
        <w:rPr>
          <w:rFonts w:ascii="Times New Roman" w:hAnsi="Times New Roman"/>
          <w:color w:val="000000"/>
          <w:sz w:val="22"/>
        </w:rPr>
        <w:t>means (a) any beneficial ownership (including stock, partnership interests, limited liability company interests, or other equity securities or ownership interests) of or in any Person, (b) any loan, advance or capital contribution to any Person, (c) any Acquisition or (d) other transfers on behalf of or in connection with any equity ownership or similar transfers.</w:t>
      </w:r>
    </w:p>
    <w:p>
      <w:pPr>
        <w:pStyle w:val="TextBody"/>
        <w:bidi w:val="0"/>
        <w:spacing w:before="0" w:after="240"/>
        <w:jc w:val="both"/>
        <w:rPr/>
      </w:pPr>
      <w:r>
        <w:rPr>
          <w:color w:val="000000"/>
        </w:rPr>
        <w:t>“</w:t>
      </w:r>
      <w:r>
        <w:rPr>
          <w:rFonts w:ascii="Times New Roman" w:hAnsi="Times New Roman"/>
          <w:color w:val="000000"/>
          <w:sz w:val="22"/>
          <w:u w:val="single"/>
        </w:rPr>
        <w:t>IP Ancillary Right</w:t>
      </w:r>
      <w:r>
        <w:rPr>
          <w:rFonts w:ascii="Times New Roman" w:hAnsi="Times New Roman"/>
          <w:color w:val="000000"/>
          <w:sz w:val="22"/>
        </w:rPr>
        <w:t>s” means, with respect to any Copyright, Trademark, Patent, software, trade secrets or trade secret rights, including any rights to unpatented inventions, know-how, show-how and operating manuals, all income, royalties, proceeds and liabilities at any time due or payable or asserted under or with respect to any of the foregoing or otherwise with respect thereto, including all rights to sue or recover at law or in equity for any past, present or future infringement, misappropriation, dilution, violation or other impairment thereof, and, in each case, all rights to obtain any other intellectual property right ancillary to any Copyright, Trademark, Patent, software, trade secrets or trade secret rights.</w:t>
      </w:r>
    </w:p>
    <w:p>
      <w:pPr>
        <w:pStyle w:val="TextBody"/>
        <w:bidi w:val="0"/>
        <w:spacing w:before="0" w:after="240"/>
        <w:jc w:val="both"/>
        <w:rPr/>
      </w:pPr>
      <w:r>
        <w:rPr>
          <w:color w:val="000000"/>
        </w:rPr>
        <w:t>“</w:t>
      </w:r>
      <w:r>
        <w:rPr>
          <w:rFonts w:ascii="Times New Roman" w:hAnsi="Times New Roman"/>
          <w:color w:val="000000"/>
          <w:sz w:val="22"/>
          <w:u w:val="single"/>
        </w:rPr>
        <w:t>IRS</w:t>
      </w:r>
      <w:r>
        <w:rPr>
          <w:rFonts w:ascii="Times New Roman" w:hAnsi="Times New Roman"/>
          <w:color w:val="000000"/>
          <w:sz w:val="20"/>
        </w:rPr>
        <w:t xml:space="preserve">” </w:t>
      </w:r>
      <w:r>
        <w:rPr>
          <w:rFonts w:ascii="Times New Roman" w:hAnsi="Times New Roman"/>
          <w:color w:val="000000"/>
          <w:sz w:val="22"/>
        </w:rPr>
        <w:t>means the United States Internal Revenue Service.</w:t>
      </w:r>
    </w:p>
    <w:p>
      <w:pPr>
        <w:pStyle w:val="TextBody"/>
        <w:bidi w:val="0"/>
        <w:spacing w:before="0" w:after="240"/>
        <w:jc w:val="both"/>
        <w:rPr/>
      </w:pPr>
      <w:r>
        <w:rPr>
          <w:color w:val="000000"/>
        </w:rPr>
        <w:t>“</w:t>
      </w:r>
      <w:r>
        <w:rPr>
          <w:rFonts w:ascii="Times New Roman" w:hAnsi="Times New Roman"/>
          <w:color w:val="000000"/>
          <w:sz w:val="22"/>
          <w:u w:val="single"/>
        </w:rPr>
        <w:t>Joinder Agreements</w:t>
      </w:r>
      <w:r>
        <w:rPr>
          <w:rFonts w:ascii="Times New Roman" w:hAnsi="Times New Roman"/>
          <w:color w:val="000000"/>
          <w:sz w:val="20"/>
        </w:rPr>
        <w:t xml:space="preserve">” </w:t>
      </w:r>
      <w:r>
        <w:rPr>
          <w:rFonts w:ascii="Times New Roman" w:hAnsi="Times New Roman"/>
          <w:color w:val="000000"/>
          <w:sz w:val="22"/>
        </w:rPr>
        <w:t xml:space="preserve">means for each Subsidiary (other than Excluded Subsidiaries and the MSC Subsidiary) required to join as a Borrower or as a Guarantor pursuant to </w:t>
      </w:r>
      <w:r>
        <w:rPr>
          <w:rFonts w:ascii="Times New Roman" w:hAnsi="Times New Roman"/>
          <w:color w:val="000000"/>
          <w:sz w:val="22"/>
          <w:u w:val="single"/>
        </w:rPr>
        <w:t>Section 7.13</w:t>
      </w:r>
      <w:r>
        <w:rPr>
          <w:rFonts w:ascii="Times New Roman" w:hAnsi="Times New Roman"/>
          <w:color w:val="000000"/>
          <w:sz w:val="22"/>
        </w:rPr>
        <w:t>, a completed and executed Joinder Agreement in substantially the form attached hereto as Exhibit F.</w:t>
      </w:r>
    </w:p>
    <w:p>
      <w:pPr>
        <w:pStyle w:val="TextBody"/>
        <w:bidi w:val="0"/>
        <w:spacing w:before="0" w:after="240"/>
        <w:jc w:val="both"/>
        <w:rPr/>
      </w:pPr>
      <w:r>
        <w:rPr>
          <w:color w:val="000000"/>
        </w:rPr>
        <w:t>“</w:t>
      </w:r>
      <w:r>
        <w:rPr>
          <w:rFonts w:ascii="Times New Roman" w:hAnsi="Times New Roman"/>
          <w:color w:val="000000"/>
          <w:sz w:val="22"/>
          <w:u w:val="single"/>
        </w:rPr>
        <w:t>License</w:t>
      </w:r>
      <w:r>
        <w:rPr>
          <w:rFonts w:ascii="Times New Roman" w:hAnsi="Times New Roman"/>
          <w:color w:val="000000"/>
          <w:sz w:val="20"/>
        </w:rPr>
        <w:t xml:space="preserve">” </w:t>
      </w:r>
      <w:r>
        <w:rPr>
          <w:rFonts w:ascii="Times New Roman" w:hAnsi="Times New Roman"/>
          <w:color w:val="000000"/>
          <w:sz w:val="22"/>
        </w:rPr>
        <w:t>means any Copyright License, Patent License, Trademark License or other license of rights or interests in respect of Company IP.</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Lien</w:t>
      </w:r>
      <w:r>
        <w:rPr>
          <w:rFonts w:ascii="Times New Roman" w:hAnsi="Times New Roman"/>
          <w:color w:val="000000"/>
          <w:sz w:val="20"/>
        </w:rPr>
        <w:t xml:space="preserve">” </w:t>
      </w:r>
      <w:r>
        <w:rPr>
          <w:rFonts w:ascii="Times New Roman" w:hAnsi="Times New Roman"/>
          <w:color w:val="000000"/>
          <w:sz w:val="22"/>
        </w:rPr>
        <w:t>means any mortgage, deed of trust, pledge, hypothecation, assignment for security, security interest, encumbrance, levy, lien or charge of any kind and any other security interest or other agreements or arrangements having a similar effect, whether voluntarily incurred or arising by operation of law or otherwise, against any property, any conditional sale or other title retention agreement, and any lease in the nature of a security interest.</w:t>
      </w:r>
    </w:p>
    <w:p>
      <w:pPr>
        <w:pStyle w:val="TextBody"/>
        <w:bidi w:val="0"/>
        <w:spacing w:before="0" w:after="240"/>
        <w:jc w:val="both"/>
        <w:rPr/>
      </w:pPr>
      <w:r>
        <w:rPr>
          <w:color w:val="000000"/>
        </w:rPr>
        <w:t>“</w:t>
      </w:r>
      <w:r>
        <w:rPr>
          <w:rFonts w:ascii="Times New Roman" w:hAnsi="Times New Roman"/>
          <w:color w:val="000000"/>
          <w:sz w:val="22"/>
          <w:u w:val="single"/>
        </w:rPr>
        <w:t>Loan</w:t>
      </w:r>
      <w:r>
        <w:rPr>
          <w:rFonts w:ascii="Times New Roman" w:hAnsi="Times New Roman"/>
          <w:color w:val="000000"/>
          <w:sz w:val="20"/>
        </w:rPr>
        <w:t xml:space="preserve">” </w:t>
      </w:r>
      <w:r>
        <w:rPr>
          <w:rFonts w:ascii="Times New Roman" w:hAnsi="Times New Roman"/>
          <w:color w:val="000000"/>
          <w:sz w:val="22"/>
        </w:rPr>
        <w:t>means the Advances made under this Agreement.</w:t>
      </w:r>
    </w:p>
    <w:p>
      <w:pPr>
        <w:pStyle w:val="TextBody"/>
        <w:bidi w:val="0"/>
        <w:spacing w:before="0" w:after="240"/>
        <w:jc w:val="both"/>
        <w:rPr/>
      </w:pPr>
      <w:r>
        <w:rPr>
          <w:color w:val="000000"/>
        </w:rPr>
        <w:t>“</w:t>
      </w:r>
      <w:r>
        <w:rPr>
          <w:rFonts w:ascii="Times New Roman" w:hAnsi="Times New Roman"/>
          <w:color w:val="000000"/>
          <w:sz w:val="22"/>
          <w:u w:val="single"/>
        </w:rPr>
        <w:t>Loan Documents</w:t>
      </w:r>
      <w:r>
        <w:rPr>
          <w:rFonts w:ascii="Times New Roman" w:hAnsi="Times New Roman"/>
          <w:color w:val="000000"/>
          <w:sz w:val="20"/>
        </w:rPr>
        <w:t xml:space="preserve">” </w:t>
      </w:r>
      <w:r>
        <w:rPr>
          <w:rFonts w:ascii="Times New Roman" w:hAnsi="Times New Roman"/>
          <w:color w:val="000000"/>
          <w:sz w:val="22"/>
        </w:rPr>
        <w:t xml:space="preserve">means this Agreement, the promissory notes (if any), the ACH Authorization, the Account Control Agreements, the Joinder Agreements, each Guaranty delivered pursuant to </w:t>
      </w:r>
      <w:r>
        <w:rPr>
          <w:rFonts w:ascii="Times New Roman" w:hAnsi="Times New Roman"/>
          <w:color w:val="000000"/>
          <w:sz w:val="22"/>
          <w:u w:val="single"/>
        </w:rPr>
        <w:t>Section 7.13</w:t>
      </w:r>
      <w:r>
        <w:rPr>
          <w:rFonts w:ascii="Times New Roman" w:hAnsi="Times New Roman"/>
          <w:color w:val="000000"/>
          <w:sz w:val="22"/>
        </w:rPr>
        <w:t>, the Pledge Agreement and any other documents executed in connection with the Secured Obligations or the transactions contemplated hereby, as the same may from time to time be amended, modified, supplemented or restated.</w:t>
      </w:r>
    </w:p>
    <w:p>
      <w:pPr>
        <w:pStyle w:val="TextBody"/>
        <w:bidi w:val="0"/>
        <w:spacing w:before="0" w:after="240"/>
        <w:jc w:val="both"/>
        <w:rPr/>
      </w:pPr>
      <w:r>
        <w:rPr>
          <w:color w:val="000000"/>
        </w:rPr>
        <w:t>“</w:t>
      </w:r>
      <w:r>
        <w:rPr>
          <w:rFonts w:ascii="Times New Roman" w:hAnsi="Times New Roman"/>
          <w:color w:val="000000"/>
          <w:sz w:val="22"/>
          <w:u w:val="single"/>
        </w:rPr>
        <w:t>Market Capitalization</w:t>
      </w:r>
      <w:r>
        <w:rPr>
          <w:rFonts w:ascii="Times New Roman" w:hAnsi="Times New Roman"/>
          <w:color w:val="000000"/>
          <w:sz w:val="20"/>
        </w:rPr>
        <w:t xml:space="preserve">” </w:t>
      </w:r>
      <w:r>
        <w:rPr>
          <w:rFonts w:ascii="Times New Roman" w:hAnsi="Times New Roman"/>
          <w:color w:val="000000"/>
          <w:sz w:val="22"/>
        </w:rPr>
        <w:t>means, as of any date of determination, the product of (a) the number of outstanding shares of Common Stock publicly disclosed in the most recent filing of Company with the Securities and Exchange Commission as outstanding as of such date of determination and (b) the most recent closing price of Company’s Common Stock (as quoted on Bloomberg L.P.’s page or any successor page thereto of Bloomberg L.P. or if such page is not available, any other commercially available source).</w:t>
      </w:r>
    </w:p>
    <w:p>
      <w:pPr>
        <w:pStyle w:val="TextBody"/>
        <w:bidi w:val="0"/>
        <w:spacing w:before="0" w:after="240"/>
        <w:jc w:val="both"/>
        <w:rPr/>
      </w:pPr>
      <w:r>
        <w:rPr>
          <w:color w:val="000000"/>
        </w:rPr>
        <w:t>“</w:t>
      </w:r>
      <w:r>
        <w:rPr>
          <w:rFonts w:ascii="Times New Roman" w:hAnsi="Times New Roman"/>
          <w:color w:val="000000"/>
          <w:sz w:val="22"/>
          <w:u w:val="single"/>
        </w:rPr>
        <w:t>Material Adverse Effect</w:t>
      </w:r>
      <w:r>
        <w:rPr>
          <w:rFonts w:ascii="Times New Roman" w:hAnsi="Times New Roman"/>
          <w:color w:val="000000"/>
          <w:sz w:val="20"/>
        </w:rPr>
        <w:t xml:space="preserve">” </w:t>
      </w:r>
      <w:r>
        <w:rPr>
          <w:rFonts w:ascii="Times New Roman" w:hAnsi="Times New Roman"/>
          <w:color w:val="000000"/>
          <w:sz w:val="22"/>
        </w:rPr>
        <w:t>means a material adverse effect upon: (i) the business, operations, properties, assets or financial condition of Borrower and its Subsidiaries taken as a whole; or (ii) the ability of Borrower to perform or pay the Secured Obligations in accordance with the terms of the Loan Documents, or the ability of Agent or the Lenders to enforce any of its rights or remedies with respect to the Secured Obligations; or (iii) the Collateral or Agent’s Liens on the Collateral or the priority of such Liens.</w:t>
      </w:r>
    </w:p>
    <w:p>
      <w:pPr>
        <w:pStyle w:val="TextBody"/>
        <w:bidi w:val="0"/>
        <w:spacing w:before="0" w:after="240"/>
        <w:jc w:val="both"/>
        <w:rPr/>
      </w:pPr>
      <w:r>
        <w:rPr>
          <w:color w:val="000000"/>
        </w:rPr>
        <w:t>“</w:t>
      </w:r>
      <w:r>
        <w:rPr>
          <w:rFonts w:ascii="Times New Roman" w:hAnsi="Times New Roman"/>
          <w:color w:val="000000"/>
          <w:sz w:val="22"/>
          <w:u w:val="single"/>
        </w:rPr>
        <w:t>Material Agreement</w:t>
      </w:r>
      <w:r>
        <w:rPr>
          <w:rFonts w:ascii="Times New Roman" w:hAnsi="Times New Roman"/>
          <w:color w:val="000000"/>
          <w:sz w:val="20"/>
        </w:rPr>
        <w:t xml:space="preserve">” </w:t>
      </w:r>
      <w:r>
        <w:rPr>
          <w:rFonts w:ascii="Times New Roman" w:hAnsi="Times New Roman"/>
          <w:color w:val="000000"/>
          <w:sz w:val="22"/>
        </w:rPr>
        <w:t>means (a) the Material License, and (b) any license, agreement or other contractual arrangement the termination or cancellation thereof could be reasonably expected to result in a Material Adverse Effect, in the individual or in the aggregate.</w:t>
      </w:r>
    </w:p>
    <w:p>
      <w:pPr>
        <w:pStyle w:val="TextBody"/>
        <w:bidi w:val="0"/>
        <w:spacing w:before="0" w:after="240"/>
        <w:jc w:val="both"/>
        <w:rPr/>
      </w:pPr>
      <w:r>
        <w:rPr>
          <w:color w:val="000000"/>
        </w:rPr>
        <w:t>“</w:t>
      </w:r>
      <w:r>
        <w:rPr>
          <w:rFonts w:ascii="Times New Roman" w:hAnsi="Times New Roman"/>
          <w:color w:val="000000"/>
          <w:sz w:val="22"/>
          <w:u w:val="single"/>
        </w:rPr>
        <w:t>Material License</w:t>
      </w:r>
      <w:r>
        <w:rPr>
          <w:rFonts w:ascii="Times New Roman" w:hAnsi="Times New Roman"/>
          <w:color w:val="000000"/>
          <w:sz w:val="20"/>
        </w:rPr>
        <w:t xml:space="preserve">” </w:t>
      </w:r>
      <w:r>
        <w:rPr>
          <w:rFonts w:ascii="Times New Roman" w:hAnsi="Times New Roman"/>
          <w:color w:val="000000"/>
          <w:sz w:val="22"/>
        </w:rPr>
        <w:t>means each of (a) License Agreement, dated September 13, 2019, between Company and AbbVie Deutschland GmbH &amp; Co, KG, (b) License Agreement, dated May 7, 2021( as amended on December 7, 2021, February 28, 2022, May 31, 2022 and October 19, 2022), by and among Company, F. Hoffmann-La Roche Ltd and Hoffmann-La Roche Inc. and (c) Exclusive License Agreement, dated January 19, 2023, between Company and Mabwell Therapeutics, Inc.</w:t>
      </w:r>
    </w:p>
    <w:p>
      <w:pPr>
        <w:pStyle w:val="TextBody"/>
        <w:bidi w:val="0"/>
        <w:spacing w:before="0" w:after="240"/>
        <w:jc w:val="both"/>
        <w:rPr/>
      </w:pPr>
      <w:r>
        <w:rPr>
          <w:color w:val="000000"/>
        </w:rPr>
        <w:t>“</w:t>
      </w:r>
      <w:r>
        <w:rPr>
          <w:rFonts w:ascii="Times New Roman" w:hAnsi="Times New Roman"/>
          <w:color w:val="000000"/>
          <w:sz w:val="22"/>
          <w:u w:val="single"/>
        </w:rPr>
        <w:t>Material Regulatory Liabilities</w:t>
      </w:r>
      <w:r>
        <w:rPr>
          <w:rFonts w:ascii="Times New Roman" w:hAnsi="Times New Roman"/>
          <w:color w:val="000000"/>
          <w:sz w:val="20"/>
        </w:rPr>
        <w:t xml:space="preserve">” </w:t>
      </w:r>
      <w:r>
        <w:rPr>
          <w:rFonts w:ascii="Times New Roman" w:hAnsi="Times New Roman"/>
          <w:color w:val="000000"/>
          <w:sz w:val="22"/>
        </w:rPr>
        <w:t>means (i) any liabilities arising from the violation of Public Health Laws, Federal Health Care Program Laws, and other applicable comparable Requirements of Law (including FDA Laws and Federal Health Care Program Laws), including, but not limited to, withdrawal of approval, recall, revocation, suspension, import refusal and seizure of any Product, and (ii) any loss of recurring annual revenues as a result of any loss, suspension or limitation of any Registrations, which, in the case of each of clauses (i) and (ii), could reasonably be expected to result in a Material Adverse Effect.</w:t>
      </w:r>
    </w:p>
    <w:p>
      <w:pPr>
        <w:pStyle w:val="TextBody"/>
        <w:bidi w:val="0"/>
        <w:spacing w:before="0" w:after="240"/>
        <w:jc w:val="both"/>
        <w:rPr/>
      </w:pPr>
      <w:r>
        <w:rPr>
          <w:color w:val="000000"/>
        </w:rPr>
        <w:t>“</w:t>
      </w:r>
      <w:r>
        <w:rPr>
          <w:rFonts w:ascii="Times New Roman" w:hAnsi="Times New Roman"/>
          <w:color w:val="000000"/>
          <w:sz w:val="22"/>
          <w:u w:val="single"/>
        </w:rPr>
        <w:t>Maximum Term Loan Amount</w:t>
      </w:r>
      <w:r>
        <w:rPr>
          <w:rFonts w:ascii="Times New Roman" w:hAnsi="Times New Roman"/>
          <w:color w:val="000000"/>
          <w:sz w:val="20"/>
        </w:rPr>
        <w:t xml:space="preserve">” </w:t>
      </w:r>
      <w:r>
        <w:rPr>
          <w:rFonts w:ascii="Times New Roman" w:hAnsi="Times New Roman"/>
          <w:color w:val="000000"/>
          <w:sz w:val="22"/>
        </w:rPr>
        <w:t>means Two Hundred Million and No/100 Dollars ($200,000,000).</w:t>
      </w:r>
    </w:p>
    <w:p>
      <w:pPr>
        <w:pStyle w:val="TextBody"/>
        <w:bidi w:val="0"/>
        <w:spacing w:before="0" w:after="240"/>
        <w:jc w:val="both"/>
        <w:rPr/>
      </w:pPr>
      <w:r>
        <w:rPr>
          <w:color w:val="000000"/>
        </w:rPr>
        <w:t>“</w:t>
      </w:r>
      <w:r>
        <w:rPr>
          <w:rFonts w:ascii="Times New Roman" w:hAnsi="Times New Roman"/>
          <w:color w:val="000000"/>
          <w:sz w:val="22"/>
          <w:u w:val="single"/>
        </w:rPr>
        <w:t>Milestone</w:t>
      </w:r>
      <w:r>
        <w:rPr>
          <w:rFonts w:ascii="Times New Roman" w:hAnsi="Times New Roman"/>
          <w:color w:val="000000"/>
          <w:sz w:val="20"/>
        </w:rPr>
        <w:t xml:space="preserve">” </w:t>
      </w:r>
      <w:r>
        <w:rPr>
          <w:rFonts w:ascii="Times New Roman" w:hAnsi="Times New Roman"/>
          <w:color w:val="000000"/>
          <w:sz w:val="22"/>
        </w:rPr>
        <w:t>means individually, each of the Approval Milestone, EP Clinical Milestone, Phase 2 Myelofibrosis Trial Milestone, Tranche 2 Milestone and/or Tranche 3 Milestone.</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MSC Investment Conditions</w:t>
      </w:r>
      <w:r>
        <w:rPr>
          <w:rFonts w:ascii="Times New Roman" w:hAnsi="Times New Roman"/>
          <w:color w:val="000000"/>
          <w:sz w:val="20"/>
        </w:rPr>
        <w:t xml:space="preserve">” </w:t>
      </w:r>
      <w:r>
        <w:rPr>
          <w:rFonts w:ascii="Times New Roman" w:hAnsi="Times New Roman"/>
          <w:color w:val="000000"/>
          <w:sz w:val="22"/>
        </w:rPr>
        <w:t>means that Borrower maintains Qualified Cash in an amount equal to or greater than the lesser of (i) 100% of the aggregate outstanding Secured Obligations (inclusive of any Prepayment Charge and End of Term Charge that would be due and owing if the outstanding Term Loan Advances were prepaid at the time of measurement) or (ii) 100% of the consolidated Cash of Borrower and its Subsidiaries (other than Cash held in an Excluded Account).</w:t>
      </w:r>
    </w:p>
    <w:p>
      <w:pPr>
        <w:pStyle w:val="TextBody"/>
        <w:bidi w:val="0"/>
        <w:spacing w:before="0" w:after="240"/>
        <w:jc w:val="both"/>
        <w:rPr/>
      </w:pPr>
      <w:r>
        <w:rPr>
          <w:color w:val="000000"/>
        </w:rPr>
        <w:t>“</w:t>
      </w:r>
      <w:r>
        <w:rPr>
          <w:rFonts w:ascii="Times New Roman" w:hAnsi="Times New Roman"/>
          <w:color w:val="000000"/>
          <w:sz w:val="22"/>
          <w:u w:val="single"/>
        </w:rPr>
        <w:t>MSC Subsidiary</w:t>
      </w:r>
      <w:r>
        <w:rPr>
          <w:rFonts w:ascii="Times New Roman" w:hAnsi="Times New Roman"/>
          <w:color w:val="000000"/>
          <w:sz w:val="20"/>
        </w:rPr>
        <w:t xml:space="preserve">” </w:t>
      </w:r>
      <w:r>
        <w:rPr>
          <w:rFonts w:ascii="Times New Roman" w:hAnsi="Times New Roman"/>
          <w:color w:val="000000"/>
          <w:sz w:val="22"/>
        </w:rPr>
        <w:t>means Disc Medicine Securities Corp, a wholly-owned Subsidiary incorporated in the Commonwealth of Massachusetts for the purpose of holding Investments as a Massachusetts security corporation under 830 CMR 63.38B.1 of the Massachusetts tax code and applicable regulations (as the same may be amended, modified or replaced from time to time).</w:t>
      </w:r>
    </w:p>
    <w:p>
      <w:pPr>
        <w:pStyle w:val="TextBody"/>
        <w:bidi w:val="0"/>
        <w:spacing w:before="0" w:after="240"/>
        <w:jc w:val="both"/>
        <w:rPr/>
      </w:pPr>
      <w:r>
        <w:rPr>
          <w:color w:val="000000"/>
        </w:rPr>
        <w:t>“</w:t>
      </w:r>
      <w:r>
        <w:rPr>
          <w:rFonts w:ascii="Times New Roman" w:hAnsi="Times New Roman"/>
          <w:color w:val="000000"/>
          <w:sz w:val="22"/>
          <w:u w:val="single"/>
        </w:rPr>
        <w:t>New Drug Application</w:t>
      </w:r>
      <w:r>
        <w:rPr>
          <w:rFonts w:ascii="Times New Roman" w:hAnsi="Times New Roman"/>
          <w:color w:val="000000"/>
          <w:sz w:val="20"/>
        </w:rPr>
        <w:t xml:space="preserve">” </w:t>
      </w:r>
      <w:r>
        <w:rPr>
          <w:rFonts w:ascii="Times New Roman" w:hAnsi="Times New Roman"/>
          <w:color w:val="000000"/>
          <w:sz w:val="22"/>
        </w:rPr>
        <w:t>means an application submitted to the FDA pursuant to 21 U.S.C. § 355 seeking authorization to market a new drug in the United States.</w:t>
      </w:r>
    </w:p>
    <w:p>
      <w:pPr>
        <w:pStyle w:val="TextBody"/>
        <w:bidi w:val="0"/>
        <w:spacing w:before="0" w:after="240"/>
        <w:jc w:val="both"/>
        <w:rPr/>
      </w:pPr>
      <w:r>
        <w:rPr>
          <w:color w:val="000000"/>
        </w:rPr>
        <w:t>“</w:t>
      </w:r>
      <w:r>
        <w:rPr>
          <w:rFonts w:ascii="Times New Roman" w:hAnsi="Times New Roman"/>
          <w:color w:val="000000"/>
          <w:sz w:val="22"/>
          <w:u w:val="single"/>
        </w:rPr>
        <w:t>NIH</w:t>
      </w:r>
      <w:r>
        <w:rPr>
          <w:rFonts w:ascii="Times New Roman" w:hAnsi="Times New Roman"/>
          <w:color w:val="000000"/>
          <w:sz w:val="20"/>
        </w:rPr>
        <w:t xml:space="preserve">” </w:t>
      </w:r>
      <w:r>
        <w:rPr>
          <w:rFonts w:ascii="Times New Roman" w:hAnsi="Times New Roman"/>
          <w:color w:val="000000"/>
          <w:sz w:val="22"/>
        </w:rPr>
        <w:t>means the National Institutes of Health.</w:t>
      </w:r>
    </w:p>
    <w:p>
      <w:pPr>
        <w:pStyle w:val="TextBody"/>
        <w:bidi w:val="0"/>
        <w:spacing w:before="0" w:after="240"/>
        <w:jc w:val="both"/>
        <w:rPr/>
      </w:pPr>
      <w:r>
        <w:rPr>
          <w:color w:val="000000"/>
        </w:rPr>
        <w:t>“</w:t>
      </w:r>
      <w:r>
        <w:rPr>
          <w:rFonts w:ascii="Times New Roman" w:hAnsi="Times New Roman"/>
          <w:color w:val="000000"/>
          <w:sz w:val="22"/>
          <w:u w:val="single"/>
        </w:rPr>
        <w:t>Non-Disclosure Agreement</w:t>
      </w:r>
      <w:r>
        <w:rPr>
          <w:rFonts w:ascii="Times New Roman" w:hAnsi="Times New Roman"/>
          <w:color w:val="000000"/>
          <w:sz w:val="20"/>
        </w:rPr>
        <w:t xml:space="preserve">” </w:t>
      </w:r>
      <w:r>
        <w:rPr>
          <w:rFonts w:ascii="Times New Roman" w:hAnsi="Times New Roman"/>
          <w:color w:val="000000"/>
          <w:sz w:val="22"/>
        </w:rPr>
        <w:t>means that certain Confidential Disclosure Agreement by and between Company and Hercules Capital, Inc., dated as of August 23, 2024.</w:t>
      </w:r>
    </w:p>
    <w:p>
      <w:pPr>
        <w:pStyle w:val="TextBody"/>
        <w:bidi w:val="0"/>
        <w:spacing w:before="0" w:after="240"/>
        <w:jc w:val="both"/>
        <w:rPr/>
      </w:pPr>
      <w:r>
        <w:rPr>
          <w:color w:val="000000"/>
        </w:rPr>
        <w:t>“</w:t>
      </w:r>
      <w:r>
        <w:rPr>
          <w:rFonts w:ascii="Times New Roman" w:hAnsi="Times New Roman"/>
          <w:color w:val="000000"/>
          <w:sz w:val="22"/>
          <w:u w:val="single"/>
        </w:rPr>
        <w:t>OFAC</w:t>
      </w:r>
      <w:r>
        <w:rPr>
          <w:rFonts w:ascii="Times New Roman" w:hAnsi="Times New Roman"/>
          <w:color w:val="000000"/>
          <w:sz w:val="20"/>
        </w:rPr>
        <w:t xml:space="preserve">” </w:t>
      </w:r>
      <w:r>
        <w:rPr>
          <w:rFonts w:ascii="Times New Roman" w:hAnsi="Times New Roman"/>
          <w:color w:val="000000"/>
          <w:sz w:val="22"/>
        </w:rPr>
        <w:t>means the U.S. Department of Treasury Office of Foreign Assets Control.</w:t>
      </w:r>
    </w:p>
    <w:p>
      <w:pPr>
        <w:pStyle w:val="TextBody"/>
        <w:bidi w:val="0"/>
        <w:spacing w:before="0" w:after="240"/>
        <w:jc w:val="both"/>
        <w:rPr/>
      </w:pPr>
      <w:r>
        <w:rPr>
          <w:color w:val="000000"/>
        </w:rPr>
        <w:t>“</w:t>
      </w:r>
      <w:r>
        <w:rPr>
          <w:rFonts w:ascii="Times New Roman" w:hAnsi="Times New Roman"/>
          <w:color w:val="000000"/>
          <w:sz w:val="22"/>
          <w:u w:val="single"/>
        </w:rPr>
        <w:t>OFAC Lists</w:t>
      </w:r>
      <w:r>
        <w:rPr>
          <w:rFonts w:ascii="Times New Roman" w:hAnsi="Times New Roman"/>
          <w:color w:val="000000"/>
          <w:sz w:val="20"/>
        </w:rPr>
        <w:t xml:space="preserve">” </w:t>
      </w:r>
      <w:r>
        <w:rPr>
          <w:rFonts w:ascii="Times New Roman" w:hAnsi="Times New Roman"/>
          <w:color w:val="000000"/>
          <w:sz w:val="22"/>
        </w:rPr>
        <w:t>means,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pStyle w:val="TextBody"/>
        <w:bidi w:val="0"/>
        <w:spacing w:before="0" w:after="240"/>
        <w:jc w:val="both"/>
        <w:rPr/>
      </w:pPr>
      <w:r>
        <w:rPr>
          <w:color w:val="000000"/>
        </w:rPr>
        <w:t>“</w:t>
      </w:r>
      <w:r>
        <w:rPr>
          <w:rFonts w:ascii="Times New Roman" w:hAnsi="Times New Roman"/>
          <w:color w:val="000000"/>
          <w:sz w:val="22"/>
          <w:u w:val="single"/>
        </w:rPr>
        <w:t>Organizational Documents</w:t>
      </w:r>
      <w:r>
        <w:rPr>
          <w:rFonts w:ascii="Times New Roman" w:hAnsi="Times New Roman"/>
          <w:color w:val="000000"/>
          <w:sz w:val="20"/>
        </w:rPr>
        <w:t xml:space="preserve">” </w:t>
      </w:r>
      <w:r>
        <w:rPr>
          <w:rFonts w:ascii="Times New Roman" w:hAnsi="Times New Roman"/>
          <w:color w:val="000000"/>
          <w:sz w:val="22"/>
        </w:rPr>
        <w:t>means with respect to any Person, (a) such Person’s certificate or articles of incorporation or formation, as the case may be, and (b) if such Person is (i) a corporation, its bylaws, (ii) a limited liability company, its limited liability company agreement (or similar agreement), and (c) a partnership, its partnership agreement (or similar agreement), each of the foregoing with all current amendments or modifications thereto.</w:t>
      </w:r>
    </w:p>
    <w:p>
      <w:pPr>
        <w:pStyle w:val="TextBody"/>
        <w:bidi w:val="0"/>
        <w:spacing w:before="0" w:after="240"/>
        <w:jc w:val="both"/>
        <w:rPr/>
      </w:pPr>
      <w:r>
        <w:rPr>
          <w:color w:val="000000"/>
        </w:rPr>
        <w:t>“</w:t>
      </w:r>
      <w:r>
        <w:rPr>
          <w:rFonts w:ascii="Times New Roman" w:hAnsi="Times New Roman"/>
          <w:color w:val="000000"/>
          <w:sz w:val="22"/>
          <w:u w:val="single"/>
        </w:rPr>
        <w:t>Patent License</w:t>
      </w:r>
      <w:r>
        <w:rPr>
          <w:rFonts w:ascii="Times New Roman" w:hAnsi="Times New Roman"/>
          <w:color w:val="000000"/>
          <w:sz w:val="20"/>
        </w:rPr>
        <w:t xml:space="preserve">” </w:t>
      </w:r>
      <w:r>
        <w:rPr>
          <w:rFonts w:ascii="Times New Roman" w:hAnsi="Times New Roman"/>
          <w:color w:val="000000"/>
          <w:sz w:val="22"/>
        </w:rPr>
        <w:t>means any written agreement granting any right with respect to any invention on which a Patent is in existence or a Patent application is pending, in which agreement Borrower now holds or hereafter acquires any interest.</w:t>
      </w:r>
    </w:p>
    <w:p>
      <w:pPr>
        <w:pStyle w:val="TextBody"/>
        <w:bidi w:val="0"/>
        <w:spacing w:before="0" w:after="240"/>
        <w:jc w:val="both"/>
        <w:rPr/>
      </w:pPr>
      <w:r>
        <w:rPr>
          <w:color w:val="000000"/>
        </w:rPr>
        <w:t>“</w:t>
      </w:r>
      <w:r>
        <w:rPr>
          <w:rFonts w:ascii="Times New Roman" w:hAnsi="Times New Roman"/>
          <w:color w:val="000000"/>
          <w:sz w:val="22"/>
          <w:u w:val="single"/>
        </w:rPr>
        <w:t>Patents</w:t>
      </w:r>
      <w:r>
        <w:rPr>
          <w:rFonts w:ascii="Times New Roman" w:hAnsi="Times New Roman"/>
          <w:color w:val="000000"/>
          <w:sz w:val="20"/>
        </w:rPr>
        <w:t xml:space="preserve">” </w:t>
      </w:r>
      <w:r>
        <w:rPr>
          <w:rFonts w:ascii="Times New Roman" w:hAnsi="Times New Roman"/>
          <w:color w:val="000000"/>
          <w:sz w:val="22"/>
        </w:rPr>
        <w:t>means all letters patent of, or rights corresponding thereto, in the United States of America or in any other country, all registrations and recordings thereof, and all applications for letters patent of, or rights corresponding thereto, in the United States of America, or any other country.</w:t>
      </w:r>
    </w:p>
    <w:p>
      <w:pPr>
        <w:pStyle w:val="TextBody"/>
        <w:bidi w:val="0"/>
        <w:spacing w:before="0" w:after="240"/>
        <w:jc w:val="both"/>
        <w:rPr/>
      </w:pPr>
      <w:r>
        <w:rPr>
          <w:color w:val="000000"/>
        </w:rPr>
        <w:t>“</w:t>
      </w:r>
      <w:r>
        <w:rPr>
          <w:rFonts w:ascii="Times New Roman" w:hAnsi="Times New Roman"/>
          <w:color w:val="000000"/>
          <w:sz w:val="22"/>
          <w:u w:val="single"/>
        </w:rPr>
        <w:t>Perfection Certificate</w:t>
      </w:r>
      <w:r>
        <w:rPr>
          <w:rFonts w:ascii="Times New Roman" w:hAnsi="Times New Roman"/>
          <w:color w:val="000000"/>
          <w:sz w:val="20"/>
        </w:rPr>
        <w:t xml:space="preserve">” </w:t>
      </w:r>
      <w:r>
        <w:rPr>
          <w:rFonts w:ascii="Times New Roman" w:hAnsi="Times New Roman"/>
          <w:color w:val="000000"/>
          <w:sz w:val="22"/>
        </w:rPr>
        <w:t>means a completed certificate entitled “Perfection Certificate”, dated the Closing Date, delivered by Company to Agent, signed by Company (as amended pursuant to the terms of this Agreement).</w:t>
      </w:r>
    </w:p>
    <w:p>
      <w:pPr>
        <w:pStyle w:val="TextBody"/>
        <w:bidi w:val="0"/>
        <w:spacing w:before="0" w:after="240"/>
        <w:jc w:val="both"/>
        <w:rPr/>
      </w:pPr>
      <w:r>
        <w:rPr>
          <w:color w:val="000000"/>
        </w:rPr>
        <w:t>“</w:t>
      </w:r>
      <w:r>
        <w:rPr>
          <w:rFonts w:ascii="Times New Roman" w:hAnsi="Times New Roman"/>
          <w:color w:val="000000"/>
          <w:sz w:val="22"/>
          <w:u w:val="single"/>
        </w:rPr>
        <w:t>Permitted Acquisition</w:t>
      </w:r>
      <w:r>
        <w:rPr>
          <w:rFonts w:ascii="Times New Roman" w:hAnsi="Times New Roman"/>
          <w:color w:val="000000"/>
          <w:sz w:val="20"/>
        </w:rPr>
        <w:t xml:space="preserve">” </w:t>
      </w:r>
      <w:r>
        <w:rPr>
          <w:rFonts w:ascii="Times New Roman" w:hAnsi="Times New Roman"/>
          <w:color w:val="000000"/>
          <w:sz w:val="22"/>
        </w:rPr>
        <w:t>means any Acquisition (including by way of merger) by Borrower which is conducted in accordance with the following requirements:</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such acquisition is of (i) a business or Person located within the United States of America engaged in a line of business related to that of Borrower or its Subsidiaries or (ii) a product, product line or Intellectual Property (or the right to use, develop or sell the same (including through licensing)) related to the business of Borrower or its Subsidiaries;</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if such acquisition is structured as a stock acquisition, then the Person so acquired shall either (i) become a wholly-owned Subsidiary of Borrower or of a Subsidiary and Borrower shall comply, or cause such Subsidiary to comply, with </w:t>
      </w:r>
      <w:r>
        <w:rPr>
          <w:rFonts w:ascii="Times New Roman" w:hAnsi="Times New Roman"/>
          <w:color w:val="000000"/>
          <w:sz w:val="22"/>
          <w:u w:val="single"/>
        </w:rPr>
        <w:t>Section 7.13</w:t>
      </w:r>
      <w:r>
        <w:rPr>
          <w:rFonts w:ascii="Times New Roman" w:hAnsi="Times New Roman"/>
          <w:color w:val="000000"/>
          <w:sz w:val="20"/>
        </w:rPr>
        <w:t xml:space="preserve"> </w:t>
      </w:r>
      <w:r>
        <w:rPr>
          <w:rFonts w:ascii="Times New Roman" w:hAnsi="Times New Roman"/>
          <w:color w:val="000000"/>
          <w:sz w:val="22"/>
        </w:rPr>
        <w:t>hereof or (ii) such Person shall be merged with and into Borrower (with Borrower being the surviving entity);</w:t>
      </w:r>
    </w:p>
    <w:p>
      <w:pPr>
        <w:pStyle w:val="TextBody"/>
        <w:bidi w:val="0"/>
        <w:spacing w:before="0" w:after="240"/>
        <w:jc w:val="both"/>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 xml:space="preserve">if such acquisition is structured as the acquisition of assets, such assets shall be acquired by Borrower or a newly-organized wholly-owned Subsidiary (in which event such Subsidiary shall comply with </w:t>
      </w:r>
      <w:r>
        <w:rPr>
          <w:rFonts w:ascii="Times New Roman" w:hAnsi="Times New Roman"/>
          <w:color w:val="000000"/>
          <w:sz w:val="22"/>
          <w:u w:val="single"/>
        </w:rPr>
        <w:t>Section 7.13</w:t>
      </w:r>
      <w:r>
        <w:rPr>
          <w:rFonts w:ascii="Times New Roman" w:hAnsi="Times New Roman"/>
          <w:color w:val="000000"/>
          <w:sz w:val="20"/>
        </w:rPr>
        <w:t xml:space="preserve"> </w:t>
      </w:r>
      <w:r>
        <w:rPr>
          <w:rFonts w:ascii="Times New Roman" w:hAnsi="Times New Roman"/>
          <w:color w:val="000000"/>
          <w:sz w:val="22"/>
        </w:rPr>
        <w:t>hereof), and shall be free and clear of Liens other than Permitted Liens;</w:t>
      </w:r>
    </w:p>
    <w:p>
      <w:pPr>
        <w:pStyle w:val="TextBody"/>
        <w:bidi w:val="0"/>
        <w:spacing w:before="0" w:after="240"/>
        <w:jc w:val="both"/>
        <w:rPr>
          <w:rFonts w:ascii="Times New Roman" w:hAnsi="Times New Roman"/>
          <w:sz w:val="20"/>
        </w:rPr>
      </w:pPr>
      <w:r>
        <w:rPr>
          <w:rFonts w:ascii="Times New Roman" w:hAnsi="Times New Roman"/>
          <w:color w:val="000000"/>
          <w:sz w:val="22"/>
        </w:rPr>
        <w:t>(d)</w:t>
      </w:r>
      <w:r>
        <w:rPr>
          <w:rFonts w:ascii="Times New Roman" w:hAnsi="Times New Roman"/>
          <w:color w:val="000000"/>
          <w:sz w:val="20"/>
        </w:rPr>
        <w:t xml:space="preserve"> </w:t>
      </w:r>
      <w:r>
        <w:rPr>
          <w:rFonts w:ascii="Times New Roman" w:hAnsi="Times New Roman"/>
          <w:color w:val="000000"/>
          <w:sz w:val="22"/>
        </w:rPr>
        <w:t>Borrower shall have delivered to the Lenders not less than ten (10) days nor more than forty five (45) days prior to the date of such acquisition, notice of such acquisition together with, to the extent available, pro forma projected financial information, copies of all material documents relating to such acquisition, and historical financial statements for such acquired entity, division or line of business;</w:t>
      </w:r>
    </w:p>
    <w:p>
      <w:pPr>
        <w:pStyle w:val="TextBody"/>
        <w:bidi w:val="0"/>
        <w:spacing w:before="0" w:after="240"/>
        <w:jc w:val="both"/>
        <w:rPr>
          <w:rFonts w:ascii="Times New Roman" w:hAnsi="Times New Roman"/>
          <w:sz w:val="20"/>
        </w:rPr>
      </w:pPr>
      <w:r>
        <w:rPr>
          <w:rFonts w:ascii="Times New Roman" w:hAnsi="Times New Roman"/>
          <w:color w:val="000000"/>
          <w:sz w:val="22"/>
        </w:rPr>
        <w:t>(e)</w:t>
      </w:r>
      <w:r>
        <w:rPr>
          <w:rFonts w:ascii="Times New Roman" w:hAnsi="Times New Roman"/>
          <w:color w:val="000000"/>
          <w:sz w:val="20"/>
        </w:rPr>
        <w:t xml:space="preserve"> </w:t>
      </w:r>
      <w:r>
        <w:rPr>
          <w:rFonts w:ascii="Times New Roman" w:hAnsi="Times New Roman"/>
          <w:color w:val="000000"/>
          <w:sz w:val="22"/>
        </w:rPr>
        <w:t>both immediately before and after such acquisition no Default or Event of Default shall have occurred and be continuing; and</w:t>
      </w:r>
    </w:p>
    <w:p>
      <w:pPr>
        <w:pStyle w:val="TextBody"/>
        <w:bidi w:val="0"/>
        <w:spacing w:before="0" w:after="240"/>
        <w:jc w:val="both"/>
        <w:rPr>
          <w:rFonts w:ascii="Times New Roman" w:hAnsi="Times New Roman"/>
          <w:sz w:val="20"/>
        </w:rPr>
      </w:pPr>
      <w:r>
        <w:rPr>
          <w:rFonts w:ascii="Times New Roman" w:hAnsi="Times New Roman"/>
          <w:color w:val="000000"/>
          <w:sz w:val="22"/>
        </w:rPr>
        <w:t>(f)</w:t>
      </w:r>
      <w:r>
        <w:rPr>
          <w:rFonts w:ascii="Times New Roman" w:hAnsi="Times New Roman"/>
          <w:color w:val="000000"/>
          <w:sz w:val="20"/>
        </w:rPr>
        <w:t xml:space="preserve"> </w:t>
      </w:r>
      <w:r>
        <w:rPr>
          <w:rFonts w:ascii="Times New Roman" w:hAnsi="Times New Roman"/>
          <w:color w:val="000000"/>
          <w:sz w:val="22"/>
        </w:rPr>
        <w:t>the sum of the purchase price of such proposed new acquisition, computed on the basis of total acquisition consideration paid or incurred, or to be paid or incurred, by Borrower with respect thereto, including the amount of Permitted Indebtedness assumed or to which such assets, businesses or business or ownership interest or shares, or any Person so acquired, is subject, (i) at any time prior to the achievement of the Approval Milestone, shall not be greater than (x) Seven Million Five Hundred Thousand Dollars ($7,500,000) for any single acquisition or group of related acquisitions or (y) Ten Million Dollars ($10,000,000) for all such acquisitions during the term of this Agreement or (ii) at any time after the achievement of the Approval Milestone, shall not be greater than (x) Ten Million Dollars ($10,000,000) for any single acquisition or group of related acquisitions or (y) Twenty-Five Million Dollars ($25,000,000) for all such acquisitions during the term of this Agreement; provided that acquisition consideration funded by proceeds from the sale and issuance of Borrower’s Equity Interests in a transaction not resulting in a Change in Control, which sale and issuance has a primary purpose to fund such Acquisition, and which sale and issuance is consummated substantially contemporaneously with (and in any event, prior to, but no more than fifteen (15) days prior to) the consummation of such Acquisition, shall be disregarded in determining compliance with this clause (f); provided further, that for any Acquisition in which the consideration consists solely of Equity Interests of Borrower, the value of such Equity Interests shall be disregarded in determining compliance with this clause (f).</w:t>
      </w:r>
    </w:p>
    <w:p>
      <w:pPr>
        <w:pStyle w:val="TextBody"/>
        <w:bidi w:val="0"/>
        <w:spacing w:before="0" w:after="240"/>
        <w:jc w:val="both"/>
        <w:rPr/>
      </w:pPr>
      <w:r>
        <w:rPr>
          <w:color w:val="000000"/>
        </w:rPr>
        <w:t>“</w:t>
      </w:r>
      <w:r>
        <w:rPr>
          <w:rFonts w:ascii="Times New Roman" w:hAnsi="Times New Roman"/>
          <w:color w:val="000000"/>
          <w:sz w:val="22"/>
          <w:u w:val="single"/>
        </w:rPr>
        <w:t>Permitted Convertible Debt</w:t>
      </w:r>
      <w:r>
        <w:rPr>
          <w:rFonts w:ascii="Times New Roman" w:hAnsi="Times New Roman"/>
          <w:color w:val="000000"/>
          <w:sz w:val="20"/>
        </w:rPr>
        <w:t xml:space="preserve">” </w:t>
      </w:r>
      <w:r>
        <w:rPr>
          <w:rFonts w:ascii="Times New Roman" w:hAnsi="Times New Roman"/>
          <w:color w:val="000000"/>
          <w:sz w:val="22"/>
        </w:rPr>
        <w:t>means issuance by Company of convertible notes in an aggregate principal amount of not more than Three Hundred Million Dollars ($300,000,000); provided that such convertible notes shall (a) have a scheduled maturity date no earlier than one hundred eighty (180) days after the Term Loan Maturity Date, (b) be unsecured or secured, (c) not be guaranteed by any Subsidiary of Company that is not a Borrower or a guarantor of the Secured Obligations, (d) contain conversion, redemption and fundamental change terms that are usual and customary for convertible notes issued in public or “Rule 144A” offerings, (e) if secured, contain usual and customary subordination terms for public or “Rule 144A” offerings of senior subordinated convertible notes and (f) if secured, shall specifically designate this Agreement and all Secured Obligations as “designated senior indebtedness” or similar term so that the subordination terms referred to in clause (e) of this definition specifically refer to such notes as being subordinated to the Secured Obligations pursuant to such subordination terms.</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Permitted Indebtedness</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240"/>
        <w:jc w:val="both"/>
        <w:rPr>
          <w:rFonts w:ascii="Times New Roman" w:hAnsi="Times New Roman"/>
          <w:sz w:val="20"/>
        </w:rPr>
      </w:pPr>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rPr>
        <w:t>Indebtedness of Borrower in favor of the Lenders or Agent arising under this Agreement or any other Loan Document;</w:t>
      </w:r>
    </w:p>
    <w:p>
      <w:pPr>
        <w:pStyle w:val="TextBody"/>
        <w:bidi w:val="0"/>
        <w:spacing w:before="0" w:after="240"/>
        <w:jc w:val="both"/>
        <w:rPr>
          <w:rFonts w:ascii="Times New Roman" w:hAnsi="Times New Roman"/>
          <w:sz w:val="20"/>
        </w:rPr>
      </w:pPr>
      <w:r>
        <w:rPr>
          <w:rFonts w:ascii="Times New Roman" w:hAnsi="Times New Roman"/>
          <w:color w:val="000000"/>
          <w:sz w:val="22"/>
        </w:rPr>
        <w:t>(ii)</w:t>
      </w:r>
      <w:r>
        <w:rPr>
          <w:rFonts w:ascii="Times New Roman" w:hAnsi="Times New Roman"/>
          <w:color w:val="000000"/>
          <w:sz w:val="20"/>
        </w:rPr>
        <w:t xml:space="preserve"> </w:t>
      </w:r>
      <w:r>
        <w:rPr>
          <w:rFonts w:ascii="Times New Roman" w:hAnsi="Times New Roman"/>
          <w:color w:val="000000"/>
          <w:sz w:val="22"/>
        </w:rPr>
        <w:t xml:space="preserve">(A) Indebtedness existing on the Closing Date which is disclosed in </w:t>
      </w:r>
      <w:r>
        <w:rPr>
          <w:rFonts w:ascii="Times New Roman" w:hAnsi="Times New Roman"/>
          <w:color w:val="000000"/>
          <w:sz w:val="22"/>
          <w:u w:val="single"/>
        </w:rPr>
        <w:t>Schedule 1A</w:t>
      </w:r>
      <w:r>
        <w:rPr>
          <w:rFonts w:ascii="Times New Roman" w:hAnsi="Times New Roman"/>
          <w:color w:val="000000"/>
          <w:sz w:val="22"/>
        </w:rPr>
        <w:t xml:space="preserve">, and (B) extensions, refinancings and renewals thereof permitted under </w:t>
      </w:r>
      <w:r>
        <w:rPr>
          <w:rFonts w:ascii="Times New Roman" w:hAnsi="Times New Roman"/>
          <w:color w:val="000000"/>
          <w:sz w:val="22"/>
          <w:u w:val="single"/>
        </w:rPr>
        <w:t>clause (xi)</w:t>
      </w:r>
      <w:r>
        <w:rPr>
          <w:rFonts w:ascii="Times New Roman" w:hAnsi="Times New Roman"/>
          <w:color w:val="000000"/>
          <w:sz w:val="20"/>
        </w:rPr>
        <w:t xml:space="preserve"> </w:t>
      </w:r>
      <w:r>
        <w:rPr>
          <w:rFonts w:ascii="Times New Roman" w:hAnsi="Times New Roman"/>
          <w:color w:val="000000"/>
          <w:sz w:val="22"/>
        </w:rPr>
        <w:t>below;</w:t>
      </w:r>
    </w:p>
    <w:p>
      <w:pPr>
        <w:pStyle w:val="TextBody"/>
        <w:bidi w:val="0"/>
        <w:spacing w:before="0" w:after="240"/>
        <w:jc w:val="both"/>
        <w:rPr>
          <w:rFonts w:ascii="Times New Roman" w:hAnsi="Times New Roman"/>
          <w:sz w:val="20"/>
        </w:rPr>
      </w:pPr>
      <w:r>
        <w:rPr>
          <w:rFonts w:ascii="Times New Roman" w:hAnsi="Times New Roman"/>
          <w:color w:val="000000"/>
          <w:sz w:val="22"/>
        </w:rPr>
        <w:t>(iii)</w:t>
      </w:r>
      <w:r>
        <w:rPr>
          <w:rFonts w:ascii="Times New Roman" w:hAnsi="Times New Roman"/>
          <w:color w:val="000000"/>
          <w:sz w:val="20"/>
        </w:rPr>
        <w:t xml:space="preserve"> </w:t>
      </w:r>
      <w:r>
        <w:rPr>
          <w:rFonts w:ascii="Times New Roman" w:hAnsi="Times New Roman"/>
          <w:color w:val="000000"/>
          <w:sz w:val="22"/>
        </w:rPr>
        <w:t xml:space="preserve">(A) Indebtedness of up to $1,500,000 outstanding at any time, incurred in connection with the acquisition of Equipment or software or other intellectual property, provided such Indebtedness does not exceed the cost of the property financed with such Indebtedness and customary fees, expenses and taxes, and (B) extensions, refinancings and renewals thereof permitted under </w:t>
      </w:r>
      <w:r>
        <w:rPr>
          <w:rFonts w:ascii="Times New Roman" w:hAnsi="Times New Roman"/>
          <w:color w:val="000000"/>
          <w:sz w:val="22"/>
          <w:u w:val="single"/>
        </w:rPr>
        <w:t>clause (xi)</w:t>
      </w:r>
      <w:r>
        <w:rPr>
          <w:rFonts w:ascii="Times New Roman" w:hAnsi="Times New Roman"/>
          <w:color w:val="000000"/>
          <w:sz w:val="22"/>
        </w:rPr>
        <w:t>below;</w:t>
      </w:r>
    </w:p>
    <w:p>
      <w:pPr>
        <w:pStyle w:val="TextBody"/>
        <w:bidi w:val="0"/>
        <w:spacing w:before="0" w:after="240"/>
        <w:jc w:val="both"/>
        <w:rPr>
          <w:rFonts w:ascii="Times New Roman" w:hAnsi="Times New Roman"/>
          <w:sz w:val="20"/>
        </w:rPr>
      </w:pPr>
      <w:r>
        <w:rPr>
          <w:rFonts w:ascii="Times New Roman" w:hAnsi="Times New Roman"/>
          <w:color w:val="000000"/>
          <w:sz w:val="22"/>
        </w:rPr>
        <w:t>(iv)</w:t>
      </w:r>
      <w:r>
        <w:rPr>
          <w:rFonts w:ascii="Times New Roman" w:hAnsi="Times New Roman"/>
          <w:color w:val="000000"/>
          <w:sz w:val="20"/>
        </w:rPr>
        <w:t xml:space="preserve"> </w:t>
      </w:r>
      <w:r>
        <w:rPr>
          <w:rFonts w:ascii="Times New Roman" w:hAnsi="Times New Roman"/>
          <w:color w:val="000000"/>
          <w:sz w:val="22"/>
        </w:rPr>
        <w:t>Indebtedness to trade creditors incurred in the ordinary course of business (other than any trade credit that is past due for more than one hundred eighty (180) days), including Indebtedness incurred in the ordinary course of business with corporate credit cards;</w:t>
      </w:r>
    </w:p>
    <w:p>
      <w:pPr>
        <w:pStyle w:val="TextBody"/>
        <w:bidi w:val="0"/>
        <w:spacing w:before="0" w:after="240"/>
        <w:jc w:val="both"/>
        <w:rPr>
          <w:rFonts w:ascii="Times New Roman" w:hAnsi="Times New Roman"/>
          <w:sz w:val="20"/>
        </w:rPr>
      </w:pPr>
      <w:r>
        <w:rPr>
          <w:rFonts w:ascii="Times New Roman" w:hAnsi="Times New Roman"/>
          <w:color w:val="000000"/>
          <w:sz w:val="22"/>
        </w:rPr>
        <w:t>(v)</w:t>
      </w:r>
      <w:r>
        <w:rPr>
          <w:rFonts w:ascii="Times New Roman" w:hAnsi="Times New Roman"/>
          <w:color w:val="000000"/>
          <w:sz w:val="20"/>
        </w:rPr>
        <w:t xml:space="preserve"> </w:t>
      </w:r>
      <w:r>
        <w:rPr>
          <w:rFonts w:ascii="Times New Roman" w:hAnsi="Times New Roman"/>
          <w:color w:val="000000"/>
          <w:sz w:val="22"/>
        </w:rPr>
        <w:t>Indebtedness that also constitutes a Permitted Investment;</w:t>
      </w:r>
    </w:p>
    <w:p>
      <w:pPr>
        <w:pStyle w:val="TextBody"/>
        <w:bidi w:val="0"/>
        <w:spacing w:before="0" w:after="240"/>
        <w:jc w:val="both"/>
        <w:rPr>
          <w:rFonts w:ascii="Times New Roman" w:hAnsi="Times New Roman"/>
          <w:sz w:val="20"/>
        </w:rPr>
      </w:pPr>
      <w:r>
        <w:rPr>
          <w:rFonts w:ascii="Times New Roman" w:hAnsi="Times New Roman"/>
          <w:color w:val="000000"/>
          <w:sz w:val="22"/>
        </w:rPr>
        <w:t>(vi)</w:t>
      </w:r>
      <w:r>
        <w:rPr>
          <w:rFonts w:ascii="Times New Roman" w:hAnsi="Times New Roman"/>
          <w:color w:val="000000"/>
          <w:sz w:val="20"/>
        </w:rPr>
        <w:t xml:space="preserve"> </w:t>
      </w:r>
      <w:r>
        <w:rPr>
          <w:rFonts w:ascii="Times New Roman" w:hAnsi="Times New Roman"/>
          <w:color w:val="000000"/>
          <w:sz w:val="22"/>
        </w:rPr>
        <w:t>Subordinated Indebtedness;</w:t>
      </w:r>
    </w:p>
    <w:p>
      <w:pPr>
        <w:pStyle w:val="TextBody"/>
        <w:bidi w:val="0"/>
        <w:spacing w:before="0" w:after="240"/>
        <w:jc w:val="both"/>
        <w:rPr>
          <w:rFonts w:ascii="Times New Roman" w:hAnsi="Times New Roman"/>
          <w:sz w:val="20"/>
        </w:rPr>
      </w:pPr>
      <w:r>
        <w:rPr>
          <w:rFonts w:ascii="Times New Roman" w:hAnsi="Times New Roman"/>
          <w:color w:val="000000"/>
          <w:sz w:val="22"/>
        </w:rPr>
        <w:t>(vii)</w:t>
      </w:r>
      <w:r>
        <w:rPr>
          <w:rFonts w:ascii="Times New Roman" w:hAnsi="Times New Roman"/>
          <w:color w:val="000000"/>
          <w:sz w:val="20"/>
        </w:rPr>
        <w:t xml:space="preserve"> </w:t>
      </w:r>
      <w:r>
        <w:rPr>
          <w:rFonts w:ascii="Times New Roman" w:hAnsi="Times New Roman"/>
          <w:color w:val="000000"/>
          <w:sz w:val="22"/>
        </w:rPr>
        <w:t>reimbursement obligations in connection with letters of credit issued on behalf of Borrower or a Subsidiary thereof in an amount not to exceed $3,500,000 at any time outstanding;</w:t>
      </w:r>
    </w:p>
    <w:p>
      <w:pPr>
        <w:pStyle w:val="TextBody"/>
        <w:bidi w:val="0"/>
        <w:spacing w:before="0" w:after="240"/>
        <w:jc w:val="both"/>
        <w:rPr>
          <w:rFonts w:ascii="Times New Roman" w:hAnsi="Times New Roman"/>
          <w:sz w:val="20"/>
        </w:rPr>
      </w:pPr>
      <w:r>
        <w:rPr>
          <w:rFonts w:ascii="Times New Roman" w:hAnsi="Times New Roman"/>
          <w:color w:val="000000"/>
          <w:sz w:val="22"/>
        </w:rPr>
        <w:t>(viii)</w:t>
      </w:r>
      <w:r>
        <w:rPr>
          <w:rFonts w:ascii="Times New Roman" w:hAnsi="Times New Roman"/>
          <w:color w:val="000000"/>
          <w:sz w:val="20"/>
        </w:rPr>
        <w:t xml:space="preserve"> </w:t>
      </w:r>
      <w:r>
        <w:rPr>
          <w:rFonts w:ascii="Times New Roman" w:hAnsi="Times New Roman"/>
          <w:color w:val="000000"/>
          <w:sz w:val="22"/>
        </w:rPr>
        <w:t>other unsecured Indebtedness in an amount not to exceed $2,000,000 at any time outstanding;</w:t>
      </w:r>
    </w:p>
    <w:p>
      <w:pPr>
        <w:pStyle w:val="TextBody"/>
        <w:bidi w:val="0"/>
        <w:spacing w:before="0" w:after="240"/>
        <w:jc w:val="both"/>
        <w:rPr>
          <w:rFonts w:ascii="Times New Roman" w:hAnsi="Times New Roman"/>
          <w:sz w:val="20"/>
        </w:rPr>
      </w:pPr>
      <w:r>
        <w:rPr>
          <w:rFonts w:ascii="Times New Roman" w:hAnsi="Times New Roman"/>
          <w:color w:val="000000"/>
          <w:sz w:val="22"/>
        </w:rPr>
        <w:t>(ix)</w:t>
      </w:r>
      <w:r>
        <w:rPr>
          <w:rFonts w:ascii="Times New Roman" w:hAnsi="Times New Roman"/>
          <w:color w:val="000000"/>
          <w:sz w:val="20"/>
        </w:rPr>
        <w:t xml:space="preserve"> </w:t>
      </w:r>
      <w:r>
        <w:rPr>
          <w:rFonts w:ascii="Times New Roman" w:hAnsi="Times New Roman"/>
          <w:color w:val="000000"/>
          <w:sz w:val="22"/>
        </w:rPr>
        <w:t>intercompany Indebtedness as long as such Indebtedness (A) is owing from a Borrower to another Borrower, or (B) is owing from a Subsidiary to Borrower so long as such Indebtedness is a Permitted Investment;</w:t>
      </w:r>
    </w:p>
    <w:p>
      <w:pPr>
        <w:pStyle w:val="TextBody"/>
        <w:bidi w:val="0"/>
        <w:spacing w:before="0" w:after="240"/>
        <w:jc w:val="both"/>
        <w:rPr>
          <w:rFonts w:ascii="Times New Roman" w:hAnsi="Times New Roman"/>
          <w:sz w:val="20"/>
        </w:rPr>
      </w:pPr>
      <w:r>
        <w:rPr>
          <w:rFonts w:ascii="Times New Roman" w:hAnsi="Times New Roman"/>
          <w:color w:val="000000"/>
          <w:sz w:val="22"/>
        </w:rPr>
        <w:t>(x)</w:t>
      </w:r>
      <w:r>
        <w:rPr>
          <w:rFonts w:ascii="Times New Roman" w:hAnsi="Times New Roman"/>
          <w:color w:val="000000"/>
          <w:sz w:val="20"/>
        </w:rPr>
        <w:t xml:space="preserve"> </w:t>
      </w:r>
      <w:r>
        <w:rPr>
          <w:rFonts w:ascii="Times New Roman" w:hAnsi="Times New Roman"/>
          <w:color w:val="000000"/>
          <w:sz w:val="22"/>
        </w:rPr>
        <w:t>Permitted Convertible Debt; and</w:t>
      </w:r>
    </w:p>
    <w:p>
      <w:pPr>
        <w:pStyle w:val="TextBody"/>
        <w:bidi w:val="0"/>
        <w:spacing w:before="0" w:after="240"/>
        <w:jc w:val="both"/>
        <w:rPr>
          <w:rFonts w:ascii="Times New Roman" w:hAnsi="Times New Roman"/>
          <w:sz w:val="20"/>
        </w:rPr>
      </w:pPr>
      <w:r>
        <w:rPr>
          <w:rFonts w:ascii="Times New Roman" w:hAnsi="Times New Roman"/>
          <w:color w:val="000000"/>
          <w:sz w:val="22"/>
        </w:rPr>
        <w:t>(xi)</w:t>
      </w:r>
      <w:r>
        <w:rPr>
          <w:rFonts w:ascii="Times New Roman" w:hAnsi="Times New Roman"/>
          <w:color w:val="000000"/>
          <w:sz w:val="20"/>
        </w:rPr>
        <w:t xml:space="preserve"> </w:t>
      </w:r>
      <w:r>
        <w:rPr>
          <w:rFonts w:ascii="Times New Roman" w:hAnsi="Times New Roman"/>
          <w:color w:val="000000"/>
          <w:sz w:val="22"/>
        </w:rPr>
        <w:t>extensions, refinancings and renewals of any items of Permitted Indebtedness, provided that the principal amount is not increased (other than as a result of the capitalization of interest, fees or expenses) or the terms modified to impose materially more burdensome (taken as a whole) terms upon Borrower or its Subsidiary, as the case may be.</w:t>
      </w:r>
    </w:p>
    <w:p>
      <w:pPr>
        <w:pStyle w:val="TextBody"/>
        <w:bidi w:val="0"/>
        <w:spacing w:before="0" w:after="240"/>
        <w:jc w:val="both"/>
        <w:rPr/>
      </w:pPr>
      <w:r>
        <w:rPr>
          <w:color w:val="000000"/>
        </w:rPr>
        <w:t>“</w:t>
      </w:r>
      <w:r>
        <w:rPr>
          <w:rFonts w:ascii="Times New Roman" w:hAnsi="Times New Roman"/>
          <w:color w:val="000000"/>
          <w:sz w:val="22"/>
          <w:u w:val="single"/>
        </w:rPr>
        <w:t>Permitted Investment</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240"/>
        <w:jc w:val="both"/>
        <w:rPr>
          <w:rFonts w:ascii="Times New Roman" w:hAnsi="Times New Roman"/>
          <w:sz w:val="20"/>
        </w:rPr>
      </w:pPr>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rPr>
        <w:t xml:space="preserve">Investments existing on the Closing Date which are disclosed in </w:t>
      </w:r>
      <w:r>
        <w:rPr>
          <w:rFonts w:ascii="Times New Roman" w:hAnsi="Times New Roman"/>
          <w:color w:val="000000"/>
          <w:sz w:val="22"/>
          <w:u w:val="single"/>
        </w:rPr>
        <w:t>Schedule 1B</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(ii)</w:t>
      </w:r>
      <w:r>
        <w:rPr>
          <w:rFonts w:ascii="Times New Roman" w:hAnsi="Times New Roman"/>
          <w:color w:val="000000"/>
          <w:sz w:val="20"/>
        </w:rPr>
        <w:t xml:space="preserve"> </w:t>
      </w:r>
      <w:r>
        <w:rPr>
          <w:rFonts w:ascii="Times New Roman" w:hAnsi="Times New Roman"/>
          <w:color w:val="000000"/>
          <w:sz w:val="22"/>
        </w:rPr>
        <w:t>(a) marketable direct obligations issued or unconditionally guaranteed by the United States of America or any agency or any State thereof maturing within one (1) year from the date of acquisition thereof currently having a rating of at least A-2 or P-2 from either Standard &amp; Poor’s Corporation or Moody’s Investors Services, (b) commercial paper maturing no more than one year from the date of creation thereof and currently having a rating of at least A-2 or P-2 from</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either Standard &amp; Poor’s Corporation or Moody’s Investors Service, (c) certificates of deposit, maturing no more than one year from the date of investment therein, which either (x) are issued by any bank with assets of at least $500,000,000 or (y) are fully FDIC-insured, and (d) money market accounts;</w:t>
      </w:r>
    </w:p>
    <w:p>
      <w:pPr>
        <w:pStyle w:val="TextBody"/>
        <w:bidi w:val="0"/>
        <w:spacing w:before="0" w:after="240"/>
        <w:jc w:val="both"/>
        <w:rPr>
          <w:rFonts w:ascii="Times New Roman" w:hAnsi="Times New Roman"/>
          <w:sz w:val="20"/>
        </w:rPr>
      </w:pPr>
      <w:r>
        <w:rPr>
          <w:rFonts w:ascii="Times New Roman" w:hAnsi="Times New Roman"/>
          <w:color w:val="000000"/>
          <w:sz w:val="22"/>
        </w:rPr>
        <w:t>(iii)</w:t>
      </w:r>
      <w:r>
        <w:rPr>
          <w:rFonts w:ascii="Times New Roman" w:hAnsi="Times New Roman"/>
          <w:color w:val="000000"/>
          <w:sz w:val="20"/>
        </w:rPr>
        <w:t xml:space="preserve"> </w:t>
      </w:r>
      <w:r>
        <w:rPr>
          <w:rFonts w:ascii="Times New Roman" w:hAnsi="Times New Roman"/>
          <w:color w:val="000000"/>
          <w:sz w:val="22"/>
        </w:rPr>
        <w:t>repurchases of stock of Borrower from former employees, directors, or consultants of Borrower under the terms of applicable repurchase agreements at the original issuance price of such securities in an aggregate amount not to exceed $1,000,000 in any fiscal year, provided that no Event of Default has occurred, is continuing or could exist after giving effect to the repurchases;</w:t>
      </w:r>
    </w:p>
    <w:p>
      <w:pPr>
        <w:pStyle w:val="TextBody"/>
        <w:bidi w:val="0"/>
        <w:spacing w:before="0" w:after="240"/>
        <w:jc w:val="both"/>
        <w:rPr>
          <w:rFonts w:ascii="Times New Roman" w:hAnsi="Times New Roman"/>
          <w:sz w:val="20"/>
        </w:rPr>
      </w:pPr>
      <w:r>
        <w:rPr>
          <w:rFonts w:ascii="Times New Roman" w:hAnsi="Times New Roman"/>
          <w:color w:val="000000"/>
          <w:sz w:val="22"/>
        </w:rPr>
        <w:t>(iv)</w:t>
      </w:r>
      <w:r>
        <w:rPr>
          <w:rFonts w:ascii="Times New Roman" w:hAnsi="Times New Roman"/>
          <w:color w:val="000000"/>
          <w:sz w:val="20"/>
        </w:rPr>
        <w:t xml:space="preserve"> </w:t>
      </w:r>
      <w:r>
        <w:rPr>
          <w:rFonts w:ascii="Times New Roman" w:hAnsi="Times New Roman"/>
          <w:color w:val="000000"/>
          <w:sz w:val="22"/>
        </w:rPr>
        <w:t>Investments accepted in connection with Permitted Transfers;</w:t>
      </w:r>
    </w:p>
    <w:p>
      <w:pPr>
        <w:pStyle w:val="TextBody"/>
        <w:bidi w:val="0"/>
        <w:spacing w:before="0" w:after="240"/>
        <w:jc w:val="both"/>
        <w:rPr>
          <w:rFonts w:ascii="Times New Roman" w:hAnsi="Times New Roman"/>
          <w:sz w:val="20"/>
        </w:rPr>
      </w:pPr>
      <w:r>
        <w:rPr>
          <w:rFonts w:ascii="Times New Roman" w:hAnsi="Times New Roman"/>
          <w:color w:val="000000"/>
          <w:sz w:val="22"/>
        </w:rPr>
        <w:t>(v)</w:t>
      </w:r>
      <w:r>
        <w:rPr>
          <w:rFonts w:ascii="Times New Roman" w:hAnsi="Times New Roman"/>
          <w:color w:val="000000"/>
          <w:sz w:val="20"/>
        </w:rPr>
        <w:t xml:space="preserve"> </w:t>
      </w:r>
      <w:r>
        <w:rPr>
          <w:rFonts w:ascii="Times New Roman" w:hAnsi="Times New Roman"/>
          <w:color w:val="000000"/>
          <w:sz w:val="22"/>
        </w:rPr>
        <w:t>Investments (including debt obligations) received in connection with the bankruptcy or reorganization of customers or suppliers and in settlement of delinquent obligations of, and other disputes with, customers or suppliers arising in the ordinary course of Borrower’s business;</w:t>
      </w:r>
    </w:p>
    <w:p>
      <w:pPr>
        <w:pStyle w:val="TextBody"/>
        <w:bidi w:val="0"/>
        <w:spacing w:before="0" w:after="240"/>
        <w:jc w:val="both"/>
        <w:rPr>
          <w:rFonts w:ascii="Times New Roman" w:hAnsi="Times New Roman"/>
          <w:sz w:val="20"/>
        </w:rPr>
      </w:pPr>
      <w:r>
        <w:rPr>
          <w:rFonts w:ascii="Times New Roman" w:hAnsi="Times New Roman"/>
          <w:color w:val="000000"/>
          <w:sz w:val="22"/>
        </w:rPr>
        <w:t>(vi)</w:t>
      </w:r>
      <w:r>
        <w:rPr>
          <w:rFonts w:ascii="Times New Roman" w:hAnsi="Times New Roman"/>
          <w:color w:val="000000"/>
          <w:sz w:val="20"/>
        </w:rPr>
        <w:t xml:space="preserve"> </w:t>
      </w:r>
      <w:r>
        <w:rPr>
          <w:rFonts w:ascii="Times New Roman" w:hAnsi="Times New Roman"/>
          <w:color w:val="000000"/>
          <w:sz w:val="22"/>
        </w:rPr>
        <w:t>Investments consisting of notes receivable of, or prepaid royalties and other credit extensions, to customers and suppliers who are not Affiliates, in the ordinary course of business;</w:t>
      </w:r>
    </w:p>
    <w:p>
      <w:pPr>
        <w:pStyle w:val="TextBody"/>
        <w:bidi w:val="0"/>
        <w:spacing w:before="0" w:after="240"/>
        <w:jc w:val="both"/>
        <w:rPr>
          <w:rFonts w:ascii="Times New Roman" w:hAnsi="Times New Roman"/>
          <w:sz w:val="20"/>
        </w:rPr>
      </w:pPr>
      <w:r>
        <w:rPr>
          <w:rFonts w:ascii="Times New Roman" w:hAnsi="Times New Roman"/>
          <w:color w:val="000000"/>
          <w:sz w:val="22"/>
        </w:rPr>
        <w:t>(vii)</w:t>
      </w:r>
      <w:r>
        <w:rPr>
          <w:rFonts w:ascii="Times New Roman" w:hAnsi="Times New Roman"/>
          <w:color w:val="000000"/>
          <w:sz w:val="20"/>
        </w:rPr>
        <w:t xml:space="preserve"> </w:t>
      </w:r>
      <w:r>
        <w:rPr>
          <w:rFonts w:ascii="Times New Roman" w:hAnsi="Times New Roman"/>
          <w:color w:val="000000"/>
          <w:sz w:val="22"/>
        </w:rPr>
        <w:t>Investments consisting of loans not involving the net transfer on a substantially contemporaneous basis of cash proceeds to employees, officers or directors relating to the purchase of capital stock of Company pursuant to employee stock purchase plans or other similar agreements approved by Company’s Board of Directors;</w:t>
      </w:r>
    </w:p>
    <w:p>
      <w:pPr>
        <w:pStyle w:val="TextBody"/>
        <w:bidi w:val="0"/>
        <w:spacing w:before="0" w:after="240"/>
        <w:jc w:val="both"/>
        <w:rPr>
          <w:rFonts w:ascii="Times New Roman" w:hAnsi="Times New Roman"/>
          <w:sz w:val="20"/>
        </w:rPr>
      </w:pPr>
      <w:r>
        <w:rPr>
          <w:rFonts w:ascii="Times New Roman" w:hAnsi="Times New Roman"/>
          <w:color w:val="000000"/>
          <w:sz w:val="22"/>
        </w:rPr>
        <w:t>(viii)</w:t>
      </w:r>
      <w:r>
        <w:rPr>
          <w:rFonts w:ascii="Times New Roman" w:hAnsi="Times New Roman"/>
          <w:color w:val="000000"/>
          <w:sz w:val="20"/>
        </w:rPr>
        <w:t xml:space="preserve"> </w:t>
      </w:r>
      <w:r>
        <w:rPr>
          <w:rFonts w:ascii="Times New Roman" w:hAnsi="Times New Roman"/>
          <w:color w:val="000000"/>
          <w:sz w:val="22"/>
        </w:rPr>
        <w:t>Investments consisting of travel advances in the ordinary course of business;</w:t>
      </w:r>
    </w:p>
    <w:p>
      <w:pPr>
        <w:pStyle w:val="TextBody"/>
        <w:bidi w:val="0"/>
        <w:spacing w:before="0" w:after="240"/>
        <w:jc w:val="both"/>
        <w:rPr>
          <w:rFonts w:ascii="Times New Roman" w:hAnsi="Times New Roman"/>
          <w:sz w:val="20"/>
        </w:rPr>
      </w:pPr>
      <w:r>
        <w:rPr>
          <w:rFonts w:ascii="Times New Roman" w:hAnsi="Times New Roman"/>
          <w:color w:val="000000"/>
          <w:sz w:val="22"/>
        </w:rPr>
        <w:t>(ix)</w:t>
      </w:r>
      <w:r>
        <w:rPr>
          <w:rFonts w:ascii="Times New Roman" w:hAnsi="Times New Roman"/>
          <w:color w:val="000000"/>
          <w:sz w:val="20"/>
        </w:rPr>
        <w:t xml:space="preserve"> </w:t>
      </w:r>
      <w:r>
        <w:rPr>
          <w:rFonts w:ascii="Times New Roman" w:hAnsi="Times New Roman"/>
          <w:color w:val="000000"/>
          <w:sz w:val="22"/>
        </w:rPr>
        <w:t xml:space="preserve">Investments (including the creation of newly-formed Subsidiaries which shall comply with </w:t>
      </w:r>
      <w:r>
        <w:rPr>
          <w:rFonts w:ascii="Times New Roman" w:hAnsi="Times New Roman"/>
          <w:color w:val="000000"/>
          <w:sz w:val="22"/>
          <w:u w:val="single"/>
        </w:rPr>
        <w:t>Section 7.13</w:t>
      </w:r>
      <w:r>
        <w:rPr>
          <w:rFonts w:ascii="Times New Roman" w:hAnsi="Times New Roman"/>
          <w:color w:val="000000"/>
          <w:sz w:val="22"/>
        </w:rPr>
        <w:t>) in Subsidiaries that are Borrowers or Guarantors;</w:t>
      </w:r>
    </w:p>
    <w:p>
      <w:pPr>
        <w:pStyle w:val="TextBody"/>
        <w:bidi w:val="0"/>
        <w:spacing w:before="0" w:after="240"/>
        <w:jc w:val="both"/>
        <w:rPr>
          <w:rFonts w:ascii="Times New Roman" w:hAnsi="Times New Roman"/>
          <w:sz w:val="20"/>
        </w:rPr>
      </w:pPr>
      <w:r>
        <w:rPr>
          <w:rFonts w:ascii="Times New Roman" w:hAnsi="Times New Roman"/>
          <w:color w:val="000000"/>
          <w:sz w:val="22"/>
        </w:rPr>
        <w:t>(x)</w:t>
      </w:r>
      <w:r>
        <w:rPr>
          <w:rFonts w:ascii="Times New Roman" w:hAnsi="Times New Roman"/>
          <w:color w:val="000000"/>
          <w:sz w:val="20"/>
        </w:rPr>
        <w:t xml:space="preserve"> </w:t>
      </w:r>
      <w:r>
        <w:rPr>
          <w:rFonts w:ascii="Times New Roman" w:hAnsi="Times New Roman"/>
          <w:color w:val="000000"/>
          <w:sz w:val="22"/>
        </w:rPr>
        <w:t xml:space="preserve">Investments, including the creation of newly-formed Subsidiaries which shall comply with </w:t>
      </w:r>
      <w:r>
        <w:rPr>
          <w:rFonts w:ascii="Times New Roman" w:hAnsi="Times New Roman"/>
          <w:color w:val="000000"/>
          <w:sz w:val="22"/>
          <w:u w:val="single"/>
        </w:rPr>
        <w:t>Section 7.13</w:t>
      </w:r>
      <w:r>
        <w:rPr>
          <w:rFonts w:ascii="Times New Roman" w:hAnsi="Times New Roman"/>
          <w:color w:val="000000"/>
          <w:sz w:val="22"/>
        </w:rPr>
        <w:t>, in Excluded Subsidiaries not to exceed $500,000 in the aggregate per month and $1,000,000 in the aggregate per fiscal year;</w:t>
      </w:r>
    </w:p>
    <w:p>
      <w:pPr>
        <w:pStyle w:val="TextBody"/>
        <w:bidi w:val="0"/>
        <w:spacing w:before="0" w:after="240"/>
        <w:jc w:val="both"/>
        <w:rPr>
          <w:rFonts w:ascii="Times New Roman" w:hAnsi="Times New Roman"/>
          <w:sz w:val="20"/>
        </w:rPr>
      </w:pPr>
      <w:r>
        <w:rPr>
          <w:rFonts w:ascii="Times New Roman" w:hAnsi="Times New Roman"/>
          <w:color w:val="000000"/>
          <w:sz w:val="22"/>
        </w:rPr>
        <w:t>(xi)</w:t>
      </w:r>
      <w:r>
        <w:rPr>
          <w:rFonts w:ascii="Times New Roman" w:hAnsi="Times New Roman"/>
          <w:color w:val="000000"/>
          <w:sz w:val="20"/>
        </w:rPr>
        <w:t xml:space="preserve"> </w:t>
      </w:r>
      <w:r>
        <w:rPr>
          <w:rFonts w:ascii="Times New Roman" w:hAnsi="Times New Roman"/>
          <w:color w:val="000000"/>
          <w:sz w:val="22"/>
        </w:rPr>
        <w:t xml:space="preserve">Investments in the MSC Subsidiary, so long as an Event of Default does not exist at the time of such Investment and would not exist after giving effect to such Investment and provided that Borrower is in compliance with </w:t>
      </w:r>
      <w:r>
        <w:rPr>
          <w:rFonts w:ascii="Times New Roman" w:hAnsi="Times New Roman"/>
          <w:color w:val="000000"/>
          <w:sz w:val="22"/>
          <w:u w:val="single"/>
        </w:rPr>
        <w:t xml:space="preserve">Section 7.14 </w:t>
      </w:r>
      <w:r>
        <w:rPr>
          <w:rFonts w:ascii="Times New Roman" w:hAnsi="Times New Roman"/>
          <w:color w:val="000000"/>
          <w:sz w:val="22"/>
        </w:rPr>
        <w:t>hereunder;</w:t>
      </w:r>
    </w:p>
    <w:p>
      <w:pPr>
        <w:pStyle w:val="TextBody"/>
        <w:bidi w:val="0"/>
        <w:spacing w:before="0" w:after="240"/>
        <w:jc w:val="both"/>
        <w:rPr>
          <w:rFonts w:ascii="Times New Roman" w:hAnsi="Times New Roman"/>
          <w:sz w:val="20"/>
        </w:rPr>
      </w:pPr>
      <w:r>
        <w:rPr>
          <w:rFonts w:ascii="Times New Roman" w:hAnsi="Times New Roman"/>
          <w:color w:val="000000"/>
          <w:sz w:val="22"/>
        </w:rPr>
        <w:t>(xii)</w:t>
      </w:r>
      <w:r>
        <w:rPr>
          <w:rFonts w:ascii="Times New Roman" w:hAnsi="Times New Roman"/>
          <w:color w:val="000000"/>
          <w:sz w:val="20"/>
        </w:rPr>
        <w:t xml:space="preserve"> </w:t>
      </w:r>
      <w:r>
        <w:rPr>
          <w:rFonts w:ascii="Times New Roman" w:hAnsi="Times New Roman"/>
          <w:color w:val="000000"/>
          <w:sz w:val="22"/>
        </w:rPr>
        <w:t>joint ventures or strategic alliances in the ordinary course of Borrower’s business consisting of the nonexclusive licensing of technology, the development of technology or the providing of technical support, provided that any cash Investments by Borrower do not exceed $500,000 in the aggregate in any fiscal year and, provided, further, that, for the avoidance of doubt, any cost-sharing arrangements in connection with collaborative studies with third parties shall not be subject to any such limitation;</w:t>
      </w:r>
    </w:p>
    <w:p>
      <w:pPr>
        <w:pStyle w:val="TextBody"/>
        <w:bidi w:val="0"/>
        <w:spacing w:before="0" w:after="240"/>
        <w:jc w:val="both"/>
        <w:rPr>
          <w:rFonts w:ascii="Times New Roman" w:hAnsi="Times New Roman"/>
          <w:sz w:val="20"/>
        </w:rPr>
      </w:pPr>
      <w:r>
        <w:rPr>
          <w:rFonts w:ascii="Times New Roman" w:hAnsi="Times New Roman"/>
          <w:color w:val="000000"/>
          <w:sz w:val="22"/>
        </w:rPr>
        <w:t>(xiii)</w:t>
      </w:r>
      <w:r>
        <w:rPr>
          <w:rFonts w:ascii="Times New Roman" w:hAnsi="Times New Roman"/>
          <w:color w:val="000000"/>
          <w:sz w:val="20"/>
        </w:rPr>
        <w:t xml:space="preserve"> </w:t>
      </w:r>
      <w:r>
        <w:rPr>
          <w:rFonts w:ascii="Times New Roman" w:hAnsi="Times New Roman"/>
          <w:color w:val="000000"/>
          <w:sz w:val="22"/>
        </w:rPr>
        <w:t>Permitted Acquisitions;</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(xiv)</w:t>
      </w:r>
      <w:r>
        <w:rPr>
          <w:rFonts w:ascii="Times New Roman" w:hAnsi="Times New Roman"/>
          <w:color w:val="000000"/>
          <w:sz w:val="20"/>
        </w:rPr>
        <w:t xml:space="preserve"> </w:t>
      </w:r>
      <w:r>
        <w:rPr>
          <w:rFonts w:ascii="Times New Roman" w:hAnsi="Times New Roman"/>
          <w:color w:val="000000"/>
          <w:sz w:val="22"/>
        </w:rPr>
        <w:t>Investments pursuant to Borrower’s investment policy that has been provided to Agent prior to the Closing Date or any investment policy that has been approved in writing by Agent in its reasonable discretion; and</w:t>
      </w:r>
    </w:p>
    <w:p>
      <w:pPr>
        <w:pStyle w:val="TextBody"/>
        <w:bidi w:val="0"/>
        <w:spacing w:before="0" w:after="240"/>
        <w:jc w:val="both"/>
        <w:rPr>
          <w:rFonts w:ascii="Times New Roman" w:hAnsi="Times New Roman"/>
          <w:sz w:val="20"/>
        </w:rPr>
      </w:pPr>
      <w:r>
        <w:rPr>
          <w:rFonts w:ascii="Times New Roman" w:hAnsi="Times New Roman"/>
          <w:color w:val="000000"/>
          <w:sz w:val="22"/>
        </w:rPr>
        <w:t>(xv)</w:t>
      </w:r>
      <w:r>
        <w:rPr>
          <w:rFonts w:ascii="Times New Roman" w:hAnsi="Times New Roman"/>
          <w:color w:val="000000"/>
          <w:sz w:val="20"/>
        </w:rPr>
        <w:t xml:space="preserve"> </w:t>
      </w:r>
      <w:r>
        <w:rPr>
          <w:rFonts w:ascii="Times New Roman" w:hAnsi="Times New Roman"/>
          <w:color w:val="000000"/>
          <w:sz w:val="22"/>
        </w:rPr>
        <w:t>additional Investments that do not exceed $1,000,000 in the aggregate.</w:t>
      </w:r>
    </w:p>
    <w:p>
      <w:pPr>
        <w:pStyle w:val="TextBody"/>
        <w:bidi w:val="0"/>
        <w:spacing w:before="0" w:after="240"/>
        <w:jc w:val="both"/>
        <w:rPr/>
      </w:pPr>
      <w:r>
        <w:rPr>
          <w:color w:val="000000"/>
        </w:rPr>
        <w:t>“</w:t>
      </w:r>
      <w:r>
        <w:rPr>
          <w:rFonts w:ascii="Times New Roman" w:hAnsi="Times New Roman"/>
          <w:color w:val="000000"/>
          <w:sz w:val="22"/>
          <w:u w:val="single"/>
        </w:rPr>
        <w:t>Permitted Liens</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240"/>
        <w:jc w:val="both"/>
        <w:rPr>
          <w:rFonts w:ascii="Times New Roman" w:hAnsi="Times New Roman"/>
          <w:sz w:val="20"/>
        </w:rPr>
      </w:pPr>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rPr>
        <w:t>Liens in favor of Agent or the Lenders;</w:t>
      </w:r>
    </w:p>
    <w:p>
      <w:pPr>
        <w:pStyle w:val="TextBody"/>
        <w:bidi w:val="0"/>
        <w:spacing w:before="0" w:after="240"/>
        <w:jc w:val="both"/>
        <w:rPr>
          <w:rFonts w:ascii="Times New Roman" w:hAnsi="Times New Roman"/>
          <w:sz w:val="20"/>
        </w:rPr>
      </w:pPr>
      <w:r>
        <w:rPr>
          <w:rFonts w:ascii="Times New Roman" w:hAnsi="Times New Roman"/>
          <w:color w:val="000000"/>
          <w:sz w:val="22"/>
        </w:rPr>
        <w:t>(ii)</w:t>
      </w:r>
      <w:r>
        <w:rPr>
          <w:rFonts w:ascii="Times New Roman" w:hAnsi="Times New Roman"/>
          <w:color w:val="000000"/>
          <w:sz w:val="20"/>
        </w:rPr>
        <w:t xml:space="preserve"> </w:t>
      </w:r>
      <w:r>
        <w:rPr>
          <w:rFonts w:ascii="Times New Roman" w:hAnsi="Times New Roman"/>
          <w:color w:val="000000"/>
          <w:sz w:val="22"/>
        </w:rPr>
        <w:t xml:space="preserve">Liens existing on the Closing Date which are disclosed in </w:t>
      </w:r>
      <w:r>
        <w:rPr>
          <w:rFonts w:ascii="Times New Roman" w:hAnsi="Times New Roman"/>
          <w:color w:val="000000"/>
          <w:sz w:val="22"/>
          <w:u w:val="single"/>
        </w:rPr>
        <w:t>Schedule 1C</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(iii)</w:t>
      </w:r>
      <w:r>
        <w:rPr>
          <w:rFonts w:ascii="Times New Roman" w:hAnsi="Times New Roman"/>
          <w:color w:val="000000"/>
          <w:sz w:val="20"/>
        </w:rPr>
        <w:t xml:space="preserve"> </w:t>
      </w:r>
      <w:r>
        <w:rPr>
          <w:rFonts w:ascii="Times New Roman" w:hAnsi="Times New Roman"/>
          <w:color w:val="000000"/>
          <w:sz w:val="22"/>
        </w:rPr>
        <w:t>Liens for taxes, fees, assessments or other governmental charges or levies, either not yet due or being contested in good faith by appropriate proceedings diligently conducted; provided, that Borrower maintains adequate reserves therefor on Borrower’s Books in accordance with GAAP;</w:t>
      </w:r>
    </w:p>
    <w:p>
      <w:pPr>
        <w:pStyle w:val="TextBody"/>
        <w:bidi w:val="0"/>
        <w:spacing w:before="0" w:after="240"/>
        <w:jc w:val="both"/>
        <w:rPr>
          <w:rFonts w:ascii="Times New Roman" w:hAnsi="Times New Roman"/>
          <w:sz w:val="20"/>
        </w:rPr>
      </w:pPr>
      <w:r>
        <w:rPr>
          <w:rFonts w:ascii="Times New Roman" w:hAnsi="Times New Roman"/>
          <w:color w:val="000000"/>
          <w:sz w:val="22"/>
        </w:rPr>
        <w:t>(iv)</w:t>
      </w:r>
      <w:r>
        <w:rPr>
          <w:rFonts w:ascii="Times New Roman" w:hAnsi="Times New Roman"/>
          <w:color w:val="000000"/>
          <w:sz w:val="20"/>
        </w:rPr>
        <w:t xml:space="preserve"> </w:t>
      </w:r>
      <w:r>
        <w:rPr>
          <w:rFonts w:ascii="Times New Roman" w:hAnsi="Times New Roman"/>
          <w:color w:val="000000"/>
          <w:sz w:val="22"/>
        </w:rPr>
        <w:t>Liens securing claims or demands of materialmen, artisans, mechanics, carriers, warehousemen, landlords and other like Persons arising in the ordinary course of Borrower’s business and imposed without action of such parties; provided, that the payment thereof is not yet required;</w:t>
      </w:r>
    </w:p>
    <w:p>
      <w:pPr>
        <w:pStyle w:val="TextBody"/>
        <w:bidi w:val="0"/>
        <w:spacing w:before="0" w:after="240"/>
        <w:jc w:val="both"/>
        <w:rPr>
          <w:rFonts w:ascii="Times New Roman" w:hAnsi="Times New Roman"/>
          <w:sz w:val="20"/>
        </w:rPr>
      </w:pPr>
      <w:r>
        <w:rPr>
          <w:rFonts w:ascii="Times New Roman" w:hAnsi="Times New Roman"/>
          <w:color w:val="000000"/>
          <w:sz w:val="22"/>
        </w:rPr>
        <w:t>(v)</w:t>
      </w:r>
      <w:r>
        <w:rPr>
          <w:rFonts w:ascii="Times New Roman" w:hAnsi="Times New Roman"/>
          <w:color w:val="000000"/>
          <w:sz w:val="20"/>
        </w:rPr>
        <w:t xml:space="preserve"> </w:t>
      </w:r>
      <w:r>
        <w:rPr>
          <w:rFonts w:ascii="Times New Roman" w:hAnsi="Times New Roman"/>
          <w:color w:val="000000"/>
          <w:sz w:val="22"/>
        </w:rPr>
        <w:t>Liens arising from judgments, decrees or attachments in circumstances which do not constitute an Event of Default hereunder;</w:t>
      </w:r>
    </w:p>
    <w:p>
      <w:pPr>
        <w:pStyle w:val="TextBody"/>
        <w:bidi w:val="0"/>
        <w:spacing w:before="0" w:after="240"/>
        <w:jc w:val="both"/>
        <w:rPr>
          <w:rFonts w:ascii="Times New Roman" w:hAnsi="Times New Roman"/>
          <w:sz w:val="20"/>
        </w:rPr>
      </w:pPr>
      <w:r>
        <w:rPr>
          <w:rFonts w:ascii="Times New Roman" w:hAnsi="Times New Roman"/>
          <w:color w:val="000000"/>
          <w:sz w:val="22"/>
        </w:rPr>
        <w:t>(vi)</w:t>
      </w:r>
      <w:r>
        <w:rPr>
          <w:rFonts w:ascii="Times New Roman" w:hAnsi="Times New Roman"/>
          <w:color w:val="000000"/>
          <w:sz w:val="20"/>
        </w:rPr>
        <w:t xml:space="preserve"> </w:t>
      </w:r>
      <w:r>
        <w:rPr>
          <w:rFonts w:ascii="Times New Roman" w:hAnsi="Times New Roman"/>
          <w:color w:val="000000"/>
          <w:sz w:val="22"/>
        </w:rPr>
        <w:t>the following deposits, to the extent made in the ordinary course of business: deposits under worker’s compensation, unemployment insurance, social security and other similar laws, or to secure the performance of bids, tenders or contracts (other than for the repayment of borrowed money) or to secure indemnity, performance or other similar bonds for the performance of bids, tenders or contracts (other than for the repayment of borrowed money) or to secure statutory obligations (other than Liens arising under ERISA or environmental Liens) or surety or appeal bonds, or to secure indemnity, performance or other similar bonds;</w:t>
      </w:r>
    </w:p>
    <w:p>
      <w:pPr>
        <w:pStyle w:val="TextBody"/>
        <w:bidi w:val="0"/>
        <w:spacing w:before="0" w:after="240"/>
        <w:jc w:val="both"/>
        <w:rPr>
          <w:rFonts w:ascii="Times New Roman" w:hAnsi="Times New Roman"/>
          <w:sz w:val="20"/>
        </w:rPr>
      </w:pPr>
      <w:r>
        <w:rPr>
          <w:rFonts w:ascii="Times New Roman" w:hAnsi="Times New Roman"/>
          <w:color w:val="000000"/>
          <w:sz w:val="22"/>
        </w:rPr>
        <w:t>(vii)</w:t>
      </w:r>
      <w:r>
        <w:rPr>
          <w:rFonts w:ascii="Times New Roman" w:hAnsi="Times New Roman"/>
          <w:color w:val="000000"/>
          <w:sz w:val="20"/>
        </w:rPr>
        <w:t xml:space="preserve"> </w:t>
      </w:r>
      <w:r>
        <w:rPr>
          <w:rFonts w:ascii="Times New Roman" w:hAnsi="Times New Roman"/>
          <w:color w:val="000000"/>
          <w:sz w:val="22"/>
        </w:rPr>
        <w:t xml:space="preserve">Liens on Equipment or software or other intellectual property constituting purchase money Liens and Liens in connection with capital leases securing Indebtedness permitted in </w:t>
      </w:r>
      <w:r>
        <w:rPr>
          <w:rFonts w:ascii="Times New Roman" w:hAnsi="Times New Roman"/>
          <w:color w:val="000000"/>
          <w:sz w:val="22"/>
          <w:u w:val="single"/>
        </w:rPr>
        <w:t>clause (iii)</w:t>
      </w:r>
      <w:r>
        <w:rPr>
          <w:rFonts w:ascii="Times New Roman" w:hAnsi="Times New Roman"/>
          <w:color w:val="000000"/>
          <w:sz w:val="20"/>
        </w:rPr>
        <w:t xml:space="preserve"> </w:t>
      </w:r>
      <w:r>
        <w:rPr>
          <w:rFonts w:ascii="Times New Roman" w:hAnsi="Times New Roman"/>
          <w:color w:val="000000"/>
          <w:sz w:val="22"/>
        </w:rPr>
        <w:t>of “Permitted Indebtedness”;</w:t>
      </w:r>
    </w:p>
    <w:p>
      <w:pPr>
        <w:pStyle w:val="TextBody"/>
        <w:bidi w:val="0"/>
        <w:spacing w:before="0" w:after="240"/>
        <w:jc w:val="both"/>
        <w:rPr>
          <w:rFonts w:ascii="Times New Roman" w:hAnsi="Times New Roman"/>
          <w:sz w:val="20"/>
        </w:rPr>
      </w:pPr>
      <w:r>
        <w:rPr>
          <w:rFonts w:ascii="Times New Roman" w:hAnsi="Times New Roman"/>
          <w:color w:val="000000"/>
          <w:sz w:val="22"/>
        </w:rPr>
        <w:t>(viii)</w:t>
      </w:r>
      <w:r>
        <w:rPr>
          <w:rFonts w:ascii="Times New Roman" w:hAnsi="Times New Roman"/>
          <w:color w:val="000000"/>
          <w:sz w:val="20"/>
        </w:rPr>
        <w:t xml:space="preserve"> </w:t>
      </w:r>
      <w:r>
        <w:rPr>
          <w:rFonts w:ascii="Times New Roman" w:hAnsi="Times New Roman"/>
          <w:color w:val="000000"/>
          <w:sz w:val="22"/>
        </w:rPr>
        <w:t>Liens incurred in connection with Subordinated Indebtedness;</w:t>
      </w:r>
    </w:p>
    <w:p>
      <w:pPr>
        <w:pStyle w:val="TextBody"/>
        <w:bidi w:val="0"/>
        <w:spacing w:before="0" w:after="240"/>
        <w:jc w:val="both"/>
        <w:rPr>
          <w:rFonts w:ascii="Times New Roman" w:hAnsi="Times New Roman"/>
          <w:sz w:val="20"/>
        </w:rPr>
      </w:pPr>
      <w:r>
        <w:rPr>
          <w:rFonts w:ascii="Times New Roman" w:hAnsi="Times New Roman"/>
          <w:color w:val="000000"/>
          <w:sz w:val="22"/>
        </w:rPr>
        <w:t>(ix)</w:t>
      </w:r>
      <w:r>
        <w:rPr>
          <w:rFonts w:ascii="Times New Roman" w:hAnsi="Times New Roman"/>
          <w:color w:val="000000"/>
          <w:sz w:val="20"/>
        </w:rPr>
        <w:t xml:space="preserve"> </w:t>
      </w:r>
      <w:r>
        <w:rPr>
          <w:rFonts w:ascii="Times New Roman" w:hAnsi="Times New Roman"/>
          <w:color w:val="000000"/>
          <w:sz w:val="22"/>
        </w:rPr>
        <w:t>leasehold interests in leases or subleases and licenses granted in the ordinary course of business and not interfering in any material respect with the business of the licensor;</w:t>
      </w:r>
    </w:p>
    <w:p>
      <w:pPr>
        <w:pStyle w:val="TextBody"/>
        <w:bidi w:val="0"/>
        <w:spacing w:before="0" w:after="240"/>
        <w:jc w:val="both"/>
        <w:rPr>
          <w:rFonts w:ascii="Times New Roman" w:hAnsi="Times New Roman"/>
          <w:sz w:val="20"/>
        </w:rPr>
      </w:pPr>
      <w:r>
        <w:rPr>
          <w:rFonts w:ascii="Times New Roman" w:hAnsi="Times New Roman"/>
          <w:color w:val="000000"/>
          <w:sz w:val="22"/>
        </w:rPr>
        <w:t>(x)</w:t>
      </w:r>
      <w:r>
        <w:rPr>
          <w:rFonts w:ascii="Times New Roman" w:hAnsi="Times New Roman"/>
          <w:color w:val="000000"/>
          <w:sz w:val="20"/>
        </w:rPr>
        <w:t xml:space="preserve"> </w:t>
      </w:r>
      <w:r>
        <w:rPr>
          <w:rFonts w:ascii="Times New Roman" w:hAnsi="Times New Roman"/>
          <w:color w:val="000000"/>
          <w:sz w:val="22"/>
        </w:rPr>
        <w:t>Liens in favor of customs and revenue authorities arising as a matter of law to secure payment of custom duties that are promptly paid on or before the date they become due;</w:t>
      </w:r>
    </w:p>
    <w:p>
      <w:pPr>
        <w:pStyle w:val="TextBody"/>
        <w:bidi w:val="0"/>
        <w:spacing w:before="0" w:after="240"/>
        <w:jc w:val="both"/>
        <w:rPr>
          <w:rFonts w:ascii="Times New Roman" w:hAnsi="Times New Roman"/>
          <w:sz w:val="20"/>
        </w:rPr>
      </w:pPr>
      <w:r>
        <w:rPr>
          <w:rFonts w:ascii="Times New Roman" w:hAnsi="Times New Roman"/>
          <w:color w:val="000000"/>
          <w:sz w:val="22"/>
        </w:rPr>
        <w:t>(xi)</w:t>
      </w:r>
      <w:r>
        <w:rPr>
          <w:rFonts w:ascii="Times New Roman" w:hAnsi="Times New Roman"/>
          <w:color w:val="000000"/>
          <w:sz w:val="20"/>
        </w:rPr>
        <w:t xml:space="preserve"> </w:t>
      </w:r>
      <w:r>
        <w:rPr>
          <w:rFonts w:ascii="Times New Roman" w:hAnsi="Times New Roman"/>
          <w:color w:val="000000"/>
          <w:sz w:val="22"/>
        </w:rPr>
        <w:t>Liens on insurance proceeds securing the payment of financed insurance premiums that are promptly paid on or before the date they become due (provided that such Liens extend only to such insurance proceeds and not to any other property or assets);</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(xii)</w:t>
      </w:r>
      <w:r>
        <w:rPr>
          <w:rFonts w:ascii="Times New Roman" w:hAnsi="Times New Roman"/>
          <w:color w:val="000000"/>
          <w:sz w:val="20"/>
        </w:rPr>
        <w:t xml:space="preserve"> </w:t>
      </w:r>
      <w:r>
        <w:rPr>
          <w:rFonts w:ascii="Times New Roman" w:hAnsi="Times New Roman"/>
          <w:color w:val="000000"/>
          <w:sz w:val="22"/>
        </w:rPr>
        <w:t>statutory and common law rights of set-off and other similar rights as to deposits of cash and securities in favor of banks, other depository institutions and brokerage firms;</w:t>
      </w:r>
    </w:p>
    <w:p>
      <w:pPr>
        <w:pStyle w:val="TextBody"/>
        <w:bidi w:val="0"/>
        <w:spacing w:before="0" w:after="240"/>
        <w:jc w:val="both"/>
        <w:rPr>
          <w:rFonts w:ascii="Times New Roman" w:hAnsi="Times New Roman"/>
          <w:sz w:val="20"/>
        </w:rPr>
      </w:pPr>
      <w:r>
        <w:rPr>
          <w:rFonts w:ascii="Times New Roman" w:hAnsi="Times New Roman"/>
          <w:color w:val="000000"/>
          <w:sz w:val="22"/>
        </w:rPr>
        <w:t>(xiii)</w:t>
      </w:r>
      <w:r>
        <w:rPr>
          <w:rFonts w:ascii="Times New Roman" w:hAnsi="Times New Roman"/>
          <w:color w:val="000000"/>
          <w:sz w:val="20"/>
        </w:rPr>
        <w:t xml:space="preserve"> </w:t>
      </w:r>
      <w:r>
        <w:rPr>
          <w:rFonts w:ascii="Times New Roman" w:hAnsi="Times New Roman"/>
          <w:color w:val="000000"/>
          <w:sz w:val="22"/>
        </w:rPr>
        <w:t>easements, zoning restrictions, rights-of-way and similar encumbrances on real property imposed by law or arising in the ordinary course of business so long as they do not materially impair the value or marketability of the related property;</w:t>
      </w:r>
    </w:p>
    <w:p>
      <w:pPr>
        <w:pStyle w:val="TextBody"/>
        <w:bidi w:val="0"/>
        <w:spacing w:before="0" w:after="240"/>
        <w:jc w:val="both"/>
        <w:rPr>
          <w:rFonts w:ascii="Times New Roman" w:hAnsi="Times New Roman"/>
          <w:sz w:val="20"/>
        </w:rPr>
      </w:pPr>
      <w:r>
        <w:rPr>
          <w:rFonts w:ascii="Times New Roman" w:hAnsi="Times New Roman"/>
          <w:color w:val="000000"/>
          <w:sz w:val="22"/>
        </w:rPr>
        <w:t>(xiv)</w:t>
      </w:r>
      <w:r>
        <w:rPr>
          <w:rFonts w:ascii="Times New Roman" w:hAnsi="Times New Roman"/>
          <w:color w:val="000000"/>
          <w:sz w:val="20"/>
        </w:rPr>
        <w:t xml:space="preserve"> </w:t>
      </w:r>
      <w:r>
        <w:rPr>
          <w:rFonts w:ascii="Times New Roman" w:hAnsi="Times New Roman"/>
          <w:color w:val="000000"/>
          <w:sz w:val="22"/>
        </w:rPr>
        <w:t xml:space="preserve">(A) Liens on Cash securing obligations permitted under </w:t>
      </w:r>
      <w:r>
        <w:rPr>
          <w:rFonts w:ascii="Times New Roman" w:hAnsi="Times New Roman"/>
          <w:color w:val="000000"/>
          <w:sz w:val="22"/>
          <w:u w:val="single"/>
        </w:rPr>
        <w:t>clause (vii)</w:t>
      </w:r>
      <w:r>
        <w:rPr>
          <w:rFonts w:ascii="Times New Roman" w:hAnsi="Times New Roman"/>
          <w:color w:val="000000"/>
          <w:sz w:val="20"/>
        </w:rPr>
        <w:t xml:space="preserve"> </w:t>
      </w:r>
      <w:r>
        <w:rPr>
          <w:rFonts w:ascii="Times New Roman" w:hAnsi="Times New Roman"/>
          <w:color w:val="000000"/>
          <w:sz w:val="22"/>
        </w:rPr>
        <w:t>of the definition of Permitted Indebtedness and (B) security deposits in connection with real property leases, the combination of (A) and (B) in an aggregate amount not to exceed $3,500,000 at any time outstanding;</w:t>
      </w:r>
    </w:p>
    <w:p>
      <w:pPr>
        <w:pStyle w:val="TextBody"/>
        <w:bidi w:val="0"/>
        <w:spacing w:before="0" w:after="240"/>
        <w:jc w:val="both"/>
        <w:rPr>
          <w:rFonts w:ascii="Times New Roman" w:hAnsi="Times New Roman"/>
          <w:sz w:val="20"/>
        </w:rPr>
      </w:pPr>
      <w:r>
        <w:rPr>
          <w:rFonts w:ascii="Times New Roman" w:hAnsi="Times New Roman"/>
          <w:color w:val="000000"/>
          <w:sz w:val="22"/>
        </w:rPr>
        <w:t>(xv)</w:t>
      </w:r>
      <w:r>
        <w:rPr>
          <w:rFonts w:ascii="Times New Roman" w:hAnsi="Times New Roman"/>
          <w:color w:val="000000"/>
          <w:sz w:val="20"/>
        </w:rPr>
        <w:t xml:space="preserve"> </w:t>
      </w:r>
      <w:r>
        <w:rPr>
          <w:rFonts w:ascii="Times New Roman" w:hAnsi="Times New Roman"/>
          <w:color w:val="000000"/>
          <w:sz w:val="22"/>
        </w:rPr>
        <w:t xml:space="preserve">Liens on Cash securing corporate credit card obligations permitted under </w:t>
      </w:r>
      <w:r>
        <w:rPr>
          <w:rFonts w:ascii="Times New Roman" w:hAnsi="Times New Roman"/>
          <w:color w:val="000000"/>
          <w:sz w:val="22"/>
          <w:u w:val="single"/>
        </w:rPr>
        <w:t>clause (iv)</w:t>
      </w:r>
      <w:r>
        <w:rPr>
          <w:rFonts w:ascii="Times New Roman" w:hAnsi="Times New Roman"/>
          <w:color w:val="000000"/>
          <w:sz w:val="22"/>
        </w:rPr>
        <w:t>of the definition of Permitted Indebtedness, in an aggregate amount not to exceed $500,000 outstanding at any time;</w:t>
      </w:r>
    </w:p>
    <w:p>
      <w:pPr>
        <w:pStyle w:val="TextBody"/>
        <w:bidi w:val="0"/>
        <w:spacing w:before="0" w:after="240"/>
        <w:jc w:val="both"/>
        <w:rPr>
          <w:rFonts w:ascii="Times New Roman" w:hAnsi="Times New Roman"/>
          <w:sz w:val="20"/>
        </w:rPr>
      </w:pPr>
      <w:r>
        <w:rPr>
          <w:rFonts w:ascii="Times New Roman" w:hAnsi="Times New Roman"/>
          <w:color w:val="000000"/>
          <w:sz w:val="22"/>
        </w:rPr>
        <w:t>(xvi)</w:t>
      </w:r>
      <w:r>
        <w:rPr>
          <w:rFonts w:ascii="Times New Roman" w:hAnsi="Times New Roman"/>
          <w:color w:val="000000"/>
          <w:sz w:val="20"/>
        </w:rPr>
        <w:t xml:space="preserve"> </w:t>
      </w:r>
      <w:r>
        <w:rPr>
          <w:rFonts w:ascii="Times New Roman" w:hAnsi="Times New Roman"/>
          <w:color w:val="000000"/>
          <w:sz w:val="22"/>
        </w:rPr>
        <w:t>Liens incurred in connection with the extension, renewal or refinancing of the Indebtedness secured by Liens of the type described in clauses (i) through (xi) above; provided, that any extension, renewal or replacement Lien shall be limited to the property encumbered by the existing Lien (subject to expansion by virtue of acquisition of property covered by a floating lien, so long as such expansion is within the parameters of such applicable clause (i) through (xi) above) and the principal amount of the Indebtedness being extended, renewed or refinanced (as may have been reduced by any payment thereon) does not increase, other than as a result of the capitalization of interest, premium, fees and expenses thereunder; and</w:t>
      </w:r>
    </w:p>
    <w:p>
      <w:pPr>
        <w:pStyle w:val="TextBody"/>
        <w:bidi w:val="0"/>
        <w:spacing w:before="0" w:after="240"/>
        <w:jc w:val="both"/>
        <w:rPr>
          <w:rFonts w:ascii="Times New Roman" w:hAnsi="Times New Roman"/>
          <w:sz w:val="20"/>
        </w:rPr>
      </w:pPr>
      <w:r>
        <w:rPr>
          <w:rFonts w:ascii="Times New Roman" w:hAnsi="Times New Roman"/>
          <w:color w:val="000000"/>
          <w:sz w:val="22"/>
        </w:rPr>
        <w:t>(xvii)</w:t>
      </w:r>
      <w:r>
        <w:rPr>
          <w:rFonts w:ascii="Times New Roman" w:hAnsi="Times New Roman"/>
          <w:color w:val="000000"/>
          <w:sz w:val="20"/>
        </w:rPr>
        <w:t xml:space="preserve"> </w:t>
      </w:r>
      <w:r>
        <w:rPr>
          <w:rFonts w:ascii="Times New Roman" w:hAnsi="Times New Roman"/>
          <w:color w:val="000000"/>
          <w:sz w:val="22"/>
        </w:rPr>
        <w:t>Licenses comprised of Permitted Transfers.</w:t>
      </w:r>
    </w:p>
    <w:p>
      <w:pPr>
        <w:pStyle w:val="TextBody"/>
        <w:bidi w:val="0"/>
        <w:spacing w:before="0" w:after="240"/>
        <w:jc w:val="both"/>
        <w:rPr/>
      </w:pPr>
      <w:r>
        <w:rPr>
          <w:color w:val="000000"/>
        </w:rPr>
        <w:t>“</w:t>
      </w:r>
      <w:r>
        <w:rPr>
          <w:rFonts w:ascii="Times New Roman" w:hAnsi="Times New Roman"/>
          <w:color w:val="000000"/>
          <w:sz w:val="22"/>
          <w:u w:val="single"/>
        </w:rPr>
        <w:t>Permitted Transfers</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240"/>
        <w:jc w:val="both"/>
        <w:rPr>
          <w:rFonts w:ascii="Times New Roman" w:hAnsi="Times New Roman"/>
          <w:sz w:val="20"/>
        </w:rPr>
      </w:pPr>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rPr>
        <w:t>sales of Inventory in the ordinary course of business;</w:t>
      </w:r>
    </w:p>
    <w:p>
      <w:pPr>
        <w:pStyle w:val="TextBody"/>
        <w:bidi w:val="0"/>
        <w:spacing w:before="0" w:after="240"/>
        <w:jc w:val="both"/>
        <w:rPr>
          <w:rFonts w:ascii="Times New Roman" w:hAnsi="Times New Roman"/>
          <w:sz w:val="20"/>
        </w:rPr>
      </w:pPr>
      <w:r>
        <w:rPr>
          <w:rFonts w:ascii="Times New Roman" w:hAnsi="Times New Roman"/>
          <w:color w:val="000000"/>
          <w:sz w:val="22"/>
        </w:rPr>
        <w:t>(ii)</w:t>
      </w:r>
      <w:r>
        <w:rPr>
          <w:rFonts w:ascii="Times New Roman" w:hAnsi="Times New Roman"/>
          <w:color w:val="000000"/>
          <w:sz w:val="20"/>
        </w:rPr>
        <w:t xml:space="preserve"> </w:t>
      </w:r>
      <w:r>
        <w:rPr>
          <w:rFonts w:ascii="Times New Roman" w:hAnsi="Times New Roman"/>
          <w:color w:val="000000"/>
          <w:sz w:val="22"/>
        </w:rPr>
        <w:t>non-exclusive licenses, sublicenses and similar arrangements for the use of Company IP of Borrower or Borrower Products and related assets in the ordinary course of business that could not result in a legal transfer of title of the licensed property;</w:t>
      </w:r>
    </w:p>
    <w:p>
      <w:pPr>
        <w:pStyle w:val="TextBody"/>
        <w:bidi w:val="0"/>
        <w:spacing w:before="0" w:after="240"/>
        <w:jc w:val="both"/>
        <w:rPr>
          <w:rFonts w:ascii="Times New Roman" w:hAnsi="Times New Roman"/>
          <w:sz w:val="20"/>
        </w:rPr>
      </w:pPr>
      <w:r>
        <w:rPr>
          <w:rFonts w:ascii="Times New Roman" w:hAnsi="Times New Roman"/>
          <w:color w:val="000000"/>
          <w:sz w:val="22"/>
        </w:rPr>
        <w:t>(iii)</w:t>
      </w:r>
      <w:r>
        <w:rPr>
          <w:rFonts w:ascii="Times New Roman" w:hAnsi="Times New Roman"/>
          <w:color w:val="000000"/>
          <w:sz w:val="20"/>
        </w:rPr>
        <w:t xml:space="preserve"> </w:t>
      </w:r>
      <w:r>
        <w:rPr>
          <w:rFonts w:ascii="Times New Roman" w:hAnsi="Times New Roman"/>
          <w:color w:val="000000"/>
          <w:sz w:val="22"/>
        </w:rPr>
        <w:t>exclusive licenses, sublicenses and similar arrangements for the use of Company IP of Borrower or Borrower Products and related assets in the ordinary course of business that could not result in a legal transfer of title of the licensed property that is (a) exclusive as to territory solely outside the United States of America or (b) exclusive as to specific geographic regions or territories including the United States of America but only as such license, sublicense or similar arrangement relates to DISC-0974 for the treatment of chronic kidney disease; provided that each such license, sublicense or similar arrangement constitutes an arms-length transaction, the terms of which, on their face, do not provide for a sale or assignment by Borrower of any Company IP;</w:t>
      </w:r>
    </w:p>
    <w:p>
      <w:pPr>
        <w:pStyle w:val="TextBody"/>
        <w:bidi w:val="0"/>
        <w:spacing w:before="0" w:after="240"/>
        <w:jc w:val="both"/>
        <w:rPr>
          <w:rFonts w:ascii="Times New Roman" w:hAnsi="Times New Roman"/>
          <w:sz w:val="20"/>
        </w:rPr>
      </w:pPr>
      <w:r>
        <w:rPr>
          <w:rFonts w:ascii="Times New Roman" w:hAnsi="Times New Roman"/>
          <w:color w:val="000000"/>
          <w:sz w:val="22"/>
        </w:rPr>
        <w:t>(iv)</w:t>
      </w:r>
      <w:r>
        <w:rPr>
          <w:rFonts w:ascii="Times New Roman" w:hAnsi="Times New Roman"/>
          <w:color w:val="000000"/>
          <w:sz w:val="20"/>
        </w:rPr>
        <w:t xml:space="preserve"> </w:t>
      </w:r>
      <w:r>
        <w:rPr>
          <w:rFonts w:ascii="Times New Roman" w:hAnsi="Times New Roman"/>
          <w:color w:val="000000"/>
          <w:sz w:val="22"/>
        </w:rPr>
        <w:t>dispositions of worn-out, obsolete or surplus Equipment at fair market value in the ordinary course of business;</w:t>
      </w:r>
    </w:p>
    <w:p>
      <w:pPr>
        <w:pStyle w:val="TextBody"/>
        <w:bidi w:val="0"/>
        <w:spacing w:before="0" w:after="240"/>
        <w:jc w:val="both"/>
        <w:rPr>
          <w:rFonts w:ascii="Times New Roman" w:hAnsi="Times New Roman"/>
          <w:sz w:val="20"/>
        </w:rPr>
      </w:pPr>
      <w:r>
        <w:rPr>
          <w:rFonts w:ascii="Times New Roman" w:hAnsi="Times New Roman"/>
          <w:color w:val="000000"/>
          <w:sz w:val="22"/>
        </w:rPr>
        <w:t>(v)</w:t>
      </w:r>
      <w:r>
        <w:rPr>
          <w:rFonts w:ascii="Times New Roman" w:hAnsi="Times New Roman"/>
          <w:color w:val="000000"/>
          <w:sz w:val="20"/>
        </w:rPr>
        <w:t xml:space="preserve"> </w:t>
      </w:r>
      <w:r>
        <w:rPr>
          <w:rFonts w:ascii="Times New Roman" w:hAnsi="Times New Roman"/>
          <w:color w:val="000000"/>
          <w:sz w:val="22"/>
        </w:rPr>
        <w:t>transfers by and among any Borrower;</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(vi)</w:t>
      </w:r>
      <w:r>
        <w:rPr>
          <w:rFonts w:ascii="Times New Roman" w:hAnsi="Times New Roman"/>
          <w:color w:val="000000"/>
          <w:sz w:val="20"/>
        </w:rPr>
        <w:t xml:space="preserve"> </w:t>
      </w:r>
      <w:r>
        <w:rPr>
          <w:rFonts w:ascii="Times New Roman" w:hAnsi="Times New Roman"/>
          <w:color w:val="000000"/>
          <w:sz w:val="22"/>
        </w:rPr>
        <w:t>the use or transfer of cash or cash equivalents in a manner that is not prohibited by the terms of this Agreement or the other Loan Documents and in the ordinary course of business;</w:t>
      </w:r>
    </w:p>
    <w:p>
      <w:pPr>
        <w:pStyle w:val="TextBody"/>
        <w:bidi w:val="0"/>
        <w:spacing w:before="0" w:after="240"/>
        <w:jc w:val="both"/>
        <w:rPr>
          <w:rFonts w:ascii="Times New Roman" w:hAnsi="Times New Roman"/>
          <w:sz w:val="20"/>
        </w:rPr>
      </w:pPr>
      <w:r>
        <w:rPr>
          <w:rFonts w:ascii="Times New Roman" w:hAnsi="Times New Roman"/>
          <w:color w:val="000000"/>
          <w:sz w:val="22"/>
        </w:rPr>
        <w:t>(vii)</w:t>
      </w:r>
      <w:r>
        <w:rPr>
          <w:rFonts w:ascii="Times New Roman" w:hAnsi="Times New Roman"/>
          <w:color w:val="000000"/>
          <w:sz w:val="20"/>
        </w:rPr>
        <w:t xml:space="preserve"> </w:t>
      </w:r>
      <w:r>
        <w:rPr>
          <w:rFonts w:ascii="Times New Roman" w:hAnsi="Times New Roman"/>
          <w:color w:val="000000"/>
          <w:sz w:val="22"/>
        </w:rPr>
        <w:t>transfers consisting of Permitted Liens or Permitted Investments;</w:t>
      </w:r>
    </w:p>
    <w:p>
      <w:pPr>
        <w:pStyle w:val="TextBody"/>
        <w:bidi w:val="0"/>
        <w:spacing w:before="0" w:after="240"/>
        <w:jc w:val="both"/>
        <w:rPr>
          <w:rFonts w:ascii="Times New Roman" w:hAnsi="Times New Roman"/>
          <w:sz w:val="20"/>
        </w:rPr>
      </w:pPr>
      <w:r>
        <w:rPr>
          <w:rFonts w:ascii="Times New Roman" w:hAnsi="Times New Roman"/>
          <w:color w:val="000000"/>
          <w:sz w:val="22"/>
        </w:rPr>
        <w:t>(viii)</w:t>
      </w:r>
      <w:r>
        <w:rPr>
          <w:rFonts w:ascii="Times New Roman" w:hAnsi="Times New Roman"/>
          <w:color w:val="000000"/>
          <w:sz w:val="20"/>
        </w:rPr>
        <w:t xml:space="preserve"> </w:t>
      </w:r>
      <w:r>
        <w:rPr>
          <w:rFonts w:ascii="Times New Roman" w:hAnsi="Times New Roman"/>
          <w:color w:val="000000"/>
          <w:sz w:val="22"/>
        </w:rPr>
        <w:t>subleases of real property or the termination of real property leases in the ordinary course of business;</w:t>
      </w:r>
    </w:p>
    <w:p>
      <w:pPr>
        <w:pStyle w:val="TextBody"/>
        <w:bidi w:val="0"/>
        <w:spacing w:before="0" w:after="240"/>
        <w:jc w:val="both"/>
        <w:rPr>
          <w:rFonts w:ascii="Times New Roman" w:hAnsi="Times New Roman"/>
          <w:sz w:val="20"/>
        </w:rPr>
      </w:pPr>
      <w:r>
        <w:rPr>
          <w:rFonts w:ascii="Times New Roman" w:hAnsi="Times New Roman"/>
          <w:color w:val="000000"/>
          <w:sz w:val="22"/>
        </w:rPr>
        <w:t>(ix)</w:t>
      </w:r>
      <w:r>
        <w:rPr>
          <w:rFonts w:ascii="Times New Roman" w:hAnsi="Times New Roman"/>
          <w:color w:val="000000"/>
          <w:sz w:val="20"/>
        </w:rPr>
        <w:t xml:space="preserve"> </w:t>
      </w:r>
      <w:r>
        <w:rPr>
          <w:rFonts w:ascii="Times New Roman" w:hAnsi="Times New Roman"/>
          <w:color w:val="000000"/>
          <w:sz w:val="22"/>
        </w:rPr>
        <w:t xml:space="preserve">transactions permitted under </w:t>
      </w:r>
      <w:r>
        <w:rPr>
          <w:rFonts w:ascii="Times New Roman" w:hAnsi="Times New Roman"/>
          <w:color w:val="000000"/>
          <w:sz w:val="22"/>
          <w:u w:val="single"/>
        </w:rPr>
        <w:t>Section 7.9</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(x)</w:t>
      </w:r>
      <w:r>
        <w:rPr>
          <w:rFonts w:ascii="Times New Roman" w:hAnsi="Times New Roman"/>
          <w:color w:val="000000"/>
          <w:sz w:val="20"/>
        </w:rPr>
        <w:t xml:space="preserve"> </w:t>
      </w:r>
      <w:r>
        <w:rPr>
          <w:rFonts w:ascii="Times New Roman" w:hAnsi="Times New Roman"/>
          <w:color w:val="000000"/>
          <w:sz w:val="22"/>
        </w:rPr>
        <w:t>transfers, licenses (exclusive or non-exclusive), dispositions and any other transactions solely relating to the assets (other than cash or cash equivalents) of Gemini Therapeutics, Inc. that existed prior to its merger with Company and are immaterial to the Borrower and any of its Subsidiaries; and</w:t>
      </w:r>
    </w:p>
    <w:p>
      <w:pPr>
        <w:pStyle w:val="TextBody"/>
        <w:bidi w:val="0"/>
        <w:spacing w:before="0" w:after="240"/>
        <w:jc w:val="both"/>
        <w:rPr>
          <w:rFonts w:ascii="Times New Roman" w:hAnsi="Times New Roman"/>
          <w:sz w:val="20"/>
        </w:rPr>
      </w:pPr>
      <w:r>
        <w:rPr>
          <w:rFonts w:ascii="Times New Roman" w:hAnsi="Times New Roman"/>
          <w:color w:val="000000"/>
          <w:sz w:val="22"/>
        </w:rPr>
        <w:t>(xi)</w:t>
      </w:r>
      <w:r>
        <w:rPr>
          <w:rFonts w:ascii="Times New Roman" w:hAnsi="Times New Roman"/>
          <w:color w:val="000000"/>
          <w:sz w:val="20"/>
        </w:rPr>
        <w:t xml:space="preserve"> </w:t>
      </w:r>
      <w:r>
        <w:rPr>
          <w:rFonts w:ascii="Times New Roman" w:hAnsi="Times New Roman"/>
          <w:color w:val="000000"/>
          <w:sz w:val="22"/>
        </w:rPr>
        <w:t>other transfers of assets having a fair market value of not more than $1,000,000 in the aggregate in any fiscal year.</w:t>
      </w:r>
    </w:p>
    <w:p>
      <w:pPr>
        <w:pStyle w:val="TextBody"/>
        <w:bidi w:val="0"/>
        <w:spacing w:before="0" w:after="240"/>
        <w:jc w:val="both"/>
        <w:rPr/>
      </w:pPr>
      <w:r>
        <w:rPr>
          <w:color w:val="000000"/>
        </w:rPr>
        <w:t>“</w:t>
      </w:r>
      <w:r>
        <w:rPr>
          <w:rFonts w:ascii="Times New Roman" w:hAnsi="Times New Roman"/>
          <w:color w:val="000000"/>
          <w:sz w:val="22"/>
          <w:u w:val="single"/>
        </w:rPr>
        <w:t>Person</w:t>
      </w:r>
      <w:r>
        <w:rPr>
          <w:rFonts w:ascii="Times New Roman" w:hAnsi="Times New Roman"/>
          <w:color w:val="000000"/>
          <w:sz w:val="20"/>
        </w:rPr>
        <w:t xml:space="preserve">” </w:t>
      </w:r>
      <w:r>
        <w:rPr>
          <w:rFonts w:ascii="Times New Roman" w:hAnsi="Times New Roman"/>
          <w:color w:val="000000"/>
          <w:sz w:val="22"/>
        </w:rPr>
        <w:t>means any individual, sole proprietorship, partnership, joint venture, trust, unincorporated organization, association, corporation, limited liability company, institution, other entity or government.</w:t>
      </w:r>
    </w:p>
    <w:p>
      <w:pPr>
        <w:pStyle w:val="TextBody"/>
        <w:bidi w:val="0"/>
        <w:spacing w:before="0" w:after="240"/>
        <w:jc w:val="both"/>
        <w:rPr/>
      </w:pPr>
      <w:r>
        <w:rPr>
          <w:color w:val="000000"/>
        </w:rPr>
        <w:t>“</w:t>
      </w:r>
      <w:r>
        <w:rPr>
          <w:rFonts w:ascii="Times New Roman" w:hAnsi="Times New Roman"/>
          <w:color w:val="000000"/>
          <w:sz w:val="22"/>
          <w:u w:val="single"/>
        </w:rPr>
        <w:t>Phase 2 Myelofibrosis Trial Milestone</w:t>
      </w:r>
      <w:r>
        <w:rPr>
          <w:rFonts w:ascii="Times New Roman" w:hAnsi="Times New Roman"/>
          <w:color w:val="000000"/>
          <w:sz w:val="20"/>
        </w:rPr>
        <w:t xml:space="preserve">” </w:t>
      </w:r>
      <w:r>
        <w:rPr>
          <w:rFonts w:ascii="Times New Roman" w:hAnsi="Times New Roman"/>
          <w:color w:val="000000"/>
          <w:sz w:val="22"/>
        </w:rPr>
        <w:t>means Company shall have stated in Company’s public filings with the Securities and Exchange Commission and delivered supporting documentation satisfactory to Agent (as determined by Agent in its reasonable discretion) that it has achieved the protocol specified primary endpoint(s) from the Phase 2 trial evaluating DISC-0974 for the treatment of patients with myelofibrosis anemia which, taken together with other secondary endpoints and overall safety profile, support Company’s initiation of a pivotal trial as the next immediate step in development (as determined by Borrower’s executive team and Board of Directors and subject to Lenders’ reasonable verification).</w:t>
      </w:r>
    </w:p>
    <w:p>
      <w:pPr>
        <w:pStyle w:val="TextBody"/>
        <w:bidi w:val="0"/>
        <w:spacing w:before="0" w:after="240"/>
        <w:jc w:val="both"/>
        <w:rPr/>
      </w:pPr>
      <w:r>
        <w:rPr>
          <w:color w:val="000000"/>
        </w:rPr>
        <w:t>“</w:t>
      </w:r>
      <w:r>
        <w:rPr>
          <w:rFonts w:ascii="Times New Roman" w:hAnsi="Times New Roman"/>
          <w:color w:val="000000"/>
          <w:sz w:val="22"/>
          <w:u w:val="single"/>
        </w:rPr>
        <w:t>Pledge Agreement</w:t>
      </w:r>
      <w:r>
        <w:rPr>
          <w:rFonts w:ascii="Times New Roman" w:hAnsi="Times New Roman"/>
          <w:color w:val="000000"/>
          <w:sz w:val="20"/>
        </w:rPr>
        <w:t xml:space="preserve">” </w:t>
      </w:r>
      <w:r>
        <w:rPr>
          <w:rFonts w:ascii="Times New Roman" w:hAnsi="Times New Roman"/>
          <w:color w:val="000000"/>
          <w:sz w:val="22"/>
        </w:rPr>
        <w:t>means the Pledge Agreement dated as of the Closing Date between each Borrower party thereto and Agent, as the same may from time to time be amended, restated, modified or otherwise supplemented.</w:t>
      </w:r>
    </w:p>
    <w:p>
      <w:pPr>
        <w:pStyle w:val="TextBody"/>
        <w:bidi w:val="0"/>
        <w:spacing w:before="0" w:after="240"/>
        <w:jc w:val="both"/>
        <w:rPr/>
      </w:pPr>
      <w:r>
        <w:rPr>
          <w:color w:val="000000"/>
        </w:rPr>
        <w:t>“</w:t>
      </w:r>
      <w:r>
        <w:rPr>
          <w:rFonts w:ascii="Times New Roman" w:hAnsi="Times New Roman"/>
          <w:color w:val="000000"/>
          <w:sz w:val="22"/>
          <w:u w:val="single"/>
        </w:rPr>
        <w:t>Prime Rate</w:t>
      </w:r>
      <w:r>
        <w:rPr>
          <w:rFonts w:ascii="Times New Roman" w:hAnsi="Times New Roman"/>
          <w:color w:val="000000"/>
          <w:sz w:val="20"/>
        </w:rPr>
        <w:t xml:space="preserve">” </w:t>
      </w:r>
      <w:r>
        <w:rPr>
          <w:rFonts w:ascii="Times New Roman" w:hAnsi="Times New Roman"/>
          <w:color w:val="000000"/>
          <w:sz w:val="22"/>
        </w:rPr>
        <w:t>means the prime rate as reported in The Wall Street Journal.</w:t>
      </w:r>
    </w:p>
    <w:p>
      <w:pPr>
        <w:pStyle w:val="TextBody"/>
        <w:bidi w:val="0"/>
        <w:spacing w:before="0" w:after="240"/>
        <w:jc w:val="both"/>
        <w:rPr/>
      </w:pPr>
      <w:r>
        <w:rPr>
          <w:color w:val="000000"/>
        </w:rPr>
        <w:t>“</w:t>
      </w:r>
      <w:r>
        <w:rPr>
          <w:rFonts w:ascii="Times New Roman" w:hAnsi="Times New Roman"/>
          <w:color w:val="000000"/>
          <w:sz w:val="22"/>
          <w:u w:val="single"/>
        </w:rPr>
        <w:t>Public Health Laws</w:t>
      </w:r>
      <w:r>
        <w:rPr>
          <w:rFonts w:ascii="Times New Roman" w:hAnsi="Times New Roman"/>
          <w:color w:val="000000"/>
          <w:sz w:val="20"/>
        </w:rPr>
        <w:t xml:space="preserve">” </w:t>
      </w:r>
      <w:r>
        <w:rPr>
          <w:rFonts w:ascii="Times New Roman" w:hAnsi="Times New Roman"/>
          <w:color w:val="000000"/>
          <w:sz w:val="22"/>
        </w:rPr>
        <w:t>means all Requirements of Law relating to the procurement, development, clinical and non-clinical evaluation, product approval or licensure, manufacture, production, analysis, importation, exportation, use, handling, quality, sale, labeling, promotion, clinical trial registration or post market requirements of any drug, biologic or other product (including, without limitation, any ingredient or component of the foregoing products) subject to regulation under the Federal Food, Drug, and Cosmetic Act (21 U.S.C. § 301 et seq.) and the Public Health Service Act (42 U.S.C. § 201 et seq.), including without limitation the regulations promulgated by the FDA at Title 21 of the Code of Federal Regulations, or any other FDA Laws, and all applicable regulations promulgated by the NIH and codified at Title 42 of the Code of Federal Regulations.</w:t>
      </w:r>
    </w:p>
    <w:p>
      <w:pPr>
        <w:pStyle w:val="TextBody"/>
        <w:bidi w:val="0"/>
        <w:spacing w:before="0" w:after="240"/>
        <w:jc w:val="both"/>
        <w:rPr/>
      </w:pPr>
      <w:r>
        <w:rPr>
          <w:color w:val="000000"/>
        </w:rPr>
        <w:t>“</w:t>
      </w:r>
      <w:r>
        <w:rPr>
          <w:rFonts w:ascii="Times New Roman" w:hAnsi="Times New Roman"/>
          <w:color w:val="000000"/>
          <w:sz w:val="22"/>
          <w:u w:val="single"/>
        </w:rPr>
        <w:t>Products</w:t>
      </w:r>
      <w:r>
        <w:rPr>
          <w:rFonts w:ascii="Times New Roman" w:hAnsi="Times New Roman"/>
          <w:color w:val="000000"/>
          <w:sz w:val="20"/>
        </w:rPr>
        <w:t xml:space="preserve">” </w:t>
      </w:r>
      <w:r>
        <w:rPr>
          <w:rFonts w:ascii="Times New Roman" w:hAnsi="Times New Roman"/>
          <w:color w:val="000000"/>
          <w:sz w:val="22"/>
        </w:rPr>
        <w:t>means all products, software, service offerings, technical data or technology currently being designed, manufactured or sold by Borrower or any of its Subsidiaries or which Borrower or any of its Subsidiaries intends to sell, license, or distribute in the future including any products or service offerings under development, collectively, together with all products, software, service offerings, technical</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data or technology that have been sold, licensed or distributed by Borrower or such Subsidiary since formation.</w:t>
      </w:r>
    </w:p>
    <w:p>
      <w:pPr>
        <w:pStyle w:val="TextBody"/>
        <w:bidi w:val="0"/>
        <w:spacing w:before="0" w:after="240"/>
        <w:jc w:val="both"/>
        <w:rPr/>
      </w:pPr>
      <w:r>
        <w:rPr>
          <w:color w:val="000000"/>
        </w:rPr>
        <w:t>“</w:t>
      </w:r>
      <w:r>
        <w:rPr>
          <w:rFonts w:ascii="Times New Roman" w:hAnsi="Times New Roman"/>
          <w:color w:val="000000"/>
          <w:sz w:val="22"/>
          <w:u w:val="single"/>
        </w:rPr>
        <w:t>Qualified Cash</w:t>
      </w:r>
      <w:r>
        <w:rPr>
          <w:rFonts w:ascii="Times New Roman" w:hAnsi="Times New Roman"/>
          <w:color w:val="000000"/>
          <w:sz w:val="20"/>
        </w:rPr>
        <w:t xml:space="preserve">” </w:t>
      </w:r>
      <w:r>
        <w:rPr>
          <w:rFonts w:ascii="Times New Roman" w:hAnsi="Times New Roman"/>
          <w:color w:val="000000"/>
          <w:sz w:val="22"/>
        </w:rPr>
        <w:t>means the amount of Borrower’s cash and cash equivalents held in accounts subject to an Account Control Agreement in favor of Agent.</w:t>
      </w:r>
    </w:p>
    <w:p>
      <w:pPr>
        <w:pStyle w:val="TextBody"/>
        <w:bidi w:val="0"/>
        <w:spacing w:before="0" w:after="240"/>
        <w:jc w:val="both"/>
        <w:rPr/>
      </w:pPr>
      <w:r>
        <w:rPr>
          <w:color w:val="000000"/>
        </w:rPr>
        <w:t>“</w:t>
      </w:r>
      <w:r>
        <w:rPr>
          <w:rFonts w:ascii="Times New Roman" w:hAnsi="Times New Roman"/>
          <w:color w:val="000000"/>
          <w:sz w:val="22"/>
          <w:u w:val="single"/>
        </w:rPr>
        <w:t>Qualified Cash A/P Amount</w:t>
      </w:r>
      <w:r>
        <w:rPr>
          <w:rFonts w:ascii="Times New Roman" w:hAnsi="Times New Roman"/>
          <w:color w:val="000000"/>
          <w:sz w:val="20"/>
        </w:rPr>
        <w:t xml:space="preserve">” </w:t>
      </w:r>
      <w:r>
        <w:rPr>
          <w:rFonts w:ascii="Times New Roman" w:hAnsi="Times New Roman"/>
          <w:color w:val="000000"/>
          <w:sz w:val="22"/>
        </w:rPr>
        <w:t>means the amount of Borrower’s accounts payable that have not been paid within one hundred fifty (150) days from the due date of the relevant account payable, other than any such accounts payable that are being contested in good faith by appropriate proceedings and for which Borrower and its Subsidiaries maintain adequate reserves in accordance with GAAP.</w:t>
      </w:r>
    </w:p>
    <w:p>
      <w:pPr>
        <w:pStyle w:val="TextBody"/>
        <w:bidi w:val="0"/>
        <w:spacing w:before="0" w:after="240"/>
        <w:jc w:val="both"/>
        <w:rPr/>
      </w:pPr>
      <w:r>
        <w:rPr>
          <w:color w:val="000000"/>
        </w:rPr>
        <w:t>“</w:t>
      </w:r>
      <w:r>
        <w:rPr>
          <w:rFonts w:ascii="Times New Roman" w:hAnsi="Times New Roman"/>
          <w:color w:val="000000"/>
          <w:sz w:val="22"/>
          <w:u w:val="single"/>
        </w:rPr>
        <w:t>Receivables</w:t>
      </w:r>
      <w:r>
        <w:rPr>
          <w:rFonts w:ascii="Times New Roman" w:hAnsi="Times New Roman"/>
          <w:color w:val="000000"/>
          <w:sz w:val="20"/>
        </w:rPr>
        <w:t xml:space="preserve">” </w:t>
      </w:r>
      <w:r>
        <w:rPr>
          <w:rFonts w:ascii="Times New Roman" w:hAnsi="Times New Roman"/>
          <w:color w:val="000000"/>
          <w:sz w:val="22"/>
        </w:rPr>
        <w:t>means (i) all of Borrower’s Accounts, Instruments, Documents, Chattel Paper, Supporting Obligations, letters of credit, proceeds of any letter of credit, and Letter of Credit Rights, and (ii) all customer lists, software, and business records related thereto.</w:t>
      </w:r>
    </w:p>
    <w:p>
      <w:pPr>
        <w:pStyle w:val="TextBody"/>
        <w:bidi w:val="0"/>
        <w:spacing w:before="0" w:after="240"/>
        <w:jc w:val="both"/>
        <w:rPr/>
      </w:pPr>
      <w:r>
        <w:rPr>
          <w:color w:val="000000"/>
        </w:rPr>
        <w:t>“</w:t>
      </w:r>
      <w:r>
        <w:rPr>
          <w:rFonts w:ascii="Times New Roman" w:hAnsi="Times New Roman"/>
          <w:color w:val="000000"/>
          <w:sz w:val="22"/>
          <w:u w:val="single"/>
        </w:rPr>
        <w:t>Redemption Conditions</w:t>
      </w:r>
      <w:r>
        <w:rPr>
          <w:rFonts w:ascii="Times New Roman" w:hAnsi="Times New Roman"/>
          <w:color w:val="000000"/>
          <w:sz w:val="20"/>
        </w:rPr>
        <w:t xml:space="preserve">” </w:t>
      </w:r>
      <w:r>
        <w:rPr>
          <w:rFonts w:ascii="Times New Roman" w:hAnsi="Times New Roman"/>
          <w:color w:val="000000"/>
          <w:sz w:val="22"/>
        </w:rPr>
        <w:t xml:space="preserve">means, with respect to any payment of cash in respect of the principal amount of any Permitted Convertible Debt, satisfaction of each of the following events: (a) no Default or Event of Default shall exist or result therefrom, and (b) both immediately before and at all times after such redemption, Borrower’s Qualified Cash shall be no less than 150% of the aggregate outstanding amount of the Secured Obligations (inclusive of any Prepayment Charge and End of Term Charge that would be due and owing if the outstanding Term Loan Advances were prepaid at the time of measurement)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the Qualified Cash A/P Amount.</w:t>
      </w:r>
    </w:p>
    <w:p>
      <w:pPr>
        <w:pStyle w:val="TextBody"/>
        <w:bidi w:val="0"/>
        <w:spacing w:before="0" w:after="240"/>
        <w:jc w:val="both"/>
        <w:rPr/>
      </w:pPr>
      <w:r>
        <w:rPr>
          <w:color w:val="000000"/>
        </w:rPr>
        <w:t>“</w:t>
      </w:r>
      <w:r>
        <w:rPr>
          <w:rFonts w:ascii="Times New Roman" w:hAnsi="Times New Roman"/>
          <w:color w:val="000000"/>
          <w:sz w:val="22"/>
          <w:u w:val="single"/>
        </w:rPr>
        <w:t>Registrations</w:t>
      </w:r>
      <w:r>
        <w:rPr>
          <w:rFonts w:ascii="Times New Roman" w:hAnsi="Times New Roman"/>
          <w:color w:val="000000"/>
          <w:sz w:val="20"/>
        </w:rPr>
        <w:t xml:space="preserve">” </w:t>
      </w:r>
      <w:r>
        <w:rPr>
          <w:rFonts w:ascii="Times New Roman" w:hAnsi="Times New Roman"/>
          <w:color w:val="000000"/>
          <w:sz w:val="22"/>
        </w:rPr>
        <w:t>means authorizations, approvals, licenses, permits, certificates, registrations, listings, or exemptions of or issued by any Governmental Authority (including marketing approvals, investigational new drug applications, product recertifications, drug manufacturing establishment registration and product listing, pricing and reimbursement approvals, labeling approvals or their foreign equivalent) that are required for the research, development, manufacture, commercialization, distribution, marketing, storage, transportation, pricing, Governmental Authority reimbursement, use and sale of Products.</w:t>
      </w:r>
    </w:p>
    <w:p>
      <w:pPr>
        <w:pStyle w:val="TextBody"/>
        <w:bidi w:val="0"/>
        <w:spacing w:before="0" w:after="240"/>
        <w:jc w:val="both"/>
        <w:rPr/>
      </w:pPr>
      <w:r>
        <w:rPr>
          <w:color w:val="000000"/>
        </w:rPr>
        <w:t>“</w:t>
      </w:r>
      <w:r>
        <w:rPr>
          <w:rFonts w:ascii="Times New Roman" w:hAnsi="Times New Roman"/>
          <w:color w:val="000000"/>
          <w:sz w:val="22"/>
          <w:u w:val="single"/>
        </w:rPr>
        <w:t>Regulatory Action</w:t>
      </w:r>
      <w:r>
        <w:rPr>
          <w:rFonts w:ascii="Times New Roman" w:hAnsi="Times New Roman"/>
          <w:color w:val="000000"/>
          <w:sz w:val="20"/>
        </w:rPr>
        <w:t xml:space="preserve">” </w:t>
      </w:r>
      <w:r>
        <w:rPr>
          <w:rFonts w:ascii="Times New Roman" w:hAnsi="Times New Roman"/>
          <w:color w:val="000000"/>
          <w:sz w:val="22"/>
        </w:rPr>
        <w:t>means an administrative or regulatory enforcement action, proceeding or investigation, warning letter, untitled letter, Form 483 or similar inspectional observations, other notice of violation letter, recall, seizure, Section 305 notice or other similar written communication, or consent decree, issued or required by the FDA or under the Public Health Laws, the NIH or a comparable Governmental Authority in any other regulatory jurisdiction.</w:t>
      </w:r>
    </w:p>
    <w:p>
      <w:pPr>
        <w:pStyle w:val="TextBody"/>
        <w:bidi w:val="0"/>
        <w:spacing w:before="0" w:after="240"/>
        <w:jc w:val="both"/>
        <w:rPr/>
      </w:pPr>
      <w:r>
        <w:rPr>
          <w:color w:val="000000"/>
        </w:rPr>
        <w:t>“</w:t>
      </w:r>
      <w:r>
        <w:rPr>
          <w:rFonts w:ascii="Times New Roman" w:hAnsi="Times New Roman"/>
          <w:color w:val="000000"/>
          <w:sz w:val="22"/>
          <w:u w:val="single"/>
        </w:rPr>
        <w:t>Required Lenders</w:t>
      </w:r>
      <w:r>
        <w:rPr>
          <w:rFonts w:ascii="Times New Roman" w:hAnsi="Times New Roman"/>
          <w:color w:val="000000"/>
          <w:sz w:val="20"/>
        </w:rPr>
        <w:t xml:space="preserve">” </w:t>
      </w:r>
      <w:r>
        <w:rPr>
          <w:rFonts w:ascii="Times New Roman" w:hAnsi="Times New Roman"/>
          <w:color w:val="000000"/>
          <w:sz w:val="22"/>
        </w:rPr>
        <w:t>means at any time, the holders of more than 50% of the sum of the aggregate unpaid principal amount of the Term Loan then outstanding.</w:t>
      </w:r>
    </w:p>
    <w:p>
      <w:pPr>
        <w:pStyle w:val="TextBody"/>
        <w:bidi w:val="0"/>
        <w:spacing w:before="0" w:after="240"/>
        <w:jc w:val="both"/>
        <w:rPr/>
      </w:pPr>
      <w:r>
        <w:rPr>
          <w:color w:val="000000"/>
        </w:rPr>
        <w:t>“</w:t>
      </w:r>
      <w:r>
        <w:rPr>
          <w:rFonts w:ascii="Times New Roman" w:hAnsi="Times New Roman"/>
          <w:color w:val="000000"/>
          <w:sz w:val="22"/>
          <w:u w:val="single"/>
        </w:rPr>
        <w:t>Requirements of Law</w:t>
      </w:r>
      <w:r>
        <w:rPr>
          <w:rFonts w:ascii="Times New Roman" w:hAnsi="Times New Roman"/>
          <w:color w:val="000000"/>
          <w:sz w:val="20"/>
        </w:rPr>
        <w:t xml:space="preserve">” </w:t>
      </w:r>
      <w:r>
        <w:rPr>
          <w:rFonts w:ascii="Times New Roman" w:hAnsi="Times New Roman"/>
          <w:color w:val="000000"/>
          <w:sz w:val="22"/>
        </w:rPr>
        <w:t>means, with respect to any Person, collectively, the common law and all federal, state, provincial,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that are applicable to or binding upon such Person or any of its property or to which such Person or any of its property is subject.</w:t>
      </w:r>
    </w:p>
    <w:p>
      <w:pPr>
        <w:pStyle w:val="TextBody"/>
        <w:bidi w:val="0"/>
        <w:spacing w:before="0" w:after="240"/>
        <w:jc w:val="both"/>
        <w:rPr/>
      </w:pPr>
      <w:r>
        <w:rPr>
          <w:color w:val="000000"/>
        </w:rPr>
        <w:t>“</w:t>
      </w:r>
      <w:r>
        <w:rPr>
          <w:rFonts w:ascii="Times New Roman" w:hAnsi="Times New Roman"/>
          <w:color w:val="000000"/>
          <w:sz w:val="22"/>
          <w:u w:val="single"/>
        </w:rPr>
        <w:t>Sanctioned Country</w:t>
      </w:r>
      <w:r>
        <w:rPr>
          <w:rFonts w:ascii="Times New Roman" w:hAnsi="Times New Roman"/>
          <w:color w:val="000000"/>
          <w:sz w:val="20"/>
        </w:rPr>
        <w:t xml:space="preserve">” </w:t>
      </w:r>
      <w:r>
        <w:rPr>
          <w:rFonts w:ascii="Times New Roman" w:hAnsi="Times New Roman"/>
          <w:color w:val="000000"/>
          <w:sz w:val="22"/>
        </w:rPr>
        <w:t>means, at any time, a country or territory which is the subject or target of any Sanctions.</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Sanctioned Person</w:t>
      </w:r>
      <w:r>
        <w:rPr>
          <w:rFonts w:ascii="Times New Roman" w:hAnsi="Times New Roman"/>
          <w:color w:val="000000"/>
          <w:sz w:val="20"/>
        </w:rPr>
        <w:t xml:space="preserve">” </w:t>
      </w:r>
      <w:r>
        <w:rPr>
          <w:rFonts w:ascii="Times New Roman" w:hAnsi="Times New Roman"/>
          <w:color w:val="000000"/>
          <w:sz w:val="22"/>
        </w:rPr>
        <w:t>means, at any time, (a) any Person listed in any Sanctions-related list of designated Persons maintained by the Office of Foreign Assets Control of the U.S. Department of the Treasury or the U.S. Department of State, or by the United Nations Security Council, the European Union or any EU member state, (b) any Person operating, organized or resident in a Sanctioned Country or (c) any Person controlled by any such Person.</w:t>
      </w:r>
    </w:p>
    <w:p>
      <w:pPr>
        <w:pStyle w:val="TextBody"/>
        <w:bidi w:val="0"/>
        <w:spacing w:before="0" w:after="240"/>
        <w:jc w:val="both"/>
        <w:rPr/>
      </w:pPr>
      <w:r>
        <w:rPr>
          <w:color w:val="000000"/>
        </w:rPr>
        <w:t>“</w:t>
      </w:r>
      <w:r>
        <w:rPr>
          <w:rFonts w:ascii="Times New Roman" w:hAnsi="Times New Roman"/>
          <w:color w:val="000000"/>
          <w:sz w:val="22"/>
          <w:u w:val="single"/>
        </w:rPr>
        <w:t>Sanctions</w:t>
      </w:r>
      <w:r>
        <w:rPr>
          <w:rFonts w:ascii="Times New Roman" w:hAnsi="Times New Roman"/>
          <w:color w:val="000000"/>
          <w:sz w:val="20"/>
        </w:rPr>
        <w:t xml:space="preserve">” </w:t>
      </w:r>
      <w:r>
        <w:rPr>
          <w:rFonts w:ascii="Times New Roman" w:hAnsi="Times New Roman"/>
          <w:color w:val="000000"/>
          <w:sz w:val="22"/>
        </w:rPr>
        <w:t>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His Majesty’s Treasury of the United Kingdom.</w:t>
      </w:r>
    </w:p>
    <w:p>
      <w:pPr>
        <w:pStyle w:val="TextBody"/>
        <w:bidi w:val="0"/>
        <w:spacing w:before="0" w:after="240"/>
        <w:jc w:val="both"/>
        <w:rPr/>
      </w:pPr>
      <w:r>
        <w:rPr>
          <w:color w:val="000000"/>
        </w:rPr>
        <w:t>“</w:t>
      </w:r>
      <w:r>
        <w:rPr>
          <w:rFonts w:ascii="Times New Roman" w:hAnsi="Times New Roman"/>
          <w:color w:val="000000"/>
          <w:sz w:val="22"/>
          <w:u w:val="single"/>
        </w:rPr>
        <w:t>SBA Funding Date</w:t>
      </w:r>
      <w:r>
        <w:rPr>
          <w:rFonts w:ascii="Times New Roman" w:hAnsi="Times New Roman"/>
          <w:color w:val="000000"/>
          <w:sz w:val="20"/>
        </w:rPr>
        <w:t xml:space="preserve">” </w:t>
      </w:r>
      <w:r>
        <w:rPr>
          <w:rFonts w:ascii="Times New Roman" w:hAnsi="Times New Roman"/>
          <w:color w:val="000000"/>
          <w:sz w:val="22"/>
        </w:rPr>
        <w:t>means each date on which a Lender which is an SBIC funds any portion of the Term Loan.</w:t>
      </w:r>
    </w:p>
    <w:p>
      <w:pPr>
        <w:pStyle w:val="TextBody"/>
        <w:bidi w:val="0"/>
        <w:spacing w:before="0" w:after="240"/>
        <w:jc w:val="both"/>
        <w:rPr/>
      </w:pPr>
      <w:r>
        <w:rPr>
          <w:color w:val="000000"/>
        </w:rPr>
        <w:t>“</w:t>
      </w:r>
      <w:r>
        <w:rPr>
          <w:rFonts w:ascii="Times New Roman" w:hAnsi="Times New Roman"/>
          <w:color w:val="000000"/>
          <w:sz w:val="22"/>
          <w:u w:val="single"/>
        </w:rPr>
        <w:t>Secured Obligations</w:t>
      </w:r>
      <w:r>
        <w:rPr>
          <w:rFonts w:ascii="Times New Roman" w:hAnsi="Times New Roman"/>
          <w:color w:val="000000"/>
          <w:sz w:val="20"/>
        </w:rPr>
        <w:t xml:space="preserve">” </w:t>
      </w:r>
      <w:r>
        <w:rPr>
          <w:rFonts w:ascii="Times New Roman" w:hAnsi="Times New Roman"/>
          <w:color w:val="000000"/>
          <w:sz w:val="22"/>
        </w:rPr>
        <w:t>means Borrower’s obligations under this Agreement and any Loan Document, including any obligation to pay any amount now owing or later arising hereunder or thereunder.</w:t>
      </w:r>
    </w:p>
    <w:p>
      <w:pPr>
        <w:pStyle w:val="TextBody"/>
        <w:bidi w:val="0"/>
        <w:spacing w:before="0" w:after="240"/>
        <w:jc w:val="both"/>
        <w:rPr/>
      </w:pPr>
      <w:r>
        <w:rPr>
          <w:color w:val="000000"/>
        </w:rPr>
        <w:t>“</w:t>
      </w:r>
      <w:r>
        <w:rPr>
          <w:rFonts w:ascii="Times New Roman" w:hAnsi="Times New Roman"/>
          <w:color w:val="000000"/>
          <w:sz w:val="22"/>
          <w:u w:val="single"/>
        </w:rPr>
        <w:t>Securities Intermediary</w:t>
      </w:r>
      <w:r>
        <w:rPr>
          <w:rFonts w:ascii="Times New Roman" w:hAnsi="Times New Roman"/>
          <w:color w:val="000000"/>
          <w:sz w:val="20"/>
        </w:rPr>
        <w:t xml:space="preserve">” </w:t>
      </w:r>
      <w:r>
        <w:rPr>
          <w:rFonts w:ascii="Times New Roman" w:hAnsi="Times New Roman"/>
          <w:color w:val="000000"/>
          <w:sz w:val="22"/>
        </w:rPr>
        <w:t>means any “securities intermediary,” as such term is defined in the UCC.</w:t>
      </w:r>
    </w:p>
    <w:p>
      <w:pPr>
        <w:pStyle w:val="TextBody"/>
        <w:bidi w:val="0"/>
        <w:spacing w:before="0" w:after="240"/>
        <w:jc w:val="both"/>
        <w:rPr/>
      </w:pPr>
      <w:r>
        <w:rPr>
          <w:color w:val="000000"/>
        </w:rPr>
        <w:t>“</w:t>
      </w:r>
      <w:r>
        <w:rPr>
          <w:rFonts w:ascii="Times New Roman" w:hAnsi="Times New Roman"/>
          <w:color w:val="000000"/>
          <w:sz w:val="22"/>
          <w:u w:val="single"/>
        </w:rPr>
        <w:t>Subordinated Indebtedness</w:t>
      </w:r>
      <w:r>
        <w:rPr>
          <w:rFonts w:ascii="Times New Roman" w:hAnsi="Times New Roman"/>
          <w:color w:val="000000"/>
          <w:sz w:val="20"/>
        </w:rPr>
        <w:t xml:space="preserve">” </w:t>
      </w:r>
      <w:r>
        <w:rPr>
          <w:rFonts w:ascii="Times New Roman" w:hAnsi="Times New Roman"/>
          <w:color w:val="000000"/>
          <w:sz w:val="22"/>
        </w:rPr>
        <w:t>means Indebtedness subordinated to the Secured Obligations in amounts and on terms and conditions reasonably satisfactory to Agent and subject to a subordination agreement in form and substance reasonably satisfactory to Agent.</w:t>
      </w:r>
    </w:p>
    <w:p>
      <w:pPr>
        <w:pStyle w:val="TextBody"/>
        <w:bidi w:val="0"/>
        <w:spacing w:before="0" w:after="240"/>
        <w:jc w:val="both"/>
        <w:rPr/>
      </w:pPr>
      <w:r>
        <w:rPr>
          <w:color w:val="000000"/>
        </w:rPr>
        <w:t>“</w:t>
      </w:r>
      <w:r>
        <w:rPr>
          <w:rFonts w:ascii="Times New Roman" w:hAnsi="Times New Roman"/>
          <w:color w:val="000000"/>
          <w:sz w:val="22"/>
          <w:u w:val="single"/>
        </w:rPr>
        <w:t>Subsidiary</w:t>
      </w:r>
      <w:r>
        <w:rPr>
          <w:rFonts w:ascii="Times New Roman" w:hAnsi="Times New Roman"/>
          <w:color w:val="000000"/>
          <w:sz w:val="20"/>
        </w:rPr>
        <w:t xml:space="preserve">” </w:t>
      </w:r>
      <w:r>
        <w:rPr>
          <w:rFonts w:ascii="Times New Roman" w:hAnsi="Times New Roman"/>
          <w:color w:val="000000"/>
          <w:sz w:val="22"/>
        </w:rPr>
        <w:t xml:space="preserve">means an entity, whether corporation, partnership, limited liability company, joint venture or otherwise, in which Borrower owns or controls 50% or more of the outstanding voting securities, including each entity listed on part A of </w:t>
      </w:r>
      <w:r>
        <w:rPr>
          <w:rFonts w:ascii="Times New Roman" w:hAnsi="Times New Roman"/>
          <w:color w:val="000000"/>
          <w:sz w:val="22"/>
          <w:u w:val="single"/>
        </w:rPr>
        <w:t>Schedule 5.14</w:t>
      </w:r>
      <w:r>
        <w:rPr>
          <w:rFonts w:ascii="Times New Roman" w:hAnsi="Times New Roman"/>
          <w:color w:val="000000"/>
          <w:sz w:val="20"/>
        </w:rPr>
        <w:t xml:space="preserve"> </w:t>
      </w:r>
      <w:r>
        <w:rPr>
          <w:rFonts w:ascii="Times New Roman" w:hAnsi="Times New Roman"/>
          <w:color w:val="000000"/>
          <w:sz w:val="22"/>
        </w:rPr>
        <w:t>hereto.</w:t>
      </w:r>
    </w:p>
    <w:p>
      <w:pPr>
        <w:pStyle w:val="TextBody"/>
        <w:bidi w:val="0"/>
        <w:spacing w:before="0" w:after="240"/>
        <w:jc w:val="both"/>
        <w:rPr/>
      </w:pPr>
      <w:r>
        <w:rPr>
          <w:color w:val="000000"/>
        </w:rPr>
        <w:t>“</w:t>
      </w:r>
      <w:r>
        <w:rPr>
          <w:rFonts w:ascii="Times New Roman" w:hAnsi="Times New Roman"/>
          <w:color w:val="000000"/>
          <w:sz w:val="22"/>
          <w:u w:val="single"/>
        </w:rPr>
        <w:t>Taxes</w:t>
      </w:r>
      <w:r>
        <w:rPr>
          <w:rFonts w:ascii="Times New Roman" w:hAnsi="Times New Roman"/>
          <w:color w:val="000000"/>
          <w:sz w:val="20"/>
        </w:rPr>
        <w:t xml:space="preserve">” </w:t>
      </w:r>
      <w:r>
        <w:rPr>
          <w:rFonts w:ascii="Times New Roman" w:hAnsi="Times New Roman"/>
          <w:color w:val="000000"/>
          <w:sz w:val="22"/>
        </w:rPr>
        <w:t>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240"/>
        <w:jc w:val="both"/>
        <w:rPr/>
      </w:pPr>
      <w:r>
        <w:rPr>
          <w:color w:val="000000"/>
        </w:rPr>
        <w:t>“</w:t>
      </w:r>
      <w:r>
        <w:rPr>
          <w:rFonts w:ascii="Times New Roman" w:hAnsi="Times New Roman"/>
          <w:color w:val="000000"/>
          <w:sz w:val="22"/>
          <w:u w:val="single"/>
        </w:rPr>
        <w:t>Term Commitment</w:t>
      </w:r>
      <w:r>
        <w:rPr>
          <w:rFonts w:ascii="Times New Roman" w:hAnsi="Times New Roman"/>
          <w:color w:val="000000"/>
          <w:sz w:val="20"/>
        </w:rPr>
        <w:t xml:space="preserve">” </w:t>
      </w:r>
      <w:r>
        <w:rPr>
          <w:rFonts w:ascii="Times New Roman" w:hAnsi="Times New Roman"/>
          <w:color w:val="000000"/>
          <w:sz w:val="22"/>
        </w:rPr>
        <w:t xml:space="preserve">means as to any Lender, the obligation of such Lender, if any, to make a Term Loan Advance to Borrower in a principal amount not to exceed the amount set forth under the heading “Term Commitment” opposite such Lender’s name on </w:t>
      </w:r>
      <w:r>
        <w:rPr>
          <w:rFonts w:ascii="Times New Roman" w:hAnsi="Times New Roman"/>
          <w:color w:val="000000"/>
          <w:sz w:val="22"/>
          <w:u w:val="single"/>
        </w:rPr>
        <w:t>Schedule 1.1</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Term Loan Advance</w:t>
      </w:r>
      <w:r>
        <w:rPr>
          <w:rFonts w:ascii="Times New Roman" w:hAnsi="Times New Roman"/>
          <w:color w:val="000000"/>
          <w:sz w:val="20"/>
        </w:rPr>
        <w:t xml:space="preserve">” </w:t>
      </w:r>
      <w:r>
        <w:rPr>
          <w:rFonts w:ascii="Times New Roman" w:hAnsi="Times New Roman"/>
          <w:color w:val="000000"/>
          <w:sz w:val="22"/>
        </w:rPr>
        <w:t>means each Tranche 1 Advance, Tranche 2 Advance, Tranche 3 Advance, Tranche 4 Advance, and any other Term Loan funds advanced under this Agreement.</w:t>
      </w:r>
    </w:p>
    <w:p>
      <w:pPr>
        <w:pStyle w:val="TextBody"/>
        <w:bidi w:val="0"/>
        <w:spacing w:before="0" w:after="240"/>
        <w:jc w:val="both"/>
        <w:rPr/>
      </w:pPr>
      <w:r>
        <w:rPr>
          <w:color w:val="000000"/>
        </w:rPr>
        <w:t>“</w:t>
      </w:r>
      <w:r>
        <w:rPr>
          <w:rFonts w:ascii="Times New Roman" w:hAnsi="Times New Roman"/>
          <w:color w:val="000000"/>
          <w:sz w:val="22"/>
          <w:u w:val="single"/>
        </w:rPr>
        <w:t>Term Loan Cash Interest Rate</w:t>
      </w:r>
      <w:r>
        <w:rPr>
          <w:rFonts w:ascii="Times New Roman" w:hAnsi="Times New Roman"/>
          <w:color w:val="000000"/>
          <w:sz w:val="20"/>
        </w:rPr>
        <w:t xml:space="preserve">” </w:t>
      </w:r>
      <w:r>
        <w:rPr>
          <w:rFonts w:ascii="Times New Roman" w:hAnsi="Times New Roman"/>
          <w:color w:val="000000"/>
          <w:sz w:val="22"/>
        </w:rPr>
        <w:t xml:space="preserve">means, for any day, a per annum rate of interest equal to the greater of either (i) (x) the Prime Rate plus (y) 1.75%, and (ii) 8.25%; provided that the Term Loan Cash Interest Rate payable may be reduced from time to time in accordance with </w:t>
      </w:r>
      <w:r>
        <w:rPr>
          <w:rFonts w:ascii="Times New Roman" w:hAnsi="Times New Roman"/>
          <w:color w:val="000000"/>
          <w:sz w:val="22"/>
          <w:u w:val="single"/>
        </w:rPr>
        <w:t>Section 2.2(</w:t>
      </w:r>
      <w:r>
        <w:rPr>
          <w:rFonts w:ascii="Times New Roman" w:hAnsi="Times New Roman"/>
          <w:strike/>
          <w:color w:val="FF0000"/>
          <w:sz w:val="22"/>
          <w:u w:val="single"/>
        </w:rPr>
        <w:t>h</w:t>
      </w:r>
      <w:r>
        <w:rPr>
          <w:rFonts w:ascii="Times New Roman" w:hAnsi="Times New Roman"/>
          <w:color w:val="0000FF"/>
          <w:sz w:val="22"/>
          <w:u w:val="single"/>
        </w:rPr>
        <w:t>i</w:t>
      </w:r>
      <w:r>
        <w:rPr>
          <w:rFonts w:ascii="Times New Roman" w:hAnsi="Times New Roman"/>
          <w:color w:val="000000"/>
          <w:sz w:val="22"/>
          <w:u w:val="single"/>
        </w:rPr>
        <w:t>)(iii)</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Term Loan PIK Interest Rate</w:t>
      </w:r>
      <w:r>
        <w:rPr>
          <w:rFonts w:ascii="Times New Roman" w:hAnsi="Times New Roman"/>
          <w:color w:val="000000"/>
          <w:sz w:val="20"/>
        </w:rPr>
        <w:t xml:space="preserve">” </w:t>
      </w:r>
      <w:r>
        <w:rPr>
          <w:rFonts w:ascii="Times New Roman" w:hAnsi="Times New Roman"/>
          <w:color w:val="000000"/>
          <w:sz w:val="22"/>
        </w:rPr>
        <w:t>means, for any day, a per annum rate of interest equal to (a) during any PIK Deferral Period (x) the Cash Interest Reduction Amount multiplied by (y) 1.10, and (b) otherwise, 0.00%.</w:t>
      </w:r>
    </w:p>
    <w:p>
      <w:pPr>
        <w:pStyle w:val="TextBody"/>
        <w:bidi w:val="0"/>
        <w:spacing w:before="0" w:after="240"/>
        <w:jc w:val="both"/>
        <w:rPr/>
      </w:pPr>
      <w:r>
        <w:rPr>
          <w:color w:val="000000"/>
        </w:rPr>
        <w:t>“</w:t>
      </w:r>
      <w:r>
        <w:rPr>
          <w:rFonts w:ascii="Times New Roman" w:hAnsi="Times New Roman"/>
          <w:color w:val="000000"/>
          <w:sz w:val="22"/>
          <w:u w:val="single"/>
        </w:rPr>
        <w:t>Term Loan Maturity Date</w:t>
      </w:r>
      <w:r>
        <w:rPr>
          <w:rFonts w:ascii="Times New Roman" w:hAnsi="Times New Roman"/>
          <w:color w:val="000000"/>
          <w:sz w:val="20"/>
        </w:rPr>
        <w:t xml:space="preserve">” </w:t>
      </w:r>
      <w:r>
        <w:rPr>
          <w:rFonts w:ascii="Times New Roman" w:hAnsi="Times New Roman"/>
          <w:color w:val="000000"/>
          <w:sz w:val="22"/>
        </w:rPr>
        <w:t>means December 1, 2029; provided however, that if such day is not a Business Day, the Term Loan Maturity Date shall be the immediately subsequent Business Day.</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Trademark License</w:t>
      </w:r>
      <w:r>
        <w:rPr>
          <w:rFonts w:ascii="Times New Roman" w:hAnsi="Times New Roman"/>
          <w:color w:val="000000"/>
          <w:sz w:val="20"/>
        </w:rPr>
        <w:t xml:space="preserve">” </w:t>
      </w:r>
      <w:r>
        <w:rPr>
          <w:rFonts w:ascii="Times New Roman" w:hAnsi="Times New Roman"/>
          <w:color w:val="000000"/>
          <w:sz w:val="22"/>
        </w:rPr>
        <w:t>means any written agreement granting any right to use any Trademark or Trademark registration, now owned or hereafter acquired by Borrower or in which Borrower now holds or hereafter acquires any interest.</w:t>
      </w:r>
    </w:p>
    <w:p>
      <w:pPr>
        <w:pStyle w:val="TextBody"/>
        <w:bidi w:val="0"/>
        <w:spacing w:before="0" w:after="240"/>
        <w:jc w:val="both"/>
        <w:rPr/>
      </w:pPr>
      <w:r>
        <w:rPr>
          <w:color w:val="000000"/>
        </w:rPr>
        <w:t>“</w:t>
      </w:r>
      <w:r>
        <w:rPr>
          <w:rFonts w:ascii="Times New Roman" w:hAnsi="Times New Roman"/>
          <w:color w:val="000000"/>
          <w:sz w:val="22"/>
          <w:u w:val="single"/>
        </w:rPr>
        <w:t>Trademarks</w:t>
      </w:r>
      <w:r>
        <w:rPr>
          <w:rFonts w:ascii="Times New Roman" w:hAnsi="Times New Roman"/>
          <w:color w:val="000000"/>
          <w:sz w:val="20"/>
        </w:rPr>
        <w:t xml:space="preserve">” </w:t>
      </w:r>
      <w:r>
        <w:rPr>
          <w:rFonts w:ascii="Times New Roman" w:hAnsi="Times New Roman"/>
          <w:color w:val="000000"/>
          <w:sz w:val="22"/>
        </w:rPr>
        <w:t>means all trademarks (registered, common law or otherwise) and any applications in connection therewith, including registrations, recordings and applications in the United States Patent and Trademark Office or in any similar office or agency of the United States of America, any State thereof or any other country or any political subdivision thereof.</w:t>
      </w:r>
    </w:p>
    <w:p>
      <w:pPr>
        <w:pStyle w:val="TextBody"/>
        <w:bidi w:val="0"/>
        <w:spacing w:before="0" w:after="240"/>
        <w:jc w:val="both"/>
        <w:rPr/>
      </w:pPr>
      <w:r>
        <w:rPr>
          <w:color w:val="000000"/>
        </w:rPr>
        <w:t>“</w:t>
      </w:r>
      <w:r>
        <w:rPr>
          <w:rFonts w:ascii="Times New Roman" w:hAnsi="Times New Roman"/>
          <w:color w:val="000000"/>
          <w:sz w:val="22"/>
          <w:u w:val="single"/>
        </w:rPr>
        <w:t>Tranche 1</w:t>
      </w:r>
      <w:r>
        <w:rPr>
          <w:rFonts w:ascii="Times New Roman" w:hAnsi="Times New Roman"/>
          <w:color w:val="000000"/>
          <w:sz w:val="20"/>
        </w:rPr>
        <w:t xml:space="preserve">” </w:t>
      </w:r>
      <w:r>
        <w:rPr>
          <w:rFonts w:ascii="Times New Roman" w:hAnsi="Times New Roman"/>
          <w:color w:val="000000"/>
          <w:sz w:val="22"/>
        </w:rPr>
        <w:t xml:space="preserve">means the Advances pursuant to </w:t>
      </w:r>
      <w:r>
        <w:rPr>
          <w:rFonts w:ascii="Times New Roman" w:hAnsi="Times New Roman"/>
          <w:color w:val="000000"/>
          <w:sz w:val="22"/>
          <w:u w:val="single"/>
        </w:rPr>
        <w:t>Section 2.2(a) – (</w:t>
      </w:r>
      <w:r>
        <w:rPr>
          <w:rFonts w:ascii="Times New Roman" w:hAnsi="Times New Roman"/>
          <w:strike/>
          <w:color w:val="FF0000"/>
          <w:sz w:val="22"/>
          <w:u w:val="single"/>
        </w:rPr>
        <w:t>c</w:t>
      </w:r>
      <w:r>
        <w:rPr>
          <w:rFonts w:ascii="Times New Roman" w:hAnsi="Times New Roman"/>
          <w:color w:val="0000FF"/>
          <w:sz w:val="22"/>
          <w:u w:val="single"/>
        </w:rPr>
        <w:t>d</w:t>
      </w:r>
      <w:r>
        <w:rPr>
          <w:rFonts w:ascii="Times New Roman" w:hAnsi="Times New Roman"/>
          <w:color w:val="000000"/>
          <w:sz w:val="22"/>
          <w:u w:val="single"/>
        </w:rPr>
        <w:t>)</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Tranche 2</w:t>
      </w:r>
      <w:r>
        <w:rPr>
          <w:rFonts w:ascii="Times New Roman" w:hAnsi="Times New Roman"/>
          <w:color w:val="000000"/>
          <w:sz w:val="20"/>
        </w:rPr>
        <w:t xml:space="preserve">” </w:t>
      </w:r>
      <w:r>
        <w:rPr>
          <w:rFonts w:ascii="Times New Roman" w:hAnsi="Times New Roman"/>
          <w:color w:val="000000"/>
          <w:sz w:val="22"/>
        </w:rPr>
        <w:t xml:space="preserve">means the Advances pursuant to </w:t>
      </w:r>
      <w:r>
        <w:rPr>
          <w:rFonts w:ascii="Times New Roman" w:hAnsi="Times New Roman"/>
          <w:color w:val="000000"/>
          <w:sz w:val="22"/>
          <w:u w:val="single"/>
        </w:rPr>
        <w:t>Section 2.2(</w:t>
      </w:r>
      <w:r>
        <w:rPr>
          <w:rFonts w:ascii="Times New Roman" w:hAnsi="Times New Roman"/>
          <w:strike/>
          <w:color w:val="FF0000"/>
          <w:sz w:val="22"/>
          <w:u w:val="single"/>
        </w:rPr>
        <w:t>d</w:t>
      </w:r>
      <w:r>
        <w:rPr>
          <w:rFonts w:ascii="Times New Roman" w:hAnsi="Times New Roman"/>
          <w:color w:val="0000FF"/>
          <w:sz w:val="22"/>
          <w:u w:val="single"/>
        </w:rPr>
        <w:t>e</w:t>
      </w:r>
      <w:r>
        <w:rPr>
          <w:rFonts w:ascii="Times New Roman" w:hAnsi="Times New Roman"/>
          <w:color w:val="000000"/>
          <w:sz w:val="22"/>
          <w:u w:val="single"/>
        </w:rPr>
        <w:t>)</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Tranche 2 Facility Charge</w:t>
      </w:r>
      <w:r>
        <w:rPr>
          <w:rFonts w:ascii="Times New Roman" w:hAnsi="Times New Roman"/>
          <w:color w:val="000000"/>
          <w:sz w:val="20"/>
        </w:rPr>
        <w:t xml:space="preserve">” </w:t>
      </w:r>
      <w:r>
        <w:rPr>
          <w:rFonts w:ascii="Times New Roman" w:hAnsi="Times New Roman"/>
          <w:color w:val="000000"/>
          <w:sz w:val="22"/>
        </w:rPr>
        <w:t xml:space="preserve">means zero point seven five percent (0.75%) of each Tranche 2 Advance, which is payable to the Lenders in accordance with </w:t>
      </w:r>
      <w:r>
        <w:rPr>
          <w:rFonts w:ascii="Times New Roman" w:hAnsi="Times New Roman"/>
          <w:color w:val="000000"/>
          <w:sz w:val="22"/>
          <w:u w:val="single"/>
        </w:rPr>
        <w:t>Section 4.2(d)</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Tranche 2 Milestone</w:t>
      </w:r>
      <w:r>
        <w:rPr>
          <w:rFonts w:ascii="Times New Roman" w:hAnsi="Times New Roman"/>
          <w:color w:val="000000"/>
          <w:sz w:val="20"/>
        </w:rPr>
        <w:t xml:space="preserve">” </w:t>
      </w:r>
      <w:r>
        <w:rPr>
          <w:rFonts w:ascii="Times New Roman" w:hAnsi="Times New Roman"/>
          <w:color w:val="000000"/>
          <w:sz w:val="22"/>
        </w:rPr>
        <w:t xml:space="preserve">means the satisfaction of </w:t>
      </w:r>
      <w:r>
        <w:rPr>
          <w:rFonts w:ascii="Times New Roman" w:hAnsi="Times New Roman"/>
          <w:color w:val="000000"/>
          <w:sz w:val="22"/>
          <w:u w:val="single"/>
        </w:rPr>
        <w:t>either</w:t>
      </w:r>
      <w:r>
        <w:rPr>
          <w:rFonts w:ascii="Times New Roman" w:hAnsi="Times New Roman"/>
          <w:color w:val="000000"/>
          <w:sz w:val="20"/>
        </w:rPr>
        <w:t xml:space="preserve"> </w:t>
      </w:r>
      <w:r>
        <w:rPr>
          <w:rFonts w:ascii="Times New Roman" w:hAnsi="Times New Roman"/>
          <w:color w:val="000000"/>
          <w:sz w:val="22"/>
        </w:rPr>
        <w:t>the following events:</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 xml:space="preserve">the satisfaction of each of the following events: (i) no Default or Event of Default shall have occurred and be continuing, (ii) Company shall have delivered supporting documentation satisfactory to Agent (as determined by Agent in its reasonable discretion) that following the Closing Date it has enrolled the first patient in a registrational trial evaluating bitopertin for the treatment of patients with Erythropoietic Porphyrias and such trial remains ongoing </w:t>
      </w:r>
      <w:r>
        <w:rPr>
          <w:rFonts w:ascii="Times New Roman" w:hAnsi="Times New Roman"/>
          <w:color w:val="000000"/>
          <w:sz w:val="22"/>
          <w:u w:val="single"/>
        </w:rPr>
        <w:t>and</w:t>
      </w:r>
      <w:r>
        <w:rPr>
          <w:rFonts w:ascii="Times New Roman" w:hAnsi="Times New Roman"/>
          <w:color w:val="000000"/>
          <w:sz w:val="20"/>
        </w:rPr>
        <w:t xml:space="preserve"> </w:t>
      </w:r>
      <w:r>
        <w:rPr>
          <w:rFonts w:ascii="Times New Roman" w:hAnsi="Times New Roman"/>
          <w:color w:val="000000"/>
          <w:sz w:val="22"/>
        </w:rPr>
        <w:t>(iii) the achievement of the Phase 2 Myelofibrosis Trial Milestone;</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or</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the achievement of the EP Clinical Milestone.</w:t>
      </w:r>
    </w:p>
    <w:p>
      <w:pPr>
        <w:pStyle w:val="TextBody"/>
        <w:bidi w:val="0"/>
        <w:spacing w:before="0" w:after="240"/>
        <w:jc w:val="both"/>
        <w:rPr/>
      </w:pPr>
      <w:r>
        <w:rPr>
          <w:color w:val="000000"/>
        </w:rPr>
        <w:t>“</w:t>
      </w:r>
      <w:r>
        <w:rPr>
          <w:rFonts w:ascii="Times New Roman" w:hAnsi="Times New Roman"/>
          <w:color w:val="000000"/>
          <w:sz w:val="22"/>
          <w:u w:val="single"/>
        </w:rPr>
        <w:t>Tranche 3</w:t>
      </w:r>
      <w:r>
        <w:rPr>
          <w:rFonts w:ascii="Times New Roman" w:hAnsi="Times New Roman"/>
          <w:color w:val="000000"/>
          <w:sz w:val="20"/>
        </w:rPr>
        <w:t xml:space="preserve">” </w:t>
      </w:r>
      <w:r>
        <w:rPr>
          <w:rFonts w:ascii="Times New Roman" w:hAnsi="Times New Roman"/>
          <w:color w:val="000000"/>
          <w:sz w:val="22"/>
        </w:rPr>
        <w:t xml:space="preserve">means the Advances pursuant to </w:t>
      </w:r>
      <w:r>
        <w:rPr>
          <w:rFonts w:ascii="Times New Roman" w:hAnsi="Times New Roman"/>
          <w:color w:val="000000"/>
          <w:sz w:val="22"/>
          <w:u w:val="single"/>
        </w:rPr>
        <w:t>Section 2.2(</w:t>
      </w:r>
      <w:r>
        <w:rPr>
          <w:rFonts w:ascii="Times New Roman" w:hAnsi="Times New Roman"/>
          <w:strike/>
          <w:color w:val="FF0000"/>
          <w:sz w:val="22"/>
          <w:u w:val="single"/>
        </w:rPr>
        <w:t>e</w:t>
      </w:r>
      <w:r>
        <w:rPr>
          <w:rFonts w:ascii="Times New Roman" w:hAnsi="Times New Roman"/>
          <w:color w:val="0000FF"/>
          <w:sz w:val="22"/>
          <w:u w:val="single"/>
        </w:rPr>
        <w:t>f</w:t>
      </w:r>
      <w:r>
        <w:rPr>
          <w:rFonts w:ascii="Times New Roman" w:hAnsi="Times New Roman"/>
          <w:color w:val="000000"/>
          <w:sz w:val="22"/>
          <w:u w:val="single"/>
        </w:rPr>
        <w:t>)</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Tranche 3 Facility Charge</w:t>
      </w:r>
      <w:r>
        <w:rPr>
          <w:rFonts w:ascii="Times New Roman" w:hAnsi="Times New Roman"/>
          <w:color w:val="000000"/>
          <w:sz w:val="20"/>
        </w:rPr>
        <w:t xml:space="preserve">” </w:t>
      </w:r>
      <w:r>
        <w:rPr>
          <w:rFonts w:ascii="Times New Roman" w:hAnsi="Times New Roman"/>
          <w:color w:val="000000"/>
          <w:sz w:val="22"/>
        </w:rPr>
        <w:t xml:space="preserve">means zero point seven five percent (0.75%) of each Tranche 3 Advance, which is payable to the Lenders in accordance with </w:t>
      </w:r>
      <w:r>
        <w:rPr>
          <w:rFonts w:ascii="Times New Roman" w:hAnsi="Times New Roman"/>
          <w:color w:val="000000"/>
          <w:sz w:val="22"/>
          <w:u w:val="single"/>
        </w:rPr>
        <w:t>Section 4.2(e)</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Tranche 3 Milestone</w:t>
      </w:r>
      <w:r>
        <w:rPr>
          <w:rFonts w:ascii="Times New Roman" w:hAnsi="Times New Roman"/>
          <w:color w:val="000000"/>
          <w:sz w:val="20"/>
        </w:rPr>
        <w:t xml:space="preserve">” </w:t>
      </w:r>
      <w:r>
        <w:rPr>
          <w:rFonts w:ascii="Times New Roman" w:hAnsi="Times New Roman"/>
          <w:color w:val="000000"/>
          <w:sz w:val="22"/>
        </w:rPr>
        <w:t xml:space="preserve">means the satisfaction of </w:t>
      </w:r>
      <w:r>
        <w:rPr>
          <w:rFonts w:ascii="Times New Roman" w:hAnsi="Times New Roman"/>
          <w:color w:val="000000"/>
          <w:sz w:val="22"/>
          <w:u w:val="single"/>
        </w:rPr>
        <w:t>either</w:t>
      </w:r>
      <w:r>
        <w:rPr>
          <w:rFonts w:ascii="Times New Roman" w:hAnsi="Times New Roman"/>
          <w:color w:val="000000"/>
          <w:sz w:val="20"/>
        </w:rPr>
        <w:t xml:space="preserve"> </w:t>
      </w:r>
      <w:r>
        <w:rPr>
          <w:rFonts w:ascii="Times New Roman" w:hAnsi="Times New Roman"/>
          <w:color w:val="000000"/>
          <w:sz w:val="22"/>
        </w:rPr>
        <w:t>the following events:</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 xml:space="preserve">(x) the achievement of the EP Clinical Milestone </w:t>
      </w:r>
      <w:r>
        <w:rPr>
          <w:rFonts w:ascii="Times New Roman" w:hAnsi="Times New Roman"/>
          <w:color w:val="000000"/>
          <w:sz w:val="22"/>
          <w:u w:val="single"/>
        </w:rPr>
        <w:t>and</w:t>
      </w:r>
      <w:r>
        <w:rPr>
          <w:rFonts w:ascii="Times New Roman" w:hAnsi="Times New Roman"/>
          <w:color w:val="000000"/>
          <w:sz w:val="20"/>
        </w:rPr>
        <w:t xml:space="preserve"> </w:t>
      </w:r>
      <w:r>
        <w:rPr>
          <w:rFonts w:ascii="Times New Roman" w:hAnsi="Times New Roman"/>
          <w:color w:val="000000"/>
          <w:sz w:val="22"/>
        </w:rPr>
        <w:t xml:space="preserve">(y) the satisfaction of </w:t>
      </w:r>
      <w:r>
        <w:rPr>
          <w:rFonts w:ascii="Times New Roman" w:hAnsi="Times New Roman"/>
          <w:color w:val="000000"/>
          <w:sz w:val="22"/>
          <w:u w:val="single"/>
        </w:rPr>
        <w:t>either</w:t>
      </w:r>
      <w:r>
        <w:rPr>
          <w:rFonts w:ascii="Times New Roman" w:hAnsi="Times New Roman"/>
          <w:color w:val="000000"/>
          <w:sz w:val="20"/>
        </w:rPr>
        <w:t xml:space="preserve"> </w:t>
      </w:r>
      <w:r>
        <w:rPr>
          <w:rFonts w:ascii="Times New Roman" w:hAnsi="Times New Roman"/>
          <w:color w:val="000000"/>
          <w:sz w:val="22"/>
        </w:rPr>
        <w:t>of the following events (whichever first occurs):</w:t>
      </w:r>
    </w:p>
    <w:p>
      <w:pPr>
        <w:pStyle w:val="TextBody"/>
        <w:bidi w:val="0"/>
        <w:spacing w:before="0" w:after="240"/>
        <w:jc w:val="both"/>
        <w:rPr>
          <w:rFonts w:ascii="Times New Roman" w:hAnsi="Times New Roman"/>
          <w:sz w:val="20"/>
        </w:rPr>
      </w:pPr>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rPr>
        <w:t xml:space="preserve">the achievement of the Phase 2 Myelofibrosis Trial Milestone; </w:t>
      </w:r>
      <w:r>
        <w:rPr>
          <w:rFonts w:ascii="Times New Roman" w:hAnsi="Times New Roman"/>
          <w:color w:val="000000"/>
          <w:sz w:val="22"/>
          <w:u w:val="single"/>
        </w:rPr>
        <w:t>or</w:t>
      </w:r>
    </w:p>
    <w:p>
      <w:pPr>
        <w:pStyle w:val="TextBody"/>
        <w:bidi w:val="0"/>
        <w:spacing w:before="0" w:after="240"/>
        <w:jc w:val="both"/>
        <w:rPr>
          <w:rFonts w:ascii="Times New Roman" w:hAnsi="Times New Roman"/>
          <w:sz w:val="20"/>
        </w:rPr>
      </w:pPr>
      <w:r>
        <w:rPr>
          <w:rFonts w:ascii="Times New Roman" w:hAnsi="Times New Roman"/>
          <w:color w:val="000000"/>
          <w:sz w:val="22"/>
        </w:rPr>
        <w:t>(ii)</w:t>
      </w:r>
      <w:r>
        <w:rPr>
          <w:rFonts w:ascii="Times New Roman" w:hAnsi="Times New Roman"/>
          <w:color w:val="000000"/>
          <w:sz w:val="20"/>
        </w:rPr>
        <w:t xml:space="preserve"> </w:t>
      </w:r>
      <w:r>
        <w:rPr>
          <w:rFonts w:ascii="Times New Roman" w:hAnsi="Times New Roman"/>
          <w:color w:val="000000"/>
          <w:sz w:val="22"/>
        </w:rPr>
        <w:t>Company shall have stated in Company’s public filings with the Securities and Exchange Commission and delivered supporting documentation satisfactory to Agent (as determined by Agent in its reasonable discretion) that it has achieved the protocol specified primary endpoint(s) from the Phase 2a trial of DISC-0974 for the treatment of chronic kidney disease which, taken together with other secondary endpoints and overall safety profile, support Company’s initiation of a Phase 2b trial as the next immediate step in development (as determined by Borrower’s executive team and Board of Directors and subject to Lenders’ reasonable verification);</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or</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the satisfaction of each of the following events: (i) no Default or Event of Default shall have occurred and be continuing; (ii) the achievement of the Approval Milestone </w:t>
      </w:r>
      <w:r>
        <w:rPr>
          <w:rFonts w:ascii="Times New Roman" w:hAnsi="Times New Roman"/>
          <w:color w:val="000000"/>
          <w:sz w:val="22"/>
          <w:u w:val="single"/>
        </w:rPr>
        <w:t>and</w:t>
      </w:r>
      <w:r>
        <w:rPr>
          <w:rFonts w:ascii="Times New Roman" w:hAnsi="Times New Roman"/>
          <w:color w:val="000000"/>
          <w:sz w:val="20"/>
        </w:rPr>
        <w:t xml:space="preserve"> </w:t>
      </w:r>
      <w:r>
        <w:rPr>
          <w:rFonts w:ascii="Times New Roman" w:hAnsi="Times New Roman"/>
          <w:color w:val="000000"/>
          <w:sz w:val="22"/>
        </w:rPr>
        <w:t>(iii) Borrower has received at least Two Hundred Fifty Million Dollars ($250,000,000) of unrestricted (including, not subject to any redemption, clawback, escrow or similar encumbrance or restriction) net new cash proceeds from the issuance of equity, Permitted Convertible Debt or upfront cash business development proceeds, after the Closing Date and prior to December 15, 2027.</w:t>
      </w:r>
    </w:p>
    <w:p>
      <w:pPr>
        <w:pStyle w:val="TextBody"/>
        <w:bidi w:val="0"/>
        <w:spacing w:before="0" w:after="240"/>
        <w:jc w:val="both"/>
        <w:rPr/>
      </w:pPr>
      <w:r>
        <w:rPr>
          <w:color w:val="000000"/>
        </w:rPr>
        <w:t>“</w:t>
      </w:r>
      <w:r>
        <w:rPr>
          <w:rFonts w:ascii="Times New Roman" w:hAnsi="Times New Roman"/>
          <w:color w:val="000000"/>
          <w:sz w:val="22"/>
          <w:u w:val="single"/>
        </w:rPr>
        <w:t>Tranche 4</w:t>
      </w:r>
      <w:r>
        <w:rPr>
          <w:rFonts w:ascii="Times New Roman" w:hAnsi="Times New Roman"/>
          <w:color w:val="000000"/>
          <w:sz w:val="20"/>
        </w:rPr>
        <w:t xml:space="preserve">” </w:t>
      </w:r>
      <w:r>
        <w:rPr>
          <w:rFonts w:ascii="Times New Roman" w:hAnsi="Times New Roman"/>
          <w:color w:val="000000"/>
          <w:sz w:val="22"/>
        </w:rPr>
        <w:t xml:space="preserve">means the Advances pursuant to </w:t>
      </w:r>
      <w:r>
        <w:rPr>
          <w:rFonts w:ascii="Times New Roman" w:hAnsi="Times New Roman"/>
          <w:color w:val="000000"/>
          <w:sz w:val="22"/>
          <w:u w:val="single"/>
        </w:rPr>
        <w:t>Section 2.2(</w:t>
      </w:r>
      <w:r>
        <w:rPr>
          <w:rFonts w:ascii="Times New Roman" w:hAnsi="Times New Roman"/>
          <w:strike/>
          <w:color w:val="FF0000"/>
          <w:sz w:val="22"/>
          <w:u w:val="single"/>
        </w:rPr>
        <w:t>f</w:t>
      </w:r>
      <w:r>
        <w:rPr>
          <w:rFonts w:ascii="Times New Roman" w:hAnsi="Times New Roman"/>
          <w:color w:val="0000FF"/>
          <w:sz w:val="22"/>
          <w:u w:val="single"/>
        </w:rPr>
        <w:t>g</w:t>
      </w:r>
      <w:r>
        <w:rPr>
          <w:rFonts w:ascii="Times New Roman" w:hAnsi="Times New Roman"/>
          <w:color w:val="000000"/>
          <w:sz w:val="22"/>
          <w:u w:val="single"/>
        </w:rPr>
        <w:t>)</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Tranche 4 Facility Charge</w:t>
      </w:r>
      <w:r>
        <w:rPr>
          <w:rFonts w:ascii="Times New Roman" w:hAnsi="Times New Roman"/>
          <w:color w:val="000000"/>
          <w:sz w:val="20"/>
        </w:rPr>
        <w:t xml:space="preserve">” </w:t>
      </w:r>
      <w:r>
        <w:rPr>
          <w:rFonts w:ascii="Times New Roman" w:hAnsi="Times New Roman"/>
          <w:color w:val="000000"/>
          <w:sz w:val="22"/>
        </w:rPr>
        <w:t xml:space="preserve">means zero point seven five percent (0.75%) of each Tranche 4 Advance, which is payable to the Lenders in accordance with </w:t>
      </w:r>
      <w:r>
        <w:rPr>
          <w:rFonts w:ascii="Times New Roman" w:hAnsi="Times New Roman"/>
          <w:color w:val="000000"/>
          <w:sz w:val="22"/>
          <w:u w:val="single"/>
        </w:rPr>
        <w:t>Section 4.2(f)</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UCC</w:t>
      </w:r>
      <w:r>
        <w:rPr>
          <w:rFonts w:ascii="Times New Roman" w:hAnsi="Times New Roman"/>
          <w:color w:val="000000"/>
          <w:sz w:val="20"/>
        </w:rPr>
        <w:t xml:space="preserve">” </w:t>
      </w:r>
      <w:r>
        <w:rPr>
          <w:rFonts w:ascii="Times New Roman" w:hAnsi="Times New Roman"/>
          <w:color w:val="000000"/>
          <w:sz w:val="22"/>
        </w:rPr>
        <w:t>means the Uniform Commercial Code as the same is, from time to time, in effect in the State of California; provided, that in the event that, by reason of mandatory provisions of law, any or all of the attachment, perfection or priority of, or remedies with respect to, Agent’s Lien on any Collateral is governed by the Uniform Commercial Code as the same is, from time to time, in effect in a jurisdiction other than the State of California, then the term “UCC” shall mean the Uniform Commercial Code as in effect, from time to time, in such other jurisdiction solely for purposes of the provisions thereof relating to such attachment, perfection, priority or remedies and for purposes of definitions related to such provisions.</w:t>
      </w:r>
    </w:p>
    <w:p>
      <w:pPr>
        <w:pStyle w:val="TextBody"/>
        <w:bidi w:val="0"/>
        <w:spacing w:before="0" w:after="240"/>
        <w:jc w:val="both"/>
        <w:rPr/>
      </w:pPr>
      <w:r>
        <w:rPr>
          <w:color w:val="000000"/>
        </w:rPr>
        <w:t>“</w:t>
      </w:r>
      <w:r>
        <w:rPr>
          <w:rFonts w:ascii="Times New Roman" w:hAnsi="Times New Roman"/>
          <w:color w:val="000000"/>
          <w:sz w:val="22"/>
          <w:u w:val="single"/>
        </w:rPr>
        <w:t>U.S. Person</w:t>
      </w:r>
      <w:r>
        <w:rPr>
          <w:rFonts w:ascii="Times New Roman" w:hAnsi="Times New Roman"/>
          <w:color w:val="000000"/>
          <w:sz w:val="20"/>
        </w:rPr>
        <w:t xml:space="preserve">” </w:t>
      </w:r>
      <w:r>
        <w:rPr>
          <w:rFonts w:ascii="Times New Roman" w:hAnsi="Times New Roman"/>
          <w:color w:val="000000"/>
          <w:sz w:val="22"/>
        </w:rPr>
        <w:t>means any Person that is a “United States person” as defined in Section 7701(a)(30) of the Code.</w:t>
      </w:r>
    </w:p>
    <w:p>
      <w:pPr>
        <w:pStyle w:val="TextBody"/>
        <w:bidi w:val="0"/>
        <w:spacing w:before="0" w:after="240"/>
        <w:jc w:val="both"/>
        <w:rPr>
          <w:rFonts w:ascii="Times New Roman" w:hAnsi="Times New Roman"/>
          <w:sz w:val="20"/>
        </w:rPr>
      </w:pPr>
      <w:r>
        <w:rPr>
          <w:rFonts w:ascii="Times New Roman" w:hAnsi="Times New Roman"/>
          <w:color w:val="000000"/>
          <w:sz w:val="22"/>
        </w:rPr>
        <w:t>1.2</w:t>
      </w:r>
      <w:r>
        <w:rPr>
          <w:rFonts w:ascii="Times New Roman" w:hAnsi="Times New Roman"/>
          <w:color w:val="000000"/>
          <w:sz w:val="20"/>
        </w:rPr>
        <w:t xml:space="preserve"> </w:t>
      </w:r>
      <w:r>
        <w:rPr>
          <w:rFonts w:ascii="Times New Roman" w:hAnsi="Times New Roman"/>
          <w:color w:val="000000"/>
          <w:sz w:val="22"/>
        </w:rPr>
        <w:t>The following terms are defined in the Sections or subsections referenced opposite such terms:</w:t>
      </w:r>
    </w:p>
    <w:tbl>
      <w:tblPr>
        <w:tblW w:w="4232" w:type="dxa"/>
        <w:jc w:val="left"/>
        <w:tblInd w:w="0" w:type="dxa"/>
        <w:tblLayout w:type="fixed"/>
        <w:tblCellMar>
          <w:top w:w="28" w:type="dxa"/>
          <w:left w:w="28" w:type="dxa"/>
          <w:bottom w:w="28" w:type="dxa"/>
          <w:right w:w="28" w:type="dxa"/>
        </w:tblCellMar>
      </w:tblPr>
      <w:tblGrid>
        <w:gridCol w:w="3181"/>
        <w:gridCol w:w="1051"/>
      </w:tblGrid>
      <w:tr>
        <w:trPr/>
        <w:tc>
          <w:tcPr>
            <w:tcW w:w="318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3181"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Defined Term</w:t>
            </w:r>
          </w:p>
        </w:tc>
        <w:tc>
          <w:tcPr>
            <w:tcW w:w="1051"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Section</w:t>
            </w:r>
          </w:p>
        </w:tc>
      </w:tr>
      <w:tr>
        <w:trPr/>
        <w:tc>
          <w:tcPr>
            <w:tcW w:w="318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1940 Act</w:t>
            </w:r>
          </w:p>
        </w:tc>
        <w:tc>
          <w:tcPr>
            <w:tcW w:w="10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5.6(b)</w:t>
            </w:r>
          </w:p>
        </w:tc>
      </w:tr>
      <w:tr>
        <w:trPr/>
        <w:tc>
          <w:tcPr>
            <w:tcW w:w="318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Agent</w:t>
            </w:r>
          </w:p>
        </w:tc>
        <w:tc>
          <w:tcPr>
            <w:tcW w:w="10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Preamble</w:t>
            </w:r>
          </w:p>
        </w:tc>
      </w:tr>
      <w:tr>
        <w:trPr/>
        <w:tc>
          <w:tcPr>
            <w:tcW w:w="318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Assignee</w:t>
            </w:r>
          </w:p>
        </w:tc>
        <w:tc>
          <w:tcPr>
            <w:tcW w:w="10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11.14</w:t>
            </w:r>
          </w:p>
        </w:tc>
      </w:tr>
      <w:tr>
        <w:trPr/>
        <w:tc>
          <w:tcPr>
            <w:tcW w:w="318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Borrower</w:t>
            </w:r>
          </w:p>
        </w:tc>
        <w:tc>
          <w:tcPr>
            <w:tcW w:w="10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Preamble</w:t>
            </w:r>
          </w:p>
        </w:tc>
      </w:tr>
      <w:tr>
        <w:trPr/>
        <w:tc>
          <w:tcPr>
            <w:tcW w:w="318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Cash Interest Reduction Amount</w:t>
            </w:r>
          </w:p>
        </w:tc>
        <w:tc>
          <w:tcPr>
            <w:tcW w:w="10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2.2(h)(iii)</w:t>
            </w:r>
          </w:p>
        </w:tc>
      </w:tr>
      <w:tr>
        <w:trPr/>
        <w:tc>
          <w:tcPr>
            <w:tcW w:w="318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Claims</w:t>
            </w:r>
          </w:p>
        </w:tc>
        <w:tc>
          <w:tcPr>
            <w:tcW w:w="10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11.10</w:t>
            </w:r>
          </w:p>
        </w:tc>
      </w:tr>
      <w:tr>
        <w:trPr/>
        <w:tc>
          <w:tcPr>
            <w:tcW w:w="318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Collateral</w:t>
            </w:r>
          </w:p>
        </w:tc>
        <w:tc>
          <w:tcPr>
            <w:tcW w:w="10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3.1</w:t>
            </w:r>
          </w:p>
        </w:tc>
      </w:tr>
      <w:tr>
        <w:trPr/>
        <w:tc>
          <w:tcPr>
            <w:tcW w:w="318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Company</w:t>
            </w:r>
          </w:p>
        </w:tc>
        <w:tc>
          <w:tcPr>
            <w:tcW w:w="10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Preamble</w:t>
            </w:r>
          </w:p>
        </w:tc>
      </w:tr>
      <w:tr>
        <w:trPr/>
        <w:tc>
          <w:tcPr>
            <w:tcW w:w="318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Confidential Information</w:t>
            </w:r>
          </w:p>
        </w:tc>
        <w:tc>
          <w:tcPr>
            <w:tcW w:w="10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11.13</w:t>
            </w:r>
          </w:p>
        </w:tc>
      </w:tr>
      <w:tr>
        <w:trPr/>
        <w:tc>
          <w:tcPr>
            <w:tcW w:w="318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Current Company IP</w:t>
            </w:r>
          </w:p>
        </w:tc>
        <w:tc>
          <w:tcPr>
            <w:tcW w:w="10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5.10(a)</w:t>
            </w:r>
          </w:p>
        </w:tc>
      </w:tr>
      <w:tr>
        <w:trPr/>
        <w:tc>
          <w:tcPr>
            <w:tcW w:w="318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Event of Default</w:t>
            </w:r>
          </w:p>
        </w:tc>
        <w:tc>
          <w:tcPr>
            <w:tcW w:w="10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9</w:t>
            </w:r>
          </w:p>
        </w:tc>
      </w:tr>
      <w:tr>
        <w:trPr/>
        <w:tc>
          <w:tcPr>
            <w:tcW w:w="318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Financial Statements</w:t>
            </w:r>
          </w:p>
        </w:tc>
        <w:tc>
          <w:tcPr>
            <w:tcW w:w="10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7.1</w:t>
            </w:r>
          </w:p>
        </w:tc>
      </w:tr>
      <w:tr>
        <w:trPr/>
        <w:tc>
          <w:tcPr>
            <w:tcW w:w="318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Indemnified Person</w:t>
            </w:r>
          </w:p>
        </w:tc>
        <w:tc>
          <w:tcPr>
            <w:tcW w:w="10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6.3</w:t>
            </w:r>
          </w:p>
        </w:tc>
      </w:tr>
      <w:tr>
        <w:trPr/>
        <w:tc>
          <w:tcPr>
            <w:tcW w:w="318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Lenders</w:t>
            </w:r>
          </w:p>
        </w:tc>
        <w:tc>
          <w:tcPr>
            <w:tcW w:w="10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Preamble</w:t>
            </w:r>
          </w:p>
        </w:tc>
      </w:tr>
      <w:tr>
        <w:trPr/>
        <w:tc>
          <w:tcPr>
            <w:tcW w:w="318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Liabilities</w:t>
            </w:r>
          </w:p>
        </w:tc>
        <w:tc>
          <w:tcPr>
            <w:tcW w:w="10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6.3</w:t>
            </w:r>
          </w:p>
        </w:tc>
      </w:tr>
      <w:tr>
        <w:trPr/>
        <w:tc>
          <w:tcPr>
            <w:tcW w:w="318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Maximum Rate</w:t>
            </w:r>
          </w:p>
        </w:tc>
        <w:tc>
          <w:tcPr>
            <w:tcW w:w="10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2.3</w:t>
            </w:r>
          </w:p>
        </w:tc>
      </w:tr>
      <w:tr>
        <w:trPr/>
        <w:tc>
          <w:tcPr>
            <w:tcW w:w="318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Open Source License</w:t>
            </w:r>
          </w:p>
        </w:tc>
        <w:tc>
          <w:tcPr>
            <w:tcW w:w="10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5.10</w:t>
            </w:r>
          </w:p>
        </w:tc>
      </w:tr>
      <w:tr>
        <w:trPr/>
        <w:tc>
          <w:tcPr>
            <w:tcW w:w="318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Participant Register</w:t>
            </w:r>
          </w:p>
        </w:tc>
        <w:tc>
          <w:tcPr>
            <w:tcW w:w="10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11.8</w:t>
            </w:r>
          </w:p>
        </w:tc>
      </w:tr>
      <w:tr>
        <w:trPr/>
        <w:tc>
          <w:tcPr>
            <w:tcW w:w="318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Payment Date</w:t>
            </w:r>
          </w:p>
        </w:tc>
        <w:tc>
          <w:tcPr>
            <w:tcW w:w="10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2.2(i)</w:t>
            </w:r>
          </w:p>
        </w:tc>
      </w:tr>
      <w:tr>
        <w:trPr/>
        <w:tc>
          <w:tcPr>
            <w:tcW w:w="318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PIK Deferral Period</w:t>
            </w:r>
          </w:p>
        </w:tc>
        <w:tc>
          <w:tcPr>
            <w:tcW w:w="10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2.2(h)(iii)</w:t>
            </w:r>
          </w:p>
        </w:tc>
      </w:tr>
      <w:tr>
        <w:trPr/>
        <w:tc>
          <w:tcPr>
            <w:tcW w:w="318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Prepayment Charge</w:t>
            </w:r>
          </w:p>
        </w:tc>
        <w:tc>
          <w:tcPr>
            <w:tcW w:w="10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2.5(a)</w:t>
            </w:r>
          </w:p>
        </w:tc>
      </w:tr>
      <w:tr>
        <w:trPr/>
        <w:tc>
          <w:tcPr>
            <w:tcW w:w="318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Publicity Materials</w:t>
            </w:r>
          </w:p>
        </w:tc>
        <w:tc>
          <w:tcPr>
            <w:tcW w:w="10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11.19</w:t>
            </w:r>
          </w:p>
        </w:tc>
      </w:tr>
      <w:tr>
        <w:trPr/>
        <w:tc>
          <w:tcPr>
            <w:tcW w:w="318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Register</w:t>
            </w:r>
          </w:p>
        </w:tc>
        <w:tc>
          <w:tcPr>
            <w:tcW w:w="10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11.7</w:t>
            </w:r>
          </w:p>
        </w:tc>
      </w:tr>
    </w:tbl>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317" w:type="dxa"/>
        <w:jc w:val="left"/>
        <w:tblInd w:w="0" w:type="dxa"/>
        <w:tblLayout w:type="fixed"/>
        <w:tblCellMar>
          <w:top w:w="28" w:type="dxa"/>
          <w:left w:w="28" w:type="dxa"/>
          <w:bottom w:w="28" w:type="dxa"/>
          <w:right w:w="28" w:type="dxa"/>
        </w:tblCellMar>
      </w:tblPr>
      <w:tblGrid>
        <w:gridCol w:w="2326"/>
        <w:gridCol w:w="991"/>
      </w:tblGrid>
      <w:tr>
        <w:trPr/>
        <w:tc>
          <w:tcPr>
            <w:tcW w:w="232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232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Regulation</w:t>
            </w:r>
          </w:p>
        </w:tc>
        <w:tc>
          <w:tcPr>
            <w:tcW w:w="991"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5.15</w:t>
            </w:r>
          </w:p>
        </w:tc>
      </w:tr>
      <w:tr>
        <w:trPr/>
        <w:tc>
          <w:tcPr>
            <w:tcW w:w="232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Rights to Payment</w:t>
            </w:r>
          </w:p>
        </w:tc>
        <w:tc>
          <w:tcPr>
            <w:tcW w:w="99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3.1</w:t>
            </w:r>
          </w:p>
        </w:tc>
      </w:tr>
      <w:tr>
        <w:trPr/>
        <w:tc>
          <w:tcPr>
            <w:tcW w:w="232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SBA</w:t>
            </w:r>
          </w:p>
        </w:tc>
        <w:tc>
          <w:tcPr>
            <w:tcW w:w="99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7.21</w:t>
            </w:r>
          </w:p>
        </w:tc>
      </w:tr>
      <w:tr>
        <w:trPr/>
        <w:tc>
          <w:tcPr>
            <w:tcW w:w="232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SBIC</w:t>
            </w:r>
          </w:p>
        </w:tc>
        <w:tc>
          <w:tcPr>
            <w:tcW w:w="99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7.21</w:t>
            </w:r>
          </w:p>
        </w:tc>
      </w:tr>
      <w:tr>
        <w:trPr/>
        <w:tc>
          <w:tcPr>
            <w:tcW w:w="232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SBIC Act</w:t>
            </w:r>
          </w:p>
        </w:tc>
        <w:tc>
          <w:tcPr>
            <w:tcW w:w="99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7.21</w:t>
            </w:r>
          </w:p>
        </w:tc>
      </w:tr>
      <w:tr>
        <w:trPr/>
        <w:tc>
          <w:tcPr>
            <w:tcW w:w="232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Term Loan PIK Interest</w:t>
            </w:r>
          </w:p>
        </w:tc>
        <w:tc>
          <w:tcPr>
            <w:tcW w:w="99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2.2(h)(ii)</w:t>
            </w:r>
          </w:p>
        </w:tc>
      </w:tr>
      <w:tr>
        <w:trPr/>
        <w:tc>
          <w:tcPr>
            <w:tcW w:w="232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Third Party IP</w:t>
            </w:r>
          </w:p>
        </w:tc>
        <w:tc>
          <w:tcPr>
            <w:tcW w:w="99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5.10(i)</w:t>
            </w:r>
          </w:p>
        </w:tc>
      </w:tr>
      <w:tr>
        <w:trPr/>
        <w:tc>
          <w:tcPr>
            <w:tcW w:w="232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Tranche 1-A Advance</w:t>
            </w:r>
          </w:p>
        </w:tc>
        <w:tc>
          <w:tcPr>
            <w:tcW w:w="99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2.2(a)</w:t>
            </w:r>
          </w:p>
        </w:tc>
      </w:tr>
      <w:tr>
        <w:trPr/>
        <w:tc>
          <w:tcPr>
            <w:tcW w:w="232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Tranche 1-B Advance</w:t>
            </w:r>
          </w:p>
        </w:tc>
        <w:tc>
          <w:tcPr>
            <w:tcW w:w="99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2.2(b)</w:t>
            </w:r>
          </w:p>
        </w:tc>
      </w:tr>
      <w:tr>
        <w:trPr/>
        <w:tc>
          <w:tcPr>
            <w:tcW w:w="232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Tranche 1-C Advance</w:t>
            </w:r>
          </w:p>
        </w:tc>
        <w:tc>
          <w:tcPr>
            <w:tcW w:w="99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2.2(c)</w:t>
            </w:r>
          </w:p>
        </w:tc>
      </w:tr>
      <w:tr>
        <w:trPr/>
        <w:tc>
          <w:tcPr>
            <w:tcW w:w="232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Tranche 1</w:t>
            </w:r>
            <w:r>
              <w:rPr>
                <w:rFonts w:ascii="Times New Roman" w:hAnsi="Times New Roman"/>
                <w:color w:val="0000FF"/>
                <w:sz w:val="22"/>
                <w:u w:val="single"/>
              </w:rPr>
              <w:t>-D</w:t>
            </w:r>
            <w:r>
              <w:rPr>
                <w:rFonts w:ascii="Times New Roman" w:hAnsi="Times New Roman"/>
                <w:color w:val="0000FF"/>
                <w:sz w:val="22"/>
              </w:rPr>
              <w:t xml:space="preserve"> </w:t>
            </w:r>
            <w:r>
              <w:rPr>
                <w:rFonts w:ascii="Times New Roman" w:hAnsi="Times New Roman"/>
                <w:color w:val="000000"/>
                <w:sz w:val="22"/>
              </w:rPr>
              <w:t>Advance</w:t>
            </w:r>
          </w:p>
        </w:tc>
        <w:tc>
          <w:tcPr>
            <w:tcW w:w="99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2.2(</w:t>
            </w:r>
            <w:r>
              <w:rPr>
                <w:rFonts w:ascii="Times New Roman" w:hAnsi="Times New Roman"/>
                <w:strike/>
                <w:color w:val="FF0000"/>
                <w:sz w:val="22"/>
              </w:rPr>
              <w:t>c</w:t>
            </w:r>
            <w:r>
              <w:rPr>
                <w:rFonts w:ascii="Times New Roman" w:hAnsi="Times New Roman"/>
                <w:color w:val="0000FF"/>
                <w:sz w:val="22"/>
                <w:u w:val="single"/>
              </w:rPr>
              <w:t>d</w:t>
            </w:r>
            <w:r>
              <w:rPr>
                <w:rFonts w:ascii="Times New Roman" w:hAnsi="Times New Roman"/>
                <w:color w:val="000000"/>
                <w:sz w:val="22"/>
              </w:rPr>
              <w:t>)</w:t>
            </w:r>
          </w:p>
        </w:tc>
      </w:tr>
      <w:tr>
        <w:trPr/>
        <w:tc>
          <w:tcPr>
            <w:tcW w:w="232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 xml:space="preserve">Tranche </w:t>
            </w:r>
            <w:r>
              <w:rPr>
                <w:rFonts w:ascii="Times New Roman" w:hAnsi="Times New Roman"/>
                <w:strike/>
                <w:color w:val="FF0000"/>
                <w:sz w:val="22"/>
              </w:rPr>
              <w:t>2</w:t>
            </w:r>
            <w:r>
              <w:rPr>
                <w:rFonts w:ascii="Times New Roman" w:hAnsi="Times New Roman"/>
                <w:color w:val="0000FF"/>
                <w:sz w:val="22"/>
                <w:u w:val="single"/>
              </w:rPr>
              <w:t>1</w:t>
            </w:r>
            <w:r>
              <w:rPr>
                <w:rFonts w:ascii="Times New Roman" w:hAnsi="Times New Roman"/>
                <w:color w:val="0000FF"/>
                <w:sz w:val="22"/>
              </w:rPr>
              <w:t xml:space="preserve"> </w:t>
            </w:r>
            <w:r>
              <w:rPr>
                <w:rFonts w:ascii="Times New Roman" w:hAnsi="Times New Roman"/>
                <w:color w:val="000000"/>
                <w:sz w:val="22"/>
              </w:rPr>
              <w:t>Advance</w:t>
            </w:r>
          </w:p>
        </w:tc>
        <w:tc>
          <w:tcPr>
            <w:tcW w:w="99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2.2(d)</w:t>
            </w:r>
          </w:p>
        </w:tc>
      </w:tr>
      <w:tr>
        <w:trPr/>
        <w:tc>
          <w:tcPr>
            <w:tcW w:w="232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 xml:space="preserve">Tranche </w:t>
            </w:r>
            <w:r>
              <w:rPr>
                <w:rFonts w:ascii="Times New Roman" w:hAnsi="Times New Roman"/>
                <w:strike/>
                <w:color w:val="FF0000"/>
                <w:sz w:val="22"/>
              </w:rPr>
              <w:t>3</w:t>
            </w:r>
            <w:r>
              <w:rPr>
                <w:rFonts w:ascii="Times New Roman" w:hAnsi="Times New Roman"/>
                <w:color w:val="0000FF"/>
                <w:sz w:val="22"/>
                <w:u w:val="single"/>
              </w:rPr>
              <w:t>2</w:t>
            </w:r>
            <w:r>
              <w:rPr>
                <w:rFonts w:ascii="Times New Roman" w:hAnsi="Times New Roman"/>
                <w:color w:val="0000FF"/>
                <w:sz w:val="22"/>
              </w:rPr>
              <w:t xml:space="preserve"> </w:t>
            </w:r>
            <w:r>
              <w:rPr>
                <w:rFonts w:ascii="Times New Roman" w:hAnsi="Times New Roman"/>
                <w:color w:val="000000"/>
                <w:sz w:val="22"/>
              </w:rPr>
              <w:t>Advance</w:t>
            </w:r>
          </w:p>
        </w:tc>
        <w:tc>
          <w:tcPr>
            <w:tcW w:w="99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2.2(e)</w:t>
            </w:r>
          </w:p>
        </w:tc>
      </w:tr>
      <w:tr>
        <w:trPr/>
        <w:tc>
          <w:tcPr>
            <w:tcW w:w="2326" w:type="dxa"/>
            <w:tcBorders>
              <w:left w:val="single" w:sz="4" w:space="0" w:color="000000"/>
              <w:bottom w:val="single" w:sz="4" w:space="0" w:color="000000"/>
              <w:right w:val="single" w:sz="4" w:space="0" w:color="000000"/>
            </w:tcBorders>
            <w:shd w:fill="E6E6FA" w:val="clear"/>
            <w:tcMar>
              <w:top w:w="0" w:type="dxa"/>
              <w:left w:w="115" w:type="dxa"/>
              <w:right w:w="115" w:type="dxa"/>
            </w:tcMar>
            <w:vAlign w:val="center"/>
          </w:tcPr>
          <w:p>
            <w:pPr>
              <w:pStyle w:val="TableContents"/>
              <w:bidi w:val="0"/>
              <w:spacing w:before="0" w:after="283"/>
              <w:jc w:val="left"/>
              <w:rPr>
                <w:rFonts w:ascii="Times New Roman" w:hAnsi="Times New Roman"/>
                <w:color w:val="0000FF"/>
                <w:sz w:val="22"/>
                <w:u w:val="single"/>
              </w:rPr>
            </w:pPr>
            <w:r>
              <w:rPr>
                <w:rFonts w:ascii="Times New Roman" w:hAnsi="Times New Roman"/>
                <w:color w:val="0000FF"/>
                <w:sz w:val="22"/>
                <w:u w:val="single"/>
              </w:rPr>
              <w:t>Tranche 3 Advance</w:t>
            </w:r>
          </w:p>
        </w:tc>
        <w:tc>
          <w:tcPr>
            <w:tcW w:w="991"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left"/>
              <w:rPr>
                <w:rFonts w:ascii="Times New Roman" w:hAnsi="Times New Roman"/>
                <w:color w:val="0000FF"/>
                <w:sz w:val="22"/>
                <w:u w:val="single"/>
              </w:rPr>
            </w:pPr>
            <w:r>
              <w:rPr>
                <w:rFonts w:ascii="Times New Roman" w:hAnsi="Times New Roman"/>
                <w:color w:val="0000FF"/>
                <w:sz w:val="22"/>
                <w:u w:val="single"/>
              </w:rPr>
              <w:t>2.2(f)</w:t>
            </w:r>
          </w:p>
        </w:tc>
      </w:tr>
      <w:tr>
        <w:trPr/>
        <w:tc>
          <w:tcPr>
            <w:tcW w:w="232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Tranche 4 Advance</w:t>
            </w:r>
          </w:p>
        </w:tc>
        <w:tc>
          <w:tcPr>
            <w:tcW w:w="99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2.2(</w:t>
            </w:r>
            <w:r>
              <w:rPr>
                <w:rFonts w:ascii="Times New Roman" w:hAnsi="Times New Roman"/>
                <w:strike/>
                <w:color w:val="FF0000"/>
                <w:sz w:val="22"/>
              </w:rPr>
              <w:t>e</w:t>
            </w:r>
            <w:r>
              <w:rPr>
                <w:rFonts w:ascii="Times New Roman" w:hAnsi="Times New Roman"/>
                <w:color w:val="0000FF"/>
                <w:sz w:val="22"/>
                <w:u w:val="single"/>
              </w:rPr>
              <w:t>g</w:t>
            </w:r>
            <w:r>
              <w:rPr>
                <w:rFonts w:ascii="Times New Roman" w:hAnsi="Times New Roman"/>
                <w:color w:val="000000"/>
                <w:sz w:val="22"/>
              </w:rPr>
              <w:t>)</w:t>
            </w:r>
          </w:p>
        </w:tc>
      </w:tr>
    </w:tbl>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1.3</w:t>
      </w:r>
      <w:r>
        <w:rPr>
          <w:rFonts w:ascii="Times New Roman" w:hAnsi="Times New Roman"/>
          <w:color w:val="000000"/>
          <w:sz w:val="20"/>
        </w:rPr>
        <w:t xml:space="preserve"> </w:t>
      </w:r>
      <w:r>
        <w:rPr>
          <w:rFonts w:ascii="Times New Roman" w:hAnsi="Times New Roman"/>
          <w:color w:val="000000"/>
          <w:sz w:val="22"/>
        </w:rPr>
        <w:t>Unless otherwise specified, all references in this Agreement or any Annex or Schedule hereto to a “Section,” “subsection,” “Exhibit,” “Annex,” or “Schedule” shall refer to the corresponding Section, subsection, Exhibit, Annex, or Schedule in or to this Agreement. Unless otherwise specifically provided herein, any accounting term used in this Agreement or the other Loan Documents shall have the meaning customarily given such term in accordance with GAAP as in effect on the date hereof, and all financial computations hereunder shall be computed in accordance with GAAP as in effect on the date hereof, consistently applied. Unless otherwise defined herein or in the other Loan Documents, terms that are used herein or in the other Loan Documents and defined in the UCC shall have the meanings given to them in the UCC.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before="0" w:after="240"/>
        <w:jc w:val="both"/>
        <w:rPr>
          <w:rFonts w:ascii="Times New Roman" w:hAnsi="Times New Roman"/>
          <w:sz w:val="20"/>
        </w:rPr>
      </w:pPr>
      <w:r>
        <w:rPr>
          <w:rFonts w:ascii="Times New Roman" w:hAnsi="Times New Roman"/>
          <w:color w:val="000000"/>
          <w:sz w:val="22"/>
        </w:rPr>
        <w:t>1.4</w:t>
      </w:r>
      <w:r>
        <w:rPr>
          <w:rFonts w:ascii="Times New Roman" w:hAnsi="Times New Roman"/>
          <w:color w:val="000000"/>
          <w:sz w:val="20"/>
        </w:rPr>
        <w:t xml:space="preserve"> </w:t>
      </w:r>
      <w:r>
        <w:rPr>
          <w:rFonts w:ascii="Times New Roman" w:hAnsi="Times New Roman"/>
          <w:color w:val="000000"/>
          <w:sz w:val="22"/>
        </w:rPr>
        <w:t>If at any time any change in GAAP would affect the computation of any financial requirement set forth in any Loan Document, and either Borrower or the Required Lenders shall so request, Agent, Lenders and Borrower shall negotiate in good faith to amend such requirement to preserve the original intent thereof in light of such change in GAAP; provided that, until so amended, such requirement shall continue to be computed in accordance with GAAP prior to such change.</w:t>
      </w:r>
    </w:p>
    <w:p>
      <w:pPr>
        <w:pStyle w:val="TextBody"/>
        <w:bidi w:val="0"/>
        <w:spacing w:before="0" w:after="240"/>
        <w:jc w:val="both"/>
        <w:rPr>
          <w:rFonts w:ascii="Times New Roman" w:hAnsi="Times New Roman"/>
          <w:sz w:val="20"/>
        </w:rPr>
      </w:pPr>
      <w:r>
        <w:rPr>
          <w:rFonts w:ascii="Times New Roman" w:hAnsi="Times New Roman"/>
          <w:color w:val="000000"/>
          <w:sz w:val="22"/>
        </w:rPr>
        <w:t>1.5</w:t>
      </w:r>
      <w:r>
        <w:rPr>
          <w:rFonts w:ascii="Times New Roman" w:hAnsi="Times New Roman"/>
          <w:color w:val="000000"/>
          <w:sz w:val="20"/>
        </w:rPr>
        <w:t xml:space="preserve"> </w:t>
      </w:r>
      <w:r>
        <w:rPr>
          <w:rFonts w:ascii="Times New Roman" w:hAnsi="Times New Roman"/>
          <w:color w:val="000000"/>
          <w:sz w:val="22"/>
        </w:rPr>
        <w:t>All references in this Agreement or any Annex or Schedule hereto a “regulation” includes any regulation, rule, official directive, request or guideline (whether or not having the force of law) of any governmental, intergovernmental or supranational body, agency, department or of any regulatory, self-regulatory or other authority or organization.</w:t>
      </w:r>
    </w:p>
    <w:p>
      <w:pPr>
        <w:pStyle w:val="TextBody"/>
        <w:bidi w:val="0"/>
        <w:spacing w:before="0" w:after="240"/>
        <w:jc w:val="both"/>
        <w:rPr>
          <w:rFonts w:ascii="Times New Roman" w:hAnsi="Times New Roman"/>
          <w:sz w:val="20"/>
        </w:rPr>
      </w:pPr>
      <w:r>
        <w:rPr>
          <w:rFonts w:ascii="Times New Roman" w:hAnsi="Times New Roman"/>
          <w:color w:val="000000"/>
          <w:sz w:val="22"/>
        </w:rPr>
        <w:t>1.6</w:t>
      </w:r>
      <w:r>
        <w:rPr>
          <w:rFonts w:ascii="Times New Roman" w:hAnsi="Times New Roman"/>
          <w:color w:val="000000"/>
          <w:sz w:val="20"/>
        </w:rPr>
        <w:t xml:space="preserve"> </w:t>
      </w:r>
      <w:r>
        <w:rPr>
          <w:rFonts w:ascii="Times New Roman" w:hAnsi="Times New Roman"/>
          <w:color w:val="000000"/>
          <w:sz w:val="22"/>
        </w:rPr>
        <w:t>Notwithstanding anything in the definition of GAAP to the contrary, any obligations under a lease (whether existing now or entered into in the future) that is not (or would not be) a capital lease under GAAP as in effect prior to giving effect to FASB Accounting Standards Update No. 2016-02, Leases, shall not be treated as a capital lease solely as a result of the adoption of changes in GAAP.</w:t>
      </w:r>
    </w:p>
    <w:p>
      <w:pPr>
        <w:pStyle w:val="TextBody"/>
        <w:bidi w:val="0"/>
        <w:spacing w:before="0" w:after="240"/>
        <w:jc w:val="both"/>
        <w:rPr>
          <w:rFonts w:ascii="Times New Roman" w:hAnsi="Times New Roman"/>
          <w:sz w:val="20"/>
        </w:rPr>
      </w:pPr>
      <w:r>
        <w:rPr>
          <w:rFonts w:ascii="Times New Roman" w:hAnsi="Times New Roman"/>
          <w:color w:val="000000"/>
          <w:sz w:val="22"/>
        </w:rPr>
        <w:t>1.7</w:t>
      </w:r>
      <w:r>
        <w:rPr>
          <w:rFonts w:ascii="Times New Roman" w:hAnsi="Times New Roman"/>
          <w:color w:val="000000"/>
          <w:sz w:val="20"/>
        </w:rPr>
        <w:t xml:space="preserve"> </w:t>
      </w:r>
      <w:r>
        <w:rPr>
          <w:rFonts w:ascii="Times New Roman" w:hAnsi="Times New Roman"/>
          <w:color w:val="000000"/>
          <w:sz w:val="22"/>
        </w:rPr>
        <w:t>Any reference in any Loan Document to a merger, transfer, consolidation, amalgamation, consolidation, assignment, sale, disposition or transfer, or similar term, shall be deemed to apply to a Division of or by a limited liability company, or an allocation of assets to a series of a limited liability</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company (or the unwinding of such a Division or allocation), as if it were a merger, transfer, consolidation, amalgamation, consolidation, assignment, sale or transfer, or similar term, as applicable, to, of or with a separate Person. Any Division of a limited liability company shall constitute a separate Person under the Loan Documents (and each Division of any limited liability company that is a Subsidiary, joint venture or any other like term shall also constitute such a Person or entity) on the first date of its existence. In connection with any Division, if any asset, right, obligation or liability of any Person becomes the asset, right, obligation or liability of a different Person, then such asset shall be deemed to have been transferred from the original Person to the subsequent Person.</w:t>
      </w:r>
    </w:p>
    <w:p>
      <w:pPr>
        <w:pStyle w:val="TextBody"/>
        <w:bidi w:val="0"/>
        <w:spacing w:before="0" w:after="240"/>
        <w:jc w:val="center"/>
        <w:rPr>
          <w:rFonts w:ascii="Times New Roman" w:hAnsi="Times New Roman"/>
          <w:sz w:val="20"/>
        </w:rPr>
      </w:pPr>
      <w:r>
        <w:rPr>
          <w:rFonts w:ascii="Times New Roman" w:hAnsi="Times New Roman"/>
          <w:b/>
          <w:color w:val="000000"/>
          <w:sz w:val="22"/>
        </w:rPr>
        <w:t>SECTION 2</w:t>
      </w:r>
      <w:r>
        <w:rPr>
          <w:rFonts w:ascii="Times New Roman" w:hAnsi="Times New Roman"/>
          <w:color w:val="000000"/>
          <w:sz w:val="20"/>
        </w:rPr>
        <w:t xml:space="preserve"> </w:t>
      </w:r>
      <w:r>
        <w:rPr>
          <w:rFonts w:ascii="Times New Roman" w:hAnsi="Times New Roman"/>
          <w:b/>
          <w:color w:val="000000"/>
          <w:sz w:val="22"/>
          <w:u w:val="single"/>
        </w:rPr>
        <w:t>THE LOAN</w:t>
      </w:r>
    </w:p>
    <w:p>
      <w:pPr>
        <w:pStyle w:val="TextBody"/>
        <w:bidi w:val="0"/>
        <w:spacing w:before="0" w:after="240"/>
        <w:jc w:val="both"/>
        <w:rPr>
          <w:rFonts w:ascii="Times New Roman" w:hAnsi="Times New Roman"/>
          <w:sz w:val="20"/>
        </w:rPr>
      </w:pPr>
      <w:r>
        <w:rPr>
          <w:rFonts w:ascii="Times New Roman" w:hAnsi="Times New Roman"/>
          <w:color w:val="000000"/>
          <w:sz w:val="22"/>
        </w:rPr>
        <w:t>2.1</w:t>
      </w:r>
      <w:r>
        <w:rPr>
          <w:rFonts w:ascii="Times New Roman" w:hAnsi="Times New Roman"/>
          <w:color w:val="000000"/>
          <w:sz w:val="20"/>
        </w:rPr>
        <w:t xml:space="preserve"> </w:t>
      </w:r>
      <w:r>
        <w:rPr>
          <w:rFonts w:ascii="Times New Roman" w:hAnsi="Times New Roman"/>
          <w:color w:val="000000"/>
          <w:sz w:val="22"/>
        </w:rPr>
        <w:t>[Reserved]</w:t>
      </w:r>
    </w:p>
    <w:p>
      <w:pPr>
        <w:pStyle w:val="TextBody"/>
        <w:bidi w:val="0"/>
        <w:spacing w:before="0" w:after="240"/>
        <w:jc w:val="both"/>
        <w:rPr>
          <w:rFonts w:ascii="Times New Roman" w:hAnsi="Times New Roman"/>
          <w:sz w:val="20"/>
        </w:rPr>
      </w:pPr>
      <w:r>
        <w:rPr>
          <w:rFonts w:ascii="Times New Roman" w:hAnsi="Times New Roman"/>
          <w:color w:val="000000"/>
          <w:sz w:val="22"/>
        </w:rPr>
        <w:t>2.2</w:t>
      </w:r>
      <w:r>
        <w:rPr>
          <w:rFonts w:ascii="Times New Roman" w:hAnsi="Times New Roman"/>
          <w:color w:val="000000"/>
          <w:sz w:val="20"/>
        </w:rPr>
        <w:t xml:space="preserve"> </w:t>
      </w:r>
      <w:r>
        <w:rPr>
          <w:rFonts w:ascii="Times New Roman" w:hAnsi="Times New Roman"/>
          <w:color w:val="000000"/>
          <w:sz w:val="22"/>
          <w:u w:val="single"/>
        </w:rPr>
        <w:t>Term Loan Advances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u w:val="single"/>
        </w:rPr>
        <w:t>Tranche 1-A Advance</w:t>
      </w:r>
      <w:r>
        <w:rPr>
          <w:rFonts w:ascii="Times New Roman" w:hAnsi="Times New Roman"/>
          <w:color w:val="000000"/>
          <w:sz w:val="22"/>
        </w:rPr>
        <w:t>. Subject to the terms and conditions of this Agreement, on the Closing Date, the Lenders shall severally (and not jointly) make, and Borrower agrees to draw, an initial Term Loan Advance in an aggregate principal amount of Thirty Million Dollars ($30,000,000) (the “</w:t>
      </w:r>
      <w:r>
        <w:rPr>
          <w:rFonts w:ascii="Times New Roman" w:hAnsi="Times New Roman"/>
          <w:color w:val="000000"/>
          <w:sz w:val="22"/>
          <w:u w:val="single"/>
        </w:rPr>
        <w:t>Tranche 1-A Advance</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FF"/>
          <w:sz w:val="22"/>
          <w:u w:val="single"/>
        </w:rPr>
        <w:t>(b)</w:t>
      </w:r>
      <w:r>
        <w:rPr>
          <w:rFonts w:ascii="Times New Roman" w:hAnsi="Times New Roman"/>
          <w:color w:val="0000FF"/>
          <w:sz w:val="20"/>
          <w:u w:val="single"/>
        </w:rPr>
        <w:t xml:space="preserve"> </w:t>
      </w:r>
      <w:r>
        <w:rPr>
          <w:rFonts w:ascii="Times New Roman" w:hAnsi="Times New Roman"/>
          <w:color w:val="0000FF"/>
          <w:sz w:val="22"/>
          <w:u w:val="single"/>
        </w:rPr>
        <w:t>Tranche 1-B Advance. Subject to the terms and conditions of this Agreement, on the First Amendment Closing Date, the Lenders shall severally (and not jointly) make, and Borrower agrees to draw, an additional Term Loan Advance in an aggregate principal amount of Thirty Million Dollars ($30,000,000) (the “Tranche 1-B Advance”);</w:t>
      </w:r>
    </w:p>
    <w:p>
      <w:pPr>
        <w:pStyle w:val="TextBody"/>
        <w:bidi w:val="0"/>
        <w:spacing w:before="0" w:after="240"/>
        <w:jc w:val="both"/>
        <w:rPr>
          <w:rFonts w:ascii="Times New Roman" w:hAnsi="Times New Roman"/>
          <w:sz w:val="20"/>
        </w:rPr>
      </w:pPr>
      <w:r>
        <w:rPr>
          <w:rFonts w:ascii="Times New Roman" w:hAnsi="Times New Roman"/>
          <w:color w:val="0000FF"/>
          <w:sz w:val="22"/>
          <w:u w:val="single"/>
        </w:rPr>
        <w:t>(c)</w:t>
      </w:r>
      <w:r>
        <w:rPr>
          <w:rFonts w:ascii="Times New Roman" w:hAnsi="Times New Roman"/>
          <w:color w:val="0000FF"/>
          <w:sz w:val="20"/>
        </w:rPr>
        <w:t xml:space="preserve"> </w:t>
      </w:r>
      <w:r>
        <w:rPr>
          <w:rFonts w:ascii="Times New Roman" w:hAnsi="Times New Roman"/>
          <w:strike/>
          <w:color w:val="FF0000"/>
          <w:sz w:val="22"/>
        </w:rPr>
        <w:t>(b)</w:t>
      </w:r>
      <w:r>
        <w:rPr>
          <w:rFonts w:ascii="Times New Roman" w:hAnsi="Times New Roman"/>
          <w:color w:val="FF0000"/>
          <w:sz w:val="20"/>
        </w:rPr>
        <w:t xml:space="preserve"> </w:t>
      </w:r>
      <w:r>
        <w:rPr>
          <w:rFonts w:ascii="Times New Roman" w:hAnsi="Times New Roman"/>
          <w:color w:val="000000"/>
          <w:sz w:val="22"/>
          <w:u w:val="single"/>
        </w:rPr>
        <w:t>Tranche 1-</w:t>
      </w:r>
      <w:r>
        <w:rPr>
          <w:rFonts w:ascii="Times New Roman" w:hAnsi="Times New Roman"/>
          <w:strike/>
          <w:color w:val="FF0000"/>
          <w:sz w:val="22"/>
          <w:u w:val="single"/>
        </w:rPr>
        <w:t>B</w:t>
      </w:r>
      <w:r>
        <w:rPr>
          <w:rFonts w:ascii="Times New Roman" w:hAnsi="Times New Roman"/>
          <w:color w:val="0000FF"/>
          <w:sz w:val="22"/>
          <w:u w:val="single"/>
        </w:rPr>
        <w:t xml:space="preserve">C </w:t>
      </w:r>
      <w:r>
        <w:rPr>
          <w:rFonts w:ascii="Times New Roman" w:hAnsi="Times New Roman"/>
          <w:color w:val="000000"/>
          <w:sz w:val="22"/>
          <w:u w:val="single"/>
        </w:rPr>
        <w:t>Advance</w:t>
      </w:r>
      <w:r>
        <w:rPr>
          <w:rFonts w:ascii="Times New Roman" w:hAnsi="Times New Roman"/>
          <w:color w:val="000000"/>
          <w:sz w:val="22"/>
        </w:rPr>
        <w:t xml:space="preserve">. Subject to the terms and conditions of this Agreement, </w:t>
      </w:r>
      <w:r>
        <w:rPr>
          <w:rFonts w:ascii="Times New Roman" w:hAnsi="Times New Roman"/>
          <w:color w:val="0000FF"/>
          <w:sz w:val="22"/>
          <w:u w:val="single"/>
        </w:rPr>
        <w:t xml:space="preserve">beginning upon the the drawing of 100% of the Term Commitment in respect of the Tranche 1-B Advance, </w:t>
      </w:r>
      <w:r>
        <w:rPr>
          <w:rFonts w:ascii="Times New Roman" w:hAnsi="Times New Roman"/>
          <w:color w:val="000000"/>
          <w:sz w:val="22"/>
        </w:rPr>
        <w:t xml:space="preserve">Borrower may request, and the Lenders shall severally (and not jointly) make, in each case on or prior to </w:t>
      </w:r>
      <w:r>
        <w:rPr>
          <w:rFonts w:ascii="Times New Roman" w:hAnsi="Times New Roman"/>
          <w:strike/>
          <w:color w:val="FF0000"/>
          <w:sz w:val="22"/>
        </w:rPr>
        <w:t>September 15</w:t>
      </w:r>
      <w:r>
        <w:rPr>
          <w:rFonts w:ascii="Times New Roman" w:hAnsi="Times New Roman"/>
          <w:color w:val="0000FF"/>
          <w:sz w:val="22"/>
          <w:u w:val="single"/>
        </w:rPr>
        <w:t>March 31</w:t>
      </w:r>
      <w:r>
        <w:rPr>
          <w:rFonts w:ascii="Times New Roman" w:hAnsi="Times New Roman"/>
          <w:color w:val="000000"/>
          <w:sz w:val="22"/>
        </w:rPr>
        <w:t xml:space="preserve">, </w:t>
      </w:r>
      <w:r>
        <w:rPr>
          <w:rFonts w:ascii="Times New Roman" w:hAnsi="Times New Roman"/>
          <w:strike/>
          <w:color w:val="FF0000"/>
          <w:sz w:val="22"/>
        </w:rPr>
        <w:t>2026</w:t>
      </w:r>
      <w:r>
        <w:rPr>
          <w:rFonts w:ascii="Times New Roman" w:hAnsi="Times New Roman"/>
          <w:color w:val="0000FF"/>
          <w:sz w:val="22"/>
          <w:u w:val="single"/>
        </w:rPr>
        <w:t>2027</w:t>
      </w:r>
      <w:r>
        <w:rPr>
          <w:rFonts w:ascii="Times New Roman" w:hAnsi="Times New Roman"/>
          <w:color w:val="000000"/>
          <w:sz w:val="22"/>
        </w:rPr>
        <w:t xml:space="preserve">, additional Term Loan Advances in an aggregate principal amount up to </w:t>
      </w:r>
      <w:r>
        <w:rPr>
          <w:rFonts w:ascii="Times New Roman" w:hAnsi="Times New Roman"/>
          <w:strike/>
          <w:color w:val="FF0000"/>
          <w:sz w:val="22"/>
        </w:rPr>
        <w:t>Thirty</w:t>
      </w:r>
      <w:r>
        <w:rPr>
          <w:rFonts w:ascii="Times New Roman" w:hAnsi="Times New Roman"/>
          <w:color w:val="0000FF"/>
          <w:sz w:val="22"/>
          <w:u w:val="single"/>
        </w:rPr>
        <w:t>Twenty-Five</w:t>
      </w:r>
      <w:r>
        <w:rPr>
          <w:rFonts w:ascii="Times New Roman" w:hAnsi="Times New Roman"/>
          <w:color w:val="0000FF"/>
          <w:sz w:val="20"/>
        </w:rPr>
        <w:t xml:space="preserve"> </w:t>
      </w:r>
      <w:r>
        <w:rPr>
          <w:rFonts w:ascii="Times New Roman" w:hAnsi="Times New Roman"/>
          <w:color w:val="000000"/>
          <w:sz w:val="22"/>
        </w:rPr>
        <w:t>Million Dollars ($</w:t>
      </w:r>
      <w:r>
        <w:rPr>
          <w:rFonts w:ascii="Times New Roman" w:hAnsi="Times New Roman"/>
          <w:strike/>
          <w:color w:val="FF0000"/>
          <w:sz w:val="22"/>
        </w:rPr>
        <w:t>30,000,000</w:t>
      </w:r>
      <w:r>
        <w:rPr>
          <w:rFonts w:ascii="Times New Roman" w:hAnsi="Times New Roman"/>
          <w:color w:val="0000FF"/>
          <w:sz w:val="22"/>
          <w:u w:val="single"/>
        </w:rPr>
        <w:t>25,000,000</w:t>
      </w:r>
      <w:r>
        <w:rPr>
          <w:rFonts w:ascii="Times New Roman" w:hAnsi="Times New Roman"/>
          <w:color w:val="000000"/>
          <w:sz w:val="22"/>
        </w:rPr>
        <w:t xml:space="preserve">) in minimum draws of at least Ten Million Dollars ($10,000,000) (or if less than Ten Million Dollars ($10,000,000), the remaining amount of Term Loan Advances available to be drawn pursuant to this </w:t>
      </w:r>
      <w:r>
        <w:rPr>
          <w:rFonts w:ascii="Times New Roman" w:hAnsi="Times New Roman"/>
          <w:color w:val="000000"/>
          <w:sz w:val="22"/>
          <w:u w:val="single"/>
        </w:rPr>
        <w:t>Section 2.2(</w:t>
      </w:r>
      <w:r>
        <w:rPr>
          <w:rFonts w:ascii="Times New Roman" w:hAnsi="Times New Roman"/>
          <w:strike/>
          <w:color w:val="FF0000"/>
          <w:sz w:val="22"/>
          <w:u w:val="single"/>
        </w:rPr>
        <w:t>b</w:t>
      </w:r>
      <w:r>
        <w:rPr>
          <w:rFonts w:ascii="Times New Roman" w:hAnsi="Times New Roman"/>
          <w:color w:val="0000FF"/>
          <w:sz w:val="22"/>
          <w:u w:val="single"/>
        </w:rPr>
        <w:t>c</w:t>
      </w:r>
      <w:r>
        <w:rPr>
          <w:rFonts w:ascii="Times New Roman" w:hAnsi="Times New Roman"/>
          <w:color w:val="000000"/>
          <w:sz w:val="22"/>
          <w:u w:val="single"/>
        </w:rPr>
        <w:t>)</w:t>
      </w:r>
      <w:r>
        <w:rPr>
          <w:rFonts w:ascii="Times New Roman" w:hAnsi="Times New Roman"/>
          <w:color w:val="000000"/>
          <w:sz w:val="22"/>
        </w:rPr>
        <w:t>) (each, a “</w:t>
      </w:r>
      <w:r>
        <w:rPr>
          <w:rFonts w:ascii="Times New Roman" w:hAnsi="Times New Roman"/>
          <w:color w:val="000000"/>
          <w:sz w:val="22"/>
          <w:u w:val="single"/>
        </w:rPr>
        <w:t>Tranche 1-</w:t>
      </w:r>
      <w:r>
        <w:rPr>
          <w:rFonts w:ascii="Times New Roman" w:hAnsi="Times New Roman"/>
          <w:strike/>
          <w:color w:val="FF0000"/>
          <w:sz w:val="22"/>
          <w:u w:val="single"/>
        </w:rPr>
        <w:t>B</w:t>
      </w:r>
      <w:r>
        <w:rPr>
          <w:rFonts w:ascii="Times New Roman" w:hAnsi="Times New Roman"/>
          <w:color w:val="0000FF"/>
          <w:sz w:val="22"/>
          <w:u w:val="single"/>
        </w:rPr>
        <w:t xml:space="preserve">C </w:t>
      </w:r>
      <w:r>
        <w:rPr>
          <w:rFonts w:ascii="Times New Roman" w:hAnsi="Times New Roman"/>
          <w:color w:val="000000"/>
          <w:sz w:val="22"/>
          <w:u w:val="single"/>
        </w:rPr>
        <w:t>Advance</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FF"/>
          <w:sz w:val="22"/>
          <w:u w:val="single"/>
        </w:rPr>
        <w:t>(d)</w:t>
      </w:r>
      <w:r>
        <w:rPr>
          <w:rFonts w:ascii="Times New Roman" w:hAnsi="Times New Roman"/>
          <w:color w:val="0000FF"/>
          <w:sz w:val="20"/>
        </w:rPr>
        <w:t xml:space="preserve"> </w:t>
      </w:r>
      <w:r>
        <w:rPr>
          <w:rFonts w:ascii="Times New Roman" w:hAnsi="Times New Roman"/>
          <w:strike/>
          <w:color w:val="FF0000"/>
          <w:sz w:val="22"/>
        </w:rPr>
        <w:t>(c)</w:t>
      </w:r>
      <w:r>
        <w:rPr>
          <w:rFonts w:ascii="Times New Roman" w:hAnsi="Times New Roman"/>
          <w:color w:val="FF0000"/>
          <w:sz w:val="20"/>
        </w:rPr>
        <w:t xml:space="preserve"> </w:t>
      </w:r>
      <w:r>
        <w:rPr>
          <w:rFonts w:ascii="Times New Roman" w:hAnsi="Times New Roman"/>
          <w:color w:val="000000"/>
          <w:sz w:val="22"/>
          <w:u w:val="single"/>
        </w:rPr>
        <w:t>Tranche 1-</w:t>
      </w:r>
      <w:r>
        <w:rPr>
          <w:rFonts w:ascii="Times New Roman" w:hAnsi="Times New Roman"/>
          <w:strike/>
          <w:color w:val="FF0000"/>
          <w:sz w:val="22"/>
          <w:u w:val="single"/>
        </w:rPr>
        <w:t>C</w:t>
      </w:r>
      <w:r>
        <w:rPr>
          <w:rFonts w:ascii="Times New Roman" w:hAnsi="Times New Roman"/>
          <w:color w:val="0000FF"/>
          <w:sz w:val="22"/>
          <w:u w:val="single"/>
        </w:rPr>
        <w:t xml:space="preserve">D </w:t>
      </w:r>
      <w:r>
        <w:rPr>
          <w:rFonts w:ascii="Times New Roman" w:hAnsi="Times New Roman"/>
          <w:color w:val="000000"/>
          <w:sz w:val="22"/>
          <w:u w:val="single"/>
        </w:rPr>
        <w:t>Advance</w:t>
      </w:r>
      <w:r>
        <w:rPr>
          <w:rFonts w:ascii="Times New Roman" w:hAnsi="Times New Roman"/>
          <w:color w:val="000000"/>
          <w:sz w:val="22"/>
        </w:rPr>
        <w:t>. Subject to the terms and conditions of this Agreement, beginning upon the earlier of (i) the drawing of 100% of the Term Commitment in respect of the Tranche 1-</w:t>
      </w:r>
      <w:r>
        <w:rPr>
          <w:rFonts w:ascii="Times New Roman" w:hAnsi="Times New Roman"/>
          <w:strike/>
          <w:color w:val="FF0000"/>
          <w:sz w:val="22"/>
        </w:rPr>
        <w:t>B</w:t>
      </w:r>
      <w:r>
        <w:rPr>
          <w:rFonts w:ascii="Times New Roman" w:hAnsi="Times New Roman"/>
          <w:color w:val="0000FF"/>
          <w:sz w:val="22"/>
          <w:u w:val="single"/>
        </w:rPr>
        <w:t>C</w:t>
      </w:r>
      <w:r>
        <w:rPr>
          <w:rFonts w:ascii="Times New Roman" w:hAnsi="Times New Roman"/>
          <w:color w:val="0000FF"/>
          <w:sz w:val="20"/>
        </w:rPr>
        <w:t xml:space="preserve"> </w:t>
      </w:r>
      <w:r>
        <w:rPr>
          <w:rFonts w:ascii="Times New Roman" w:hAnsi="Times New Roman"/>
          <w:color w:val="000000"/>
          <w:sz w:val="22"/>
        </w:rPr>
        <w:t xml:space="preserve">Advance or (ii) </w:t>
      </w:r>
      <w:r>
        <w:rPr>
          <w:rFonts w:ascii="Times New Roman" w:hAnsi="Times New Roman"/>
          <w:strike/>
          <w:color w:val="FF0000"/>
          <w:sz w:val="22"/>
        </w:rPr>
        <w:t>September 16</w:t>
      </w:r>
      <w:r>
        <w:rPr>
          <w:rFonts w:ascii="Times New Roman" w:hAnsi="Times New Roman"/>
          <w:color w:val="0000FF"/>
          <w:sz w:val="22"/>
          <w:u w:val="single"/>
        </w:rPr>
        <w:t>April 1</w:t>
      </w:r>
      <w:r>
        <w:rPr>
          <w:rFonts w:ascii="Times New Roman" w:hAnsi="Times New Roman"/>
          <w:color w:val="000000"/>
          <w:sz w:val="22"/>
        </w:rPr>
        <w:t xml:space="preserve">, </w:t>
      </w:r>
      <w:r>
        <w:rPr>
          <w:rFonts w:ascii="Times New Roman" w:hAnsi="Times New Roman"/>
          <w:strike/>
          <w:color w:val="FF0000"/>
          <w:sz w:val="22"/>
        </w:rPr>
        <w:t>2026</w:t>
      </w:r>
      <w:r>
        <w:rPr>
          <w:rFonts w:ascii="Times New Roman" w:hAnsi="Times New Roman"/>
          <w:color w:val="0000FF"/>
          <w:sz w:val="22"/>
          <w:u w:val="single"/>
        </w:rPr>
        <w:t>2027</w:t>
      </w:r>
      <w:r>
        <w:rPr>
          <w:rFonts w:ascii="Times New Roman" w:hAnsi="Times New Roman"/>
          <w:color w:val="000000"/>
          <w:sz w:val="22"/>
        </w:rPr>
        <w:t xml:space="preserve">, Borrower may request, and the Lenders shall severally (and not jointly) make, in each case on or prior to </w:t>
      </w:r>
      <w:r>
        <w:rPr>
          <w:rFonts w:ascii="Times New Roman" w:hAnsi="Times New Roman"/>
          <w:strike/>
          <w:color w:val="FF0000"/>
          <w:sz w:val="22"/>
        </w:rPr>
        <w:t>December 15</w:t>
      </w:r>
      <w:r>
        <w:rPr>
          <w:rFonts w:ascii="Times New Roman" w:hAnsi="Times New Roman"/>
          <w:color w:val="0000FF"/>
          <w:sz w:val="22"/>
          <w:u w:val="single"/>
        </w:rPr>
        <w:t>April 30</w:t>
      </w:r>
      <w:r>
        <w:rPr>
          <w:rFonts w:ascii="Times New Roman" w:hAnsi="Times New Roman"/>
          <w:color w:val="000000"/>
          <w:sz w:val="22"/>
        </w:rPr>
        <w:t xml:space="preserve">, </w:t>
      </w:r>
      <w:r>
        <w:rPr>
          <w:rFonts w:ascii="Times New Roman" w:hAnsi="Times New Roman"/>
          <w:strike/>
          <w:color w:val="FF0000"/>
          <w:sz w:val="22"/>
        </w:rPr>
        <w:t>2026</w:t>
      </w:r>
      <w:r>
        <w:rPr>
          <w:rFonts w:ascii="Times New Roman" w:hAnsi="Times New Roman"/>
          <w:color w:val="0000FF"/>
          <w:sz w:val="22"/>
          <w:u w:val="single"/>
        </w:rPr>
        <w:t>2027</w:t>
      </w:r>
      <w:r>
        <w:rPr>
          <w:rFonts w:ascii="Times New Roman" w:hAnsi="Times New Roman"/>
          <w:color w:val="000000"/>
          <w:sz w:val="22"/>
        </w:rPr>
        <w:t xml:space="preserve">, additional Term Loan Advances in an aggregate principal amount up to </w:t>
      </w:r>
      <w:r>
        <w:rPr>
          <w:rFonts w:ascii="Times New Roman" w:hAnsi="Times New Roman"/>
          <w:strike/>
          <w:color w:val="FF0000"/>
          <w:sz w:val="22"/>
        </w:rPr>
        <w:t>Fifty</w:t>
      </w:r>
      <w:r>
        <w:rPr>
          <w:rFonts w:ascii="Times New Roman" w:hAnsi="Times New Roman"/>
          <w:color w:val="0000FF"/>
          <w:sz w:val="22"/>
          <w:u w:val="single"/>
        </w:rPr>
        <w:t>Twenty-Five</w:t>
      </w:r>
      <w:r>
        <w:rPr>
          <w:rFonts w:ascii="Times New Roman" w:hAnsi="Times New Roman"/>
          <w:color w:val="0000FF"/>
          <w:sz w:val="20"/>
        </w:rPr>
        <w:t xml:space="preserve"> </w:t>
      </w:r>
      <w:r>
        <w:rPr>
          <w:rFonts w:ascii="Times New Roman" w:hAnsi="Times New Roman"/>
          <w:color w:val="000000"/>
          <w:sz w:val="22"/>
        </w:rPr>
        <w:t>Million Dollars ($</w:t>
      </w:r>
      <w:r>
        <w:rPr>
          <w:rFonts w:ascii="Times New Roman" w:hAnsi="Times New Roman"/>
          <w:strike/>
          <w:color w:val="FF0000"/>
          <w:sz w:val="22"/>
        </w:rPr>
        <w:t>50,000,000</w:t>
      </w:r>
      <w:r>
        <w:rPr>
          <w:rFonts w:ascii="Times New Roman" w:hAnsi="Times New Roman"/>
          <w:color w:val="0000FF"/>
          <w:sz w:val="22"/>
          <w:u w:val="single"/>
        </w:rPr>
        <w:t>25,000,000</w:t>
      </w:r>
      <w:r>
        <w:rPr>
          <w:rFonts w:ascii="Times New Roman" w:hAnsi="Times New Roman"/>
          <w:color w:val="000000"/>
          <w:sz w:val="22"/>
        </w:rPr>
        <w:t xml:space="preserve">) in minimum draws of at least Ten Million Dollars ($10,000,000) (or if less than Ten Million Dollars ($10,000,000), the remaining amount of Term Loan Advances available to be drawn pursuant to this </w:t>
      </w:r>
      <w:r>
        <w:rPr>
          <w:rFonts w:ascii="Times New Roman" w:hAnsi="Times New Roman"/>
          <w:color w:val="000000"/>
          <w:sz w:val="22"/>
          <w:u w:val="single"/>
        </w:rPr>
        <w:t>Section 2.2(</w:t>
      </w:r>
      <w:r>
        <w:rPr>
          <w:rFonts w:ascii="Times New Roman" w:hAnsi="Times New Roman"/>
          <w:strike/>
          <w:color w:val="FF0000"/>
          <w:sz w:val="22"/>
          <w:u w:val="single"/>
        </w:rPr>
        <w:t>c</w:t>
      </w:r>
      <w:r>
        <w:rPr>
          <w:rFonts w:ascii="Times New Roman" w:hAnsi="Times New Roman"/>
          <w:color w:val="0000FF"/>
          <w:sz w:val="22"/>
          <w:u w:val="single"/>
        </w:rPr>
        <w:t>d</w:t>
      </w:r>
      <w:r>
        <w:rPr>
          <w:rFonts w:ascii="Times New Roman" w:hAnsi="Times New Roman"/>
          <w:color w:val="000000"/>
          <w:sz w:val="22"/>
          <w:u w:val="single"/>
        </w:rPr>
        <w:t>)</w:t>
      </w:r>
      <w:r>
        <w:rPr>
          <w:rFonts w:ascii="Times New Roman" w:hAnsi="Times New Roman"/>
          <w:color w:val="000000"/>
          <w:sz w:val="22"/>
        </w:rPr>
        <w:t>) (each, a “</w:t>
      </w:r>
      <w:r>
        <w:rPr>
          <w:rFonts w:ascii="Times New Roman" w:hAnsi="Times New Roman"/>
          <w:color w:val="000000"/>
          <w:sz w:val="22"/>
          <w:u w:val="single"/>
        </w:rPr>
        <w:t>Tranche 1-</w:t>
      </w:r>
      <w:r>
        <w:rPr>
          <w:rFonts w:ascii="Times New Roman" w:hAnsi="Times New Roman"/>
          <w:strike/>
          <w:color w:val="FF0000"/>
          <w:sz w:val="22"/>
          <w:u w:val="single"/>
        </w:rPr>
        <w:t>C</w:t>
      </w:r>
      <w:r>
        <w:rPr>
          <w:rFonts w:ascii="Times New Roman" w:hAnsi="Times New Roman"/>
          <w:color w:val="0000FF"/>
          <w:sz w:val="22"/>
          <w:u w:val="single"/>
        </w:rPr>
        <w:t xml:space="preserve">D </w:t>
      </w:r>
      <w:r>
        <w:rPr>
          <w:rFonts w:ascii="Times New Roman" w:hAnsi="Times New Roman"/>
          <w:color w:val="000000"/>
          <w:sz w:val="22"/>
          <w:u w:val="single"/>
        </w:rPr>
        <w:t>Advance</w:t>
      </w:r>
      <w:r>
        <w:rPr>
          <w:rFonts w:ascii="Times New Roman" w:hAnsi="Times New Roman"/>
          <w:color w:val="000000"/>
          <w:sz w:val="20"/>
        </w:rPr>
        <w:t>”</w:t>
      </w:r>
      <w:r>
        <w:rPr>
          <w:rFonts w:ascii="Times New Roman" w:hAnsi="Times New Roman"/>
          <w:color w:val="000000"/>
          <w:sz w:val="22"/>
        </w:rPr>
        <w:t xml:space="preserve">; and together with the Tranche 1-A Advance </w:t>
      </w:r>
      <w:r>
        <w:rPr>
          <w:rFonts w:ascii="Times New Roman" w:hAnsi="Times New Roman"/>
          <w:strike/>
          <w:color w:val="FF0000"/>
          <w:sz w:val="22"/>
        </w:rPr>
        <w:t>and</w:t>
      </w:r>
      <w:r>
        <w:rPr>
          <w:rFonts w:ascii="Times New Roman" w:hAnsi="Times New Roman"/>
          <w:color w:val="0000FF"/>
          <w:sz w:val="22"/>
          <w:u w:val="single"/>
        </w:rPr>
        <w:t xml:space="preserve">, </w:t>
      </w:r>
      <w:r>
        <w:rPr>
          <w:rFonts w:ascii="Times New Roman" w:hAnsi="Times New Roman"/>
          <w:color w:val="000000"/>
          <w:sz w:val="22"/>
        </w:rPr>
        <w:t xml:space="preserve">Tranche 1-B Advance </w:t>
      </w:r>
      <w:r>
        <w:rPr>
          <w:rFonts w:ascii="Times New Roman" w:hAnsi="Times New Roman"/>
          <w:color w:val="0000FF"/>
          <w:sz w:val="22"/>
          <w:u w:val="single"/>
        </w:rPr>
        <w:t>and Tranche 1-C Advance</w:t>
      </w:r>
      <w:r>
        <w:rPr>
          <w:rFonts w:ascii="Times New Roman" w:hAnsi="Times New Roman"/>
          <w:color w:val="000000"/>
          <w:sz w:val="22"/>
        </w:rPr>
        <w:t>, the “</w:t>
      </w:r>
      <w:r>
        <w:rPr>
          <w:rFonts w:ascii="Times New Roman" w:hAnsi="Times New Roman"/>
          <w:color w:val="000000"/>
          <w:sz w:val="22"/>
          <w:u w:val="single"/>
        </w:rPr>
        <w:t>Tranche 1 Advance</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FF"/>
          <w:sz w:val="22"/>
          <w:u w:val="single"/>
        </w:rPr>
        <w:t>(e)</w:t>
      </w:r>
      <w:r>
        <w:rPr>
          <w:rFonts w:ascii="Times New Roman" w:hAnsi="Times New Roman"/>
          <w:color w:val="0000FF"/>
          <w:sz w:val="20"/>
        </w:rPr>
        <w:t xml:space="preserve"> </w:t>
      </w:r>
      <w:r>
        <w:rPr>
          <w:rFonts w:ascii="Times New Roman" w:hAnsi="Times New Roman"/>
          <w:strike/>
          <w:color w:val="FF0000"/>
          <w:sz w:val="22"/>
        </w:rPr>
        <w:t>(d)</w:t>
      </w:r>
      <w:r>
        <w:rPr>
          <w:rFonts w:ascii="Times New Roman" w:hAnsi="Times New Roman"/>
          <w:color w:val="FF0000"/>
          <w:sz w:val="20"/>
        </w:rPr>
        <w:t xml:space="preserve"> </w:t>
      </w:r>
      <w:r>
        <w:rPr>
          <w:rFonts w:ascii="Times New Roman" w:hAnsi="Times New Roman"/>
          <w:color w:val="000000"/>
          <w:sz w:val="22"/>
          <w:u w:val="single"/>
        </w:rPr>
        <w:t>Tranche 2 Advance</w:t>
      </w:r>
      <w:r>
        <w:rPr>
          <w:rFonts w:ascii="Times New Roman" w:hAnsi="Times New Roman"/>
          <w:color w:val="000000"/>
          <w:sz w:val="22"/>
        </w:rPr>
        <w:t>. Subject to the terms and conditions of this Agreement and the achievement of the Tranche 2 Milestone, beginning upon the earlier of (i) the drawing of 100% of the Term Commitment in respect of the Tranche 1-</w:t>
      </w:r>
      <w:r>
        <w:rPr>
          <w:rFonts w:ascii="Times New Roman" w:hAnsi="Times New Roman"/>
          <w:strike/>
          <w:color w:val="FF0000"/>
          <w:sz w:val="22"/>
        </w:rPr>
        <w:t>C</w:t>
      </w:r>
      <w:r>
        <w:rPr>
          <w:rFonts w:ascii="Times New Roman" w:hAnsi="Times New Roman"/>
          <w:color w:val="0000FF"/>
          <w:sz w:val="22"/>
          <w:u w:val="single"/>
        </w:rPr>
        <w:t>D</w:t>
      </w:r>
      <w:r>
        <w:rPr>
          <w:rFonts w:ascii="Times New Roman" w:hAnsi="Times New Roman"/>
          <w:color w:val="0000FF"/>
          <w:sz w:val="20"/>
        </w:rPr>
        <w:t xml:space="preserve"> </w:t>
      </w:r>
      <w:r>
        <w:rPr>
          <w:rFonts w:ascii="Times New Roman" w:hAnsi="Times New Roman"/>
          <w:color w:val="000000"/>
          <w:sz w:val="22"/>
        </w:rPr>
        <w:t xml:space="preserve">Advance or (ii) </w:t>
      </w:r>
      <w:r>
        <w:rPr>
          <w:rFonts w:ascii="Times New Roman" w:hAnsi="Times New Roman"/>
          <w:strike/>
          <w:color w:val="FF0000"/>
          <w:sz w:val="22"/>
        </w:rPr>
        <w:t>December 16</w:t>
      </w:r>
      <w:r>
        <w:rPr>
          <w:rFonts w:ascii="Times New Roman" w:hAnsi="Times New Roman"/>
          <w:color w:val="0000FF"/>
          <w:sz w:val="22"/>
          <w:u w:val="single"/>
        </w:rPr>
        <w:t>May 1</w:t>
      </w:r>
      <w:r>
        <w:rPr>
          <w:rFonts w:ascii="Times New Roman" w:hAnsi="Times New Roman"/>
          <w:color w:val="000000"/>
          <w:sz w:val="22"/>
        </w:rPr>
        <w:t xml:space="preserve">, </w:t>
      </w:r>
      <w:r>
        <w:rPr>
          <w:rFonts w:ascii="Times New Roman" w:hAnsi="Times New Roman"/>
          <w:strike/>
          <w:color w:val="FF0000"/>
          <w:sz w:val="22"/>
        </w:rPr>
        <w:t>2026</w:t>
      </w:r>
      <w:r>
        <w:rPr>
          <w:rFonts w:ascii="Times New Roman" w:hAnsi="Times New Roman"/>
          <w:color w:val="0000FF"/>
          <w:sz w:val="22"/>
          <w:u w:val="single"/>
        </w:rPr>
        <w:t>2027</w:t>
      </w:r>
      <w:r>
        <w:rPr>
          <w:rFonts w:ascii="Times New Roman" w:hAnsi="Times New Roman"/>
          <w:color w:val="000000"/>
          <w:sz w:val="22"/>
        </w:rPr>
        <w:t xml:space="preserve">, Borrower may request, and the Lenders shall severally (and not jointly) make, in each case on or prior to </w:t>
      </w:r>
      <w:r>
        <w:rPr>
          <w:rFonts w:ascii="Times New Roman" w:hAnsi="Times New Roman"/>
          <w:strike/>
          <w:color w:val="FF0000"/>
          <w:sz w:val="22"/>
        </w:rPr>
        <w:t>June</w:t>
      </w:r>
      <w:r>
        <w:rPr>
          <w:rFonts w:ascii="Times New Roman" w:hAnsi="Times New Roman"/>
          <w:color w:val="0000FF"/>
          <w:sz w:val="22"/>
          <w:u w:val="single"/>
        </w:rPr>
        <w:t>December</w:t>
      </w:r>
      <w:r>
        <w:rPr>
          <w:rFonts w:ascii="Times New Roman" w:hAnsi="Times New Roman"/>
          <w:color w:val="0000FF"/>
          <w:sz w:val="20"/>
        </w:rPr>
        <w:t xml:space="preserve"> </w:t>
      </w:r>
      <w:r>
        <w:rPr>
          <w:rFonts w:ascii="Times New Roman" w:hAnsi="Times New Roman"/>
          <w:color w:val="000000"/>
          <w:sz w:val="22"/>
        </w:rPr>
        <w:t xml:space="preserve">15, 2027, additional Term Loan Advances in an aggregate principal amount up to Twenty-Five Million Dollars ($25,000,000) in minimum draws of at least Ten Million Dollars ($10,000,000) (or if less than Ten Million Dollars ($10,000,000), the remaining amount of Term Loan Advances available to be drawn pursuant to this </w:t>
      </w:r>
      <w:r>
        <w:rPr>
          <w:rFonts w:ascii="Times New Roman" w:hAnsi="Times New Roman"/>
          <w:color w:val="000000"/>
          <w:sz w:val="22"/>
          <w:u w:val="single"/>
        </w:rPr>
        <w:t>Section 2.2(</w:t>
      </w:r>
      <w:r>
        <w:rPr>
          <w:rFonts w:ascii="Times New Roman" w:hAnsi="Times New Roman"/>
          <w:strike/>
          <w:color w:val="FF0000"/>
          <w:sz w:val="22"/>
          <w:u w:val="single"/>
        </w:rPr>
        <w:t>d</w:t>
      </w:r>
      <w:r>
        <w:rPr>
          <w:rFonts w:ascii="Times New Roman" w:hAnsi="Times New Roman"/>
          <w:color w:val="0000FF"/>
          <w:sz w:val="22"/>
          <w:u w:val="single"/>
        </w:rPr>
        <w:t>e</w:t>
      </w:r>
      <w:r>
        <w:rPr>
          <w:rFonts w:ascii="Times New Roman" w:hAnsi="Times New Roman"/>
          <w:color w:val="000000"/>
          <w:sz w:val="22"/>
          <w:u w:val="single"/>
        </w:rPr>
        <w:t>)</w:t>
      </w:r>
      <w:r>
        <w:rPr>
          <w:rFonts w:ascii="Times New Roman" w:hAnsi="Times New Roman"/>
          <w:color w:val="000000"/>
          <w:sz w:val="22"/>
        </w:rPr>
        <w:t>) (the “</w:t>
      </w:r>
      <w:r>
        <w:rPr>
          <w:rFonts w:ascii="Times New Roman" w:hAnsi="Times New Roman"/>
          <w:color w:val="000000"/>
          <w:sz w:val="22"/>
          <w:u w:val="single"/>
        </w:rPr>
        <w:t>Tranche 2 Advance</w:t>
      </w:r>
      <w:r>
        <w:rPr>
          <w:rFonts w:ascii="Times New Roman" w:hAnsi="Times New Roman"/>
          <w:color w:val="000000"/>
          <w:sz w:val="20"/>
        </w:rPr>
        <w:t>”</w:t>
      </w:r>
      <w:r>
        <w:rPr>
          <w:rFonts w:ascii="Times New Roman" w:hAnsi="Times New Roman"/>
          <w:color w:val="000000"/>
          <w:sz w:val="22"/>
        </w:rPr>
        <w:t>);</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FF"/>
          <w:sz w:val="22"/>
          <w:u w:val="single"/>
        </w:rPr>
        <w:t>(f)</w:t>
      </w:r>
      <w:r>
        <w:rPr>
          <w:rFonts w:ascii="Times New Roman" w:hAnsi="Times New Roman"/>
          <w:color w:val="0000FF"/>
          <w:sz w:val="20"/>
        </w:rPr>
        <w:t xml:space="preserve"> </w:t>
      </w:r>
      <w:r>
        <w:rPr>
          <w:rFonts w:ascii="Times New Roman" w:hAnsi="Times New Roman"/>
          <w:strike/>
          <w:color w:val="FF0000"/>
          <w:sz w:val="22"/>
        </w:rPr>
        <w:t>(e)</w:t>
      </w:r>
      <w:r>
        <w:rPr>
          <w:rFonts w:ascii="Times New Roman" w:hAnsi="Times New Roman"/>
          <w:color w:val="FF0000"/>
          <w:sz w:val="20"/>
        </w:rPr>
        <w:t xml:space="preserve"> </w:t>
      </w:r>
      <w:r>
        <w:rPr>
          <w:rFonts w:ascii="Times New Roman" w:hAnsi="Times New Roman"/>
          <w:color w:val="000000"/>
          <w:sz w:val="22"/>
          <w:u w:val="single"/>
        </w:rPr>
        <w:t>Tranche 3 Advance</w:t>
      </w:r>
      <w:r>
        <w:rPr>
          <w:rFonts w:ascii="Times New Roman" w:hAnsi="Times New Roman"/>
          <w:color w:val="000000"/>
          <w:sz w:val="22"/>
        </w:rPr>
        <w:t xml:space="preserve">. Subject to the terms and conditions of this Agreement and the achievement of the Tranche 3 Milestone, beginning upon the earlier of (i) the drawing of 100% of the Term Commitment in respect of the Tranche 2 Advance or (ii) </w:t>
      </w:r>
      <w:r>
        <w:rPr>
          <w:rFonts w:ascii="Times New Roman" w:hAnsi="Times New Roman"/>
          <w:strike/>
          <w:color w:val="FF0000"/>
          <w:sz w:val="22"/>
        </w:rPr>
        <w:t>June</w:t>
      </w:r>
      <w:r>
        <w:rPr>
          <w:rFonts w:ascii="Times New Roman" w:hAnsi="Times New Roman"/>
          <w:color w:val="0000FF"/>
          <w:sz w:val="22"/>
          <w:u w:val="single"/>
        </w:rPr>
        <w:t>December</w:t>
      </w:r>
      <w:r>
        <w:rPr>
          <w:rFonts w:ascii="Times New Roman" w:hAnsi="Times New Roman"/>
          <w:color w:val="0000FF"/>
          <w:sz w:val="20"/>
        </w:rPr>
        <w:t xml:space="preserve"> </w:t>
      </w:r>
      <w:r>
        <w:rPr>
          <w:rFonts w:ascii="Times New Roman" w:hAnsi="Times New Roman"/>
          <w:color w:val="000000"/>
          <w:sz w:val="22"/>
        </w:rPr>
        <w:t xml:space="preserve">16, 2027, Borrower may request, and the Lenders shall severally (and not jointly) make, in each case on or prior to </w:t>
      </w:r>
      <w:r>
        <w:rPr>
          <w:rFonts w:ascii="Times New Roman" w:hAnsi="Times New Roman"/>
          <w:strike/>
          <w:color w:val="FF0000"/>
          <w:sz w:val="22"/>
        </w:rPr>
        <w:t>December 15</w:t>
      </w:r>
      <w:r>
        <w:rPr>
          <w:rFonts w:ascii="Times New Roman" w:hAnsi="Times New Roman"/>
          <w:color w:val="0000FF"/>
          <w:sz w:val="22"/>
          <w:u w:val="single"/>
        </w:rPr>
        <w:t>June 30</w:t>
      </w:r>
      <w:r>
        <w:rPr>
          <w:rFonts w:ascii="Times New Roman" w:hAnsi="Times New Roman"/>
          <w:color w:val="000000"/>
          <w:sz w:val="22"/>
        </w:rPr>
        <w:t xml:space="preserve">, </w:t>
      </w:r>
      <w:r>
        <w:rPr>
          <w:rFonts w:ascii="Times New Roman" w:hAnsi="Times New Roman"/>
          <w:strike/>
          <w:color w:val="FF0000"/>
          <w:sz w:val="22"/>
        </w:rPr>
        <w:t>2027</w:t>
      </w:r>
      <w:r>
        <w:rPr>
          <w:rFonts w:ascii="Times New Roman" w:hAnsi="Times New Roman"/>
          <w:color w:val="0000FF"/>
          <w:sz w:val="22"/>
          <w:u w:val="single"/>
        </w:rPr>
        <w:t>2028</w:t>
      </w:r>
      <w:r>
        <w:rPr>
          <w:rFonts w:ascii="Times New Roman" w:hAnsi="Times New Roman"/>
          <w:color w:val="000000"/>
          <w:sz w:val="22"/>
        </w:rPr>
        <w:t xml:space="preserve">, additional Term Loan Advances in an aggregate principal amount up to Forty Million Dollars ($40,000,000) in minimum draws of at least Ten Million Dollars ($10,000,000) (or if less than Ten Million Dollars ($10,000,000), the remaining amount of Term Loan Advances available to be drawn pursuant to this </w:t>
      </w:r>
      <w:r>
        <w:rPr>
          <w:rFonts w:ascii="Times New Roman" w:hAnsi="Times New Roman"/>
          <w:color w:val="000000"/>
          <w:sz w:val="22"/>
          <w:u w:val="single"/>
        </w:rPr>
        <w:t>Section 2.2(</w:t>
      </w:r>
      <w:r>
        <w:rPr>
          <w:rFonts w:ascii="Times New Roman" w:hAnsi="Times New Roman"/>
          <w:strike/>
          <w:color w:val="FF0000"/>
          <w:sz w:val="22"/>
          <w:u w:val="single"/>
        </w:rPr>
        <w:t>e</w:t>
      </w:r>
      <w:r>
        <w:rPr>
          <w:rFonts w:ascii="Times New Roman" w:hAnsi="Times New Roman"/>
          <w:color w:val="0000FF"/>
          <w:sz w:val="22"/>
          <w:u w:val="single"/>
        </w:rPr>
        <w:t>f</w:t>
      </w:r>
      <w:r>
        <w:rPr>
          <w:rFonts w:ascii="Times New Roman" w:hAnsi="Times New Roman"/>
          <w:color w:val="000000"/>
          <w:sz w:val="22"/>
          <w:u w:val="single"/>
        </w:rPr>
        <w:t>)</w:t>
      </w:r>
      <w:r>
        <w:rPr>
          <w:rFonts w:ascii="Times New Roman" w:hAnsi="Times New Roman"/>
          <w:color w:val="000000"/>
          <w:sz w:val="22"/>
        </w:rPr>
        <w:t>) (the “</w:t>
      </w:r>
      <w:r>
        <w:rPr>
          <w:rFonts w:ascii="Times New Roman" w:hAnsi="Times New Roman"/>
          <w:color w:val="000000"/>
          <w:sz w:val="22"/>
          <w:u w:val="single"/>
        </w:rPr>
        <w:t>Tranche 3 Advance</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FF"/>
          <w:sz w:val="22"/>
          <w:u w:val="single"/>
        </w:rPr>
        <w:t>(g)</w:t>
      </w:r>
      <w:r>
        <w:rPr>
          <w:rFonts w:ascii="Times New Roman" w:hAnsi="Times New Roman"/>
          <w:color w:val="000000"/>
          <w:sz w:val="20"/>
        </w:rPr>
        <w:t xml:space="preserve"> </w:t>
      </w:r>
      <w:r>
        <w:rPr>
          <w:rFonts w:ascii="Times New Roman" w:hAnsi="Times New Roman"/>
          <w:strike/>
          <w:color w:val="FF0000"/>
          <w:sz w:val="22"/>
        </w:rPr>
        <w:t>(f)</w:t>
      </w:r>
      <w:r>
        <w:rPr>
          <w:rFonts w:ascii="Times New Roman" w:hAnsi="Times New Roman"/>
          <w:color w:val="FF0000"/>
          <w:sz w:val="20"/>
        </w:rPr>
        <w:t xml:space="preserve"> </w:t>
      </w:r>
      <w:r>
        <w:rPr>
          <w:rFonts w:ascii="Times New Roman" w:hAnsi="Times New Roman"/>
          <w:color w:val="000000"/>
          <w:sz w:val="22"/>
          <w:u w:val="single"/>
        </w:rPr>
        <w:t>Tranche 4 Advance</w:t>
      </w:r>
      <w:r>
        <w:rPr>
          <w:rFonts w:ascii="Times New Roman" w:hAnsi="Times New Roman"/>
          <w:color w:val="000000"/>
          <w:sz w:val="22"/>
        </w:rPr>
        <w:t xml:space="preserve">. Subject to the terms and conditions of this Agreement, Borrower may request, and the Lenders shall severally (and not jointly) make, in each case on and conditioned on approval by Lenders’ investment committee in its sole and unfettered discretion, additional Term Loan Advances in an aggregate principal amount up to Twenty-Five Million Dollars ($25,000,000) in minimum draws of at least Ten Million Dollars ($10,000,000) (or if less than Ten Million Dollars ($10,000,000), the remaining amount of Term Loan Advances available to be drawn pursuant to this </w:t>
      </w:r>
      <w:r>
        <w:rPr>
          <w:rFonts w:ascii="Times New Roman" w:hAnsi="Times New Roman"/>
          <w:color w:val="000000"/>
          <w:sz w:val="22"/>
          <w:u w:val="single"/>
        </w:rPr>
        <w:t>Section 2.2(</w:t>
      </w:r>
      <w:r>
        <w:rPr>
          <w:rFonts w:ascii="Times New Roman" w:hAnsi="Times New Roman"/>
          <w:strike/>
          <w:color w:val="FF0000"/>
          <w:sz w:val="22"/>
          <w:u w:val="single"/>
        </w:rPr>
        <w:t>f</w:t>
      </w:r>
      <w:r>
        <w:rPr>
          <w:rFonts w:ascii="Times New Roman" w:hAnsi="Times New Roman"/>
          <w:color w:val="0000FF"/>
          <w:sz w:val="22"/>
          <w:u w:val="single"/>
        </w:rPr>
        <w:t>g</w:t>
      </w:r>
      <w:r>
        <w:rPr>
          <w:rFonts w:ascii="Times New Roman" w:hAnsi="Times New Roman"/>
          <w:color w:val="000000"/>
          <w:sz w:val="22"/>
          <w:u w:val="single"/>
        </w:rPr>
        <w:t>)</w:t>
      </w:r>
      <w:r>
        <w:rPr>
          <w:rFonts w:ascii="Times New Roman" w:hAnsi="Times New Roman"/>
          <w:color w:val="000000"/>
          <w:sz w:val="22"/>
        </w:rPr>
        <w:t>) (each, a “</w:t>
      </w:r>
      <w:r>
        <w:rPr>
          <w:rFonts w:ascii="Times New Roman" w:hAnsi="Times New Roman"/>
          <w:color w:val="000000"/>
          <w:sz w:val="22"/>
          <w:u w:val="single"/>
        </w:rPr>
        <w:t>Tranche 4 Advance</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The aggregate outstanding Term Loan Advances shall not exceed the Maximum Term Loan Amount plus, for the avoidance of doubt, any amount equal to the Term Loan PIK Interest added to principal pursuant to </w:t>
      </w:r>
      <w:r>
        <w:rPr>
          <w:rFonts w:ascii="Times New Roman" w:hAnsi="Times New Roman"/>
          <w:color w:val="000000"/>
          <w:sz w:val="22"/>
          <w:u w:val="single"/>
        </w:rPr>
        <w:t>Section 2.2(</w:t>
      </w:r>
      <w:r>
        <w:rPr>
          <w:rFonts w:ascii="Times New Roman" w:hAnsi="Times New Roman"/>
          <w:strike/>
          <w:color w:val="FF0000"/>
          <w:sz w:val="22"/>
          <w:u w:val="single"/>
        </w:rPr>
        <w:t>h</w:t>
      </w:r>
      <w:r>
        <w:rPr>
          <w:rFonts w:ascii="Times New Roman" w:hAnsi="Times New Roman"/>
          <w:color w:val="0000FF"/>
          <w:sz w:val="22"/>
          <w:u w:val="single"/>
        </w:rPr>
        <w:t>i</w:t>
      </w:r>
      <w:r>
        <w:rPr>
          <w:rFonts w:ascii="Times New Roman" w:hAnsi="Times New Roman"/>
          <w:color w:val="000000"/>
          <w:sz w:val="22"/>
          <w:u w:val="single"/>
        </w:rPr>
        <w:t>)(ii)</w:t>
      </w:r>
      <w:r>
        <w:rPr>
          <w:rFonts w:ascii="Times New Roman" w:hAnsi="Times New Roman"/>
          <w:color w:val="000000"/>
          <w:sz w:val="22"/>
        </w:rPr>
        <w:t xml:space="preserve">. Each Term Loan Advance of each Lender shall not exceed its respective Term Commitment plus, for the avoidance of doubt, any amount equal to the Term Loan PIK Interest added to principal pursuant to </w:t>
      </w:r>
      <w:r>
        <w:rPr>
          <w:rFonts w:ascii="Times New Roman" w:hAnsi="Times New Roman"/>
          <w:color w:val="000000"/>
          <w:sz w:val="22"/>
          <w:u w:val="single"/>
        </w:rPr>
        <w:t>Section 2.2(</w:t>
      </w:r>
      <w:r>
        <w:rPr>
          <w:rFonts w:ascii="Times New Roman" w:hAnsi="Times New Roman"/>
          <w:strike/>
          <w:color w:val="FF0000"/>
          <w:sz w:val="22"/>
          <w:u w:val="single"/>
        </w:rPr>
        <w:t>h</w:t>
      </w:r>
      <w:r>
        <w:rPr>
          <w:rFonts w:ascii="Times New Roman" w:hAnsi="Times New Roman"/>
          <w:color w:val="0000FF"/>
          <w:sz w:val="22"/>
          <w:u w:val="single"/>
        </w:rPr>
        <w:t>i</w:t>
      </w:r>
      <w:r>
        <w:rPr>
          <w:rFonts w:ascii="Times New Roman" w:hAnsi="Times New Roman"/>
          <w:color w:val="000000"/>
          <w:sz w:val="22"/>
          <w:u w:val="single"/>
        </w:rPr>
        <w:t>)(ii)</w:t>
      </w:r>
      <w:r>
        <w:rPr>
          <w:rFonts w:ascii="Times New Roman" w:hAnsi="Times New Roman"/>
          <w:color w:val="000000"/>
          <w:sz w:val="22"/>
        </w:rPr>
        <w:t>. After repayment, no Term Loan Advance (or any portion thereof) may be reborrowed.</w:t>
      </w:r>
    </w:p>
    <w:p>
      <w:pPr>
        <w:pStyle w:val="TextBody"/>
        <w:bidi w:val="0"/>
        <w:spacing w:before="0" w:after="240"/>
        <w:jc w:val="both"/>
        <w:rPr>
          <w:rFonts w:ascii="Times New Roman" w:hAnsi="Times New Roman"/>
          <w:sz w:val="20"/>
        </w:rPr>
      </w:pPr>
      <w:r>
        <w:rPr>
          <w:rFonts w:ascii="Times New Roman" w:hAnsi="Times New Roman"/>
          <w:color w:val="0000FF"/>
          <w:sz w:val="22"/>
          <w:u w:val="single"/>
        </w:rPr>
        <w:t>(h)</w:t>
      </w:r>
      <w:r>
        <w:rPr>
          <w:rFonts w:ascii="Times New Roman" w:hAnsi="Times New Roman"/>
          <w:color w:val="0000FF"/>
          <w:sz w:val="20"/>
        </w:rPr>
        <w:t xml:space="preserve"> </w:t>
      </w:r>
      <w:r>
        <w:rPr>
          <w:rFonts w:ascii="Times New Roman" w:hAnsi="Times New Roman"/>
          <w:strike/>
          <w:color w:val="FF0000"/>
          <w:sz w:val="22"/>
        </w:rPr>
        <w:t>(g)</w:t>
      </w:r>
      <w:r>
        <w:rPr>
          <w:rFonts w:ascii="Times New Roman" w:hAnsi="Times New Roman"/>
          <w:color w:val="FF0000"/>
          <w:sz w:val="20"/>
        </w:rPr>
        <w:t xml:space="preserve"> </w:t>
      </w:r>
      <w:r>
        <w:rPr>
          <w:rFonts w:ascii="Times New Roman" w:hAnsi="Times New Roman"/>
          <w:color w:val="000000"/>
          <w:sz w:val="22"/>
          <w:u w:val="single"/>
        </w:rPr>
        <w:t>Advance Request</w:t>
      </w:r>
      <w:r>
        <w:rPr>
          <w:rFonts w:ascii="Times New Roman" w:hAnsi="Times New Roman"/>
          <w:color w:val="000000"/>
          <w:sz w:val="22"/>
        </w:rPr>
        <w:t>. To obtain a Term Loan Advance, Borrower shall complete, sign and deliver an Advance Request (at least five (5) Business Days before the Advance Date other than the Closing Date, which shall be at least one (1) Business Day) to Agent. The Lenders shall fund the Term Loan Advance in the manner requested by the Advance Request provided that each of the conditions precedent to such Term Loan Advance is satisfied as of the requested Advance Date. The proceeds of any Term Loan Advance shall be deposited into an account that is subject to an Account Control Agreement.</w:t>
      </w:r>
    </w:p>
    <w:p>
      <w:pPr>
        <w:pStyle w:val="TextBody"/>
        <w:bidi w:val="0"/>
        <w:spacing w:before="0" w:after="240"/>
        <w:jc w:val="both"/>
        <w:rPr>
          <w:rFonts w:ascii="Times New Roman" w:hAnsi="Times New Roman"/>
          <w:sz w:val="20"/>
        </w:rPr>
      </w:pPr>
      <w:r>
        <w:rPr>
          <w:rFonts w:ascii="Times New Roman" w:hAnsi="Times New Roman"/>
          <w:color w:val="0000FF"/>
          <w:sz w:val="22"/>
          <w:u w:val="single"/>
        </w:rPr>
        <w:t>(i)</w:t>
      </w:r>
      <w:r>
        <w:rPr>
          <w:rFonts w:ascii="Times New Roman" w:hAnsi="Times New Roman"/>
          <w:color w:val="0000FF"/>
          <w:sz w:val="20"/>
        </w:rPr>
        <w:t xml:space="preserve"> </w:t>
      </w:r>
      <w:r>
        <w:rPr>
          <w:rFonts w:ascii="Times New Roman" w:hAnsi="Times New Roman"/>
          <w:strike/>
          <w:color w:val="FF0000"/>
          <w:sz w:val="22"/>
        </w:rPr>
        <w:t>(h)</w:t>
      </w:r>
      <w:r>
        <w:rPr>
          <w:rFonts w:ascii="Times New Roman" w:hAnsi="Times New Roman"/>
          <w:color w:val="FF0000"/>
          <w:sz w:val="20"/>
        </w:rPr>
        <w:t xml:space="preserve"> </w:t>
      </w:r>
      <w:r>
        <w:rPr>
          <w:rFonts w:ascii="Times New Roman" w:hAnsi="Times New Roman"/>
          <w:color w:val="000000"/>
          <w:sz w:val="22"/>
        </w:rPr>
        <w:t>Interest.</w:t>
      </w:r>
    </w:p>
    <w:p>
      <w:pPr>
        <w:pStyle w:val="TextBody"/>
        <w:bidi w:val="0"/>
        <w:spacing w:before="0" w:after="240"/>
        <w:jc w:val="both"/>
        <w:rPr>
          <w:rFonts w:ascii="Times New Roman" w:hAnsi="Times New Roman"/>
          <w:sz w:val="20"/>
        </w:rPr>
      </w:pPr>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u w:val="single"/>
        </w:rPr>
        <w:t>Term Loan Cash Interest Rate</w:t>
      </w:r>
      <w:r>
        <w:rPr>
          <w:rFonts w:ascii="Times New Roman" w:hAnsi="Times New Roman"/>
          <w:color w:val="000000"/>
          <w:sz w:val="22"/>
        </w:rPr>
        <w:t xml:space="preserve">. In addition to interest accrued pursuant to the Term Loan PIK Interest Rate, the principal balance (including, for the avoidance of doubt, any payment-in-kind interest added to principal pursuant to </w:t>
      </w:r>
      <w:r>
        <w:rPr>
          <w:rFonts w:ascii="Times New Roman" w:hAnsi="Times New Roman"/>
          <w:color w:val="000000"/>
          <w:sz w:val="22"/>
          <w:u w:val="single"/>
        </w:rPr>
        <w:t>Section 2.2(</w:t>
      </w:r>
      <w:r>
        <w:rPr>
          <w:rFonts w:ascii="Times New Roman" w:hAnsi="Times New Roman"/>
          <w:strike/>
          <w:color w:val="FF0000"/>
          <w:sz w:val="22"/>
          <w:u w:val="single"/>
        </w:rPr>
        <w:t>h</w:t>
      </w:r>
      <w:r>
        <w:rPr>
          <w:rFonts w:ascii="Times New Roman" w:hAnsi="Times New Roman"/>
          <w:color w:val="0000FF"/>
          <w:sz w:val="22"/>
          <w:u w:val="single"/>
        </w:rPr>
        <w:t>i</w:t>
      </w:r>
      <w:r>
        <w:rPr>
          <w:rFonts w:ascii="Times New Roman" w:hAnsi="Times New Roman"/>
          <w:color w:val="000000"/>
          <w:sz w:val="22"/>
          <w:u w:val="single"/>
        </w:rPr>
        <w:t>)(ii)</w:t>
      </w:r>
      <w:r>
        <w:rPr>
          <w:rFonts w:ascii="Times New Roman" w:hAnsi="Times New Roman"/>
          <w:color w:val="000000"/>
          <w:sz w:val="22"/>
        </w:rPr>
        <w:t xml:space="preserve">) of each Term Loan Advance shall bear interest thereon from such Advance Date (or from the date such amount equal to the Term Loan PIK Interest is added to the principal) at the Term Loan Cash Interest Rate (as such rate may be reduced for a given PIK Deferral Period in an amount equal to the applicable Cash Interest Reduction Amount pursuant to </w:t>
      </w:r>
      <w:r>
        <w:rPr>
          <w:rFonts w:ascii="Times New Roman" w:hAnsi="Times New Roman"/>
          <w:color w:val="000000"/>
          <w:sz w:val="22"/>
          <w:u w:val="single"/>
        </w:rPr>
        <w:t>Section 2.2(</w:t>
      </w:r>
      <w:r>
        <w:rPr>
          <w:rFonts w:ascii="Times New Roman" w:hAnsi="Times New Roman"/>
          <w:strike/>
          <w:color w:val="FF0000"/>
          <w:sz w:val="22"/>
          <w:u w:val="single"/>
        </w:rPr>
        <w:t>h</w:t>
      </w:r>
      <w:r>
        <w:rPr>
          <w:rFonts w:ascii="Times New Roman" w:hAnsi="Times New Roman"/>
          <w:color w:val="0000FF"/>
          <w:sz w:val="22"/>
          <w:u w:val="single"/>
        </w:rPr>
        <w:t>i</w:t>
      </w:r>
      <w:r>
        <w:rPr>
          <w:rFonts w:ascii="Times New Roman" w:hAnsi="Times New Roman"/>
          <w:color w:val="000000"/>
          <w:sz w:val="22"/>
          <w:u w:val="single"/>
        </w:rPr>
        <w:t>)(iii)</w:t>
      </w:r>
      <w:r>
        <w:rPr>
          <w:rFonts w:ascii="Times New Roman" w:hAnsi="Times New Roman"/>
          <w:color w:val="000000"/>
          <w:sz w:val="22"/>
        </w:rPr>
        <w:t>) based on a year consisting of three hundred sixty (360) days, with interest computed daily based on the actual number of days elapsed. The Term Loan Cash Interest Rate will float and change on the day the Prime Rate changes from time to time.</w:t>
      </w:r>
    </w:p>
    <w:p>
      <w:pPr>
        <w:pStyle w:val="TextBody"/>
        <w:bidi w:val="0"/>
        <w:spacing w:before="0" w:after="240"/>
        <w:jc w:val="both"/>
        <w:rPr>
          <w:rFonts w:ascii="Times New Roman" w:hAnsi="Times New Roman"/>
          <w:sz w:val="20"/>
        </w:rPr>
      </w:pPr>
      <w:r>
        <w:rPr>
          <w:rFonts w:ascii="Times New Roman" w:hAnsi="Times New Roman"/>
          <w:color w:val="000000"/>
          <w:sz w:val="22"/>
        </w:rPr>
        <w:t>(ii)</w:t>
      </w:r>
      <w:r>
        <w:rPr>
          <w:rFonts w:ascii="Times New Roman" w:hAnsi="Times New Roman"/>
          <w:color w:val="000000"/>
          <w:sz w:val="20"/>
        </w:rPr>
        <w:t xml:space="preserve"> </w:t>
      </w:r>
      <w:r>
        <w:rPr>
          <w:rFonts w:ascii="Times New Roman" w:hAnsi="Times New Roman"/>
          <w:color w:val="000000"/>
          <w:sz w:val="22"/>
          <w:u w:val="single"/>
        </w:rPr>
        <w:t>Term Loan PIK Interest Rate</w:t>
      </w:r>
      <w:r>
        <w:rPr>
          <w:rFonts w:ascii="Times New Roman" w:hAnsi="Times New Roman"/>
          <w:color w:val="000000"/>
          <w:sz w:val="22"/>
        </w:rPr>
        <w:t>. In addition to interest accrued pursuant to the Term Loan Cash Interest Rate, to the extent Borrower has initiated a PIK Deferral Period, the principal balance of each Term Loan Advance shall bear interest thereon from the applicable Advance Date at the Term Loan PIK Interest Rate based on a year consisting of 360 days, with interest computed daily based on the actual number of days elapsed (the “</w:t>
      </w:r>
      <w:r>
        <w:rPr>
          <w:rFonts w:ascii="Times New Roman" w:hAnsi="Times New Roman"/>
          <w:color w:val="000000"/>
          <w:sz w:val="22"/>
          <w:u w:val="single"/>
        </w:rPr>
        <w:t>Term Loan PIK Interest</w:t>
      </w:r>
      <w:r>
        <w:rPr>
          <w:rFonts w:ascii="Times New Roman" w:hAnsi="Times New Roman"/>
          <w:color w:val="000000"/>
          <w:sz w:val="20"/>
        </w:rPr>
        <w:t>”</w:t>
      </w:r>
      <w:r>
        <w:rPr>
          <w:rFonts w:ascii="Times New Roman" w:hAnsi="Times New Roman"/>
          <w:color w:val="000000"/>
          <w:sz w:val="22"/>
        </w:rPr>
        <w:t>), which amount shall be added to the outstanding principal balance and so capitalized so as to increase the outstanding principal</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balance of such Term Loan Advance on each payment date for such Advance and which amount shall be payable when the principal amount of the applicable Advance is payable in accordance with </w:t>
      </w:r>
      <w:r>
        <w:rPr>
          <w:rFonts w:ascii="Times New Roman" w:hAnsi="Times New Roman"/>
          <w:color w:val="000000"/>
          <w:sz w:val="22"/>
          <w:u w:val="single"/>
        </w:rPr>
        <w:t>Section 2.2(</w:t>
      </w:r>
      <w:r>
        <w:rPr>
          <w:rFonts w:ascii="Times New Roman" w:hAnsi="Times New Roman"/>
          <w:strike/>
          <w:color w:val="FF0000"/>
          <w:sz w:val="22"/>
          <w:u w:val="single"/>
        </w:rPr>
        <w:t>i</w:t>
      </w:r>
      <w:r>
        <w:rPr>
          <w:rFonts w:ascii="Times New Roman" w:hAnsi="Times New Roman"/>
          <w:color w:val="0000FF"/>
          <w:sz w:val="22"/>
          <w:u w:val="single"/>
        </w:rPr>
        <w:t>j</w:t>
      </w:r>
      <w:r>
        <w:rPr>
          <w:rFonts w:ascii="Times New Roman" w:hAnsi="Times New Roman"/>
          <w:color w:val="000000"/>
          <w:sz w:val="22"/>
          <w:u w:val="single"/>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(iii)</w:t>
      </w:r>
      <w:r>
        <w:rPr>
          <w:rFonts w:ascii="Times New Roman" w:hAnsi="Times New Roman"/>
          <w:color w:val="000000"/>
          <w:sz w:val="20"/>
        </w:rPr>
        <w:t xml:space="preserve"> </w:t>
      </w:r>
      <w:r>
        <w:rPr>
          <w:rFonts w:ascii="Times New Roman" w:hAnsi="Times New Roman"/>
          <w:color w:val="000000"/>
          <w:sz w:val="22"/>
        </w:rPr>
        <w:t>Borrower may elect, by prior written notice to Agent either: (a) prior to an Advance Date, or (b) at least five (5) Business Days prior to the first Business Day of a month, to reduce the then effective per annum Term Loan Cash Interest Rate applicable to the Term Loan Advances, by up to 2.00% per annum (the amount of such reduction, the “</w:t>
      </w:r>
      <w:r>
        <w:rPr>
          <w:rFonts w:ascii="Times New Roman" w:hAnsi="Times New Roman"/>
          <w:color w:val="000000"/>
          <w:sz w:val="22"/>
          <w:u w:val="single"/>
        </w:rPr>
        <w:t>Cash Interest Reduction Amount</w:t>
      </w:r>
      <w:r>
        <w:rPr>
          <w:rFonts w:ascii="Times New Roman" w:hAnsi="Times New Roman"/>
          <w:color w:val="000000"/>
          <w:sz w:val="20"/>
        </w:rPr>
        <w:t>”</w:t>
      </w:r>
      <w:r>
        <w:rPr>
          <w:rFonts w:ascii="Times New Roman" w:hAnsi="Times New Roman"/>
          <w:color w:val="000000"/>
          <w:sz w:val="22"/>
        </w:rPr>
        <w:t>) for a period beginning on the first Business Day of the month following such Advance Date or the date of the notice under foregoing clause (b) (as applicable) and ending on the last day of the third month or any subsequent month thereafter (the “</w:t>
      </w:r>
      <w:r>
        <w:rPr>
          <w:rFonts w:ascii="Times New Roman" w:hAnsi="Times New Roman"/>
          <w:color w:val="000000"/>
          <w:sz w:val="22"/>
          <w:u w:val="single"/>
        </w:rPr>
        <w:t>PIK Deferral Period</w:t>
      </w:r>
      <w:r>
        <w:rPr>
          <w:rFonts w:ascii="Times New Roman" w:hAnsi="Times New Roman"/>
          <w:color w:val="000000"/>
          <w:sz w:val="20"/>
        </w:rPr>
        <w:t>”</w:t>
      </w:r>
      <w:r>
        <w:rPr>
          <w:rFonts w:ascii="Times New Roman" w:hAnsi="Times New Roman"/>
          <w:color w:val="000000"/>
          <w:sz w:val="22"/>
        </w:rPr>
        <w:t>); provided that such notice shall specify the amount of such Cash Interest Reduction Amount and duration of such PIK Deferral Period; provided further that after the expiration of any PIK Deferral Period, the reduction to the Term Loan Cash Interest Rate by an amount equal to the Cash Interest Reduction Amount shall cease to apply.</w:t>
      </w:r>
    </w:p>
    <w:p>
      <w:pPr>
        <w:pStyle w:val="TextBody"/>
        <w:bidi w:val="0"/>
        <w:spacing w:before="0" w:after="240"/>
        <w:jc w:val="both"/>
        <w:rPr>
          <w:rFonts w:ascii="Times New Roman" w:hAnsi="Times New Roman"/>
          <w:sz w:val="20"/>
        </w:rPr>
      </w:pPr>
      <w:r>
        <w:rPr>
          <w:rFonts w:ascii="Times New Roman" w:hAnsi="Times New Roman"/>
          <w:color w:val="0000FF"/>
          <w:sz w:val="22"/>
          <w:u w:val="single"/>
        </w:rPr>
        <w:t>(j)</w:t>
      </w:r>
      <w:r>
        <w:rPr>
          <w:rFonts w:ascii="Times New Roman" w:hAnsi="Times New Roman"/>
          <w:color w:val="0000FF"/>
          <w:sz w:val="20"/>
        </w:rPr>
        <w:t xml:space="preserve"> </w:t>
      </w:r>
      <w:r>
        <w:rPr>
          <w:rFonts w:ascii="Times New Roman" w:hAnsi="Times New Roman"/>
          <w:strike/>
          <w:color w:val="FF0000"/>
          <w:sz w:val="22"/>
        </w:rPr>
        <w:t>(i)</w:t>
      </w:r>
      <w:r>
        <w:rPr>
          <w:rFonts w:ascii="Times New Roman" w:hAnsi="Times New Roman"/>
          <w:color w:val="FF0000"/>
          <w:sz w:val="20"/>
        </w:rPr>
        <w:t xml:space="preserve"> </w:t>
      </w:r>
      <w:r>
        <w:rPr>
          <w:rFonts w:ascii="Times New Roman" w:hAnsi="Times New Roman"/>
          <w:color w:val="000000"/>
          <w:sz w:val="22"/>
          <w:u w:val="single"/>
        </w:rPr>
        <w:t>Payment</w:t>
      </w:r>
      <w:r>
        <w:rPr>
          <w:rFonts w:ascii="Times New Roman" w:hAnsi="Times New Roman"/>
          <w:color w:val="000000"/>
          <w:sz w:val="22"/>
        </w:rPr>
        <w:t>. Borrower will pay accrued but unpaid interest on each Term Loan Advance on the first Business Day of each month (each such date, a “</w:t>
      </w:r>
      <w:r>
        <w:rPr>
          <w:rFonts w:ascii="Times New Roman" w:hAnsi="Times New Roman"/>
          <w:color w:val="000000"/>
          <w:sz w:val="22"/>
          <w:u w:val="single"/>
        </w:rPr>
        <w:t>Payment Date</w:t>
      </w:r>
      <w:r>
        <w:rPr>
          <w:rFonts w:ascii="Times New Roman" w:hAnsi="Times New Roman"/>
          <w:color w:val="000000"/>
          <w:sz w:val="20"/>
        </w:rPr>
        <w:t>”</w:t>
      </w:r>
      <w:r>
        <w:rPr>
          <w:rFonts w:ascii="Times New Roman" w:hAnsi="Times New Roman"/>
          <w:color w:val="000000"/>
          <w:sz w:val="22"/>
        </w:rPr>
        <w:t xml:space="preserve">), beginning the month after the Advance Date. Borrower shall repay the aggregate Term Loan principal balance that is outstanding on the day immediately preceding the Amortization Date, in equal monthly installments of principal and interest (mortgage style) beginning on the Amortization Date and continuing on the first Business Day of each month thereafter until the Secured Obligations (other than inchoate indemnity obligations) are repaid provided that if the Term Loan Cash Interest Rate is adjusted in accordance with its terms, or the Amortization Date is extended or the Term Loan Maturity Date is extended, or a PIK Deferral Period becomes effective, the amount of each subsequent monthly installment shall be recalculated. The entire Term Loan principal balance and all accrued but unpaid interest hereunder, shall be due and payable on Term Loan Maturity Date. Borrower shall make all payments under this Agreement without setoff, recoupment or deduction and regardless of any counterclaim or defense. If a payment hereunder becomes due and payable on a day that is not a Business Day, the due date thereof shall be the immediately subsequent Business Day The Lenders will initiate debit entries to Borrower’s account as authorized on the ACH Authorization (i) on each Payment Date of all periodic obligations payable to the Lenders under each Term Loan Advance and (ii) out-of-pocket legal fees and costs incurred by Agent or the Lenders in accordance with </w:t>
      </w:r>
      <w:r>
        <w:rPr>
          <w:rFonts w:ascii="Times New Roman" w:hAnsi="Times New Roman"/>
          <w:color w:val="000000"/>
          <w:sz w:val="22"/>
          <w:u w:val="single"/>
        </w:rPr>
        <w:t>Section 11.12</w:t>
      </w:r>
      <w:r>
        <w:rPr>
          <w:rFonts w:ascii="Times New Roman" w:hAnsi="Times New Roman"/>
          <w:color w:val="000000"/>
          <w:sz w:val="20"/>
        </w:rPr>
        <w:t xml:space="preserve"> </w:t>
      </w:r>
      <w:r>
        <w:rPr>
          <w:rFonts w:ascii="Times New Roman" w:hAnsi="Times New Roman"/>
          <w:color w:val="000000"/>
          <w:sz w:val="22"/>
        </w:rPr>
        <w:t>of this Agreement; provided that, with respect to clause (i) above, in the event that the Lenders or Agent informs Borrower that the Lenders will not initiate a debit entry to Borrower’s account for a certain amount of the periodic obligations due on a specific payment date, Borrower shall pay to the Lenders such amount of periodic obligations in full in immediately available funds on such Payment Date; provided, further, that, with respect to clause (i) above, if the Lenders or Agent informs Borrower that the Lenders will not initiate a debit entry as described above later than the date that is three (3) Business Days prior to such Payment Date, Borrower shall pay to the Lenders such amount of periodic obligations in full in immediately available funds on the date that is three (3) Business Days after the date on which the Lenders or Agent notifies Borrower of such; provided, further, that, with respect to clause (ii) above, in the event that the Lenders or Agent informs Borrower that the Lenders will not initiate a debit entry to Borrower’s account for certain amount of such out-of-pocket legal fees and costs incurred by Agent or the Lenders, Borrower shall pay to the Lenders such amount in full in immediately available funds within three (3) Business Days.</w:t>
      </w:r>
    </w:p>
    <w:p>
      <w:pPr>
        <w:pStyle w:val="TextBody"/>
        <w:bidi w:val="0"/>
        <w:spacing w:before="0" w:after="240"/>
        <w:jc w:val="both"/>
        <w:rPr>
          <w:rFonts w:ascii="Times New Roman" w:hAnsi="Times New Roman"/>
          <w:sz w:val="20"/>
        </w:rPr>
      </w:pPr>
      <w:r>
        <w:rPr>
          <w:rFonts w:ascii="Times New Roman" w:hAnsi="Times New Roman"/>
          <w:color w:val="000000"/>
          <w:sz w:val="22"/>
        </w:rPr>
        <w:t>2.3</w:t>
      </w:r>
      <w:r>
        <w:rPr>
          <w:rFonts w:ascii="Times New Roman" w:hAnsi="Times New Roman"/>
          <w:color w:val="000000"/>
          <w:sz w:val="20"/>
        </w:rPr>
        <w:t xml:space="preserve"> </w:t>
      </w:r>
      <w:r>
        <w:rPr>
          <w:rFonts w:ascii="Times New Roman" w:hAnsi="Times New Roman"/>
          <w:color w:val="000000"/>
          <w:sz w:val="22"/>
          <w:u w:val="single"/>
        </w:rPr>
        <w:t>Maximum Interest</w:t>
      </w:r>
      <w:r>
        <w:rPr>
          <w:rFonts w:ascii="Times New Roman" w:hAnsi="Times New Roman"/>
          <w:color w:val="000000"/>
          <w:sz w:val="22"/>
        </w:rPr>
        <w:t>. Notwithstanding any provision in this Agreement or any other Loan Document, it is the parties’ intent not to contract for, charge or receive interest at a rate that is greater than the maximum rate permissible by law that a court of competent jurisdiction shall deem applicable hereto (which under the laws of the State of California shall be deemed to be the laws relating to permissible rates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of interest on commercial loans) (the “</w:t>
      </w:r>
      <w:r>
        <w:rPr>
          <w:rFonts w:ascii="Times New Roman" w:hAnsi="Times New Roman"/>
          <w:color w:val="000000"/>
          <w:sz w:val="22"/>
          <w:u w:val="single"/>
        </w:rPr>
        <w:t>Maximum Rate</w:t>
      </w:r>
      <w:r>
        <w:rPr>
          <w:rFonts w:ascii="Times New Roman" w:hAnsi="Times New Roman"/>
          <w:color w:val="000000"/>
          <w:sz w:val="20"/>
        </w:rPr>
        <w:t>”</w:t>
      </w:r>
      <w:r>
        <w:rPr>
          <w:rFonts w:ascii="Times New Roman" w:hAnsi="Times New Roman"/>
          <w:color w:val="000000"/>
          <w:sz w:val="22"/>
        </w:rPr>
        <w:t>). If a court of competent jurisdiction shall finally determine that Borrower has actually paid to the Lenders an amount of interest in excess of the amount that would have been payable if all of the Secured Obligations had at all times borne interest at the Maximum Rate, then such excess interest actually paid by Borrower shall be applied as follows: first, to the payment of the Secured Obligations consisting of the outstanding principal; second, after all principal is repaid, to the payment of the Lenders’ accrued interest, costs, expenses, professional fees and any other Secured Obligations; and third, after all Secured Obligations are repaid, the excess (if any) shall be refunded to Borrower.</w:t>
      </w:r>
    </w:p>
    <w:p>
      <w:pPr>
        <w:pStyle w:val="TextBody"/>
        <w:bidi w:val="0"/>
        <w:spacing w:before="0" w:after="240"/>
        <w:jc w:val="both"/>
        <w:rPr>
          <w:rFonts w:ascii="Times New Roman" w:hAnsi="Times New Roman"/>
          <w:sz w:val="20"/>
        </w:rPr>
      </w:pPr>
      <w:r>
        <w:rPr>
          <w:rFonts w:ascii="Times New Roman" w:hAnsi="Times New Roman"/>
          <w:color w:val="000000"/>
          <w:sz w:val="22"/>
        </w:rPr>
        <w:t>2.4</w:t>
      </w:r>
      <w:r>
        <w:rPr>
          <w:rFonts w:ascii="Times New Roman" w:hAnsi="Times New Roman"/>
          <w:color w:val="000000"/>
          <w:sz w:val="20"/>
        </w:rPr>
        <w:t xml:space="preserve"> </w:t>
      </w:r>
      <w:r>
        <w:rPr>
          <w:rFonts w:ascii="Times New Roman" w:hAnsi="Times New Roman"/>
          <w:color w:val="000000"/>
          <w:sz w:val="22"/>
          <w:u w:val="single"/>
        </w:rPr>
        <w:t>Default Interest</w:t>
      </w:r>
      <w:r>
        <w:rPr>
          <w:rFonts w:ascii="Times New Roman" w:hAnsi="Times New Roman"/>
          <w:color w:val="000000"/>
          <w:sz w:val="22"/>
        </w:rPr>
        <w:t xml:space="preserve">. In the event any payment is not paid on the scheduled payment date, an amount equal to four percent (4%) of the past due amount shall be payable on demand. In addition, upon the occurrence and during the continuation of an Event of Default hereunder, all Secured Obligations, including principal, interest, compounded interest, and professional fees, shall bear interest at a rate per annum equal to the rate set forth in </w:t>
      </w:r>
      <w:r>
        <w:rPr>
          <w:rFonts w:ascii="Times New Roman" w:hAnsi="Times New Roman"/>
          <w:color w:val="000000"/>
          <w:sz w:val="22"/>
          <w:u w:val="single"/>
        </w:rPr>
        <w:t>Section 2.2(h)</w:t>
      </w:r>
      <w:r>
        <w:rPr>
          <w:rFonts w:ascii="Times New Roman" w:hAnsi="Times New Roman"/>
          <w:color w:val="000000"/>
          <w:sz w:val="22"/>
        </w:rPr>
        <w:t xml:space="preserve">, plus four percent (4%) per annum. In the event any interest is not paid when due hereunder, delinquent interest shall be added to principal and shall bear interest on interest, compounded at the rate set forth in </w:t>
      </w:r>
      <w:r>
        <w:rPr>
          <w:rFonts w:ascii="Times New Roman" w:hAnsi="Times New Roman"/>
          <w:color w:val="000000"/>
          <w:sz w:val="22"/>
          <w:u w:val="single"/>
        </w:rPr>
        <w:t>Section 2.2(</w:t>
      </w:r>
      <w:r>
        <w:rPr>
          <w:rFonts w:ascii="Times New Roman" w:hAnsi="Times New Roman"/>
          <w:strike/>
          <w:color w:val="FF0000"/>
          <w:sz w:val="22"/>
          <w:u w:val="single"/>
        </w:rPr>
        <w:t>h</w:t>
      </w:r>
      <w:r>
        <w:rPr>
          <w:rFonts w:ascii="Times New Roman" w:hAnsi="Times New Roman"/>
          <w:color w:val="0000FF"/>
          <w:sz w:val="22"/>
          <w:u w:val="single"/>
        </w:rPr>
        <w:t>i</w:t>
      </w:r>
      <w:r>
        <w:rPr>
          <w:rFonts w:ascii="Times New Roman" w:hAnsi="Times New Roman"/>
          <w:color w:val="000000"/>
          <w:sz w:val="22"/>
          <w:u w:val="single"/>
        </w:rPr>
        <w:t>)</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2.4</w:t>
      </w:r>
      <w:r>
        <w:rPr>
          <w:rFonts w:ascii="Times New Roman" w:hAnsi="Times New Roman"/>
          <w:color w:val="000000"/>
          <w:sz w:val="22"/>
        </w:rPr>
        <w:t>, as applicable.</w:t>
      </w:r>
    </w:p>
    <w:p>
      <w:pPr>
        <w:pStyle w:val="TextBody"/>
        <w:bidi w:val="0"/>
        <w:spacing w:before="0" w:after="240"/>
        <w:jc w:val="both"/>
        <w:rPr>
          <w:rFonts w:ascii="Times New Roman" w:hAnsi="Times New Roman"/>
          <w:sz w:val="20"/>
        </w:rPr>
      </w:pPr>
      <w:r>
        <w:rPr>
          <w:rFonts w:ascii="Times New Roman" w:hAnsi="Times New Roman"/>
          <w:color w:val="000000"/>
          <w:sz w:val="22"/>
        </w:rPr>
        <w:t>2.5</w:t>
      </w:r>
      <w:r>
        <w:rPr>
          <w:rFonts w:ascii="Times New Roman" w:hAnsi="Times New Roman"/>
          <w:color w:val="000000"/>
          <w:sz w:val="20"/>
        </w:rPr>
        <w:t xml:space="preserve"> </w:t>
      </w:r>
      <w:r>
        <w:rPr>
          <w:rFonts w:ascii="Times New Roman" w:hAnsi="Times New Roman"/>
          <w:color w:val="000000"/>
          <w:sz w:val="22"/>
          <w:u w:val="single"/>
        </w:rPr>
        <w:t>Prepayment</w:t>
      </w:r>
      <w:r>
        <w:rPr>
          <w:rFonts w:ascii="Times New Roman" w:hAnsi="Times New Roman"/>
          <w:color w:val="000000"/>
          <w:sz w:val="22"/>
        </w:rPr>
        <w:t xml:space="preserve">. At its option, Borrower may prepay all or a portion of the outstanding Advances by paying the entire principal balance (or such portion thereof), all accrued and unpaid interest thereon, all unpaid Lender’s fees and expenses then due and payable hereunder accrued to the date of the repayment (including, without limitation, the portion of the End of Term Charge applicable to the aggregate original principal amount of the Term Loan Advances being prepaid in accordance with </w:t>
      </w:r>
      <w:r>
        <w:rPr>
          <w:rFonts w:ascii="Times New Roman" w:hAnsi="Times New Roman"/>
          <w:color w:val="000000"/>
          <w:sz w:val="22"/>
          <w:u w:val="single"/>
        </w:rPr>
        <w:t>Section 2.6(a)</w:t>
      </w:r>
      <w:r>
        <w:rPr>
          <w:rFonts w:ascii="Times New Roman" w:hAnsi="Times New Roman"/>
          <w:color w:val="000000"/>
          <w:sz w:val="22"/>
        </w:rPr>
        <w:t xml:space="preserve">), together with a prepayment charge equal to the following percentage of the Advance amount being prepaid: with respect to each Advance (which Advance amount shall include, for the avoidance of doubt, any principal that has been added to the principal balance of such Advance pursuant to </w:t>
      </w:r>
      <w:r>
        <w:rPr>
          <w:rFonts w:ascii="Times New Roman" w:hAnsi="Times New Roman"/>
          <w:color w:val="000000"/>
          <w:sz w:val="22"/>
          <w:u w:val="single"/>
        </w:rPr>
        <w:t>Section 2.2(h)(ii)</w:t>
      </w:r>
      <w:r>
        <w:rPr>
          <w:rFonts w:ascii="Times New Roman" w:hAnsi="Times New Roman"/>
          <w:color w:val="000000"/>
          <w:sz w:val="22"/>
        </w:rPr>
        <w:t>), if such Advance amounts are prepaid in any of the first eighteen (18) months following the Closing Date, 3.00%; after eighteen (18) months but on or prior to thirty six (36) months following the Closing Date, 2.00%; and thereafter, 1.00% (each, a “</w:t>
      </w:r>
      <w:r>
        <w:rPr>
          <w:rFonts w:ascii="Times New Roman" w:hAnsi="Times New Roman"/>
          <w:color w:val="000000"/>
          <w:sz w:val="22"/>
          <w:u w:val="single"/>
        </w:rPr>
        <w:t>Prepayment Charge</w:t>
      </w:r>
      <w:r>
        <w:rPr>
          <w:rFonts w:ascii="Times New Roman" w:hAnsi="Times New Roman"/>
          <w:color w:val="000000"/>
          <w:sz w:val="20"/>
        </w:rPr>
        <w:t>”</w:t>
      </w:r>
      <w:r>
        <w:rPr>
          <w:rFonts w:ascii="Times New Roman" w:hAnsi="Times New Roman"/>
          <w:color w:val="000000"/>
          <w:sz w:val="22"/>
        </w:rPr>
        <w:t>). If at any time Borrower elects to make a prepayment, and at such time, there are outstanding Advances under multiple Tranches, the Prepayment Charge shall be determined by applying the amount of such prepayment in the following order: first, to the outstanding principal amount (and accrued but unpaid interest thereon) of Advances outstanding under the Tranche with the latest initial funding date; second, to the outstanding principal amount (and accrued but unpaid interest thereon) of Advances outstanding under the Tranche with the next latest initial funding date and so on until the entire principal balance of all Advances made hereunder (and all accrued but unpaid interest thereon) is paid in full. Borrower agrees that the Prepayment Charge is a reasonable calculation of the Lenders’ lost profits in view of the difficulties and impracticality of determining actual damages resulting from an early repayment of the Advances. Borrower shall prepay the outstanding amount of all principal and accrued interest through the prepayment date and the Prepayment Charge upon the occurrence of a Change in Control or any other prepayment hereunder. Notwithstanding the foregoing, Agent and the Lenders hereby waive the Prepayment Charge if Agent and the Lenders or any Affiliate thereof (in their sole and absolute discretion) provide any refinancing of the Advances prior to the Term Loan Maturity Date. For the avoidance of doubt, if a payment hereunder becomes due and payable on a day that is not a Business Day, the due date thereof shall be the immediately subsequent Business Day.</w:t>
      </w:r>
    </w:p>
    <w:p>
      <w:pPr>
        <w:pStyle w:val="TextBody"/>
        <w:bidi w:val="0"/>
        <w:spacing w:before="0" w:after="240"/>
        <w:jc w:val="both"/>
        <w:rPr>
          <w:rFonts w:ascii="Times New Roman" w:hAnsi="Times New Roman"/>
          <w:sz w:val="20"/>
        </w:rPr>
      </w:pPr>
      <w:r>
        <w:rPr>
          <w:rFonts w:ascii="Times New Roman" w:hAnsi="Times New Roman"/>
          <w:color w:val="000000"/>
          <w:sz w:val="22"/>
        </w:rPr>
        <w:t>2.6</w:t>
      </w:r>
      <w:r>
        <w:rPr>
          <w:rFonts w:ascii="Times New Roman" w:hAnsi="Times New Roman"/>
          <w:color w:val="000000"/>
          <w:sz w:val="20"/>
        </w:rPr>
        <w:t xml:space="preserve"> </w:t>
      </w:r>
      <w:r>
        <w:rPr>
          <w:rFonts w:ascii="Times New Roman" w:hAnsi="Times New Roman"/>
          <w:color w:val="000000"/>
          <w:sz w:val="22"/>
          <w:u w:val="single"/>
        </w:rPr>
        <w:t>End of Term Charge</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 xml:space="preserve">On any date that Borrower partially prepays the outstanding Secured Obligations pursuant to </w:t>
      </w:r>
      <w:r>
        <w:rPr>
          <w:rFonts w:ascii="Times New Roman" w:hAnsi="Times New Roman"/>
          <w:color w:val="000000"/>
          <w:sz w:val="22"/>
          <w:u w:val="single"/>
        </w:rPr>
        <w:t>Section 2.5</w:t>
      </w:r>
      <w:r>
        <w:rPr>
          <w:rFonts w:ascii="Times New Roman" w:hAnsi="Times New Roman"/>
          <w:color w:val="000000"/>
          <w:sz w:val="20"/>
        </w:rPr>
        <w:t xml:space="preserve"> </w:t>
      </w:r>
      <w:r>
        <w:rPr>
          <w:rFonts w:ascii="Times New Roman" w:hAnsi="Times New Roman"/>
          <w:color w:val="000000"/>
          <w:sz w:val="22"/>
        </w:rPr>
        <w:t xml:space="preserve">(other than, for the avoidance of doubt, any partial prepayment that would result in all remaining outstanding Secured Obligations being prepaid in full), Borrower shall pay the Lenders a charge of equal to applicable End of Term Charge Percentage </w:t>
      </w:r>
      <w:r>
        <w:rPr>
          <w:rFonts w:ascii="Times New Roman" w:hAnsi="Times New Roman"/>
          <w:i/>
          <w:color w:val="000000"/>
          <w:sz w:val="22"/>
        </w:rPr>
        <w:t>multiplied by</w:t>
      </w:r>
      <w:r>
        <w:rPr>
          <w:rFonts w:ascii="Times New Roman" w:hAnsi="Times New Roman"/>
          <w:color w:val="000000"/>
          <w:sz w:val="20"/>
        </w:rPr>
        <w:t xml:space="preserve"> </w:t>
      </w:r>
      <w:r>
        <w:rPr>
          <w:rFonts w:ascii="Times New Roman" w:hAnsi="Times New Roman"/>
          <w:color w:val="000000"/>
          <w:sz w:val="22"/>
        </w:rPr>
        <w:t>the aggregate principal amount of such Term Loan Advances being prepaid.</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On the earliest to occur of (i) the Term Loan Maturity Date, (ii) the date that Borrower prepays the outstanding Secured Obligations (other than any inchoate indemnity obligations and any other obligations which, by their terms, are to survive the termination of this Agreement) in full, or (iii) the date that the Secured Obligations become due and payable (including by acceleration of the Secured Obligations during an Event of Default) pursuant to the terms of this Agreement, Borrower shall pay the Lenders a charge equal to (i) applicable End of Term Charge Percentage </w:t>
      </w:r>
      <w:r>
        <w:rPr>
          <w:rFonts w:ascii="Times New Roman" w:hAnsi="Times New Roman"/>
          <w:i/>
          <w:color w:val="000000"/>
          <w:sz w:val="22"/>
        </w:rPr>
        <w:t>multiplied by</w:t>
      </w:r>
      <w:r>
        <w:rPr>
          <w:rFonts w:ascii="Times New Roman" w:hAnsi="Times New Roman"/>
          <w:color w:val="000000"/>
          <w:sz w:val="20"/>
        </w:rPr>
        <w:t xml:space="preserve"> </w:t>
      </w:r>
      <w:r>
        <w:rPr>
          <w:rFonts w:ascii="Times New Roman" w:hAnsi="Times New Roman"/>
          <w:color w:val="000000"/>
          <w:sz w:val="22"/>
        </w:rPr>
        <w:t xml:space="preserve">the aggregate original principal amount of the Term Loan Advances made hereunder </w:t>
      </w:r>
      <w:r>
        <w:rPr>
          <w:rFonts w:ascii="Times New Roman" w:hAnsi="Times New Roman"/>
          <w:i/>
          <w:color w:val="000000"/>
          <w:sz w:val="22"/>
        </w:rPr>
        <w:t>minus</w:t>
      </w:r>
      <w:r>
        <w:rPr>
          <w:rFonts w:ascii="Times New Roman" w:hAnsi="Times New Roman"/>
          <w:color w:val="000000"/>
          <w:sz w:val="20"/>
        </w:rPr>
        <w:t xml:space="preserve"> </w:t>
      </w:r>
      <w:r>
        <w:rPr>
          <w:rFonts w:ascii="Times New Roman" w:hAnsi="Times New Roman"/>
          <w:color w:val="000000"/>
          <w:sz w:val="22"/>
        </w:rPr>
        <w:t xml:space="preserve">(ii) the aggregate amount of payments made pursuant to </w:t>
      </w:r>
      <w:r>
        <w:rPr>
          <w:rFonts w:ascii="Times New Roman" w:hAnsi="Times New Roman"/>
          <w:color w:val="000000"/>
          <w:sz w:val="22"/>
          <w:u w:val="single"/>
        </w:rPr>
        <w:t>Section 2.6(a)</w:t>
      </w:r>
      <w:r>
        <w:rPr>
          <w:rFonts w:ascii="Times New Roman" w:hAnsi="Times New Roman"/>
          <w:color w:val="000000"/>
          <w:sz w:val="20"/>
        </w:rPr>
        <w:t xml:space="preserve"> </w:t>
      </w:r>
      <w:r>
        <w:rPr>
          <w:rFonts w:ascii="Times New Roman" w:hAnsi="Times New Roman"/>
          <w:color w:val="000000"/>
          <w:sz w:val="22"/>
        </w:rPr>
        <w:t xml:space="preserve">(collectively, with any charge required to be paid pursuant to </w:t>
      </w:r>
      <w:r>
        <w:rPr>
          <w:rFonts w:ascii="Times New Roman" w:hAnsi="Times New Roman"/>
          <w:color w:val="000000"/>
          <w:sz w:val="22"/>
          <w:u w:val="single"/>
        </w:rPr>
        <w:t>Section 2.6(a)</w:t>
      </w:r>
      <w:r>
        <w:rPr>
          <w:rFonts w:ascii="Times New Roman" w:hAnsi="Times New Roman"/>
          <w:color w:val="000000"/>
          <w:sz w:val="22"/>
        </w:rPr>
        <w:t>, the “</w:t>
      </w:r>
      <w:r>
        <w:rPr>
          <w:rFonts w:ascii="Times New Roman" w:hAnsi="Times New Roman"/>
          <w:color w:val="000000"/>
          <w:sz w:val="22"/>
          <w:u w:val="single"/>
        </w:rPr>
        <w:t>End of Term Charge</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Notwithstanding the required payment date of such End of Term Charge, the applicable pro rata portion of the End of Term Charge with respect to any Advance shall be deemed earned by the Lenders as of the applicable Advance Date. For the avoidance of doubt, if a payment hereunder becomes due and payable on a day that is not a Business Day, the due date thereof shall be the immediately subsequent Business Day.</w:t>
      </w:r>
    </w:p>
    <w:p>
      <w:pPr>
        <w:pStyle w:val="TextBody"/>
        <w:bidi w:val="0"/>
        <w:spacing w:before="0" w:after="240"/>
        <w:jc w:val="both"/>
        <w:rPr>
          <w:rFonts w:ascii="Times New Roman" w:hAnsi="Times New Roman"/>
          <w:sz w:val="20"/>
        </w:rPr>
      </w:pPr>
      <w:r>
        <w:rPr>
          <w:rFonts w:ascii="Times New Roman" w:hAnsi="Times New Roman"/>
          <w:color w:val="000000"/>
          <w:sz w:val="22"/>
        </w:rPr>
        <w:t>2.7</w:t>
      </w:r>
      <w:r>
        <w:rPr>
          <w:rFonts w:ascii="Times New Roman" w:hAnsi="Times New Roman"/>
          <w:color w:val="000000"/>
          <w:sz w:val="20"/>
        </w:rPr>
        <w:t xml:space="preserve"> </w:t>
      </w:r>
      <w:r>
        <w:rPr>
          <w:rFonts w:ascii="Times New Roman" w:hAnsi="Times New Roman"/>
          <w:color w:val="000000"/>
          <w:sz w:val="22"/>
          <w:u w:val="single"/>
        </w:rPr>
        <w:t>Pro Rata Treatment</w:t>
      </w:r>
      <w:r>
        <w:rPr>
          <w:rFonts w:ascii="Times New Roman" w:hAnsi="Times New Roman"/>
          <w:color w:val="000000"/>
          <w:sz w:val="22"/>
        </w:rPr>
        <w:t>. Each payment (including prepayment) on account of any fee and any reduction of the Term Loan shall be made pro rata according to the Term Commitments of the relevant Lender.</w:t>
      </w:r>
    </w:p>
    <w:p>
      <w:pPr>
        <w:pStyle w:val="TextBody"/>
        <w:bidi w:val="0"/>
        <w:spacing w:before="0" w:after="240"/>
        <w:jc w:val="both"/>
        <w:rPr>
          <w:rFonts w:ascii="Times New Roman" w:hAnsi="Times New Roman"/>
          <w:sz w:val="20"/>
        </w:rPr>
      </w:pPr>
      <w:r>
        <w:rPr>
          <w:rFonts w:ascii="Times New Roman" w:hAnsi="Times New Roman"/>
          <w:color w:val="000000"/>
          <w:sz w:val="22"/>
        </w:rPr>
        <w:t>2.8</w:t>
      </w:r>
      <w:r>
        <w:rPr>
          <w:rFonts w:ascii="Times New Roman" w:hAnsi="Times New Roman"/>
          <w:color w:val="000000"/>
          <w:sz w:val="20"/>
        </w:rPr>
        <w:t xml:space="preserve"> </w:t>
      </w:r>
      <w:r>
        <w:rPr>
          <w:rFonts w:ascii="Times New Roman" w:hAnsi="Times New Roman"/>
          <w:color w:val="000000"/>
          <w:sz w:val="22"/>
          <w:u w:val="single"/>
        </w:rPr>
        <w:t>Taxes; Increased Costs</w:t>
      </w:r>
      <w:r>
        <w:rPr>
          <w:rFonts w:ascii="Times New Roman" w:hAnsi="Times New Roman"/>
          <w:color w:val="000000"/>
          <w:sz w:val="22"/>
        </w:rPr>
        <w:t xml:space="preserve">. Borrower, the Agent and the Lenders each hereby agree to the terms and conditions set forth on </w:t>
      </w:r>
      <w:r>
        <w:rPr>
          <w:rFonts w:ascii="Times New Roman" w:hAnsi="Times New Roman"/>
          <w:color w:val="000000"/>
          <w:sz w:val="22"/>
          <w:u w:val="single"/>
        </w:rPr>
        <w:t>Addendum 1</w:t>
      </w:r>
      <w:r>
        <w:rPr>
          <w:rFonts w:ascii="Times New Roman" w:hAnsi="Times New Roman"/>
          <w:color w:val="000000"/>
          <w:sz w:val="20"/>
        </w:rPr>
        <w:t xml:space="preserve"> </w:t>
      </w:r>
      <w:r>
        <w:rPr>
          <w:rFonts w:ascii="Times New Roman" w:hAnsi="Times New Roman"/>
          <w:color w:val="000000"/>
          <w:sz w:val="22"/>
        </w:rPr>
        <w:t>attached hereto.</w:t>
      </w:r>
    </w:p>
    <w:p>
      <w:pPr>
        <w:pStyle w:val="TextBody"/>
        <w:bidi w:val="0"/>
        <w:spacing w:before="0" w:after="240"/>
        <w:jc w:val="both"/>
        <w:rPr>
          <w:rFonts w:ascii="Times New Roman" w:hAnsi="Times New Roman"/>
          <w:sz w:val="20"/>
        </w:rPr>
      </w:pPr>
      <w:r>
        <w:rPr>
          <w:rFonts w:ascii="Times New Roman" w:hAnsi="Times New Roman"/>
          <w:color w:val="000000"/>
          <w:sz w:val="22"/>
        </w:rPr>
        <w:t>2.9</w:t>
      </w:r>
      <w:r>
        <w:rPr>
          <w:rFonts w:ascii="Times New Roman" w:hAnsi="Times New Roman"/>
          <w:color w:val="000000"/>
          <w:sz w:val="20"/>
        </w:rPr>
        <w:t xml:space="preserve"> </w:t>
      </w:r>
      <w:r>
        <w:rPr>
          <w:rFonts w:ascii="Times New Roman" w:hAnsi="Times New Roman"/>
          <w:color w:val="000000"/>
          <w:sz w:val="22"/>
          <w:u w:val="single"/>
        </w:rPr>
        <w:t>Treatment of Prepayment Charge and End of Term Charge</w:t>
      </w:r>
      <w:r>
        <w:rPr>
          <w:rFonts w:ascii="Times New Roman" w:hAnsi="Times New Roman"/>
          <w:color w:val="000000"/>
          <w:sz w:val="22"/>
        </w:rPr>
        <w:t>. Borrower agrees that any Prepayment Charge and any End of Term Charge payable shall be presumed to be the liquidated damages sustained by each Lender as the result of the early termination, and Borrower agrees that it is reasonable under the circumstances currently existing and existing as of the Closing Date. The Prepayment Charge and the End of Term Charge shall also be payable in the event the Secured Obligations (and/or this Agreement) are satisfied or released by foreclosure (whether by power of judicial proceeding), deed in lieu of foreclosure, or by any other means. Borrower expressly waives (to the fullest extent it may lawfully do so) the provisions of any present or future statute or law that prohibits or may prohibit the collection of the foregoing Prepayment Charge and End of Term Charge in connection with any such acceleration. Borrower agrees (to the fullest extent that each may lawfully do so): (a) each of the Prepayment Charge and the End of Term Charge is reasonable and is the product of an arm’s length transaction between sophisticated business people, ably represented by counsel; (b) each of the Prepayment Charge and the End of Term Charge shall be payable notwithstanding the then prevailing market rates at the time payment is made; (c) there has been a course of conduct between the Lenders and Borrower giving specific consideration in this transaction for such agreement to pay the Prepayment Charge and the End of Term Charge as a charge (and not interest) in the event of prepayment or acceleration; and (d) Borrower shall be estopped from claiming differently than as agreed to in this paragraph. Borrower expressly acknowledges that their agreement to pay each of the Prepayment Charge and the End of Term Charge to the Lenders as herein described was on the Closing Date and continues to be a material inducement to the Lenders to provide the Term Loan.</w:t>
      </w:r>
    </w:p>
    <w:p>
      <w:pPr>
        <w:pStyle w:val="TextBody"/>
        <w:bidi w:val="0"/>
        <w:spacing w:before="0" w:after="240"/>
        <w:jc w:val="center"/>
        <w:rPr>
          <w:rFonts w:ascii="Times New Roman" w:hAnsi="Times New Roman"/>
          <w:sz w:val="20"/>
        </w:rPr>
      </w:pPr>
      <w:r>
        <w:rPr>
          <w:rFonts w:ascii="Times New Roman" w:hAnsi="Times New Roman"/>
          <w:b/>
          <w:color w:val="000000"/>
          <w:sz w:val="22"/>
        </w:rPr>
        <w:t>SECTION 3</w:t>
      </w:r>
      <w:r>
        <w:rPr>
          <w:rFonts w:ascii="Times New Roman" w:hAnsi="Times New Roman"/>
          <w:color w:val="000000"/>
          <w:sz w:val="20"/>
        </w:rPr>
        <w:t xml:space="preserve"> </w:t>
      </w:r>
      <w:r>
        <w:rPr>
          <w:rFonts w:ascii="Times New Roman" w:hAnsi="Times New Roman"/>
          <w:b/>
          <w:color w:val="000000"/>
          <w:sz w:val="22"/>
          <w:u w:val="single"/>
        </w:rPr>
        <w:t>SECURITY INTEREST</w:t>
      </w:r>
    </w:p>
    <w:p>
      <w:pPr>
        <w:pStyle w:val="TextBody"/>
        <w:bidi w:val="0"/>
        <w:spacing w:before="0" w:after="240"/>
        <w:jc w:val="both"/>
        <w:rPr>
          <w:rFonts w:ascii="Times New Roman" w:hAnsi="Times New Roman"/>
          <w:sz w:val="20"/>
        </w:rPr>
      </w:pPr>
      <w:r>
        <w:rPr>
          <w:rFonts w:ascii="Times New Roman" w:hAnsi="Times New Roman"/>
          <w:color w:val="000000"/>
          <w:sz w:val="22"/>
        </w:rPr>
        <w:t>3.1</w:t>
      </w:r>
      <w:r>
        <w:rPr>
          <w:rFonts w:ascii="Times New Roman" w:hAnsi="Times New Roman"/>
          <w:color w:val="000000"/>
          <w:sz w:val="20"/>
        </w:rPr>
        <w:t xml:space="preserve"> </w:t>
      </w:r>
      <w:r>
        <w:rPr>
          <w:rFonts w:ascii="Times New Roman" w:hAnsi="Times New Roman"/>
          <w:color w:val="000000"/>
          <w:sz w:val="22"/>
        </w:rPr>
        <w:t xml:space="preserve">As security for the prompt and complete payment when due (whether on the payment dates or otherwise) of all the Secured Obligations, each Borrower grants to Agent a security interest in all of such Borrower’s right, title, and interest in, to and under all of such Borrower’s personal property and other assets, including without limitation the following, whether now owned or hereafter acquired (collectively, but subject to </w:t>
      </w:r>
      <w:r>
        <w:rPr>
          <w:rFonts w:ascii="Times New Roman" w:hAnsi="Times New Roman"/>
          <w:color w:val="000000"/>
          <w:sz w:val="22"/>
          <w:u w:val="single"/>
        </w:rPr>
        <w:t>Section 3.2</w:t>
      </w:r>
      <w:r>
        <w:rPr>
          <w:rFonts w:ascii="Times New Roman" w:hAnsi="Times New Roman"/>
          <w:color w:val="000000"/>
          <w:sz w:val="22"/>
        </w:rPr>
        <w:t>, the “</w:t>
      </w:r>
      <w:r>
        <w:rPr>
          <w:rFonts w:ascii="Times New Roman" w:hAnsi="Times New Roman"/>
          <w:color w:val="000000"/>
          <w:sz w:val="22"/>
          <w:u w:val="single"/>
        </w:rPr>
        <w:t>Collateral</w:t>
      </w:r>
      <w:r>
        <w:rPr>
          <w:rFonts w:ascii="Times New Roman" w:hAnsi="Times New Roman"/>
          <w:color w:val="000000"/>
          <w:sz w:val="20"/>
        </w:rPr>
        <w:t>”</w:t>
      </w:r>
      <w:r>
        <w:rPr>
          <w:rFonts w:ascii="Times New Roman" w:hAnsi="Times New Roman"/>
          <w:color w:val="000000"/>
          <w:sz w:val="22"/>
        </w:rPr>
        <w:t>): (a) Receivables; (b) Equipment; (c) Fixtures; (d) General Intangibles (other than Company IP); (e) Inventory; (f) Investment Property; (g) Deposit Accounts; (h)</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Cash; (i) Goods; (j) all other tangible and intangible personal property of Borrower whether now or hereafter owned or existing, leased, consigned by or to, or acquired by, Borrower and wherever located, (k) any of Borrower’s property in the possession or under the control of Agent (other than Company IP), (l) to the extent not otherwise included, all Proceeds of each of the foregoing and all accessions to, substitutions and replacements for, and rents, profits and products of each of the foregoing, (m) all Accounts and General Intangibles that consist of rights to payment and proceeds from the sale, licensing or disposition of all or any part, or rights in, the Company IP (the “</w:t>
      </w:r>
      <w:r>
        <w:rPr>
          <w:rFonts w:ascii="Times New Roman" w:hAnsi="Times New Roman"/>
          <w:color w:val="000000"/>
          <w:sz w:val="22"/>
          <w:u w:val="single"/>
        </w:rPr>
        <w:t>Rights to Payment</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color w:val="000000"/>
          <w:sz w:val="22"/>
          <w:u w:val="single"/>
        </w:rPr>
        <w:t>provided that</w:t>
      </w:r>
      <w:r>
        <w:rPr>
          <w:rFonts w:ascii="Times New Roman" w:hAnsi="Times New Roman"/>
          <w:color w:val="000000"/>
          <w:sz w:val="20"/>
        </w:rPr>
        <w:t xml:space="preserve"> “</w:t>
      </w:r>
      <w:r>
        <w:rPr>
          <w:rFonts w:ascii="Times New Roman" w:hAnsi="Times New Roman"/>
          <w:color w:val="000000"/>
          <w:sz w:val="22"/>
        </w:rPr>
        <w:t xml:space="preserve">Collateral” shall not include any property excluded by </w:t>
      </w:r>
      <w:r>
        <w:rPr>
          <w:rFonts w:ascii="Times New Roman" w:hAnsi="Times New Roman"/>
          <w:color w:val="000000"/>
          <w:sz w:val="22"/>
          <w:u w:val="single"/>
        </w:rPr>
        <w:t>Section 3.2</w:t>
      </w:r>
      <w:r>
        <w:rPr>
          <w:rFonts w:ascii="Times New Roman" w:hAnsi="Times New Roman"/>
          <w:color w:val="000000"/>
          <w:sz w:val="22"/>
        </w:rPr>
        <w:t>. Notwithstanding the foregoing, if a judicial authority (including a U.S. Bankruptcy Court) holds that a security interest in the underlying Company IP is necessary to have a security interest in the Rights to Payment, then the Collateral shall automatically, and effective as of the date of this Agreement, include the Company IP to the extent necessary to permit perfection of Agent’s security interest in the Rights to Payment.</w:t>
      </w:r>
    </w:p>
    <w:p>
      <w:pPr>
        <w:pStyle w:val="TextBody"/>
        <w:bidi w:val="0"/>
        <w:spacing w:before="0" w:after="240"/>
        <w:jc w:val="both"/>
        <w:rPr>
          <w:rFonts w:ascii="Times New Roman" w:hAnsi="Times New Roman"/>
          <w:sz w:val="20"/>
        </w:rPr>
      </w:pPr>
      <w:r>
        <w:rPr>
          <w:rFonts w:ascii="Times New Roman" w:hAnsi="Times New Roman"/>
          <w:color w:val="000000"/>
          <w:sz w:val="22"/>
        </w:rPr>
        <w:t>3.2</w:t>
      </w:r>
      <w:r>
        <w:rPr>
          <w:rFonts w:ascii="Times New Roman" w:hAnsi="Times New Roman"/>
          <w:color w:val="000000"/>
          <w:sz w:val="20"/>
        </w:rPr>
        <w:t xml:space="preserve"> </w:t>
      </w:r>
      <w:r>
        <w:rPr>
          <w:rFonts w:ascii="Times New Roman" w:hAnsi="Times New Roman"/>
          <w:color w:val="000000"/>
          <w:sz w:val="22"/>
        </w:rPr>
        <w:t>Notwithstanding the broad grant of the security interest set forth in Section 3.1, above, the term “Collateral” shall not include, and Borrower hereunder conveys no interest in, (a) any governmental licenses or state or local charters and authorizations to the extent a security interest is prohibited or restricted by any applicable law (except to the extent such prohibition or restriction is ineffective under the UCC or other applicable law), but only for so long as such prohibition or restriction exists, (b) any property owned by any Borrower that is subject to a purchase money Lien or a capital lease or similar arrangement permitted by this Agreement to the extent that the obligation pursuant to which such Lien is granted (or in the document, instrument or agreement providing for such capital lease) prohibits (or causes a default thereunder), invalidates such obligation, document, instrument or agreement or provides a right of termination in favor of any other party thereto (other than the applicable Borrower and its Affiliates) by granting, any other Lien or interest on such property (but only to the extent (i) such prohibition on transfer is enforceable under applicable law, including, without limitation, Sections 9-406, 9-407 and 9-408 of the UCC and (ii) no consent or waiver has been obtained that would permit Agent’s security interest or lien to attach notwithstanding the prohibition or restriction on such property subject to such purchase money Lien or capital lease), (c) nonassignable licenses or contracts, which by their terms require the consent of the licensor thereof or another party (but only to the extent (i) such prohibition on transfer is enforceable under applicable law, including, without limitation, Sections 9-406, 9-407 and 9-408 of the UCC and (ii) no consent or waiver has been obtained that would permit Agent’s security interest or lien to attach notwithstanding the prohibition or restriction on the pledge of such lease, license or agreement), (d) any property to the extent that Agent, in its sole discretion, determines that the cost and/or burden of obtaining a security interest in such property outweigh the benefit to the Agent and the Lenders and (e) any Excluded Account. For the avoidance of doubt, the foregoing exclusions of clauses (b) and (c) shall in no way be construed to limit, impair, or otherwise affect any of Agent’s continuing security interests in and liens upon any rights or interests of any Borrower in or to (x) monies due or to become due under or in connection with any described lease, license or agreement or the property subject to such purchase money lien or capital lease, or (y) any proceeds from the sale, license, lease, or other dispositions of any such lease, license or agreement or the property subject to such purchase money lien or capital lease.</w:t>
      </w:r>
    </w:p>
    <w:p>
      <w:pPr>
        <w:pStyle w:val="TextBody"/>
        <w:bidi w:val="0"/>
        <w:spacing w:before="0" w:after="240"/>
        <w:jc w:val="center"/>
        <w:rPr>
          <w:rFonts w:ascii="Times New Roman" w:hAnsi="Times New Roman"/>
          <w:sz w:val="20"/>
        </w:rPr>
      </w:pPr>
      <w:r>
        <w:rPr>
          <w:rFonts w:ascii="Times New Roman" w:hAnsi="Times New Roman"/>
          <w:b/>
          <w:color w:val="000000"/>
          <w:sz w:val="22"/>
        </w:rPr>
        <w:t>SECTION 4</w:t>
      </w:r>
      <w:r>
        <w:rPr>
          <w:rFonts w:ascii="Times New Roman" w:hAnsi="Times New Roman"/>
          <w:color w:val="000000"/>
          <w:sz w:val="20"/>
        </w:rPr>
        <w:t xml:space="preserve"> </w:t>
      </w:r>
      <w:r>
        <w:rPr>
          <w:rFonts w:ascii="Times New Roman" w:hAnsi="Times New Roman"/>
          <w:b/>
          <w:color w:val="000000"/>
          <w:sz w:val="22"/>
          <w:u w:val="single"/>
        </w:rPr>
        <w:t>CONDITIONS PRECEDENT TO LOAN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obligations of the Lenders to make the Loan hereunder are subject to the satisfaction by Borrower of the following conditions:</w:t>
      </w:r>
    </w:p>
    <w:p>
      <w:pPr>
        <w:pStyle w:val="TextBody"/>
        <w:bidi w:val="0"/>
        <w:spacing w:before="0" w:after="240"/>
        <w:jc w:val="both"/>
        <w:rPr>
          <w:rFonts w:ascii="Times New Roman" w:hAnsi="Times New Roman"/>
          <w:sz w:val="20"/>
        </w:rPr>
      </w:pPr>
      <w:r>
        <w:rPr>
          <w:rFonts w:ascii="Times New Roman" w:hAnsi="Times New Roman"/>
          <w:color w:val="000000"/>
          <w:sz w:val="22"/>
        </w:rPr>
        <w:t>4.1</w:t>
      </w:r>
      <w:r>
        <w:rPr>
          <w:rFonts w:ascii="Times New Roman" w:hAnsi="Times New Roman"/>
          <w:color w:val="000000"/>
          <w:sz w:val="20"/>
        </w:rPr>
        <w:t xml:space="preserve"> </w:t>
      </w:r>
      <w:r>
        <w:rPr>
          <w:rFonts w:ascii="Times New Roman" w:hAnsi="Times New Roman"/>
          <w:color w:val="000000"/>
          <w:sz w:val="22"/>
          <w:u w:val="single"/>
        </w:rPr>
        <w:t>Initial Advance</w:t>
      </w:r>
      <w:r>
        <w:rPr>
          <w:rFonts w:ascii="Times New Roman" w:hAnsi="Times New Roman"/>
          <w:color w:val="000000"/>
          <w:sz w:val="22"/>
        </w:rPr>
        <w:t>. On or prior to the Closing Date, Borrower shall have delivered to Agent the following:</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executed copies of the Loan Documents and all other documents and instruments reasonably required by Agent to effectuate the transactions contemplated hereby or to create and perfect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the Liens of Agent with respect to all Collateral (other than the specified Account Control Agreements described in </w:t>
      </w:r>
      <w:r>
        <w:rPr>
          <w:rFonts w:ascii="Times New Roman" w:hAnsi="Times New Roman"/>
          <w:color w:val="000000"/>
          <w:sz w:val="22"/>
          <w:u w:val="single"/>
        </w:rPr>
        <w:t>Section 4.4</w:t>
      </w:r>
      <w:r>
        <w:rPr>
          <w:rFonts w:ascii="Times New Roman" w:hAnsi="Times New Roman"/>
          <w:color w:val="000000"/>
          <w:sz w:val="22"/>
        </w:rPr>
        <w:t>), in all cases in form and substance reasonably acceptable to Agent;</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a legal opinion of Borrower’s counsel in form and substance reasonably acceptable to Agent;</w:t>
      </w:r>
    </w:p>
    <w:p>
      <w:pPr>
        <w:pStyle w:val="TextBody"/>
        <w:bidi w:val="0"/>
        <w:spacing w:before="0" w:after="240"/>
        <w:jc w:val="both"/>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certified copy of resolutions of each Borrower’s Board of Directors evidencing (i) approval of the Loan and other transactions evidenced by the Loan Documents (ii) the authorization of a specified person or persons to execute the Loan Documents to which it is a party on its behalf; (iii) the authorization of a specified person or persons, on its behalf, to sign and/or dispatch all documents and notices (including, if relevant, any Advance Request or other relevant notice) to be signed and/or dispatched by it under or in connection with the Loan Documents to which it is a party; and (iv) (A) acknowledgement that the Board of Directors are acting for a proper purpose and that the Loan Documents are in the best interests of that Borrower and for its commercial benefit; and (B) acknowledgement that the relevant Borrower was solvent and there were reasonable grounds to expect that the relevant Borrower would continue to be solvent after executing and complying with its obligations under the Loan Documents;</w:t>
      </w:r>
    </w:p>
    <w:p>
      <w:pPr>
        <w:pStyle w:val="TextBody"/>
        <w:bidi w:val="0"/>
        <w:spacing w:before="0" w:after="240"/>
        <w:jc w:val="both"/>
        <w:rPr>
          <w:rFonts w:ascii="Times New Roman" w:hAnsi="Times New Roman"/>
          <w:sz w:val="20"/>
        </w:rPr>
      </w:pPr>
      <w:r>
        <w:rPr>
          <w:rFonts w:ascii="Times New Roman" w:hAnsi="Times New Roman"/>
          <w:color w:val="000000"/>
          <w:sz w:val="22"/>
        </w:rPr>
        <w:t>(d)</w:t>
      </w:r>
      <w:r>
        <w:rPr>
          <w:rFonts w:ascii="Times New Roman" w:hAnsi="Times New Roman"/>
          <w:color w:val="000000"/>
          <w:sz w:val="20"/>
        </w:rPr>
        <w:t xml:space="preserve"> </w:t>
      </w:r>
      <w:r>
        <w:rPr>
          <w:rFonts w:ascii="Times New Roman" w:hAnsi="Times New Roman"/>
          <w:color w:val="000000"/>
          <w:sz w:val="22"/>
        </w:rPr>
        <w:t>certified copies of the Organizational Documents, as amended through the Closing Date, of Borrower;</w:t>
      </w:r>
    </w:p>
    <w:p>
      <w:pPr>
        <w:pStyle w:val="TextBody"/>
        <w:bidi w:val="0"/>
        <w:spacing w:before="0" w:after="240"/>
        <w:jc w:val="both"/>
        <w:rPr>
          <w:rFonts w:ascii="Times New Roman" w:hAnsi="Times New Roman"/>
          <w:sz w:val="20"/>
        </w:rPr>
      </w:pPr>
      <w:r>
        <w:rPr>
          <w:rFonts w:ascii="Times New Roman" w:hAnsi="Times New Roman"/>
          <w:color w:val="000000"/>
          <w:sz w:val="22"/>
        </w:rPr>
        <w:t>(e)</w:t>
      </w:r>
      <w:r>
        <w:rPr>
          <w:rFonts w:ascii="Times New Roman" w:hAnsi="Times New Roman"/>
          <w:color w:val="000000"/>
          <w:sz w:val="20"/>
        </w:rPr>
        <w:t xml:space="preserve"> </w:t>
      </w:r>
      <w:r>
        <w:rPr>
          <w:rFonts w:ascii="Times New Roman" w:hAnsi="Times New Roman"/>
          <w:color w:val="000000"/>
          <w:sz w:val="22"/>
        </w:rPr>
        <w:t>a certificate of good standing for Borrower from its state of incorporation and similar certificates from all other jurisdictions in which it does business and where the failure to be qualified would 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(f)</w:t>
      </w:r>
      <w:r>
        <w:rPr>
          <w:rFonts w:ascii="Times New Roman" w:hAnsi="Times New Roman"/>
          <w:color w:val="000000"/>
          <w:sz w:val="20"/>
        </w:rPr>
        <w:t xml:space="preserve"> </w:t>
      </w:r>
      <w:r>
        <w:rPr>
          <w:rFonts w:ascii="Times New Roman" w:hAnsi="Times New Roman"/>
          <w:color w:val="000000"/>
          <w:sz w:val="22"/>
        </w:rPr>
        <w:t>[Reserved];</w:t>
      </w:r>
    </w:p>
    <w:p>
      <w:pPr>
        <w:pStyle w:val="TextBody"/>
        <w:bidi w:val="0"/>
        <w:spacing w:before="0" w:after="240"/>
        <w:jc w:val="both"/>
        <w:rPr>
          <w:rFonts w:ascii="Times New Roman" w:hAnsi="Times New Roman"/>
          <w:sz w:val="20"/>
        </w:rPr>
      </w:pPr>
      <w:r>
        <w:rPr>
          <w:rFonts w:ascii="Times New Roman" w:hAnsi="Times New Roman"/>
          <w:color w:val="000000"/>
          <w:sz w:val="22"/>
        </w:rPr>
        <w:t>(g)</w:t>
      </w:r>
      <w:r>
        <w:rPr>
          <w:rFonts w:ascii="Times New Roman" w:hAnsi="Times New Roman"/>
          <w:color w:val="000000"/>
          <w:sz w:val="20"/>
        </w:rPr>
        <w:t xml:space="preserve"> </w:t>
      </w:r>
      <w:r>
        <w:rPr>
          <w:rFonts w:ascii="Times New Roman" w:hAnsi="Times New Roman"/>
          <w:color w:val="000000"/>
          <w:sz w:val="22"/>
        </w:rPr>
        <w:t>certified copies, dated as of a recent date, of searches for financing statements filed in the central filing office of the State of Delaware accompanied by written evidence (including any UCC termination statements) that the Liens on any Collateral indicated in any such financing statements either constitute Permitted Liens or have been or, in connection with the initial Term Loan Advance, will be terminated or released;</w:t>
      </w:r>
    </w:p>
    <w:p>
      <w:pPr>
        <w:pStyle w:val="TextBody"/>
        <w:bidi w:val="0"/>
        <w:spacing w:before="0" w:after="240"/>
        <w:jc w:val="both"/>
        <w:rPr>
          <w:rFonts w:ascii="Times New Roman" w:hAnsi="Times New Roman"/>
          <w:sz w:val="20"/>
        </w:rPr>
      </w:pPr>
      <w:r>
        <w:rPr>
          <w:rFonts w:ascii="Times New Roman" w:hAnsi="Times New Roman"/>
          <w:color w:val="000000"/>
          <w:sz w:val="22"/>
        </w:rPr>
        <w:t>(h)</w:t>
      </w:r>
      <w:r>
        <w:rPr>
          <w:rFonts w:ascii="Times New Roman" w:hAnsi="Times New Roman"/>
          <w:color w:val="000000"/>
          <w:sz w:val="20"/>
        </w:rPr>
        <w:t xml:space="preserve"> </w:t>
      </w:r>
      <w:r>
        <w:rPr>
          <w:rFonts w:ascii="Times New Roman" w:hAnsi="Times New Roman"/>
          <w:color w:val="000000"/>
          <w:sz w:val="22"/>
        </w:rPr>
        <w:t>current searches at the U.S. Patent and Trademark Office or the U.S. Copyright Office, as applicable, listing issued or pending Current Company IP of Borrower;</w:t>
      </w:r>
    </w:p>
    <w:p>
      <w:pPr>
        <w:pStyle w:val="TextBody"/>
        <w:bidi w:val="0"/>
        <w:spacing w:before="0" w:after="240"/>
        <w:jc w:val="both"/>
        <w:rPr>
          <w:rFonts w:ascii="Times New Roman" w:hAnsi="Times New Roman"/>
          <w:sz w:val="20"/>
        </w:rPr>
      </w:pPr>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rPr>
        <w:t>payment of the Initial Facility Charge and reimbursement of Agent’s and the Lenders’ current expenses reimbursable pursuant to this Agreement, which amounts may be deducted from the initial Advance, it being understood and agreed that the Due Diligence Fee previously paid shall be applied to the payment of the Lenders’ non-legal transaction costs and due diligence expenses;</w:t>
      </w:r>
    </w:p>
    <w:p>
      <w:pPr>
        <w:pStyle w:val="TextBody"/>
        <w:bidi w:val="0"/>
        <w:spacing w:before="0" w:after="240"/>
        <w:jc w:val="both"/>
        <w:rPr>
          <w:rFonts w:ascii="Times New Roman" w:hAnsi="Times New Roman"/>
          <w:sz w:val="20"/>
        </w:rPr>
      </w:pPr>
      <w:r>
        <w:rPr>
          <w:rFonts w:ascii="Times New Roman" w:hAnsi="Times New Roman"/>
          <w:color w:val="000000"/>
          <w:sz w:val="22"/>
        </w:rPr>
        <w:t>(j)</w:t>
      </w:r>
      <w:r>
        <w:rPr>
          <w:rFonts w:ascii="Times New Roman" w:hAnsi="Times New Roman"/>
          <w:color w:val="000000"/>
          <w:sz w:val="20"/>
        </w:rPr>
        <w:t xml:space="preserve"> </w:t>
      </w:r>
      <w:r>
        <w:rPr>
          <w:rFonts w:ascii="Times New Roman" w:hAnsi="Times New Roman"/>
          <w:color w:val="000000"/>
          <w:sz w:val="22"/>
        </w:rPr>
        <w:t>a duly executed copy of the Perfection Certificate and each exhibit and addendum thereto;</w:t>
      </w:r>
    </w:p>
    <w:p>
      <w:pPr>
        <w:pStyle w:val="TextBody"/>
        <w:bidi w:val="0"/>
        <w:spacing w:before="0" w:after="240"/>
        <w:jc w:val="both"/>
        <w:rPr>
          <w:rFonts w:ascii="Times New Roman" w:hAnsi="Times New Roman"/>
          <w:sz w:val="20"/>
        </w:rPr>
      </w:pPr>
      <w:r>
        <w:rPr>
          <w:rFonts w:ascii="Times New Roman" w:hAnsi="Times New Roman"/>
          <w:color w:val="000000"/>
          <w:sz w:val="22"/>
        </w:rPr>
        <w:t>(k)</w:t>
      </w:r>
      <w:r>
        <w:rPr>
          <w:rFonts w:ascii="Times New Roman" w:hAnsi="Times New Roman"/>
          <w:color w:val="000000"/>
          <w:sz w:val="20"/>
        </w:rPr>
        <w:t xml:space="preserve"> </w:t>
      </w:r>
      <w:r>
        <w:rPr>
          <w:rFonts w:ascii="Times New Roman" w:hAnsi="Times New Roman"/>
          <w:color w:val="000000"/>
          <w:sz w:val="22"/>
        </w:rPr>
        <w:t>[Reserved]</w:t>
      </w:r>
    </w:p>
    <w:p>
      <w:pPr>
        <w:pStyle w:val="TextBody"/>
        <w:bidi w:val="0"/>
        <w:spacing w:before="0" w:after="240"/>
        <w:jc w:val="both"/>
        <w:rPr>
          <w:rFonts w:ascii="Times New Roman" w:hAnsi="Times New Roman"/>
          <w:sz w:val="20"/>
        </w:rPr>
      </w:pPr>
      <w:r>
        <w:rPr>
          <w:rFonts w:ascii="Times New Roman" w:hAnsi="Times New Roman"/>
          <w:color w:val="000000"/>
          <w:sz w:val="22"/>
        </w:rPr>
        <w:t>(l)</w:t>
      </w:r>
      <w:r>
        <w:rPr>
          <w:rFonts w:ascii="Times New Roman" w:hAnsi="Times New Roman"/>
          <w:color w:val="000000"/>
          <w:sz w:val="20"/>
        </w:rPr>
        <w:t xml:space="preserve"> </w:t>
      </w:r>
      <w:r>
        <w:rPr>
          <w:rFonts w:ascii="Times New Roman" w:hAnsi="Times New Roman"/>
          <w:color w:val="000000"/>
          <w:sz w:val="22"/>
        </w:rPr>
        <w:t>[Reserved]</w:t>
      </w:r>
    </w:p>
    <w:p>
      <w:pPr>
        <w:pStyle w:val="TextBody"/>
        <w:bidi w:val="0"/>
        <w:spacing w:before="0" w:after="240"/>
        <w:jc w:val="both"/>
        <w:rPr>
          <w:rFonts w:ascii="Times New Roman" w:hAnsi="Times New Roman"/>
          <w:sz w:val="20"/>
        </w:rPr>
      </w:pPr>
      <w:r>
        <w:rPr>
          <w:rFonts w:ascii="Times New Roman" w:hAnsi="Times New Roman"/>
          <w:color w:val="000000"/>
          <w:sz w:val="22"/>
        </w:rPr>
        <w:t>(m)</w:t>
      </w:r>
      <w:r>
        <w:rPr>
          <w:rFonts w:ascii="Times New Roman" w:hAnsi="Times New Roman"/>
          <w:color w:val="000000"/>
          <w:sz w:val="20"/>
        </w:rPr>
        <w:t xml:space="preserve"> </w:t>
      </w:r>
      <w:r>
        <w:rPr>
          <w:rFonts w:ascii="Times New Roman" w:hAnsi="Times New Roman"/>
          <w:color w:val="000000"/>
          <w:sz w:val="22"/>
        </w:rPr>
        <w:t>[Reserved]</w:t>
      </w:r>
    </w:p>
    <w:p>
      <w:pPr>
        <w:pStyle w:val="TextBody"/>
        <w:bidi w:val="0"/>
        <w:spacing w:before="0" w:after="240"/>
        <w:jc w:val="both"/>
        <w:rPr>
          <w:rFonts w:ascii="Times New Roman" w:hAnsi="Times New Roman"/>
          <w:sz w:val="20"/>
        </w:rPr>
      </w:pPr>
      <w:r>
        <w:rPr>
          <w:rFonts w:ascii="Times New Roman" w:hAnsi="Times New Roman"/>
          <w:color w:val="000000"/>
          <w:sz w:val="22"/>
        </w:rPr>
        <w:t>(n)</w:t>
      </w:r>
      <w:r>
        <w:rPr>
          <w:rFonts w:ascii="Times New Roman" w:hAnsi="Times New Roman"/>
          <w:color w:val="000000"/>
          <w:sz w:val="20"/>
        </w:rPr>
        <w:t xml:space="preserve"> </w:t>
      </w:r>
      <w:r>
        <w:rPr>
          <w:rFonts w:ascii="Times New Roman" w:hAnsi="Times New Roman"/>
          <w:color w:val="000000"/>
          <w:sz w:val="22"/>
        </w:rPr>
        <w:t>all reports, declarations and forms required by the SBA, including but not limited to SBA 652, SBA 1031 and SBA 480; and</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(o)</w:t>
      </w:r>
      <w:r>
        <w:rPr>
          <w:rFonts w:ascii="Times New Roman" w:hAnsi="Times New Roman"/>
          <w:color w:val="000000"/>
          <w:sz w:val="20"/>
        </w:rPr>
        <w:t xml:space="preserve"> </w:t>
      </w:r>
      <w:r>
        <w:rPr>
          <w:rFonts w:ascii="Times New Roman" w:hAnsi="Times New Roman"/>
          <w:color w:val="000000"/>
          <w:sz w:val="22"/>
        </w:rPr>
        <w:t>such other documents as Agent may reasonably request.</w:t>
      </w:r>
    </w:p>
    <w:p>
      <w:pPr>
        <w:pStyle w:val="TextBody"/>
        <w:bidi w:val="0"/>
        <w:spacing w:before="0" w:after="240"/>
        <w:jc w:val="both"/>
        <w:rPr>
          <w:rFonts w:ascii="Times New Roman" w:hAnsi="Times New Roman"/>
          <w:sz w:val="20"/>
        </w:rPr>
      </w:pPr>
      <w:r>
        <w:rPr>
          <w:rFonts w:ascii="Times New Roman" w:hAnsi="Times New Roman"/>
          <w:color w:val="000000"/>
          <w:sz w:val="22"/>
        </w:rPr>
        <w:t>4.2</w:t>
      </w:r>
      <w:r>
        <w:rPr>
          <w:rFonts w:ascii="Times New Roman" w:hAnsi="Times New Roman"/>
          <w:color w:val="000000"/>
          <w:sz w:val="20"/>
        </w:rPr>
        <w:t xml:space="preserve"> </w:t>
      </w:r>
      <w:r>
        <w:rPr>
          <w:rFonts w:ascii="Times New Roman" w:hAnsi="Times New Roman"/>
          <w:color w:val="000000"/>
          <w:sz w:val="22"/>
          <w:u w:val="single"/>
        </w:rPr>
        <w:t>All Advances</w:t>
      </w:r>
      <w:r>
        <w:rPr>
          <w:rFonts w:ascii="Times New Roman" w:hAnsi="Times New Roman"/>
          <w:color w:val="000000"/>
          <w:sz w:val="22"/>
        </w:rPr>
        <w:t>. On each Advance Date:</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 xml:space="preserve">Agent shall have received (i) an Advance Request for the relevant Advance as required by </w:t>
      </w:r>
      <w:r>
        <w:rPr>
          <w:rFonts w:ascii="Times New Roman" w:hAnsi="Times New Roman"/>
          <w:color w:val="000000"/>
          <w:sz w:val="22"/>
          <w:u w:val="single"/>
        </w:rPr>
        <w:t>Section 2.2(</w:t>
      </w:r>
      <w:r>
        <w:rPr>
          <w:rFonts w:ascii="Times New Roman" w:hAnsi="Times New Roman"/>
          <w:strike/>
          <w:color w:val="FF0000"/>
          <w:sz w:val="22"/>
          <w:u w:val="single"/>
        </w:rPr>
        <w:t>g</w:t>
      </w:r>
      <w:r>
        <w:rPr>
          <w:rFonts w:ascii="Times New Roman" w:hAnsi="Times New Roman"/>
          <w:color w:val="0000FF"/>
          <w:sz w:val="22"/>
          <w:u w:val="single"/>
        </w:rPr>
        <w:t>h</w:t>
      </w:r>
      <w:r>
        <w:rPr>
          <w:rFonts w:ascii="Times New Roman" w:hAnsi="Times New Roman"/>
          <w:color w:val="000000"/>
          <w:sz w:val="22"/>
          <w:u w:val="single"/>
        </w:rPr>
        <w:t>)</w:t>
      </w:r>
      <w:r>
        <w:rPr>
          <w:rFonts w:ascii="Times New Roman" w:hAnsi="Times New Roman"/>
          <w:color w:val="000000"/>
          <w:sz w:val="22"/>
        </w:rPr>
        <w:t>, each duly executed by Borrower’s Chief Executive Officer or Chief Financial Officer, and (ii) any other documents related to Borrower’s business or financial condition that Agent, in good faith, may reasonably request promptly upon or prior to its receipt of such Advance Request, so long as such request does not result in the intentional delay or denial of the relevant Advance without cause.</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The representations and warranties set forth in this Agreement shall be true and correct in all material respects on and as of the Advance Date with the same effect as though made on and as of such date, except to the extent such representations and warranties expressly relate to an earlier date.</w:t>
      </w:r>
    </w:p>
    <w:p>
      <w:pPr>
        <w:pStyle w:val="TextBody"/>
        <w:bidi w:val="0"/>
        <w:spacing w:before="0" w:after="240"/>
        <w:jc w:val="both"/>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At the time of and immediately after such Advance no Default or Event of Default shall have occurred and be continuing.</w:t>
      </w:r>
    </w:p>
    <w:p>
      <w:pPr>
        <w:pStyle w:val="TextBody"/>
        <w:bidi w:val="0"/>
        <w:spacing w:before="0" w:after="240"/>
        <w:jc w:val="both"/>
        <w:rPr>
          <w:rFonts w:ascii="Times New Roman" w:hAnsi="Times New Roman"/>
          <w:sz w:val="20"/>
        </w:rPr>
      </w:pPr>
      <w:r>
        <w:rPr>
          <w:rFonts w:ascii="Times New Roman" w:hAnsi="Times New Roman"/>
          <w:color w:val="000000"/>
          <w:sz w:val="22"/>
        </w:rPr>
        <w:t>(d)</w:t>
      </w:r>
      <w:r>
        <w:rPr>
          <w:rFonts w:ascii="Times New Roman" w:hAnsi="Times New Roman"/>
          <w:color w:val="000000"/>
          <w:sz w:val="20"/>
        </w:rPr>
        <w:t xml:space="preserve"> </w:t>
      </w:r>
      <w:r>
        <w:rPr>
          <w:rFonts w:ascii="Times New Roman" w:hAnsi="Times New Roman"/>
          <w:color w:val="000000"/>
          <w:sz w:val="22"/>
        </w:rPr>
        <w:t>With respect to any Tranche 2 Advance, Borrower shall have paid the Tranche 2 Facility Charge (which amount may be deducted from such Tranche 2 Advance).</w:t>
      </w:r>
    </w:p>
    <w:p>
      <w:pPr>
        <w:pStyle w:val="TextBody"/>
        <w:bidi w:val="0"/>
        <w:spacing w:before="0" w:after="240"/>
        <w:jc w:val="both"/>
        <w:rPr>
          <w:rFonts w:ascii="Times New Roman" w:hAnsi="Times New Roman"/>
          <w:sz w:val="20"/>
        </w:rPr>
      </w:pPr>
      <w:r>
        <w:rPr>
          <w:rFonts w:ascii="Times New Roman" w:hAnsi="Times New Roman"/>
          <w:color w:val="000000"/>
          <w:sz w:val="22"/>
        </w:rPr>
        <w:t>(e)</w:t>
      </w:r>
      <w:r>
        <w:rPr>
          <w:rFonts w:ascii="Times New Roman" w:hAnsi="Times New Roman"/>
          <w:color w:val="000000"/>
          <w:sz w:val="20"/>
        </w:rPr>
        <w:t xml:space="preserve"> </w:t>
      </w:r>
      <w:r>
        <w:rPr>
          <w:rFonts w:ascii="Times New Roman" w:hAnsi="Times New Roman"/>
          <w:color w:val="000000"/>
          <w:sz w:val="22"/>
        </w:rPr>
        <w:t>With respect to any Tranche 3 Advance, Borrower shall have paid the Tranche 3 Facility Charge (which amount may be deducted from such Tranche 3 Advance).</w:t>
      </w:r>
    </w:p>
    <w:p>
      <w:pPr>
        <w:pStyle w:val="TextBody"/>
        <w:bidi w:val="0"/>
        <w:spacing w:before="0" w:after="240"/>
        <w:jc w:val="both"/>
        <w:rPr>
          <w:rFonts w:ascii="Times New Roman" w:hAnsi="Times New Roman"/>
          <w:sz w:val="20"/>
        </w:rPr>
      </w:pPr>
      <w:r>
        <w:rPr>
          <w:rFonts w:ascii="Times New Roman" w:hAnsi="Times New Roman"/>
          <w:color w:val="000000"/>
          <w:sz w:val="22"/>
        </w:rPr>
        <w:t>(f)</w:t>
      </w:r>
      <w:r>
        <w:rPr>
          <w:rFonts w:ascii="Times New Roman" w:hAnsi="Times New Roman"/>
          <w:color w:val="000000"/>
          <w:sz w:val="20"/>
        </w:rPr>
        <w:t xml:space="preserve"> </w:t>
      </w:r>
      <w:r>
        <w:rPr>
          <w:rFonts w:ascii="Times New Roman" w:hAnsi="Times New Roman"/>
          <w:color w:val="000000"/>
          <w:sz w:val="22"/>
        </w:rPr>
        <w:t>With respect to any Tranche 4 Advance, Borrower shall have paid the Tranche 4 Facility Charge (which amount may be deducted from such Tranche 4 Advance).</w:t>
      </w:r>
    </w:p>
    <w:p>
      <w:pPr>
        <w:pStyle w:val="TextBody"/>
        <w:bidi w:val="0"/>
        <w:spacing w:before="0" w:after="240"/>
        <w:jc w:val="both"/>
        <w:rPr>
          <w:rFonts w:ascii="Times New Roman" w:hAnsi="Times New Roman"/>
          <w:sz w:val="20"/>
        </w:rPr>
      </w:pPr>
      <w:r>
        <w:rPr>
          <w:rFonts w:ascii="Times New Roman" w:hAnsi="Times New Roman"/>
          <w:color w:val="000000"/>
          <w:sz w:val="22"/>
        </w:rPr>
        <w:t>(g)</w:t>
      </w:r>
      <w:r>
        <w:rPr>
          <w:rFonts w:ascii="Times New Roman" w:hAnsi="Times New Roman"/>
          <w:color w:val="000000"/>
          <w:sz w:val="20"/>
        </w:rPr>
        <w:t xml:space="preserve"> </w:t>
      </w:r>
      <w:r>
        <w:rPr>
          <w:rFonts w:ascii="Times New Roman" w:hAnsi="Times New Roman"/>
          <w:color w:val="000000"/>
          <w:sz w:val="22"/>
        </w:rPr>
        <w:t xml:space="preserve">Each Advance Request shall be deemed to constitute a representation and warranty by Borrower on the relevant Advance Date as to the matters specified in paragraphs (b) and (c) of this </w:t>
      </w:r>
      <w:r>
        <w:rPr>
          <w:rFonts w:ascii="Times New Roman" w:hAnsi="Times New Roman"/>
          <w:color w:val="000000"/>
          <w:sz w:val="22"/>
          <w:u w:val="single"/>
        </w:rPr>
        <w:t>Section 4.2</w:t>
      </w:r>
      <w:r>
        <w:rPr>
          <w:rFonts w:ascii="Times New Roman" w:hAnsi="Times New Roman"/>
          <w:color w:val="000000"/>
          <w:sz w:val="20"/>
        </w:rPr>
        <w:t xml:space="preserve"> </w:t>
      </w:r>
      <w:r>
        <w:rPr>
          <w:rFonts w:ascii="Times New Roman" w:hAnsi="Times New Roman"/>
          <w:color w:val="000000"/>
          <w:sz w:val="22"/>
        </w:rPr>
        <w:t>and as to the matters set forth in the Advance Request.</w:t>
      </w:r>
    </w:p>
    <w:p>
      <w:pPr>
        <w:pStyle w:val="TextBody"/>
        <w:bidi w:val="0"/>
        <w:spacing w:before="0" w:after="240"/>
        <w:jc w:val="both"/>
        <w:rPr>
          <w:rFonts w:ascii="Times New Roman" w:hAnsi="Times New Roman"/>
          <w:sz w:val="20"/>
        </w:rPr>
      </w:pPr>
      <w:r>
        <w:rPr>
          <w:rFonts w:ascii="Times New Roman" w:hAnsi="Times New Roman"/>
          <w:color w:val="000000"/>
          <w:sz w:val="22"/>
        </w:rPr>
        <w:t>(h)</w:t>
      </w:r>
      <w:r>
        <w:rPr>
          <w:rFonts w:ascii="Times New Roman" w:hAnsi="Times New Roman"/>
          <w:color w:val="000000"/>
          <w:sz w:val="20"/>
        </w:rPr>
        <w:t xml:space="preserve"> </w:t>
      </w:r>
      <w:r>
        <w:rPr>
          <w:rFonts w:ascii="Times New Roman" w:hAnsi="Times New Roman"/>
          <w:color w:val="000000"/>
          <w:sz w:val="22"/>
        </w:rPr>
        <w:t>As of the date of each Tranche 2 Advance, the Tranche 2 Milestone shall be satisfied.</w:t>
      </w:r>
    </w:p>
    <w:p>
      <w:pPr>
        <w:pStyle w:val="TextBody"/>
        <w:bidi w:val="0"/>
        <w:spacing w:before="0" w:after="240"/>
        <w:jc w:val="both"/>
        <w:rPr>
          <w:rFonts w:ascii="Times New Roman" w:hAnsi="Times New Roman"/>
          <w:sz w:val="20"/>
        </w:rPr>
      </w:pPr>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rPr>
        <w:t>As of the date of each Tranche 3 Advance, the Tranche 3 Milestone shall be satisfied.</w:t>
      </w:r>
    </w:p>
    <w:p>
      <w:pPr>
        <w:pStyle w:val="TextBody"/>
        <w:bidi w:val="0"/>
        <w:spacing w:before="0" w:after="240"/>
        <w:jc w:val="both"/>
        <w:rPr>
          <w:rFonts w:ascii="Times New Roman" w:hAnsi="Times New Roman"/>
          <w:sz w:val="20"/>
        </w:rPr>
      </w:pPr>
      <w:r>
        <w:rPr>
          <w:rFonts w:ascii="Times New Roman" w:hAnsi="Times New Roman"/>
          <w:color w:val="000000"/>
          <w:sz w:val="22"/>
        </w:rPr>
        <w:t>4.3</w:t>
      </w:r>
      <w:r>
        <w:rPr>
          <w:rFonts w:ascii="Times New Roman" w:hAnsi="Times New Roman"/>
          <w:color w:val="000000"/>
          <w:sz w:val="20"/>
        </w:rPr>
        <w:t xml:space="preserve"> </w:t>
      </w:r>
      <w:r>
        <w:rPr>
          <w:rFonts w:ascii="Times New Roman" w:hAnsi="Times New Roman"/>
          <w:color w:val="000000"/>
          <w:sz w:val="22"/>
          <w:u w:val="single"/>
        </w:rPr>
        <w:t>No Default</w:t>
      </w:r>
      <w:r>
        <w:rPr>
          <w:rFonts w:ascii="Times New Roman" w:hAnsi="Times New Roman"/>
          <w:color w:val="000000"/>
          <w:sz w:val="22"/>
        </w:rPr>
        <w:t>. As of the Closing Date and each Advance Date, (i) no Default or Event of Default shall have occurred and be continuing, and (ii) no event that has had or could reasonably be expected to have a Material Adverse Effect has occurred and is continuing.</w:t>
      </w:r>
    </w:p>
    <w:p>
      <w:pPr>
        <w:pStyle w:val="TextBody"/>
        <w:bidi w:val="0"/>
        <w:spacing w:before="0" w:after="240"/>
        <w:jc w:val="both"/>
        <w:rPr>
          <w:rFonts w:ascii="Times New Roman" w:hAnsi="Times New Roman"/>
          <w:sz w:val="20"/>
        </w:rPr>
      </w:pPr>
      <w:r>
        <w:rPr>
          <w:rFonts w:ascii="Times New Roman" w:hAnsi="Times New Roman"/>
          <w:color w:val="000000"/>
          <w:sz w:val="22"/>
        </w:rPr>
        <w:t>4.4</w:t>
      </w:r>
      <w:r>
        <w:rPr>
          <w:rFonts w:ascii="Times New Roman" w:hAnsi="Times New Roman"/>
          <w:color w:val="000000"/>
          <w:sz w:val="20"/>
        </w:rPr>
        <w:t xml:space="preserve"> </w:t>
      </w:r>
      <w:r>
        <w:rPr>
          <w:rFonts w:ascii="Times New Roman" w:hAnsi="Times New Roman"/>
          <w:color w:val="000000"/>
          <w:sz w:val="22"/>
          <w:u w:val="single"/>
        </w:rPr>
        <w:t>Post-Closing</w:t>
      </w:r>
      <w:r>
        <w:rPr>
          <w:rFonts w:ascii="Times New Roman" w:hAnsi="Times New Roman"/>
          <w:color w:val="000000"/>
          <w:sz w:val="22"/>
        </w:rPr>
        <w:t>. Borrower shall deliver to Agent the following, not later than the dates set forth below:</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Not later than thirty (30) days following the Closing Date (or such longer period of time as agreed to by Agent in writing in its sole discretion), duly executed landlord consents for its (i) chief executive office or its principal place of business and (ii) offices or business locations, including warehouses, containing in excess of Five Hundred Thousand Dollars ($500,000) of Borrower’s assets or property.</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Not later than ten (10) Business Days following the Closing Date (or such longer period of time as agreed to by Agent in writing in its sole discretion), a duly executed Account Control</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Agreement regarding each Deposit Account or securities account (that is not an Excluded Account) maintained by any Borrower that is not already subject to an Account Control Agreement, provided that (i) no proceeds of any Advance shall be transferred to any Deposit Account that is not subject to an Account Control Agreement and (ii) notwithstanding the foregoing, the deadline for the account ending [***] listed on Exhibit D shall be sixty (60) days.</w:t>
      </w:r>
    </w:p>
    <w:p>
      <w:pPr>
        <w:pStyle w:val="TextBody"/>
        <w:bidi w:val="0"/>
        <w:spacing w:before="0" w:after="240"/>
        <w:jc w:val="both"/>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 xml:space="preserve">Not later than thirty (30) days following the Closing Date (or such longer period of time as agreed to by Agent in writing in its sole discretion), all insurance endorsements and copies of each insurance policy required by </w:t>
      </w:r>
      <w:r>
        <w:rPr>
          <w:rFonts w:ascii="Times New Roman" w:hAnsi="Times New Roman"/>
          <w:color w:val="000000"/>
          <w:sz w:val="22"/>
          <w:u w:val="single"/>
        </w:rPr>
        <w:t>Section 6.2</w:t>
      </w:r>
      <w:r>
        <w:rPr>
          <w:rFonts w:ascii="Times New Roman" w:hAnsi="Times New Roman"/>
          <w:color w:val="000000"/>
          <w:sz w:val="20"/>
        </w:rPr>
        <w:t xml:space="preserve"> </w:t>
      </w:r>
      <w:r>
        <w:rPr>
          <w:rFonts w:ascii="Times New Roman" w:hAnsi="Times New Roman"/>
          <w:color w:val="000000"/>
          <w:sz w:val="22"/>
        </w:rPr>
        <w:t>hereunder.</w:t>
      </w:r>
    </w:p>
    <w:p>
      <w:pPr>
        <w:pStyle w:val="TextBody"/>
        <w:bidi w:val="0"/>
        <w:spacing w:before="0" w:after="240"/>
        <w:jc w:val="both"/>
        <w:rPr>
          <w:rFonts w:ascii="Times New Roman" w:hAnsi="Times New Roman"/>
          <w:sz w:val="20"/>
        </w:rPr>
      </w:pPr>
      <w:r>
        <w:rPr>
          <w:rFonts w:ascii="Times New Roman" w:hAnsi="Times New Roman"/>
          <w:color w:val="000000"/>
          <w:sz w:val="22"/>
        </w:rPr>
        <w:t>(d)</w:t>
      </w:r>
      <w:r>
        <w:rPr>
          <w:rFonts w:ascii="Times New Roman" w:hAnsi="Times New Roman"/>
          <w:color w:val="000000"/>
          <w:sz w:val="20"/>
        </w:rPr>
        <w:t xml:space="preserve"> </w:t>
      </w:r>
      <w:r>
        <w:rPr>
          <w:rFonts w:ascii="Times New Roman" w:hAnsi="Times New Roman"/>
          <w:color w:val="000000"/>
          <w:sz w:val="22"/>
        </w:rPr>
        <w:t>Not later than thirty (30) days following the Closing Date (or such longer period of time as agreed to by Agent in writing in its sole discretion), Borrower shall cause the shares of common stock of the MSC Subsidiary and that are the subject of the pledged collateral under the Pledge Agreement to be certificated and the original certificate and power (undated and executed in blank) to be delivered to Agent.</w:t>
      </w:r>
    </w:p>
    <w:p>
      <w:pPr>
        <w:pStyle w:val="TextBody"/>
        <w:bidi w:val="0"/>
        <w:spacing w:before="0" w:after="240"/>
        <w:jc w:val="both"/>
        <w:rPr>
          <w:rFonts w:ascii="Times New Roman" w:hAnsi="Times New Roman"/>
          <w:sz w:val="20"/>
        </w:rPr>
      </w:pPr>
      <w:r>
        <w:rPr>
          <w:rFonts w:ascii="Times New Roman" w:hAnsi="Times New Roman"/>
          <w:color w:val="000000"/>
          <w:sz w:val="22"/>
        </w:rPr>
        <w:t>(e)</w:t>
      </w:r>
      <w:r>
        <w:rPr>
          <w:rFonts w:ascii="Times New Roman" w:hAnsi="Times New Roman"/>
          <w:color w:val="000000"/>
          <w:sz w:val="20"/>
        </w:rPr>
        <w:t xml:space="preserve"> </w:t>
      </w:r>
      <w:r>
        <w:rPr>
          <w:rFonts w:ascii="Times New Roman" w:hAnsi="Times New Roman"/>
          <w:color w:val="000000"/>
          <w:sz w:val="22"/>
        </w:rPr>
        <w:t>Not later than forty five (45) days following the Closing Date (or such longer period of time as agreed to by Agent in writing in its sole discretion), Borrower shall deliver to Agent the original certificate and power (undated and executed in blank) representing 65% of the shares of Disc Medicine Pty Ltd.</w:t>
      </w:r>
    </w:p>
    <w:p>
      <w:pPr>
        <w:pStyle w:val="TextBody"/>
        <w:bidi w:val="0"/>
        <w:spacing w:before="0" w:after="240"/>
        <w:jc w:val="both"/>
        <w:rPr>
          <w:rFonts w:ascii="Times New Roman" w:hAnsi="Times New Roman"/>
          <w:sz w:val="20"/>
        </w:rPr>
      </w:pPr>
      <w:r>
        <w:rPr>
          <w:rFonts w:ascii="Times New Roman" w:hAnsi="Times New Roman"/>
          <w:color w:val="000000"/>
          <w:sz w:val="22"/>
        </w:rPr>
        <w:t>(f)</w:t>
      </w:r>
      <w:r>
        <w:rPr>
          <w:rFonts w:ascii="Times New Roman" w:hAnsi="Times New Roman"/>
          <w:color w:val="000000"/>
          <w:sz w:val="20"/>
        </w:rPr>
        <w:t xml:space="preserve"> </w:t>
      </w:r>
      <w:r>
        <w:rPr>
          <w:rFonts w:ascii="Times New Roman" w:hAnsi="Times New Roman"/>
          <w:color w:val="000000"/>
          <w:sz w:val="22"/>
        </w:rPr>
        <w:t>Not later than two (2) Business Days following the Closing Date (or such longer period of time as agreed to by Agent in writing in its sole discretion), all certificates of insurance required hereunder.</w:t>
      </w:r>
    </w:p>
    <w:p>
      <w:pPr>
        <w:pStyle w:val="TextBody"/>
        <w:bidi w:val="0"/>
        <w:spacing w:before="0" w:after="240"/>
        <w:jc w:val="center"/>
        <w:rPr>
          <w:rFonts w:ascii="Times New Roman" w:hAnsi="Times New Roman"/>
          <w:sz w:val="20"/>
        </w:rPr>
      </w:pPr>
      <w:r>
        <w:rPr>
          <w:rFonts w:ascii="Times New Roman" w:hAnsi="Times New Roman"/>
          <w:b/>
          <w:color w:val="000000"/>
          <w:sz w:val="22"/>
        </w:rPr>
        <w:t>SECTION 5</w:t>
      </w:r>
      <w:r>
        <w:rPr>
          <w:rFonts w:ascii="Times New Roman" w:hAnsi="Times New Roman"/>
          <w:color w:val="000000"/>
          <w:sz w:val="20"/>
        </w:rPr>
        <w:t xml:space="preserve"> </w:t>
      </w:r>
      <w:r>
        <w:rPr>
          <w:rFonts w:ascii="Times New Roman" w:hAnsi="Times New Roman"/>
          <w:b/>
          <w:color w:val="000000"/>
          <w:sz w:val="22"/>
          <w:u w:val="single"/>
        </w:rPr>
        <w:t>REPRESENTATIONS AND WARRANTIES OF BORROWER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Borrower represents and warrants that:</w:t>
      </w:r>
    </w:p>
    <w:p>
      <w:pPr>
        <w:pStyle w:val="TextBody"/>
        <w:bidi w:val="0"/>
        <w:spacing w:before="0" w:after="240"/>
        <w:jc w:val="both"/>
        <w:rPr>
          <w:rFonts w:ascii="Times New Roman" w:hAnsi="Times New Roman"/>
          <w:sz w:val="20"/>
        </w:rPr>
      </w:pPr>
      <w:r>
        <w:rPr>
          <w:rFonts w:ascii="Times New Roman" w:hAnsi="Times New Roman"/>
          <w:color w:val="000000"/>
          <w:sz w:val="22"/>
        </w:rPr>
        <w:t>5.1</w:t>
      </w:r>
      <w:r>
        <w:rPr>
          <w:rFonts w:ascii="Times New Roman" w:hAnsi="Times New Roman"/>
          <w:color w:val="000000"/>
          <w:sz w:val="20"/>
        </w:rPr>
        <w:t xml:space="preserve"> </w:t>
      </w:r>
      <w:r>
        <w:rPr>
          <w:rFonts w:ascii="Times New Roman" w:hAnsi="Times New Roman"/>
          <w:color w:val="000000"/>
          <w:sz w:val="22"/>
          <w:u w:val="single"/>
        </w:rPr>
        <w:t>Corporate Status</w:t>
      </w:r>
      <w:r>
        <w:rPr>
          <w:rFonts w:ascii="Times New Roman" w:hAnsi="Times New Roman"/>
          <w:color w:val="000000"/>
          <w:sz w:val="22"/>
        </w:rPr>
        <w:t xml:space="preserve">. Each Borrower is an entity of the type described on </w:t>
      </w:r>
      <w:r>
        <w:rPr>
          <w:rFonts w:ascii="Times New Roman" w:hAnsi="Times New Roman"/>
          <w:color w:val="000000"/>
          <w:sz w:val="22"/>
          <w:u w:val="single"/>
        </w:rPr>
        <w:t>Exhibit B</w:t>
      </w:r>
      <w:r>
        <w:rPr>
          <w:rFonts w:ascii="Times New Roman" w:hAnsi="Times New Roman"/>
          <w:color w:val="000000"/>
          <w:sz w:val="22"/>
        </w:rPr>
        <w:t xml:space="preserve">, duly organized, legally existing and, to the extent applicable, is in good standing under the laws of its applicable jurisdiction or state of formation, and, to the extent applicable, is duly qualified as a foreign corporation in all jurisdictions in which the nature of its business or location of its properties require such qualifications and where the failure to be qualified would reasonably be expected to have a Material Adverse Effect. Borrower’s present name, former names (if any) during the five year period before the Closing Date, location of chief executive office, place of formation, Tax identification number, organizational identification number, if applicable, and other information are correctly set forth in </w:t>
      </w:r>
      <w:r>
        <w:rPr>
          <w:rFonts w:ascii="Times New Roman" w:hAnsi="Times New Roman"/>
          <w:color w:val="000000"/>
          <w:sz w:val="22"/>
          <w:u w:val="single"/>
        </w:rPr>
        <w:t>Exhibit B</w:t>
      </w:r>
      <w:r>
        <w:rPr>
          <w:rFonts w:ascii="Times New Roman" w:hAnsi="Times New Roman"/>
          <w:color w:val="000000"/>
          <w:sz w:val="22"/>
        </w:rPr>
        <w:t>, as may be updated by Borrower in a written notice (including any Compliance Certificate) provided to Agent after the Closing Date. This Agreement has been, and each other Loan Document, when delivered hereunder, will have been, duly executed and delivered by the Borrower. This Agreement constitutes, and each other Loan Document when so delivered will constitute, a legal, valid and binding obligation of the Borrower, enforceable against the Borrower in accordance with its terms, except as such enforceability may be limited by bankruptcy, insolvency, reorganization, receivership, moratorium or other laws affecting creditors’ rights generally and by general principles of equity.</w:t>
      </w:r>
    </w:p>
    <w:p>
      <w:pPr>
        <w:pStyle w:val="TextBody"/>
        <w:bidi w:val="0"/>
        <w:spacing w:before="0" w:after="240"/>
        <w:jc w:val="both"/>
        <w:rPr>
          <w:rFonts w:ascii="Times New Roman" w:hAnsi="Times New Roman"/>
          <w:sz w:val="20"/>
        </w:rPr>
      </w:pPr>
      <w:r>
        <w:rPr>
          <w:rFonts w:ascii="Times New Roman" w:hAnsi="Times New Roman"/>
          <w:color w:val="000000"/>
          <w:sz w:val="22"/>
        </w:rPr>
        <w:t>5.2</w:t>
      </w:r>
      <w:r>
        <w:rPr>
          <w:rFonts w:ascii="Times New Roman" w:hAnsi="Times New Roman"/>
          <w:color w:val="000000"/>
          <w:sz w:val="20"/>
        </w:rPr>
        <w:t xml:space="preserve"> </w:t>
      </w:r>
      <w:r>
        <w:rPr>
          <w:rFonts w:ascii="Times New Roman" w:hAnsi="Times New Roman"/>
          <w:color w:val="000000"/>
          <w:sz w:val="22"/>
          <w:u w:val="single"/>
        </w:rPr>
        <w:t>Collateral</w:t>
      </w:r>
      <w:r>
        <w:rPr>
          <w:rFonts w:ascii="Times New Roman" w:hAnsi="Times New Roman"/>
          <w:color w:val="000000"/>
          <w:sz w:val="22"/>
        </w:rPr>
        <w:t>. Borrower owns the Collateral and the Current Company IP, free of all Liens, except for Permitted Liens. Borrower has the power and authority to grant to Agent a Lien in the Collateral as security for the Secured Obligations.</w:t>
      </w:r>
    </w:p>
    <w:p>
      <w:pPr>
        <w:pStyle w:val="TextBody"/>
        <w:bidi w:val="0"/>
        <w:spacing w:before="0" w:after="240"/>
        <w:jc w:val="both"/>
        <w:rPr>
          <w:rFonts w:ascii="Times New Roman" w:hAnsi="Times New Roman"/>
          <w:sz w:val="20"/>
        </w:rPr>
      </w:pPr>
      <w:r>
        <w:rPr>
          <w:rFonts w:ascii="Times New Roman" w:hAnsi="Times New Roman"/>
          <w:color w:val="000000"/>
          <w:sz w:val="22"/>
        </w:rPr>
        <w:t>5.3</w:t>
      </w:r>
      <w:r>
        <w:rPr>
          <w:rFonts w:ascii="Times New Roman" w:hAnsi="Times New Roman"/>
          <w:color w:val="000000"/>
          <w:sz w:val="20"/>
        </w:rPr>
        <w:t xml:space="preserve"> </w:t>
      </w:r>
      <w:r>
        <w:rPr>
          <w:rFonts w:ascii="Times New Roman" w:hAnsi="Times New Roman"/>
          <w:color w:val="000000"/>
          <w:sz w:val="22"/>
          <w:u w:val="single"/>
        </w:rPr>
        <w:t>Consents</w:t>
      </w:r>
      <w:r>
        <w:rPr>
          <w:rFonts w:ascii="Times New Roman" w:hAnsi="Times New Roman"/>
          <w:color w:val="000000"/>
          <w:sz w:val="22"/>
        </w:rPr>
        <w:t>. Borrower’s execution, delivery and performance of this Agreement and all other Loan Documents, (i) have been duly authorized by all necessary corporate or other requisite action of</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Borrower, (ii) will not result in the creation or imposition of any Lien upon the Collateral, other than Permitted Liens and the Liens created by this Agreement and the other Loan Documents, (iii) do not violate any provisions of Borrower’s Organizational Documents, (iv) do not violate any material law, regulation, order, injunction, judgment, decree or writ to which Borrower is subject and (v) except as described on </w:t>
      </w:r>
      <w:r>
        <w:rPr>
          <w:rFonts w:ascii="Times New Roman" w:hAnsi="Times New Roman"/>
          <w:color w:val="000000"/>
          <w:sz w:val="22"/>
          <w:u w:val="single"/>
        </w:rPr>
        <w:t>Schedule 5.3</w:t>
      </w:r>
      <w:r>
        <w:rPr>
          <w:rFonts w:ascii="Times New Roman" w:hAnsi="Times New Roman"/>
          <w:color w:val="000000"/>
          <w:sz w:val="22"/>
        </w:rPr>
        <w:t>, do not violate any material contract or agreement or require the consent or approval of any other Person which has not already been obtained. The individual or individuals executing the Loan Documents are duly authorized to do so.</w:t>
      </w:r>
    </w:p>
    <w:p>
      <w:pPr>
        <w:pStyle w:val="TextBody"/>
        <w:bidi w:val="0"/>
        <w:spacing w:before="0" w:after="240"/>
        <w:jc w:val="both"/>
        <w:rPr>
          <w:rFonts w:ascii="Times New Roman" w:hAnsi="Times New Roman"/>
          <w:sz w:val="20"/>
        </w:rPr>
      </w:pPr>
      <w:r>
        <w:rPr>
          <w:rFonts w:ascii="Times New Roman" w:hAnsi="Times New Roman"/>
          <w:color w:val="000000"/>
          <w:sz w:val="22"/>
        </w:rPr>
        <w:t>5.4</w:t>
      </w:r>
      <w:r>
        <w:rPr>
          <w:rFonts w:ascii="Times New Roman" w:hAnsi="Times New Roman"/>
          <w:color w:val="000000"/>
          <w:sz w:val="20"/>
        </w:rPr>
        <w:t xml:space="preserve"> </w:t>
      </w:r>
      <w:r>
        <w:rPr>
          <w:rFonts w:ascii="Times New Roman" w:hAnsi="Times New Roman"/>
          <w:color w:val="000000"/>
          <w:sz w:val="22"/>
          <w:u w:val="single"/>
        </w:rPr>
        <w:t>Material Adverse Effect</w:t>
      </w:r>
      <w:r>
        <w:rPr>
          <w:rFonts w:ascii="Times New Roman" w:hAnsi="Times New Roman"/>
          <w:color w:val="000000"/>
          <w:sz w:val="22"/>
        </w:rPr>
        <w:t xml:space="preserve">. No event that has had or could reasonably be expected to have a Material Adverse Effect has occurred and is continuing; </w:t>
      </w:r>
      <w:r>
        <w:rPr>
          <w:rFonts w:ascii="Times New Roman" w:hAnsi="Times New Roman"/>
          <w:color w:val="000000"/>
          <w:sz w:val="22"/>
          <w:u w:val="single"/>
        </w:rPr>
        <w:t>provided that</w:t>
      </w:r>
      <w:r>
        <w:rPr>
          <w:rFonts w:ascii="Times New Roman" w:hAnsi="Times New Roman"/>
          <w:color w:val="000000"/>
          <w:sz w:val="20"/>
        </w:rPr>
        <w:t xml:space="preserve"> </w:t>
      </w:r>
      <w:r>
        <w:rPr>
          <w:rFonts w:ascii="Times New Roman" w:hAnsi="Times New Roman"/>
          <w:color w:val="000000"/>
          <w:sz w:val="22"/>
        </w:rPr>
        <w:t>the occurrence of the following, individually, shall not, in and of itself, constitute a “Material Adverse Effect” hereunder: (i) the failure to achieve any Milestone, (ii) adverse results or delays with respect to, or the failure to achieve, any clinical or non-clinical trial goals or objectives, (iii) the denial, delay or limitation or qualification of approval of the FDA or other regulatory agency with respect to any proposed drug or other Borrower Products, or (iv) any revisions to or termination of a strategic alliance, joint venture, co-promotion, co-commercialization or co-development agreements or license arrangement maintained by Borrower so long as the same does not affect the ability of Borrower to perform or pay the Secured Obligations in accordance with the terms of the Loan Documents. Borrower is not aware of any event likely to occur that is reasonably expected to result in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5.5</w:t>
      </w:r>
      <w:r>
        <w:rPr>
          <w:rFonts w:ascii="Times New Roman" w:hAnsi="Times New Roman"/>
          <w:color w:val="000000"/>
          <w:sz w:val="20"/>
        </w:rPr>
        <w:t xml:space="preserve"> </w:t>
      </w:r>
      <w:r>
        <w:rPr>
          <w:rFonts w:ascii="Times New Roman" w:hAnsi="Times New Roman"/>
          <w:color w:val="000000"/>
          <w:sz w:val="22"/>
          <w:u w:val="single"/>
        </w:rPr>
        <w:t>Actions Before Governmental Authorities</w:t>
      </w:r>
      <w:r>
        <w:rPr>
          <w:rFonts w:ascii="Times New Roman" w:hAnsi="Times New Roman"/>
          <w:color w:val="000000"/>
          <w:sz w:val="22"/>
        </w:rPr>
        <w:t>. There are no actions, suits, claims, disputes or proceedings at law or in equity or by or before any Governmental Authority now pending or, to the knowledge of Borrower, threatened against or affecting Borrower or its property, that is reasonably expected to result in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5.6</w:t>
      </w:r>
      <w:r>
        <w:rPr>
          <w:rFonts w:ascii="Times New Roman" w:hAnsi="Times New Roman"/>
          <w:color w:val="000000"/>
          <w:sz w:val="20"/>
        </w:rPr>
        <w:t xml:space="preserve"> </w:t>
      </w:r>
      <w:r>
        <w:rPr>
          <w:rFonts w:ascii="Times New Roman" w:hAnsi="Times New Roman"/>
          <w:color w:val="000000"/>
          <w:sz w:val="22"/>
          <w:u w:val="single"/>
        </w:rPr>
        <w:t>Laws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Neither Borrower nor any of its Subsidiaries is in violation of any law, rule or regulation, or in default with respect to any judgment, writ, injunction or decree of any Governmental Authority, where such violation or default is reasonably expected to result in a Material Adverse Effect. Borrower is not in default in any manner under any provision of any agreement or instrument evidencing material Indebtedness, or any other Material Agreement to which it is a party or by which it is bound.</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Neither Borrower nor any of its Subsidiaries is an “investment company”, a company that would be an “investment company” except for the exclusion from the definition of “investment company” in Section 3(c) of the Investment Company Act of 1940, as amended (the “</w:t>
      </w:r>
      <w:r>
        <w:rPr>
          <w:rFonts w:ascii="Times New Roman" w:hAnsi="Times New Roman"/>
          <w:color w:val="000000"/>
          <w:sz w:val="22"/>
          <w:u w:val="single"/>
        </w:rPr>
        <w:t>1940 Act</w:t>
      </w:r>
      <w:r>
        <w:rPr>
          <w:rFonts w:ascii="Times New Roman" w:hAnsi="Times New Roman"/>
          <w:color w:val="000000"/>
          <w:sz w:val="20"/>
        </w:rPr>
        <w:t>”</w:t>
      </w:r>
      <w:r>
        <w:rPr>
          <w:rFonts w:ascii="Times New Roman" w:hAnsi="Times New Roman"/>
          <w:color w:val="000000"/>
          <w:sz w:val="22"/>
        </w:rPr>
        <w:t>), or a company “controlled” by an “investment company” under the 1940 Act, as amended.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Neither Borrower’s nor any of its Subsidiaries’ properties or assets has been used by Borrower or such Subsidiary or, to Borrower’s knowledge, by previous Persons, in disposing, producing, storing, treating, or transporting any hazardous substance other than in material compliance with applicable laws. Borrower and each of its Subsidiaries has obtained all consents, approvals and authorizations of, made all declarations or filings with, and given all notices to, all Governmental Authorities that are necessary to continue their respective businesses as currently conducted.</w:t>
      </w:r>
    </w:p>
    <w:p>
      <w:pPr>
        <w:pStyle w:val="TextBody"/>
        <w:bidi w:val="0"/>
        <w:spacing w:before="0" w:after="240"/>
        <w:jc w:val="both"/>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None of Borrower, any of its Subsidiaries, nor, to Borrower’s knowledge, any of Borrower’s or its Subsidiaries’ Affiliates or any of their respective agents, acting or benefiting in any</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capacity in connection with the transactions contemplated by this Agreement is (i) in violation of any Anti-Terrorism Law, (ii) engaging in or conspiring to engage in any transaction that evades or avoids, or has the purpose of evading or avoiding or attempts to violate, any of the prohibitions set forth in any Anti-Terrorism Law, or (iii) is a Blocked Person. None of Borrower, any of its Subsidiaries, nor to the knowledge of Borrower, any of their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 None of the funds to be provided under this Agreement will be used, directly or indirectly, (a) for any activities in violation of any applicable anti-money laundering, economic sanctions and anti-bribery laws and regulations or (b) for any payment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pStyle w:val="TextBody"/>
        <w:bidi w:val="0"/>
        <w:spacing w:before="0" w:after="240"/>
        <w:jc w:val="both"/>
        <w:rPr>
          <w:rFonts w:ascii="Times New Roman" w:hAnsi="Times New Roman"/>
          <w:sz w:val="20"/>
        </w:rPr>
      </w:pPr>
      <w:r>
        <w:rPr>
          <w:rFonts w:ascii="Times New Roman" w:hAnsi="Times New Roman"/>
          <w:color w:val="000000"/>
          <w:sz w:val="22"/>
        </w:rPr>
        <w:t>5.7</w:t>
      </w:r>
      <w:r>
        <w:rPr>
          <w:rFonts w:ascii="Times New Roman" w:hAnsi="Times New Roman"/>
          <w:color w:val="000000"/>
          <w:sz w:val="20"/>
        </w:rPr>
        <w:t xml:space="preserve"> </w:t>
      </w:r>
      <w:r>
        <w:rPr>
          <w:rFonts w:ascii="Times New Roman" w:hAnsi="Times New Roman"/>
          <w:color w:val="000000"/>
          <w:sz w:val="22"/>
          <w:u w:val="single"/>
        </w:rPr>
        <w:t>Information Correct and Current</w:t>
      </w:r>
      <w:r>
        <w:rPr>
          <w:rFonts w:ascii="Times New Roman" w:hAnsi="Times New Roman"/>
          <w:color w:val="000000"/>
          <w:sz w:val="22"/>
        </w:rPr>
        <w:t>. No information, report, Advance Request, financial statement, exhibit or schedule (other than financial or business projections or forecasts) furnished, by or on behalf of Borrower to Agent in connection with any Loan Document or included therein or delivered pursuant thereto, when taken as a whole, contained, contains or will contain any material misstatement of fact or, when taken together with all other such information or documents, omitted, omits or will omit to state any material fact necessary to make the statements therein, in the light of the circumstances under which they were, are or will be made, not materially misleading at the time such statement was made or deemed made. Additionally, any and all financial or business projections or forecasts provided by Borrower to Agent, whether prior to or after the Closing Date, shall be (i) provided in good faith and based on the most current data and information available to Borrower and (ii) the most current of such projections or forecasts provided to and approved by Borrower’s Board of Directors; it being understood by the Agent and the Lender that such projections or forecasts as to future events (x) are not to be viewed as facts, (y)(1) are subject to significant uncertainties and contingencies, many of which are beyond the control of Borrower, (2) no assurance is given by Borrower that the results forecast in any such projections or forecasts will be realized, and (3) the actual results during the period or periods covered by any such projections or forecasts may differ from the forecast results set forth in such projections or forecasts and such differences may be material, and (z) are not a guarantee of performance.</w:t>
      </w:r>
    </w:p>
    <w:p>
      <w:pPr>
        <w:pStyle w:val="TextBody"/>
        <w:bidi w:val="0"/>
        <w:spacing w:before="0" w:after="240"/>
        <w:jc w:val="both"/>
        <w:rPr>
          <w:rFonts w:ascii="Times New Roman" w:hAnsi="Times New Roman"/>
          <w:sz w:val="20"/>
        </w:rPr>
      </w:pPr>
      <w:r>
        <w:rPr>
          <w:rFonts w:ascii="Times New Roman" w:hAnsi="Times New Roman"/>
          <w:color w:val="000000"/>
          <w:sz w:val="22"/>
        </w:rPr>
        <w:t>5.8</w:t>
      </w:r>
      <w:r>
        <w:rPr>
          <w:rFonts w:ascii="Times New Roman" w:hAnsi="Times New Roman"/>
          <w:color w:val="000000"/>
          <w:sz w:val="20"/>
        </w:rPr>
        <w:t xml:space="preserve"> </w:t>
      </w:r>
      <w:r>
        <w:rPr>
          <w:rFonts w:ascii="Times New Roman" w:hAnsi="Times New Roman"/>
          <w:color w:val="000000"/>
          <w:sz w:val="22"/>
          <w:u w:val="single"/>
        </w:rPr>
        <w:t>Tax Matters</w:t>
      </w:r>
      <w:r>
        <w:rPr>
          <w:rFonts w:ascii="Times New Roman" w:hAnsi="Times New Roman"/>
          <w:color w:val="000000"/>
          <w:sz w:val="22"/>
        </w:rPr>
        <w:t xml:space="preserve">. Except as described on </w:t>
      </w:r>
      <w:r>
        <w:rPr>
          <w:rFonts w:ascii="Times New Roman" w:hAnsi="Times New Roman"/>
          <w:color w:val="000000"/>
          <w:sz w:val="22"/>
          <w:u w:val="single"/>
        </w:rPr>
        <w:t>Schedule 5.8</w:t>
      </w:r>
      <w:r>
        <w:rPr>
          <w:rFonts w:ascii="Times New Roman" w:hAnsi="Times New Roman"/>
          <w:color w:val="000000"/>
          <w:sz w:val="22"/>
        </w:rPr>
        <w:t>, (a) Borrower and its Subsidiaries have filed all federal and state income Tax returns and other material Tax returns that they are required to file, (b) Borrower and its Subsidiaries have duly paid all federal and state income Taxes and other material Taxes or installments thereof that they are required to pay, except Taxes being contested in good faith by appropriate proceedings and for which Borrower and its Subsidiaries maintain adequate reserves in accordance with GAAP, and (c) to the best of Borrower’s knowledge, no proposed or pending Tax assessments, deficiencies, audits or other proceedings with respect to Borrower or any Subsidiary have had, or would reasonably be expected to have, individually or in the aggregate,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5.9</w:t>
      </w:r>
      <w:r>
        <w:rPr>
          <w:rFonts w:ascii="Times New Roman" w:hAnsi="Times New Roman"/>
          <w:color w:val="000000"/>
          <w:sz w:val="20"/>
        </w:rPr>
        <w:t xml:space="preserve"> </w:t>
      </w:r>
      <w:r>
        <w:rPr>
          <w:rFonts w:ascii="Times New Roman" w:hAnsi="Times New Roman"/>
          <w:color w:val="000000"/>
          <w:sz w:val="22"/>
          <w:u w:val="single"/>
        </w:rPr>
        <w:t>Current Company IP Claims</w:t>
      </w:r>
      <w:r>
        <w:rPr>
          <w:rFonts w:ascii="Times New Roman" w:hAnsi="Times New Roman"/>
          <w:color w:val="000000"/>
          <w:sz w:val="22"/>
        </w:rPr>
        <w:t xml:space="preserve">. Borrower is the sole owner of, or otherwise has the right to use, the Current Company IP material to Borrower’s business. Except as described on </w:t>
      </w:r>
      <w:r>
        <w:rPr>
          <w:rFonts w:ascii="Times New Roman" w:hAnsi="Times New Roman"/>
          <w:color w:val="000000"/>
          <w:sz w:val="22"/>
          <w:u w:val="single"/>
        </w:rPr>
        <w:t>Schedule 5.9</w:t>
      </w:r>
      <w:r>
        <w:rPr>
          <w:rFonts w:ascii="Times New Roman" w:hAnsi="Times New Roman"/>
          <w:color w:val="000000"/>
          <w:sz w:val="22"/>
        </w:rPr>
        <w:t>, (i) to the knowledge of any Borrower, each of the material Copyrights, Trademarks and Patents is valid and enforceable, (ii) no material part of the Current Company IP has been judged invalid or unenforceable, in whole or in part, and (iii) no claim has been made to Borrower that any material part of the Current Company IP violates the rights of any third party. Section 5 of the Perfection Certificate contains a true, correct and complete list of each of Borrower’s Patents, registered Trademarks, registered Copyrights, and Material Agreements under which Borrower licenses Current Company IP from third parties (other than shrink-wrap</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software licenses), together with application or registration numbers, as applicable, owned by Borrower or any Subsidiary, in each case as of the Closing Date. Borrower is not in material breach of, nor has Borrower failed to perform any material obligations under, any of the foregoing contracts, licenses or agreements and, to Borrower’s knowledge, no third party to any such contract, license or agreement is in material breach thereof or has failed to perform any material obligations thereunder.</w:t>
      </w:r>
    </w:p>
    <w:p>
      <w:pPr>
        <w:pStyle w:val="TextBody"/>
        <w:bidi w:val="0"/>
        <w:spacing w:before="0" w:after="240"/>
        <w:jc w:val="both"/>
        <w:rPr>
          <w:rFonts w:ascii="Times New Roman" w:hAnsi="Times New Roman"/>
          <w:sz w:val="20"/>
        </w:rPr>
      </w:pPr>
      <w:r>
        <w:rPr>
          <w:rFonts w:ascii="Times New Roman" w:hAnsi="Times New Roman"/>
          <w:color w:val="000000"/>
          <w:sz w:val="22"/>
        </w:rPr>
        <w:t>5.10</w:t>
      </w:r>
      <w:r>
        <w:rPr>
          <w:rFonts w:ascii="Times New Roman" w:hAnsi="Times New Roman"/>
          <w:color w:val="000000"/>
          <w:sz w:val="20"/>
        </w:rPr>
        <w:t xml:space="preserve"> </w:t>
      </w:r>
      <w:r>
        <w:rPr>
          <w:rFonts w:ascii="Times New Roman" w:hAnsi="Times New Roman"/>
          <w:color w:val="000000"/>
          <w:sz w:val="22"/>
          <w:u w:val="single"/>
        </w:rPr>
        <w:t>Current Company IP</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A true, correct and complete list of each pending, registered or in-licensed Intellectual Property that, individually or taken together with any other such Intellectual Property, is material to the business of Borrower and its Subsidiaries, taken as a whole, relating to the research, development, manufacture, production, use, commercialization, marketing, importing, storage, transport, offer for sale, distribution or sale of the Products, and is owned or co-owned by or exclusively or non-exclusively licensed to Borrower or any of its Subsidiaries (collectively, the “</w:t>
      </w:r>
      <w:r>
        <w:rPr>
          <w:rFonts w:ascii="Times New Roman" w:hAnsi="Times New Roman"/>
          <w:color w:val="000000"/>
          <w:sz w:val="22"/>
          <w:u w:val="single"/>
        </w:rPr>
        <w:t>Current Company IP</w:t>
      </w:r>
      <w:r>
        <w:rPr>
          <w:rFonts w:ascii="Times New Roman" w:hAnsi="Times New Roman"/>
          <w:color w:val="000000"/>
          <w:sz w:val="20"/>
        </w:rPr>
        <w:t>”</w:t>
      </w:r>
      <w:r>
        <w:rPr>
          <w:rFonts w:ascii="Times New Roman" w:hAnsi="Times New Roman"/>
          <w:color w:val="000000"/>
          <w:sz w:val="22"/>
        </w:rPr>
        <w:t xml:space="preserve">), including its name/title, current owner or co-owners (including ownership interest), registration, patent or application number, and registration or application date, issued or filed in the United States of America, is set forth on </w:t>
      </w:r>
      <w:r>
        <w:rPr>
          <w:rFonts w:ascii="Times New Roman" w:hAnsi="Times New Roman"/>
          <w:color w:val="000000"/>
          <w:sz w:val="22"/>
          <w:u w:val="single"/>
        </w:rPr>
        <w:t>Schedule 5.10(a)</w:t>
      </w:r>
      <w:r>
        <w:rPr>
          <w:rFonts w:ascii="Times New Roman" w:hAnsi="Times New Roman"/>
          <w:color w:val="000000"/>
          <w:sz w:val="22"/>
        </w:rPr>
        <w:t xml:space="preserve">. Except as set forth on </w:t>
      </w:r>
      <w:r>
        <w:rPr>
          <w:rFonts w:ascii="Times New Roman" w:hAnsi="Times New Roman"/>
          <w:color w:val="000000"/>
          <w:sz w:val="22"/>
          <w:u w:val="single"/>
        </w:rPr>
        <w:t>Schedule 5.10(a)</w:t>
      </w:r>
      <w:r>
        <w:rPr>
          <w:rFonts w:ascii="Times New Roman" w:hAnsi="Times New Roman"/>
          <w:color w:val="000000"/>
          <w:sz w:val="22"/>
        </w:rPr>
        <w:t xml:space="preserve">, (i) (A) to the knowledge of any Borrower, each item of owned Current Company IP is valid, subsisting and (other than with respect to Patent applications) enforceable and no such item of Current Company IP has lapsed, expired, been cancelled or invalidated or become abandoned or unenforceable, and (B) no written notice has been received challenging the inventorship or ownership, or relating to any lapse, expiration, invalidation, abandonment or unenforceability, of any such item of Current Company IP, and (ii) (A) each such item of Current Company IP which is licensed from another Person is valid, subsisting and enforceable and no such item of Current Company IP has lapsed, expired, been cancelled or invalidated, or become abandoned or unenforceable, and (B) no written notice has been received challenging the inventorship or ownership, or relating to any lapse, expiration, invalidation, abandonment or unenforceability, of any such item of Current Company IP. To the knowledge of any Borrower, there are no published Patents, Patent applications, articles or prior art references (other than prior art cited in any of Borrower’s patent prosecution) that would reasonably be expected to materially adversely affect the exploitation of the Products. Except as set forth on </w:t>
      </w:r>
      <w:r>
        <w:rPr>
          <w:rFonts w:ascii="Times New Roman" w:hAnsi="Times New Roman"/>
          <w:color w:val="000000"/>
          <w:sz w:val="22"/>
          <w:u w:val="single"/>
        </w:rPr>
        <w:t>Schedule 5.10(a)</w:t>
      </w:r>
      <w:r>
        <w:rPr>
          <w:rFonts w:ascii="Times New Roman" w:hAnsi="Times New Roman"/>
          <w:color w:val="000000"/>
          <w:sz w:val="22"/>
        </w:rPr>
        <w:t>, (x) each Person who has or has had any rights in or to owned Current Company IP or any trade secrets owned by Borrower or any of its Subsidiaries, including each inventor named on the Patents within such owned Current Company IP filed by Borrower or any of its Subsidiaries, has executed an agreement assigning his, her or its entire right, title and interest in and to such owned Current Company IP and such trade secrets, and the inventions, improvements, discoveries, writings, works of authorship, information and other intellectual property embodied, described or claimed therein, to the stated owner thereof, and (y) no such Person has any contractual or other obligation that would preclude or conflict with such assignment or the exploitation of the Products or entitle such Person to ongoing payments.</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(i) Borrower or any of its Subsidiaries possesses valid title to the Current Company IP for which it is listed as the owner or co-owner, as applicable, on </w:t>
      </w:r>
      <w:r>
        <w:rPr>
          <w:rFonts w:ascii="Times New Roman" w:hAnsi="Times New Roman"/>
          <w:color w:val="000000"/>
          <w:sz w:val="22"/>
          <w:u w:val="single"/>
        </w:rPr>
        <w:t>Schedule 5.10(a)</w:t>
      </w:r>
      <w:r>
        <w:rPr>
          <w:rFonts w:ascii="Times New Roman" w:hAnsi="Times New Roman"/>
          <w:color w:val="000000"/>
          <w:sz w:val="22"/>
        </w:rPr>
        <w:t xml:space="preserve">; and (ii) other than Permitted Liens described in </w:t>
      </w:r>
      <w:r>
        <w:rPr>
          <w:rFonts w:ascii="Times New Roman" w:hAnsi="Times New Roman"/>
          <w:color w:val="000000"/>
          <w:sz w:val="22"/>
          <w:u w:val="single"/>
        </w:rPr>
        <w:t>clause (xvii)</w:t>
      </w:r>
      <w:r>
        <w:rPr>
          <w:rFonts w:ascii="Times New Roman" w:hAnsi="Times New Roman"/>
          <w:color w:val="000000"/>
          <w:sz w:val="20"/>
        </w:rPr>
        <w:t xml:space="preserve"> </w:t>
      </w:r>
      <w:r>
        <w:rPr>
          <w:rFonts w:ascii="Times New Roman" w:hAnsi="Times New Roman"/>
          <w:color w:val="000000"/>
          <w:sz w:val="22"/>
        </w:rPr>
        <w:t>of the definition thereof, there are no Liens on any Current Company IP.</w:t>
      </w:r>
    </w:p>
    <w:p>
      <w:pPr>
        <w:pStyle w:val="TextBody"/>
        <w:bidi w:val="0"/>
        <w:spacing w:before="0" w:after="240"/>
        <w:jc w:val="both"/>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There are no maintenance, annuity or renewal fees that are currently overdue beyond their allotted grace period for any of the Current Company IP which is owned or exclusively licensed to Borrower or any of its Subsidiaries, nor have any applications or registrations therefore lapsed or become abandoned, been cancelled or expired. There are no maintenance, annuity or renewal fees that are currently overdue beyond their allotted grace period for any of the Current Company IP which is non-exclusively licensed to Borrower or any of its Subsidiaries, nor have any applications or registrations therefor lapsed or become abandoned, been cancelled or expired.</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(d)</w:t>
      </w:r>
      <w:r>
        <w:rPr>
          <w:rFonts w:ascii="Times New Roman" w:hAnsi="Times New Roman"/>
          <w:color w:val="000000"/>
          <w:sz w:val="20"/>
        </w:rPr>
        <w:t xml:space="preserve"> </w:t>
      </w:r>
      <w:r>
        <w:rPr>
          <w:rFonts w:ascii="Times New Roman" w:hAnsi="Times New Roman"/>
          <w:color w:val="000000"/>
          <w:sz w:val="22"/>
        </w:rPr>
        <w:t>There are no unpaid fees or royalties under any Material Agreements that have become due, or are expected to become overdue. Each Material Agreement is in full force and effect and is legal, valid, binding and enforceable in accordance with its respective terms, except as may be limited by bankruptcy, insolvency, reorganization, moratorium or similar laws relating to or limiting creditors’ rights generally or by equitable principles relating to enforceability. Neither Borrower nor any of its Subsidiaries, as applicable, is in breach of or default in any manner that could reasonably be expected to materially affect the Products under any Material Agreement to which it is a party or may otherwise be bound, and no circumstances or grounds exists that would give rise to a claim of breach or right of rescission, termination, non-renewal, revision or amendment of any of the Material Agreements, including the execution, delivery and performance of this Agreement and the other Loan Documents.</w:t>
      </w:r>
    </w:p>
    <w:p>
      <w:pPr>
        <w:pStyle w:val="TextBody"/>
        <w:bidi w:val="0"/>
        <w:spacing w:before="0" w:after="240"/>
        <w:jc w:val="both"/>
        <w:rPr>
          <w:rFonts w:ascii="Times New Roman" w:hAnsi="Times New Roman"/>
          <w:sz w:val="20"/>
        </w:rPr>
      </w:pPr>
      <w:r>
        <w:rPr>
          <w:rFonts w:ascii="Times New Roman" w:hAnsi="Times New Roman"/>
          <w:color w:val="000000"/>
          <w:sz w:val="22"/>
        </w:rPr>
        <w:t>(e)</w:t>
      </w:r>
      <w:r>
        <w:rPr>
          <w:rFonts w:ascii="Times New Roman" w:hAnsi="Times New Roman"/>
          <w:color w:val="000000"/>
          <w:sz w:val="20"/>
        </w:rPr>
        <w:t xml:space="preserve"> </w:t>
      </w:r>
      <w:r>
        <w:rPr>
          <w:rFonts w:ascii="Times New Roman" w:hAnsi="Times New Roman"/>
          <w:color w:val="000000"/>
          <w:sz w:val="22"/>
        </w:rPr>
        <w:t>No payments by Borrower or any of its Subsidiaries are due to any other Person in respect of the Current Company IP, other than pursuant to the Material Agreements and those fees payable to patent offices in connection with the prosecution and maintenance of the Current Company IP, any applicable taxes and associated attorney fees.</w:t>
      </w:r>
    </w:p>
    <w:p>
      <w:pPr>
        <w:pStyle w:val="TextBody"/>
        <w:bidi w:val="0"/>
        <w:spacing w:before="0" w:after="240"/>
        <w:jc w:val="both"/>
        <w:rPr>
          <w:rFonts w:ascii="Times New Roman" w:hAnsi="Times New Roman"/>
          <w:sz w:val="20"/>
        </w:rPr>
      </w:pPr>
      <w:r>
        <w:rPr>
          <w:rFonts w:ascii="Times New Roman" w:hAnsi="Times New Roman"/>
          <w:color w:val="000000"/>
          <w:sz w:val="22"/>
        </w:rPr>
        <w:t>(f)</w:t>
      </w:r>
      <w:r>
        <w:rPr>
          <w:rFonts w:ascii="Times New Roman" w:hAnsi="Times New Roman"/>
          <w:color w:val="000000"/>
          <w:sz w:val="20"/>
        </w:rPr>
        <w:t xml:space="preserve"> </w:t>
      </w:r>
      <w:r>
        <w:rPr>
          <w:rFonts w:ascii="Times New Roman" w:hAnsi="Times New Roman"/>
          <w:color w:val="000000"/>
          <w:sz w:val="22"/>
        </w:rPr>
        <w:t xml:space="preserve">Neither Borrower nor any of its Subsidiaries has undertaken or omitted to undertake any acts, and no circumstance or grounds exist, that would invalidate or render unenforceable (i) any Current Company IP in any manner that could reasonably be expected to materially adversely affect the Products, or (ii) in the case of Current Company IP owned or co-owned or exclusively or non-exclusively licensed by Borrower or any of its Subsidiaries, in each case except as set forth on </w:t>
      </w:r>
      <w:r>
        <w:rPr>
          <w:rFonts w:ascii="Times New Roman" w:hAnsi="Times New Roman"/>
          <w:color w:val="000000"/>
          <w:sz w:val="22"/>
          <w:u w:val="single"/>
        </w:rPr>
        <w:t>Schedule 5.10(f)</w:t>
      </w:r>
      <w:r>
        <w:rPr>
          <w:rFonts w:ascii="Times New Roman" w:hAnsi="Times New Roman"/>
          <w:color w:val="000000"/>
          <w:sz w:val="22"/>
        </w:rPr>
        <w:t>, Borrower’s or Subsidiary’s entitlement to own or license and exploit such Current Company IP.</w:t>
      </w:r>
    </w:p>
    <w:p>
      <w:pPr>
        <w:pStyle w:val="TextBody"/>
        <w:bidi w:val="0"/>
        <w:spacing w:before="0" w:after="240"/>
        <w:jc w:val="both"/>
        <w:rPr>
          <w:rFonts w:ascii="Times New Roman" w:hAnsi="Times New Roman"/>
          <w:sz w:val="20"/>
        </w:rPr>
      </w:pPr>
      <w:r>
        <w:rPr>
          <w:rFonts w:ascii="Times New Roman" w:hAnsi="Times New Roman"/>
          <w:color w:val="000000"/>
          <w:sz w:val="22"/>
        </w:rPr>
        <w:t>(g)</w:t>
      </w:r>
      <w:r>
        <w:rPr>
          <w:rFonts w:ascii="Times New Roman" w:hAnsi="Times New Roman"/>
          <w:color w:val="000000"/>
          <w:sz w:val="20"/>
        </w:rPr>
        <w:t xml:space="preserve"> </w:t>
      </w:r>
      <w:r>
        <w:rPr>
          <w:rFonts w:ascii="Times New Roman" w:hAnsi="Times New Roman"/>
          <w:color w:val="000000"/>
          <w:sz w:val="22"/>
        </w:rPr>
        <w:t xml:space="preserve">Except as described on </w:t>
      </w:r>
      <w:r>
        <w:rPr>
          <w:rFonts w:ascii="Times New Roman" w:hAnsi="Times New Roman"/>
          <w:color w:val="000000"/>
          <w:sz w:val="22"/>
          <w:u w:val="single"/>
        </w:rPr>
        <w:t>Schedule 5.10(g)</w:t>
      </w:r>
      <w:r>
        <w:rPr>
          <w:rFonts w:ascii="Times New Roman" w:hAnsi="Times New Roman"/>
          <w:color w:val="000000"/>
          <w:sz w:val="20"/>
        </w:rPr>
        <w:t xml:space="preserve"> </w:t>
      </w:r>
      <w:r>
        <w:rPr>
          <w:rFonts w:ascii="Times New Roman" w:hAnsi="Times New Roman"/>
          <w:color w:val="000000"/>
          <w:sz w:val="22"/>
        </w:rPr>
        <w:t xml:space="preserve">or in the most recently delivered Compliance Certificate in accordance with </w:t>
      </w:r>
      <w:r>
        <w:rPr>
          <w:rFonts w:ascii="Times New Roman" w:hAnsi="Times New Roman"/>
          <w:color w:val="000000"/>
          <w:sz w:val="22"/>
          <w:u w:val="single"/>
        </w:rPr>
        <w:t>Section 7.1(d)</w:t>
      </w:r>
      <w:r>
        <w:rPr>
          <w:rFonts w:ascii="Times New Roman" w:hAnsi="Times New Roman"/>
          <w:color w:val="000000"/>
          <w:sz w:val="22"/>
        </w:rPr>
        <w:t>, there is no requested, filed pending, decided or settled opposition, interference proceeding, reissue proceeding, reexamination proceeding, inter-partes review proceeding, post-grant review proceeding, cancellation proceeding, injunction, litigation, paragraph IV patent certification or lawsuit under the Hatch-Waxman Act, hearing, investigation, complaint, arbitration, mediation, demand, International Trade Commission investigation, decree or any other dispute, disagreement, or claim, in each case alleged in writing to Borrower or any of its Subsidiaries (collectively referred to hereinafter as “</w:t>
      </w:r>
      <w:r>
        <w:rPr>
          <w:rFonts w:ascii="Times New Roman" w:hAnsi="Times New Roman"/>
          <w:color w:val="000000"/>
          <w:sz w:val="22"/>
          <w:u w:val="single"/>
        </w:rPr>
        <w:t>Specified Disputes</w:t>
      </w:r>
      <w:r>
        <w:rPr>
          <w:rFonts w:ascii="Times New Roman" w:hAnsi="Times New Roman"/>
          <w:color w:val="000000"/>
          <w:sz w:val="20"/>
        </w:rPr>
        <w:t>”</w:t>
      </w:r>
      <w:r>
        <w:rPr>
          <w:rFonts w:ascii="Times New Roman" w:hAnsi="Times New Roman"/>
          <w:color w:val="000000"/>
          <w:sz w:val="22"/>
        </w:rPr>
        <w:t>), nor to the knowledge of any Borrower, has any such Specified Dispute been threatened in writing, in each case challenging the legality, validity, enforceability or ownership of any Current Company IP, in each case that would have a material adverse effect on the Products.</w:t>
      </w:r>
    </w:p>
    <w:p>
      <w:pPr>
        <w:pStyle w:val="TextBody"/>
        <w:bidi w:val="0"/>
        <w:spacing w:before="0" w:after="240"/>
        <w:jc w:val="both"/>
        <w:rPr>
          <w:rFonts w:ascii="Times New Roman" w:hAnsi="Times New Roman"/>
          <w:sz w:val="20"/>
        </w:rPr>
      </w:pPr>
      <w:r>
        <w:rPr>
          <w:rFonts w:ascii="Times New Roman" w:hAnsi="Times New Roman"/>
          <w:color w:val="000000"/>
          <w:sz w:val="22"/>
        </w:rPr>
        <w:t>(h)</w:t>
      </w:r>
      <w:r>
        <w:rPr>
          <w:rFonts w:ascii="Times New Roman" w:hAnsi="Times New Roman"/>
          <w:color w:val="000000"/>
          <w:sz w:val="20"/>
        </w:rPr>
        <w:t xml:space="preserve"> </w:t>
      </w:r>
      <w:r>
        <w:rPr>
          <w:rFonts w:ascii="Times New Roman" w:hAnsi="Times New Roman"/>
          <w:color w:val="000000"/>
          <w:sz w:val="22"/>
        </w:rPr>
        <w:t>In each case where an issued Patent within the Current Company IP is owned or co-owned by Borrower or any of its Subsidiaries by assignment, the assignment has been duly recorded with the U.S. Patent and Trademark Office.</w:t>
      </w:r>
    </w:p>
    <w:p>
      <w:pPr>
        <w:pStyle w:val="TextBody"/>
        <w:bidi w:val="0"/>
        <w:spacing w:before="0" w:after="240"/>
        <w:jc w:val="both"/>
        <w:rPr>
          <w:rFonts w:ascii="Times New Roman" w:hAnsi="Times New Roman"/>
          <w:sz w:val="20"/>
        </w:rPr>
      </w:pPr>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rPr>
        <w:t xml:space="preserve">Except as set forth on </w:t>
      </w:r>
      <w:r>
        <w:rPr>
          <w:rFonts w:ascii="Times New Roman" w:hAnsi="Times New Roman"/>
          <w:color w:val="000000"/>
          <w:sz w:val="22"/>
          <w:u w:val="single"/>
        </w:rPr>
        <w:t>Schedule 5.10(i)</w:t>
      </w:r>
      <w:r>
        <w:rPr>
          <w:rFonts w:ascii="Times New Roman" w:hAnsi="Times New Roman"/>
          <w:color w:val="000000"/>
          <w:sz w:val="20"/>
        </w:rPr>
        <w:t xml:space="preserve"> </w:t>
      </w:r>
      <w:r>
        <w:rPr>
          <w:rFonts w:ascii="Times New Roman" w:hAnsi="Times New Roman"/>
          <w:color w:val="000000"/>
          <w:sz w:val="22"/>
        </w:rPr>
        <w:t>there are no pending or, to the knowledge of any Borrower, threatened claims against Borrower or any of its Subsidiaries alleging (i) that any research, development, manufacture, production, use, commercialization, marketing, importing, storage, transport, offer for sale, distribution or sale of the Products in the United States of America infringes or violates (or in the past infringed or violated) the rights of any third parties in or to any Intellectual Property (“</w:t>
      </w:r>
      <w:r>
        <w:rPr>
          <w:rFonts w:ascii="Times New Roman" w:hAnsi="Times New Roman"/>
          <w:color w:val="000000"/>
          <w:sz w:val="22"/>
          <w:u w:val="single"/>
        </w:rPr>
        <w:t>Third Party IP</w:t>
      </w:r>
      <w:r>
        <w:rPr>
          <w:rFonts w:ascii="Times New Roman" w:hAnsi="Times New Roman"/>
          <w:color w:val="000000"/>
          <w:sz w:val="20"/>
        </w:rPr>
        <w:t>”</w:t>
      </w:r>
      <w:r>
        <w:rPr>
          <w:rFonts w:ascii="Times New Roman" w:hAnsi="Times New Roman"/>
          <w:color w:val="000000"/>
          <w:sz w:val="22"/>
        </w:rPr>
        <w:t>) or constitutes a misappropriation of (or in the past constituted a misappropriation of) any Third Party IP, or (ii) that any Current Company IP is invalid or unenforceable.</w:t>
      </w:r>
    </w:p>
    <w:p>
      <w:pPr>
        <w:pStyle w:val="TextBody"/>
        <w:bidi w:val="0"/>
        <w:spacing w:before="0" w:after="240"/>
        <w:jc w:val="both"/>
        <w:rPr>
          <w:rFonts w:ascii="Times New Roman" w:hAnsi="Times New Roman"/>
          <w:sz w:val="20"/>
        </w:rPr>
      </w:pPr>
      <w:r>
        <w:rPr>
          <w:rFonts w:ascii="Times New Roman" w:hAnsi="Times New Roman"/>
          <w:color w:val="000000"/>
          <w:sz w:val="22"/>
        </w:rPr>
        <w:t>(j)</w:t>
      </w:r>
      <w:r>
        <w:rPr>
          <w:rFonts w:ascii="Times New Roman" w:hAnsi="Times New Roman"/>
          <w:color w:val="000000"/>
          <w:sz w:val="20"/>
        </w:rPr>
        <w:t xml:space="preserve"> </w:t>
      </w:r>
      <w:r>
        <w:rPr>
          <w:rFonts w:ascii="Times New Roman" w:hAnsi="Times New Roman"/>
          <w:color w:val="000000"/>
          <w:sz w:val="22"/>
        </w:rPr>
        <w:t xml:space="preserve">Except as set forth on </w:t>
      </w:r>
      <w:r>
        <w:rPr>
          <w:rFonts w:ascii="Times New Roman" w:hAnsi="Times New Roman"/>
          <w:color w:val="000000"/>
          <w:sz w:val="22"/>
          <w:u w:val="single"/>
        </w:rPr>
        <w:t>Schedule 5.10(j)</w:t>
      </w:r>
      <w:r>
        <w:rPr>
          <w:rFonts w:ascii="Times New Roman" w:hAnsi="Times New Roman"/>
          <w:color w:val="000000"/>
          <w:sz w:val="22"/>
        </w:rPr>
        <w:t>, the manufacture, production, use, commercialization, marketing, importing, storage, transport, offer for sale, distribution or sale of the Products does not, to the knowledge of any Borrower, infringe or violate (or in the past infringed or violated) any issued or registered Third Party IP (including any issued Patent within the Third Party IP) or constitute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misappropriation of (or in the past constituted a misappropriation of) any Third Party IP, in each case, in a manner that would reasonably be expected to materially adversely affect the exploitation of the Products.</w:t>
      </w:r>
    </w:p>
    <w:p>
      <w:pPr>
        <w:pStyle w:val="TextBody"/>
        <w:bidi w:val="0"/>
        <w:spacing w:before="0" w:after="240"/>
        <w:jc w:val="both"/>
        <w:rPr>
          <w:rFonts w:ascii="Times New Roman" w:hAnsi="Times New Roman"/>
          <w:sz w:val="20"/>
        </w:rPr>
      </w:pPr>
      <w:r>
        <w:rPr>
          <w:rFonts w:ascii="Times New Roman" w:hAnsi="Times New Roman"/>
          <w:color w:val="000000"/>
          <w:sz w:val="22"/>
        </w:rPr>
        <w:t>(k)</w:t>
      </w:r>
      <w:r>
        <w:rPr>
          <w:rFonts w:ascii="Times New Roman" w:hAnsi="Times New Roman"/>
          <w:color w:val="000000"/>
          <w:sz w:val="20"/>
        </w:rPr>
        <w:t xml:space="preserve"> </w:t>
      </w:r>
      <w:r>
        <w:rPr>
          <w:rFonts w:ascii="Times New Roman" w:hAnsi="Times New Roman"/>
          <w:color w:val="000000"/>
          <w:sz w:val="22"/>
        </w:rPr>
        <w:t xml:space="preserve">Except as set forth on </w:t>
      </w:r>
      <w:r>
        <w:rPr>
          <w:rFonts w:ascii="Times New Roman" w:hAnsi="Times New Roman"/>
          <w:color w:val="000000"/>
          <w:sz w:val="22"/>
          <w:u w:val="single"/>
        </w:rPr>
        <w:t>Schedule 5.10(k)</w:t>
      </w:r>
      <w:r>
        <w:rPr>
          <w:rFonts w:ascii="Times New Roman" w:hAnsi="Times New Roman"/>
          <w:color w:val="000000"/>
          <w:sz w:val="22"/>
        </w:rPr>
        <w:t>, there are no settlements, covenants not to sue, consents, judgments, orders or similar obligations which: (i) restrict the rights of the Borrower or any of its Subsidiaries to use any Intellectual Property relating to the research, development, manufacture, production, use, commercialization, marketing, importing, storage, transport, offer for sale, distribution or sale of the Products (in order to accommodate any Third Party IP or otherwise), or (ii) permit any third parties to use any Current Company IP.</w:t>
      </w:r>
    </w:p>
    <w:p>
      <w:pPr>
        <w:pStyle w:val="TextBody"/>
        <w:bidi w:val="0"/>
        <w:spacing w:before="0" w:after="240"/>
        <w:jc w:val="both"/>
        <w:rPr>
          <w:rFonts w:ascii="Times New Roman" w:hAnsi="Times New Roman"/>
          <w:sz w:val="20"/>
        </w:rPr>
      </w:pPr>
      <w:r>
        <w:rPr>
          <w:rFonts w:ascii="Times New Roman" w:hAnsi="Times New Roman"/>
          <w:color w:val="000000"/>
          <w:sz w:val="22"/>
        </w:rPr>
        <w:t>(l)</w:t>
      </w:r>
      <w:r>
        <w:rPr>
          <w:rFonts w:ascii="Times New Roman" w:hAnsi="Times New Roman"/>
          <w:color w:val="000000"/>
          <w:sz w:val="20"/>
        </w:rPr>
        <w:t xml:space="preserve"> </w:t>
      </w:r>
      <w:r>
        <w:rPr>
          <w:rFonts w:ascii="Times New Roman" w:hAnsi="Times New Roman"/>
          <w:color w:val="000000"/>
          <w:sz w:val="22"/>
        </w:rPr>
        <w:t xml:space="preserve">Except as set forth on </w:t>
      </w:r>
      <w:r>
        <w:rPr>
          <w:rFonts w:ascii="Times New Roman" w:hAnsi="Times New Roman"/>
          <w:color w:val="000000"/>
          <w:sz w:val="22"/>
          <w:u w:val="single"/>
        </w:rPr>
        <w:t>Schedule 5.10(l)</w:t>
      </w:r>
      <w:r>
        <w:rPr>
          <w:rFonts w:ascii="Times New Roman" w:hAnsi="Times New Roman"/>
          <w:color w:val="000000"/>
          <w:sz w:val="22"/>
        </w:rPr>
        <w:t>, to the knowledge of any Borrower (i) there is no, nor has there been any, infringement or violation by any Person of any of the Current Company IP or the rights therein, and (ii) there is no, nor has there been any, misappropriation by any Person of any Current Company IP or the subject matter thereof.</w:t>
      </w:r>
    </w:p>
    <w:p>
      <w:pPr>
        <w:pStyle w:val="TextBody"/>
        <w:bidi w:val="0"/>
        <w:spacing w:before="0" w:after="240"/>
        <w:jc w:val="both"/>
        <w:rPr>
          <w:rFonts w:ascii="Times New Roman" w:hAnsi="Times New Roman"/>
          <w:sz w:val="20"/>
        </w:rPr>
      </w:pPr>
      <w:r>
        <w:rPr>
          <w:rFonts w:ascii="Times New Roman" w:hAnsi="Times New Roman"/>
          <w:color w:val="000000"/>
          <w:sz w:val="22"/>
        </w:rPr>
        <w:t>(m)</w:t>
      </w:r>
      <w:r>
        <w:rPr>
          <w:rFonts w:ascii="Times New Roman" w:hAnsi="Times New Roman"/>
          <w:color w:val="000000"/>
          <w:sz w:val="20"/>
        </w:rPr>
        <w:t xml:space="preserve"> </w:t>
      </w:r>
      <w:r>
        <w:rPr>
          <w:rFonts w:ascii="Times New Roman" w:hAnsi="Times New Roman"/>
          <w:color w:val="000000"/>
          <w:sz w:val="22"/>
        </w:rPr>
        <w:t>Borrower and each of its Subsidiaries has taken commercially reasonable measures customary in the biopharmaceutical industry to protect the confidentiality of all trade secrets owned by Borrower or any of its Subsidiaries or used or held for use by Borrower or any of its Subsidiaries, in each case relating to the research, development, manufacture, production, use, commercialization, marketing, importing, storage, transport, offer for sale, distribution or sale of the Products.</w:t>
      </w:r>
    </w:p>
    <w:p>
      <w:pPr>
        <w:pStyle w:val="TextBody"/>
        <w:bidi w:val="0"/>
        <w:spacing w:before="0" w:after="240"/>
        <w:jc w:val="both"/>
        <w:rPr>
          <w:rFonts w:ascii="Times New Roman" w:hAnsi="Times New Roman"/>
          <w:sz w:val="20"/>
        </w:rPr>
      </w:pPr>
      <w:r>
        <w:rPr>
          <w:rFonts w:ascii="Times New Roman" w:hAnsi="Times New Roman"/>
          <w:color w:val="000000"/>
          <w:sz w:val="22"/>
        </w:rPr>
        <w:t>(n)</w:t>
      </w:r>
      <w:r>
        <w:rPr>
          <w:rFonts w:ascii="Times New Roman" w:hAnsi="Times New Roman"/>
          <w:color w:val="000000"/>
          <w:sz w:val="20"/>
        </w:rPr>
        <w:t xml:space="preserve"> </w:t>
      </w:r>
      <w:r>
        <w:rPr>
          <w:rFonts w:ascii="Times New Roman" w:hAnsi="Times New Roman"/>
          <w:color w:val="000000"/>
          <w:sz w:val="22"/>
        </w:rPr>
        <w:t>[reserved].</w:t>
      </w:r>
    </w:p>
    <w:p>
      <w:pPr>
        <w:pStyle w:val="TextBody"/>
        <w:bidi w:val="0"/>
        <w:spacing w:before="0" w:after="240"/>
        <w:jc w:val="both"/>
        <w:rPr>
          <w:rFonts w:ascii="Times New Roman" w:hAnsi="Times New Roman"/>
          <w:sz w:val="20"/>
        </w:rPr>
      </w:pPr>
      <w:r>
        <w:rPr>
          <w:rFonts w:ascii="Times New Roman" w:hAnsi="Times New Roman"/>
          <w:color w:val="000000"/>
          <w:sz w:val="22"/>
        </w:rPr>
        <w:t>(o)</w:t>
      </w:r>
      <w:r>
        <w:rPr>
          <w:rFonts w:ascii="Times New Roman" w:hAnsi="Times New Roman"/>
          <w:color w:val="000000"/>
          <w:sz w:val="20"/>
        </w:rPr>
        <w:t xml:space="preserve"> </w:t>
      </w:r>
      <w:r>
        <w:rPr>
          <w:rFonts w:ascii="Times New Roman" w:hAnsi="Times New Roman"/>
          <w:color w:val="000000"/>
          <w:sz w:val="22"/>
        </w:rPr>
        <w:t xml:space="preserve">Except as described on </w:t>
      </w:r>
      <w:r>
        <w:rPr>
          <w:rFonts w:ascii="Times New Roman" w:hAnsi="Times New Roman"/>
          <w:color w:val="000000"/>
          <w:sz w:val="22"/>
          <w:u w:val="single"/>
        </w:rPr>
        <w:t>Schedule 5.10(o)</w:t>
      </w:r>
      <w:r>
        <w:rPr>
          <w:rFonts w:ascii="Times New Roman" w:hAnsi="Times New Roman"/>
          <w:color w:val="000000"/>
          <w:sz w:val="22"/>
        </w:rPr>
        <w:t>, Borrower has all material rights with respect to Intellectual Property necessary, or other than would not be expected to cause a Material Adverse Effect, with respect to Current Company IP material in the operation or conduct of Borrower’s business as currently conducted and proposed to be conducted by Borrower. Without limiting the generality of the foregoing, and in the case of Licenses, except for restrictions that are unenforceable under Article 9 of the UCC, Borrower has the right, to the extent required to operate Borrower’s business, to freely transfer, license or assign Current Company IP material in the operation or conduct of Borrower’s business as currently conducted and proposed to be conducted by Borrower, without condition, restriction or payment of any kind (other than license payments in the ordinary course of business) to any third party, and Borrower owns or has the right to use, pursuant to valid licenses, all software development tools, library functions, compilers and all other third-party software and other items that are material to Borrower’s business and used in the design, development, promotion, sale, license, manufacture, import, export, use or distribution of Borrower Products except customary covenants in inbound license agreements and equipment leases where Borrower is the licensee or lessee.</w:t>
      </w:r>
    </w:p>
    <w:p>
      <w:pPr>
        <w:pStyle w:val="TextBody"/>
        <w:bidi w:val="0"/>
        <w:spacing w:before="0" w:after="240"/>
        <w:jc w:val="both"/>
        <w:rPr>
          <w:rFonts w:ascii="Times New Roman" w:hAnsi="Times New Roman"/>
          <w:sz w:val="20"/>
        </w:rPr>
      </w:pPr>
      <w:r>
        <w:rPr>
          <w:rFonts w:ascii="Times New Roman" w:hAnsi="Times New Roman"/>
          <w:color w:val="000000"/>
          <w:sz w:val="22"/>
        </w:rPr>
        <w:t>(p)</w:t>
      </w:r>
      <w:r>
        <w:rPr>
          <w:rFonts w:ascii="Times New Roman" w:hAnsi="Times New Roman"/>
          <w:color w:val="000000"/>
          <w:sz w:val="20"/>
        </w:rPr>
        <w:t xml:space="preserve"> </w:t>
      </w:r>
      <w:r>
        <w:rPr>
          <w:rFonts w:ascii="Times New Roman" w:hAnsi="Times New Roman"/>
          <w:color w:val="000000"/>
          <w:sz w:val="22"/>
        </w:rPr>
        <w:t>No material software or other materials used by Borrower or any of its Subsidiaries (or used in any Borrower Products or any Subsidiaries’ products) are subject to an open-source or similar license (including but not limited to the General Public License, Lesser General Public License, Mozilla Public License, or Affero License) (collectively, “</w:t>
      </w:r>
      <w:r>
        <w:rPr>
          <w:rFonts w:ascii="Times New Roman" w:hAnsi="Times New Roman"/>
          <w:color w:val="000000"/>
          <w:sz w:val="22"/>
          <w:u w:val="single"/>
        </w:rPr>
        <w:t>Open Source Licenses</w:t>
      </w:r>
      <w:r>
        <w:rPr>
          <w:rFonts w:ascii="Times New Roman" w:hAnsi="Times New Roman"/>
          <w:color w:val="000000"/>
          <w:sz w:val="20"/>
        </w:rPr>
        <w:t>”</w:t>
      </w:r>
      <w:r>
        <w:rPr>
          <w:rFonts w:ascii="Times New Roman" w:hAnsi="Times New Roman"/>
          <w:color w:val="000000"/>
          <w:sz w:val="22"/>
        </w:rPr>
        <w:t>) in a manner that would cause such software or other materials to have to be (i) distributed to third parties at no charge or a minimal charge (royalty-free basis); (ii) licensed to third parties to modify, make derivative works based on, decompile, disassemble, or reverse engineer; or (iii) used in a manner that does could require disclosure or distribution in source code form.</w:t>
      </w:r>
    </w:p>
    <w:p>
      <w:pPr>
        <w:pStyle w:val="TextBody"/>
        <w:bidi w:val="0"/>
        <w:spacing w:before="0" w:after="240"/>
        <w:jc w:val="both"/>
        <w:rPr>
          <w:rFonts w:ascii="Times New Roman" w:hAnsi="Times New Roman"/>
          <w:sz w:val="20"/>
        </w:rPr>
      </w:pPr>
      <w:r>
        <w:rPr>
          <w:rFonts w:ascii="Times New Roman" w:hAnsi="Times New Roman"/>
          <w:color w:val="000000"/>
          <w:sz w:val="22"/>
        </w:rPr>
        <w:t>5.11</w:t>
      </w:r>
      <w:r>
        <w:rPr>
          <w:rFonts w:ascii="Times New Roman" w:hAnsi="Times New Roman"/>
          <w:color w:val="000000"/>
          <w:sz w:val="20"/>
        </w:rPr>
        <w:t xml:space="preserve"> </w:t>
      </w:r>
      <w:r>
        <w:rPr>
          <w:rFonts w:ascii="Times New Roman" w:hAnsi="Times New Roman"/>
          <w:color w:val="000000"/>
          <w:sz w:val="22"/>
          <w:u w:val="single"/>
        </w:rPr>
        <w:t>Borrower Products</w:t>
      </w:r>
      <w:r>
        <w:rPr>
          <w:rFonts w:ascii="Times New Roman" w:hAnsi="Times New Roman"/>
          <w:color w:val="000000"/>
          <w:sz w:val="22"/>
        </w:rPr>
        <w:t xml:space="preserve">. Except as described on </w:t>
      </w:r>
      <w:r>
        <w:rPr>
          <w:rFonts w:ascii="Times New Roman" w:hAnsi="Times New Roman"/>
          <w:color w:val="000000"/>
          <w:sz w:val="22"/>
          <w:u w:val="single"/>
        </w:rPr>
        <w:t>Schedule 5.11</w:t>
      </w:r>
      <w:r>
        <w:rPr>
          <w:rFonts w:ascii="Times New Roman" w:hAnsi="Times New Roman"/>
          <w:color w:val="000000"/>
          <w:sz w:val="22"/>
        </w:rPr>
        <w:t>, no Current Company IP owned by Borrower and material in its business or Borrower Product has been or is subject to any actual or, to the knowledge of Borrower, threatened in writing, litigation, proceeding (including any proceeding in the United States Patent and Trademark Office or any corresponding foreign office or agency) or outstanding</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decree, order, judgment, settlement agreement or stipulation that restricts in any manner Borrower’s use, transfer or licensing thereof or that may affect the validity, use or enforceability thereof. There is no decree, order, judgment, agreement, stipulation, arbitral award or other provision entered into in connection with any litigation or proceeding that obligates Borrower to grant licenses or ownership interest in any future Intellectual Property related to the operation or conduct of the business of Borrower or Borrower Products. Borrower has not received any written notice or claim challenging or questioning Borrower’s ownership in any Current Company IP (or written notice of any claim challenging or questioning the ownership in any licensed Current Company IP of the owner thereof) or suggesting that any third party has any claim of legal or beneficial ownership with respect thereto nor, to Borrower’s knowledge, is there a reasonable basis for any such claim.</w:t>
      </w:r>
    </w:p>
    <w:p>
      <w:pPr>
        <w:pStyle w:val="TextBody"/>
        <w:bidi w:val="0"/>
        <w:spacing w:before="0" w:after="240"/>
        <w:jc w:val="both"/>
        <w:rPr>
          <w:rFonts w:ascii="Times New Roman" w:hAnsi="Times New Roman"/>
          <w:sz w:val="20"/>
        </w:rPr>
      </w:pPr>
      <w:r>
        <w:rPr>
          <w:rFonts w:ascii="Times New Roman" w:hAnsi="Times New Roman"/>
          <w:color w:val="000000"/>
          <w:sz w:val="22"/>
        </w:rPr>
        <w:t>5.12</w:t>
      </w:r>
      <w:r>
        <w:rPr>
          <w:rFonts w:ascii="Times New Roman" w:hAnsi="Times New Roman"/>
          <w:color w:val="000000"/>
          <w:sz w:val="20"/>
        </w:rPr>
        <w:t xml:space="preserve"> </w:t>
      </w:r>
      <w:r>
        <w:rPr>
          <w:rFonts w:ascii="Times New Roman" w:hAnsi="Times New Roman"/>
          <w:color w:val="000000"/>
          <w:sz w:val="22"/>
          <w:u w:val="single"/>
        </w:rPr>
        <w:t>Financial Accounts</w:t>
      </w:r>
      <w:r>
        <w:rPr>
          <w:rFonts w:ascii="Times New Roman" w:hAnsi="Times New Roman"/>
          <w:color w:val="000000"/>
          <w:sz w:val="22"/>
        </w:rPr>
        <w:t xml:space="preserve">. </w:t>
      </w:r>
      <w:r>
        <w:rPr>
          <w:rFonts w:ascii="Times New Roman" w:hAnsi="Times New Roman"/>
          <w:color w:val="000000"/>
          <w:sz w:val="22"/>
          <w:u w:val="single"/>
        </w:rPr>
        <w:t>Exhibit D</w:t>
      </w:r>
      <w:r>
        <w:rPr>
          <w:rFonts w:ascii="Times New Roman" w:hAnsi="Times New Roman"/>
          <w:color w:val="000000"/>
          <w:sz w:val="22"/>
        </w:rPr>
        <w:t>, as may be updated by Borrower in a written notice provided to Agent after the Closing Date, is a true, correct and complete list of (a) all banks and other financial institutions at which Borrower or any Subsidiary maintains Deposit Accounts and (b) all institutions at which Borrower or any Subsidiary maintains an account holding Investment Property, and such exhibit correctly identifies the name and address of each bank or other institution, the name in which the account is held, a description of the purpose of the account, and the complete account number therefor.</w:t>
      </w:r>
    </w:p>
    <w:p>
      <w:pPr>
        <w:pStyle w:val="TextBody"/>
        <w:bidi w:val="0"/>
        <w:spacing w:before="0" w:after="240"/>
        <w:jc w:val="both"/>
        <w:rPr>
          <w:rFonts w:ascii="Times New Roman" w:hAnsi="Times New Roman"/>
          <w:sz w:val="20"/>
        </w:rPr>
      </w:pPr>
      <w:r>
        <w:rPr>
          <w:rFonts w:ascii="Times New Roman" w:hAnsi="Times New Roman"/>
          <w:color w:val="000000"/>
          <w:sz w:val="22"/>
        </w:rPr>
        <w:t>5.13</w:t>
      </w:r>
      <w:r>
        <w:rPr>
          <w:rFonts w:ascii="Times New Roman" w:hAnsi="Times New Roman"/>
          <w:color w:val="000000"/>
          <w:sz w:val="20"/>
        </w:rPr>
        <w:t xml:space="preserve"> </w:t>
      </w:r>
      <w:r>
        <w:rPr>
          <w:rFonts w:ascii="Times New Roman" w:hAnsi="Times New Roman"/>
          <w:color w:val="000000"/>
          <w:sz w:val="22"/>
          <w:u w:val="single"/>
        </w:rPr>
        <w:t>Employee Loans</w:t>
      </w:r>
      <w:r>
        <w:rPr>
          <w:rFonts w:ascii="Times New Roman" w:hAnsi="Times New Roman"/>
          <w:color w:val="000000"/>
          <w:sz w:val="22"/>
        </w:rPr>
        <w:t>. Borrower has no outstanding loans to any employee, officer or director of Borrower nor has Borrower guaranteed the payment of any loan made to an employee, officer or director of Borrower by a third party except as permitted hereunder.</w:t>
      </w:r>
    </w:p>
    <w:p>
      <w:pPr>
        <w:pStyle w:val="TextBody"/>
        <w:bidi w:val="0"/>
        <w:spacing w:before="0" w:after="240"/>
        <w:jc w:val="both"/>
        <w:rPr>
          <w:rFonts w:ascii="Times New Roman" w:hAnsi="Times New Roman"/>
          <w:sz w:val="20"/>
        </w:rPr>
      </w:pPr>
      <w:r>
        <w:rPr>
          <w:rFonts w:ascii="Times New Roman" w:hAnsi="Times New Roman"/>
          <w:color w:val="000000"/>
          <w:sz w:val="22"/>
        </w:rPr>
        <w:t>5.14</w:t>
      </w:r>
      <w:r>
        <w:rPr>
          <w:rFonts w:ascii="Times New Roman" w:hAnsi="Times New Roman"/>
          <w:color w:val="000000"/>
          <w:sz w:val="20"/>
        </w:rPr>
        <w:t xml:space="preserve"> </w:t>
      </w:r>
      <w:r>
        <w:rPr>
          <w:rFonts w:ascii="Times New Roman" w:hAnsi="Times New Roman"/>
          <w:color w:val="000000"/>
          <w:sz w:val="22"/>
          <w:u w:val="single"/>
        </w:rPr>
        <w:t>Capitalization and Subsidiaries</w:t>
      </w:r>
      <w:r>
        <w:rPr>
          <w:rFonts w:ascii="Times New Roman" w:hAnsi="Times New Roman"/>
          <w:color w:val="000000"/>
          <w:sz w:val="22"/>
        </w:rPr>
        <w:t xml:space="preserve">. Borrower’s capitalization as of the Closing Date is set forth on part B of </w:t>
      </w:r>
      <w:r>
        <w:rPr>
          <w:rFonts w:ascii="Times New Roman" w:hAnsi="Times New Roman"/>
          <w:color w:val="000000"/>
          <w:sz w:val="22"/>
          <w:u w:val="single"/>
        </w:rPr>
        <w:t>Schedule 5.14</w:t>
      </w:r>
      <w:r>
        <w:rPr>
          <w:rFonts w:ascii="Times New Roman" w:hAnsi="Times New Roman"/>
          <w:color w:val="000000"/>
          <w:sz w:val="20"/>
        </w:rPr>
        <w:t xml:space="preserve"> </w:t>
      </w:r>
      <w:r>
        <w:rPr>
          <w:rFonts w:ascii="Times New Roman" w:hAnsi="Times New Roman"/>
          <w:color w:val="000000"/>
          <w:sz w:val="22"/>
        </w:rPr>
        <w:t xml:space="preserve">annexed hereto. Borrower does not own any stock, partnership interest or other securities of any Person, except for Permitted Investments. Attached as part A of </w:t>
      </w:r>
      <w:r>
        <w:rPr>
          <w:rFonts w:ascii="Times New Roman" w:hAnsi="Times New Roman"/>
          <w:color w:val="000000"/>
          <w:sz w:val="22"/>
          <w:u w:val="single"/>
        </w:rPr>
        <w:t>Schedule 5.14</w:t>
      </w:r>
      <w:r>
        <w:rPr>
          <w:rFonts w:ascii="Times New Roman" w:hAnsi="Times New Roman"/>
          <w:color w:val="000000"/>
          <w:sz w:val="22"/>
        </w:rPr>
        <w:t>, as may be updated by Borrower in a written notice provided after the Closing Date, is a true, correct and complete list of each Subsidiary.</w:t>
      </w:r>
    </w:p>
    <w:p>
      <w:pPr>
        <w:pStyle w:val="TextBody"/>
        <w:bidi w:val="0"/>
        <w:spacing w:before="0" w:after="240"/>
        <w:jc w:val="both"/>
        <w:rPr>
          <w:rFonts w:ascii="Times New Roman" w:hAnsi="Times New Roman"/>
          <w:sz w:val="20"/>
        </w:rPr>
      </w:pPr>
      <w:r>
        <w:rPr>
          <w:rFonts w:ascii="Times New Roman" w:hAnsi="Times New Roman"/>
          <w:color w:val="000000"/>
          <w:sz w:val="22"/>
        </w:rPr>
        <w:t>5.15</w:t>
      </w:r>
      <w:r>
        <w:rPr>
          <w:rFonts w:ascii="Times New Roman" w:hAnsi="Times New Roman"/>
          <w:color w:val="000000"/>
          <w:sz w:val="20"/>
        </w:rPr>
        <w:t xml:space="preserve"> </w:t>
      </w:r>
      <w:r>
        <w:rPr>
          <w:rFonts w:ascii="Times New Roman" w:hAnsi="Times New Roman"/>
          <w:color w:val="000000"/>
          <w:sz w:val="22"/>
          <w:u w:val="single"/>
        </w:rPr>
        <w:t>Solvency</w:t>
      </w:r>
      <w:r>
        <w:rPr>
          <w:rFonts w:ascii="Times New Roman" w:hAnsi="Times New Roman"/>
          <w:color w:val="000000"/>
          <w:sz w:val="22"/>
        </w:rPr>
        <w:t>. (i) The fair saleable value of Borrower’s consolidated assets exceeds the fair value of Borrower’s liabilities; (ii) Borrower is not left with unreasonably small capital after the transactions in the Loan Documents; and (iii) Borrower is able to pay its debts (including trade debts) as they become due.</w:t>
      </w:r>
    </w:p>
    <w:p>
      <w:pPr>
        <w:pStyle w:val="TextBody"/>
        <w:bidi w:val="0"/>
        <w:spacing w:before="0" w:after="240"/>
        <w:jc w:val="center"/>
        <w:rPr>
          <w:rFonts w:ascii="Times New Roman" w:hAnsi="Times New Roman"/>
          <w:sz w:val="20"/>
        </w:rPr>
      </w:pPr>
      <w:r>
        <w:rPr>
          <w:rFonts w:ascii="Times New Roman" w:hAnsi="Times New Roman"/>
          <w:b/>
          <w:color w:val="000000"/>
          <w:sz w:val="22"/>
        </w:rPr>
        <w:t>SECTION 6</w:t>
      </w:r>
      <w:r>
        <w:rPr>
          <w:rFonts w:ascii="Times New Roman" w:hAnsi="Times New Roman"/>
          <w:color w:val="000000"/>
          <w:sz w:val="20"/>
        </w:rPr>
        <w:t xml:space="preserve"> </w:t>
      </w:r>
      <w:r>
        <w:rPr>
          <w:rFonts w:ascii="Times New Roman" w:hAnsi="Times New Roman"/>
          <w:b/>
          <w:color w:val="000000"/>
          <w:sz w:val="22"/>
          <w:u w:val="single"/>
        </w:rPr>
        <w:t>INSURANCE; INDEMNIFICATION</w:t>
      </w:r>
    </w:p>
    <w:p>
      <w:pPr>
        <w:pStyle w:val="TextBody"/>
        <w:bidi w:val="0"/>
        <w:spacing w:before="0" w:after="240"/>
        <w:jc w:val="both"/>
        <w:rPr>
          <w:rFonts w:ascii="Times New Roman" w:hAnsi="Times New Roman"/>
          <w:sz w:val="20"/>
        </w:rPr>
      </w:pPr>
      <w:r>
        <w:rPr>
          <w:rFonts w:ascii="Times New Roman" w:hAnsi="Times New Roman"/>
          <w:color w:val="000000"/>
          <w:sz w:val="22"/>
        </w:rPr>
        <w:t>6.1</w:t>
      </w:r>
      <w:r>
        <w:rPr>
          <w:rFonts w:ascii="Times New Roman" w:hAnsi="Times New Roman"/>
          <w:color w:val="000000"/>
          <w:sz w:val="20"/>
        </w:rPr>
        <w:t xml:space="preserve"> </w:t>
      </w:r>
      <w:r>
        <w:rPr>
          <w:rFonts w:ascii="Times New Roman" w:hAnsi="Times New Roman"/>
          <w:color w:val="000000"/>
          <w:sz w:val="22"/>
          <w:u w:val="single"/>
        </w:rPr>
        <w:t>Coverage</w:t>
      </w:r>
      <w:r>
        <w:rPr>
          <w:rFonts w:ascii="Times New Roman" w:hAnsi="Times New Roman"/>
          <w:color w:val="000000"/>
          <w:sz w:val="22"/>
        </w:rPr>
        <w:t xml:space="preserve">. Borrower shall cause to be carried and maintained commercial general liability insurance, on an occurrence form, against risks customarily insured against in Borrower’s line of business. Such risks shall include the risks of bodily injury, including death, property damage, personal injury, and contractual liability per the terms of the indemnification agreement found in </w:t>
      </w:r>
      <w:r>
        <w:rPr>
          <w:rFonts w:ascii="Times New Roman" w:hAnsi="Times New Roman"/>
          <w:color w:val="000000"/>
          <w:sz w:val="22"/>
          <w:u w:val="single"/>
        </w:rPr>
        <w:t>Section 6.3.</w:t>
      </w:r>
      <w:r>
        <w:rPr>
          <w:rFonts w:ascii="Times New Roman" w:hAnsi="Times New Roman"/>
          <w:color w:val="000000"/>
          <w:sz w:val="20"/>
        </w:rPr>
        <w:t xml:space="preserve"> </w:t>
      </w:r>
      <w:r>
        <w:rPr>
          <w:rFonts w:ascii="Times New Roman" w:hAnsi="Times New Roman"/>
          <w:color w:val="000000"/>
          <w:sz w:val="22"/>
        </w:rPr>
        <w:t xml:space="preserve">Borrower must maintain a minimum of $2,000,000 of commercial general liability insurance for each occurrence. Borrower has and agrees to maintain a minimum of $4,000,000 of directors’ and officers’ insurance for each occurrence and $10,000,000 in the aggregate. So long as there are any Secured Obligations outstanding, Borrower shall also cause to be carried and maintained insurance upon the Collateral, insuring against all risks of physical loss or damage howsoever caused, in an amount not less than the full replacement cost of the Collateral, provided that such insurance may be subject to standard exceptions and deductibles. If Borrower fails to obtain the insurance called for by this </w:t>
      </w:r>
      <w:r>
        <w:rPr>
          <w:rFonts w:ascii="Times New Roman" w:hAnsi="Times New Roman"/>
          <w:color w:val="000000"/>
          <w:sz w:val="22"/>
          <w:u w:val="single"/>
        </w:rPr>
        <w:t xml:space="preserve">Section 6.1 </w:t>
      </w:r>
      <w:r>
        <w:rPr>
          <w:rFonts w:ascii="Times New Roman" w:hAnsi="Times New Roman"/>
          <w:color w:val="000000"/>
          <w:sz w:val="22"/>
        </w:rPr>
        <w:t>or fails to pay any premium thereon or fails to pay any other amount which Borrower is obligated to pay under this Agreement or any other Loan Document or which may be required to preserve the Collateral, Agent may obtain such insurance or make such payment, and all amounts so paid by Agent are immediately due and payable, bearing interest at the then highest rate applicable to the Secured Obligations, and secured by the Collateral. Agent will make reasonable efforts to provide Borrower with notice of Agent obtaining such insurance at the time it is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obtained or within a reasonable time thereafter. No payments by Agent are deemed an agreement to make similar payments in the future or Agent’s waiver of any Event of Default.</w:t>
      </w:r>
    </w:p>
    <w:p>
      <w:pPr>
        <w:pStyle w:val="TextBody"/>
        <w:bidi w:val="0"/>
        <w:spacing w:before="0" w:after="240"/>
        <w:jc w:val="both"/>
        <w:rPr>
          <w:rFonts w:ascii="Times New Roman" w:hAnsi="Times New Roman"/>
          <w:sz w:val="20"/>
        </w:rPr>
      </w:pPr>
      <w:r>
        <w:rPr>
          <w:rFonts w:ascii="Times New Roman" w:hAnsi="Times New Roman"/>
          <w:color w:val="000000"/>
          <w:sz w:val="22"/>
        </w:rPr>
        <w:t>6.2</w:t>
      </w:r>
      <w:r>
        <w:rPr>
          <w:rFonts w:ascii="Times New Roman" w:hAnsi="Times New Roman"/>
          <w:color w:val="000000"/>
          <w:sz w:val="20"/>
        </w:rPr>
        <w:t xml:space="preserve"> </w:t>
      </w:r>
      <w:r>
        <w:rPr>
          <w:rFonts w:ascii="Times New Roman" w:hAnsi="Times New Roman"/>
          <w:color w:val="000000"/>
          <w:sz w:val="22"/>
          <w:u w:val="single"/>
        </w:rPr>
        <w:t>Certificates</w:t>
      </w:r>
      <w:r>
        <w:rPr>
          <w:rFonts w:ascii="Times New Roman" w:hAnsi="Times New Roman"/>
          <w:color w:val="000000"/>
          <w:sz w:val="22"/>
        </w:rPr>
        <w:t xml:space="preserve">. Borrower shall deliver to Agent certificates of insurance that evidence Borrower’s compliance with its insurance obligations in Section 6.1 and the obligations contained in this </w:t>
      </w:r>
      <w:r>
        <w:rPr>
          <w:rFonts w:ascii="Times New Roman" w:hAnsi="Times New Roman"/>
          <w:color w:val="000000"/>
          <w:sz w:val="22"/>
          <w:u w:val="single"/>
        </w:rPr>
        <w:t>Section 6.2</w:t>
      </w:r>
      <w:r>
        <w:rPr>
          <w:rFonts w:ascii="Times New Roman" w:hAnsi="Times New Roman"/>
          <w:color w:val="000000"/>
          <w:sz w:val="22"/>
        </w:rPr>
        <w:t>. Borrower’s insurance certificate shall state Agent (shown as “Hercules Capital, Inc., as Agent”, and its successors and/or assigns) is an additional insured for commercial general liability, a lenders loss payable for all risk property damage insurance, subject to the insurer’s approval, and a lenders loss payable for property insurance and additional insured for liability insurance for any future insurance that Borrower may acquire from such insurer. Attached to the certificates of insurance will be additional insured endorsements for liability and lender’s loss payable endorsements for all risk property damage insurance. All certificates of insurance will provide for a minimum of thirty (30) days advance written notice to Agent of cancellation (other than cancellation for non-payment of premiums, for which ten (10) days’ advance written notice shall be sufficient) or any other change adverse to Agent’s interests. Any failure of Agent to scrutinize such insurance certificates for compliance is not a waiver of any of Agent’s rights, all of which are reserved. At Agent’s written request, Borrower shall provide Agent with copies of each insurance policy, and upon entering or amending any insurance policy required hereunder in any material respect, Borrower shall provide Agent with copies of such policies and shall promptly deliver to Agent updated insurance certificates with respect to such policies.</w:t>
      </w:r>
    </w:p>
    <w:p>
      <w:pPr>
        <w:pStyle w:val="TextBody"/>
        <w:bidi w:val="0"/>
        <w:spacing w:before="0" w:after="240"/>
        <w:jc w:val="both"/>
        <w:rPr>
          <w:rFonts w:ascii="Times New Roman" w:hAnsi="Times New Roman"/>
          <w:sz w:val="20"/>
        </w:rPr>
      </w:pPr>
      <w:r>
        <w:rPr>
          <w:rFonts w:ascii="Times New Roman" w:hAnsi="Times New Roman"/>
          <w:color w:val="000000"/>
          <w:sz w:val="22"/>
        </w:rPr>
        <w:t>6.3</w:t>
      </w:r>
      <w:r>
        <w:rPr>
          <w:rFonts w:ascii="Times New Roman" w:hAnsi="Times New Roman"/>
          <w:color w:val="000000"/>
          <w:sz w:val="20"/>
        </w:rPr>
        <w:t xml:space="preserve"> </w:t>
      </w:r>
      <w:r>
        <w:rPr>
          <w:rFonts w:ascii="Times New Roman" w:hAnsi="Times New Roman"/>
          <w:color w:val="000000"/>
          <w:sz w:val="22"/>
          <w:u w:val="single"/>
        </w:rPr>
        <w:t>Indemnity.</w:t>
      </w:r>
      <w:r>
        <w:rPr>
          <w:rFonts w:ascii="Times New Roman" w:hAnsi="Times New Roman"/>
          <w:color w:val="000000"/>
          <w:sz w:val="20"/>
        </w:rPr>
        <w:t xml:space="preserve"> </w:t>
      </w:r>
      <w:r>
        <w:rPr>
          <w:rFonts w:ascii="Times New Roman" w:hAnsi="Times New Roman"/>
          <w:color w:val="000000"/>
          <w:sz w:val="22"/>
        </w:rPr>
        <w:t>Borrower agrees to indemnify and hold Agent, the Lenders and their officers, directors, employees, agents, in-house attorneys, representatives and shareholders (each, an “</w:t>
      </w:r>
      <w:r>
        <w:rPr>
          <w:rFonts w:ascii="Times New Roman" w:hAnsi="Times New Roman"/>
          <w:color w:val="000000"/>
          <w:sz w:val="22"/>
          <w:u w:val="single"/>
        </w:rPr>
        <w:t>Indemnified Person</w:t>
      </w:r>
      <w:r>
        <w:rPr>
          <w:rFonts w:ascii="Times New Roman" w:hAnsi="Times New Roman"/>
          <w:color w:val="000000"/>
          <w:sz w:val="20"/>
        </w:rPr>
        <w:t>”</w:t>
      </w:r>
      <w:r>
        <w:rPr>
          <w:rFonts w:ascii="Times New Roman" w:hAnsi="Times New Roman"/>
          <w:color w:val="000000"/>
          <w:sz w:val="22"/>
        </w:rPr>
        <w:t>) harmless from and against any and all claims, costs, expenses, damages and liabilities (including such claims, costs, expenses, damages and liabilities based on liability in tort, including strict liability in tort), including reasonable and documented attorneys’ fees and out-of-pocket disbursements and other costs of investigation or defense (including those incurred upon any appeal) (collectively, “</w:t>
      </w:r>
      <w:r>
        <w:rPr>
          <w:rFonts w:ascii="Times New Roman" w:hAnsi="Times New Roman"/>
          <w:color w:val="000000"/>
          <w:sz w:val="22"/>
          <w:u w:val="single"/>
        </w:rPr>
        <w:t>Liabilities</w:t>
      </w:r>
      <w:r>
        <w:rPr>
          <w:rFonts w:ascii="Times New Roman" w:hAnsi="Times New Roman"/>
          <w:color w:val="000000"/>
          <w:sz w:val="20"/>
        </w:rPr>
        <w:t>”</w:t>
      </w:r>
      <w:r>
        <w:rPr>
          <w:rFonts w:ascii="Times New Roman" w:hAnsi="Times New Roman"/>
          <w:color w:val="000000"/>
          <w:sz w:val="22"/>
        </w:rPr>
        <w:t xml:space="preserve">), that may be instituted or asserted against or incurred by such Indemnified Person as the result of credit having been extended, suspended or terminated under this Agreement and the other Loan Documents or the administration of such credit, or in connection with or arising out of the transactions contemplated hereunder and thereunder, or any actions or failures to act in connection therewith, or arising out of the disposition or utilization of the Collateral, excluding in all cases Liabilities to the extent resulting solely from any Indemnified Person’s gross negligence, willful misconduct or breach in bad faith of its obligations hereunder. This </w:t>
      </w:r>
      <w:r>
        <w:rPr>
          <w:rFonts w:ascii="Times New Roman" w:hAnsi="Times New Roman"/>
          <w:color w:val="000000"/>
          <w:sz w:val="22"/>
          <w:u w:val="single"/>
        </w:rPr>
        <w:t>Section 6.3</w:t>
      </w:r>
      <w:r>
        <w:rPr>
          <w:rFonts w:ascii="Times New Roman" w:hAnsi="Times New Roman"/>
          <w:color w:val="000000"/>
          <w:sz w:val="20"/>
        </w:rPr>
        <w:t xml:space="preserve"> </w:t>
      </w:r>
      <w:r>
        <w:rPr>
          <w:rFonts w:ascii="Times New Roman" w:hAnsi="Times New Roman"/>
          <w:color w:val="000000"/>
          <w:sz w:val="22"/>
        </w:rPr>
        <w:t>shall not apply with respect to Taxes other than any Taxes that represent losses, claims, damages, etc. arising from any non-Tax claim. In no event shall any Indemnified Person be liable on any theory of liability for any special, indirect, consequential or punitive damages (including any loss of profits, business or anticipated savings). This Section 6.3 shall survive the repayment of indebtedness under, and otherwise shall survive the expiration or other termination of, the Loan Agreement.</w:t>
      </w:r>
    </w:p>
    <w:p>
      <w:pPr>
        <w:pStyle w:val="TextBody"/>
        <w:bidi w:val="0"/>
        <w:spacing w:before="0" w:after="240"/>
        <w:jc w:val="center"/>
        <w:rPr>
          <w:rFonts w:ascii="Times New Roman" w:hAnsi="Times New Roman"/>
          <w:sz w:val="20"/>
        </w:rPr>
      </w:pPr>
      <w:r>
        <w:rPr>
          <w:rFonts w:ascii="Times New Roman" w:hAnsi="Times New Roman"/>
          <w:b/>
          <w:color w:val="000000"/>
          <w:sz w:val="22"/>
        </w:rPr>
        <w:t>SECTION 7</w:t>
      </w:r>
      <w:r>
        <w:rPr>
          <w:rFonts w:ascii="Times New Roman" w:hAnsi="Times New Roman"/>
          <w:color w:val="000000"/>
          <w:sz w:val="20"/>
        </w:rPr>
        <w:t xml:space="preserve"> </w:t>
      </w:r>
      <w:r>
        <w:rPr>
          <w:rFonts w:ascii="Times New Roman" w:hAnsi="Times New Roman"/>
          <w:b/>
          <w:color w:val="000000"/>
          <w:sz w:val="22"/>
          <w:u w:val="single"/>
        </w:rPr>
        <w:t>COVENANTS OF BORROWER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Borrower agrees as follows:</w:t>
      </w:r>
    </w:p>
    <w:p>
      <w:pPr>
        <w:pStyle w:val="TextBody"/>
        <w:bidi w:val="0"/>
        <w:spacing w:before="0" w:after="240"/>
        <w:jc w:val="both"/>
        <w:rPr>
          <w:rFonts w:ascii="Times New Roman" w:hAnsi="Times New Roman"/>
          <w:sz w:val="20"/>
        </w:rPr>
      </w:pPr>
      <w:r>
        <w:rPr>
          <w:rFonts w:ascii="Times New Roman" w:hAnsi="Times New Roman"/>
          <w:color w:val="000000"/>
          <w:sz w:val="22"/>
        </w:rPr>
        <w:t>7.1</w:t>
      </w:r>
      <w:r>
        <w:rPr>
          <w:rFonts w:ascii="Times New Roman" w:hAnsi="Times New Roman"/>
          <w:color w:val="000000"/>
          <w:sz w:val="20"/>
        </w:rPr>
        <w:t xml:space="preserve"> </w:t>
      </w:r>
      <w:r>
        <w:rPr>
          <w:rFonts w:ascii="Times New Roman" w:hAnsi="Times New Roman"/>
          <w:color w:val="000000"/>
          <w:sz w:val="22"/>
          <w:u w:val="single"/>
        </w:rPr>
        <w:t>Financial Reports</w:t>
      </w:r>
      <w:r>
        <w:rPr>
          <w:rFonts w:ascii="Times New Roman" w:hAnsi="Times New Roman"/>
          <w:color w:val="000000"/>
          <w:sz w:val="22"/>
        </w:rPr>
        <w:t>. Borrower shall furnish to Agent the financial statements and reports listed hereinafter (the “</w:t>
      </w:r>
      <w:r>
        <w:rPr>
          <w:rFonts w:ascii="Times New Roman" w:hAnsi="Times New Roman"/>
          <w:color w:val="000000"/>
          <w:sz w:val="22"/>
          <w:u w:val="single"/>
        </w:rPr>
        <w:t>Financial Statements</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as soon as practicable (and in any event within thirty (30) days) after the end of each month, unaudited interim and year-to-date cash balance reports as of the end of such month and listing of amounts held in each deposit and securities account of Borrower;</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as soon as practicable (and in any event within forty-five (45) days) after the end of each calendar quarter, unaudited interim and year-to-date financial statements as of the end of such calendar</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quarter (prepared on a consolidated basis, if applicable), including balance sheet and related statements of income and cash flows accompanied by a report detailing any material contingencies (including the commencement of any material litigation by or against Borrower) or any other occurrence that would reasonably be expected to have a Material Adverse Effect, certified by Company’s Chief Executive Officer or Chief Financial Officer to the effect that they have been prepared in accordance with GAAP, except (i) for the absence of footnotes, and (ii) that they are subject to normal year end adjustments;</w:t>
      </w:r>
    </w:p>
    <w:p>
      <w:pPr>
        <w:pStyle w:val="TextBody"/>
        <w:bidi w:val="0"/>
        <w:spacing w:before="0" w:after="240"/>
        <w:jc w:val="both"/>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as soon as practicable (and in any event within ninety (90) days) after the end of each fiscal year, audited financial statements as of the end of such year (prepared on a consolidated basis, if applicable), including balance sheet and related statements of income and cash flows, and setting forth in comparative form the corresponding figures for the preceding fiscal year, certified without qualification (other than any going concern qualification) by a firm of independent certified public accountants selected by Company and reasonably acceptable to Agent (it being understood that Ernst &amp; Young LLP is reasonably acceptable to Agent), accompanied by any final management report from such accountants;</w:t>
      </w:r>
    </w:p>
    <w:p>
      <w:pPr>
        <w:pStyle w:val="TextBody"/>
        <w:bidi w:val="0"/>
        <w:spacing w:before="0" w:after="240"/>
        <w:jc w:val="both"/>
        <w:rPr>
          <w:rFonts w:ascii="Times New Roman" w:hAnsi="Times New Roman"/>
          <w:sz w:val="20"/>
        </w:rPr>
      </w:pPr>
      <w:r>
        <w:rPr>
          <w:rFonts w:ascii="Times New Roman" w:hAnsi="Times New Roman"/>
          <w:color w:val="000000"/>
          <w:sz w:val="22"/>
        </w:rPr>
        <w:t>(d)</w:t>
      </w:r>
      <w:r>
        <w:rPr>
          <w:rFonts w:ascii="Times New Roman" w:hAnsi="Times New Roman"/>
          <w:color w:val="000000"/>
          <w:sz w:val="20"/>
        </w:rPr>
        <w:t xml:space="preserve"> </w:t>
      </w:r>
      <w:r>
        <w:rPr>
          <w:rFonts w:ascii="Times New Roman" w:hAnsi="Times New Roman"/>
          <w:color w:val="000000"/>
          <w:sz w:val="22"/>
        </w:rPr>
        <w:t xml:space="preserve">as soon as practicable (and in any event within thirty (30) days) after the end of each month, a Compliance Certificate in the form of </w:t>
      </w:r>
      <w:r>
        <w:rPr>
          <w:rFonts w:ascii="Times New Roman" w:hAnsi="Times New Roman"/>
          <w:color w:val="000000"/>
          <w:sz w:val="22"/>
          <w:u w:val="single"/>
        </w:rPr>
        <w:t>Exhibit E</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(e)</w:t>
      </w:r>
      <w:r>
        <w:rPr>
          <w:rFonts w:ascii="Times New Roman" w:hAnsi="Times New Roman"/>
          <w:color w:val="000000"/>
          <w:sz w:val="20"/>
        </w:rPr>
        <w:t xml:space="preserve"> </w:t>
      </w:r>
      <w:r>
        <w:rPr>
          <w:rFonts w:ascii="Times New Roman" w:hAnsi="Times New Roman"/>
          <w:color w:val="000000"/>
          <w:sz w:val="22"/>
        </w:rPr>
        <w:t>as soon as practicable (and in any event within seven (7) days) after the end of each month, a report showing agings of accounts receivable and accounts payable;</w:t>
      </w:r>
    </w:p>
    <w:p>
      <w:pPr>
        <w:pStyle w:val="TextBody"/>
        <w:bidi w:val="0"/>
        <w:spacing w:before="0" w:after="240"/>
        <w:jc w:val="both"/>
        <w:rPr>
          <w:rFonts w:ascii="Times New Roman" w:hAnsi="Times New Roman"/>
          <w:sz w:val="20"/>
        </w:rPr>
      </w:pPr>
      <w:r>
        <w:rPr>
          <w:rFonts w:ascii="Times New Roman" w:hAnsi="Times New Roman"/>
          <w:color w:val="000000"/>
          <w:sz w:val="22"/>
        </w:rPr>
        <w:t>(f)</w:t>
      </w:r>
      <w:r>
        <w:rPr>
          <w:rFonts w:ascii="Times New Roman" w:hAnsi="Times New Roman"/>
          <w:color w:val="000000"/>
          <w:sz w:val="20"/>
        </w:rPr>
        <w:t xml:space="preserve"> </w:t>
      </w:r>
      <w:r>
        <w:rPr>
          <w:rFonts w:ascii="Times New Roman" w:hAnsi="Times New Roman"/>
          <w:color w:val="000000"/>
          <w:sz w:val="22"/>
        </w:rPr>
        <w:t>promptly after the sending or filing thereof, as the case may be, copies of any proxy statements, financial statements or reports that Borrower has made available to holders of its common stock and copies of any regular, periodic and special reports or registration statements that Borrower files with the Securities and Exchange Commission or any Governmental Authority that may be substituted therefor, or any national securities exchange;</w:t>
      </w:r>
    </w:p>
    <w:p>
      <w:pPr>
        <w:pStyle w:val="TextBody"/>
        <w:bidi w:val="0"/>
        <w:spacing w:before="0" w:after="240"/>
        <w:jc w:val="both"/>
        <w:rPr>
          <w:rFonts w:ascii="Times New Roman" w:hAnsi="Times New Roman"/>
          <w:sz w:val="20"/>
        </w:rPr>
      </w:pPr>
      <w:r>
        <w:rPr>
          <w:rFonts w:ascii="Times New Roman" w:hAnsi="Times New Roman"/>
          <w:color w:val="000000"/>
          <w:sz w:val="22"/>
        </w:rPr>
        <w:t>(g)</w:t>
      </w:r>
      <w:r>
        <w:rPr>
          <w:rFonts w:ascii="Times New Roman" w:hAnsi="Times New Roman"/>
          <w:color w:val="000000"/>
          <w:sz w:val="20"/>
        </w:rPr>
        <w:t xml:space="preserve"> </w:t>
      </w:r>
      <w:r>
        <w:rPr>
          <w:rFonts w:ascii="Times New Roman" w:hAnsi="Times New Roman"/>
          <w:color w:val="000000"/>
          <w:sz w:val="22"/>
        </w:rPr>
        <w:t>at any time after the achievement of the Approval Milestone and promptly upon request of Agent or Lender, the most recently available materials that the Borrower provides to its directors detailing key metrics relating to Borrower’s commercial performance;</w:t>
      </w:r>
    </w:p>
    <w:p>
      <w:pPr>
        <w:pStyle w:val="TextBody"/>
        <w:bidi w:val="0"/>
        <w:spacing w:before="0" w:after="240"/>
        <w:jc w:val="both"/>
        <w:rPr>
          <w:rFonts w:ascii="Times New Roman" w:hAnsi="Times New Roman"/>
          <w:sz w:val="20"/>
        </w:rPr>
      </w:pPr>
      <w:r>
        <w:rPr>
          <w:rFonts w:ascii="Times New Roman" w:hAnsi="Times New Roman"/>
          <w:color w:val="000000"/>
          <w:sz w:val="22"/>
        </w:rPr>
        <w:t>(h)</w:t>
      </w:r>
      <w:r>
        <w:rPr>
          <w:rFonts w:ascii="Times New Roman" w:hAnsi="Times New Roman"/>
          <w:color w:val="000000"/>
          <w:sz w:val="20"/>
        </w:rPr>
        <w:t xml:space="preserve"> </w:t>
      </w:r>
      <w:r>
        <w:rPr>
          <w:rFonts w:ascii="Times New Roman" w:hAnsi="Times New Roman"/>
          <w:color w:val="000000"/>
          <w:sz w:val="22"/>
        </w:rPr>
        <w:t>financial and business projections promptly following their approval by Company’s Board of Directors, and in any event, within 90 days after the end of Company’s fiscal year, as well as budgets, operating plans and other financial information reasonably requested by Agent;</w:t>
      </w:r>
    </w:p>
    <w:p>
      <w:pPr>
        <w:pStyle w:val="TextBody"/>
        <w:bidi w:val="0"/>
        <w:spacing w:before="0" w:after="240"/>
        <w:jc w:val="both"/>
        <w:rPr>
          <w:rFonts w:ascii="Times New Roman" w:hAnsi="Times New Roman"/>
          <w:sz w:val="20"/>
        </w:rPr>
      </w:pPr>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rPr>
        <w:t xml:space="preserve">insurance renewal statements, annually or otherwise promptly upon renewal of insurance policies required to be maintained in accordance with </w:t>
      </w:r>
      <w:r>
        <w:rPr>
          <w:rFonts w:ascii="Times New Roman" w:hAnsi="Times New Roman"/>
          <w:color w:val="000000"/>
          <w:sz w:val="22"/>
          <w:u w:val="single"/>
        </w:rPr>
        <w:t>Section 6.1</w:t>
      </w:r>
      <w:r>
        <w:rPr>
          <w:rFonts w:ascii="Times New Roman" w:hAnsi="Times New Roman"/>
          <w:color w:val="000000"/>
          <w:sz w:val="22"/>
        </w:rPr>
        <w:t>; and</w:t>
      </w:r>
    </w:p>
    <w:p>
      <w:pPr>
        <w:pStyle w:val="TextBody"/>
        <w:bidi w:val="0"/>
        <w:spacing w:before="0" w:after="240"/>
        <w:jc w:val="both"/>
        <w:rPr>
          <w:rFonts w:ascii="Times New Roman" w:hAnsi="Times New Roman"/>
          <w:sz w:val="20"/>
        </w:rPr>
      </w:pPr>
      <w:r>
        <w:rPr>
          <w:rFonts w:ascii="Times New Roman" w:hAnsi="Times New Roman"/>
          <w:color w:val="000000"/>
          <w:sz w:val="22"/>
        </w:rPr>
        <w:t>(j)</w:t>
      </w:r>
      <w:r>
        <w:rPr>
          <w:rFonts w:ascii="Times New Roman" w:hAnsi="Times New Roman"/>
          <w:color w:val="000000"/>
          <w:sz w:val="20"/>
        </w:rPr>
        <w:t xml:space="preserve"> </w:t>
      </w:r>
      <w:r>
        <w:rPr>
          <w:rFonts w:ascii="Times New Roman" w:hAnsi="Times New Roman"/>
          <w:color w:val="000000"/>
          <w:sz w:val="22"/>
        </w:rPr>
        <w:t xml:space="preserve">promptly (and in any event within two (2) two Business Days), notice if Borrower or any Subsidiary has knowledge that Borrower, or any Subsidiary or Affiliate of Borrower, is listed on the OFAC Lists or (a) is convicted on, (b) pleads </w:t>
      </w:r>
      <w:r>
        <w:rPr>
          <w:rFonts w:ascii="Times New Roman" w:hAnsi="Times New Roman"/>
          <w:i/>
          <w:color w:val="000000"/>
          <w:sz w:val="22"/>
        </w:rPr>
        <w:t>nolo contendere</w:t>
      </w:r>
      <w:r>
        <w:rPr>
          <w:rFonts w:ascii="Times New Roman" w:hAnsi="Times New Roman"/>
          <w:color w:val="000000"/>
          <w:sz w:val="20"/>
        </w:rPr>
        <w:t xml:space="preserve"> </w:t>
      </w:r>
      <w:r>
        <w:rPr>
          <w:rFonts w:ascii="Times New Roman" w:hAnsi="Times New Roman"/>
          <w:color w:val="000000"/>
          <w:sz w:val="22"/>
        </w:rPr>
        <w:t>to, (c) is indicted on, or (d) is arraigned and held over on charges involving money laundering or predicate crimes to money laundering.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Borrower shall not make any change in its (a) accounting policies or reporting practices (other than changes required by GAAP), or (b) fiscal years or fiscal quarters. The fiscal year of Borrower shall end on December 31.</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The executed Compliance Certificate, all Financial Statements required to be delivered hereunder shall be sent per instruction (i) specified on </w:t>
      </w:r>
      <w:r>
        <w:rPr>
          <w:rFonts w:ascii="Times New Roman" w:hAnsi="Times New Roman"/>
          <w:color w:val="000000"/>
          <w:sz w:val="22"/>
          <w:u w:val="single"/>
        </w:rPr>
        <w:t>Addendum 2</w:t>
      </w:r>
      <w:r>
        <w:rPr>
          <w:rFonts w:ascii="Times New Roman" w:hAnsi="Times New Roman"/>
          <w:color w:val="000000"/>
          <w:sz w:val="20"/>
        </w:rPr>
        <w:t xml:space="preserve"> </w:t>
      </w:r>
      <w:r>
        <w:rPr>
          <w:rFonts w:ascii="Times New Roman" w:hAnsi="Times New Roman"/>
          <w:color w:val="000000"/>
          <w:sz w:val="22"/>
        </w:rPr>
        <w:t>or (ii) otherwise provided by Agent to Borrower via written notice from time to time.</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Notwithstanding the foregoing, documents required to be delivered under </w:t>
      </w:r>
      <w:r>
        <w:rPr>
          <w:rFonts w:ascii="Times New Roman" w:hAnsi="Times New Roman"/>
          <w:color w:val="000000"/>
          <w:sz w:val="22"/>
          <w:u w:val="single"/>
        </w:rPr>
        <w:t>Sections 7.1(a)</w:t>
      </w:r>
      <w:r>
        <w:rPr>
          <w:rFonts w:ascii="Times New Roman" w:hAnsi="Times New Roman"/>
          <w:color w:val="000000"/>
          <w:sz w:val="22"/>
        </w:rPr>
        <w:t xml:space="preserve">, </w:t>
      </w:r>
      <w:r>
        <w:rPr>
          <w:rFonts w:ascii="Times New Roman" w:hAnsi="Times New Roman"/>
          <w:color w:val="000000"/>
          <w:sz w:val="22"/>
          <w:u w:val="single"/>
        </w:rPr>
        <w:t>(b)</w:t>
      </w:r>
      <w:r>
        <w:rPr>
          <w:rFonts w:ascii="Times New Roman" w:hAnsi="Times New Roman"/>
          <w:color w:val="000000"/>
          <w:sz w:val="22"/>
        </w:rPr>
        <w:t xml:space="preserve">, </w:t>
      </w:r>
      <w:r>
        <w:rPr>
          <w:rFonts w:ascii="Times New Roman" w:hAnsi="Times New Roman"/>
          <w:color w:val="000000"/>
          <w:sz w:val="22"/>
          <w:u w:val="single"/>
        </w:rPr>
        <w:t>(c)</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(f)</w:t>
      </w:r>
      <w:r>
        <w:rPr>
          <w:rFonts w:ascii="Times New Roman" w:hAnsi="Times New Roman"/>
          <w:color w:val="000000"/>
          <w:sz w:val="20"/>
        </w:rPr>
        <w:t xml:space="preserve"> </w:t>
      </w:r>
      <w:r>
        <w:rPr>
          <w:rFonts w:ascii="Times New Roman" w:hAnsi="Times New Roman"/>
          <w:color w:val="000000"/>
          <w:sz w:val="22"/>
        </w:rPr>
        <w:t>(to the extent any such documents are included in materials otherwise filed with the SEC) may be delivered electronically and if so delivered, shall be deemed to have been delivered on the date on which Borrower makes such documents publicly available.</w:t>
      </w:r>
    </w:p>
    <w:p>
      <w:pPr>
        <w:pStyle w:val="TextBody"/>
        <w:bidi w:val="0"/>
        <w:spacing w:before="0" w:after="240"/>
        <w:jc w:val="both"/>
        <w:rPr>
          <w:rFonts w:ascii="Times New Roman" w:hAnsi="Times New Roman"/>
          <w:sz w:val="20"/>
        </w:rPr>
      </w:pPr>
      <w:r>
        <w:rPr>
          <w:rFonts w:ascii="Times New Roman" w:hAnsi="Times New Roman"/>
          <w:color w:val="000000"/>
          <w:sz w:val="22"/>
        </w:rPr>
        <w:t>7.2</w:t>
      </w:r>
      <w:r>
        <w:rPr>
          <w:rFonts w:ascii="Times New Roman" w:hAnsi="Times New Roman"/>
          <w:color w:val="000000"/>
          <w:sz w:val="20"/>
        </w:rPr>
        <w:t xml:space="preserve"> </w:t>
      </w:r>
      <w:r>
        <w:rPr>
          <w:rFonts w:ascii="Times New Roman" w:hAnsi="Times New Roman"/>
          <w:color w:val="000000"/>
          <w:sz w:val="22"/>
          <w:u w:val="single"/>
        </w:rPr>
        <w:t>Management Rights</w:t>
      </w:r>
      <w:r>
        <w:rPr>
          <w:rFonts w:ascii="Times New Roman" w:hAnsi="Times New Roman"/>
          <w:color w:val="000000"/>
          <w:sz w:val="22"/>
        </w:rPr>
        <w:t xml:space="preserve">. Borrower shall permit any representative that Agent or the Lenders authorizes, including its attorneys and accountants, to inspect the Collateral and examine and make copies and abstracts of the books of account and records of Borrower at reasonable times and upon reasonable notice during normal business hours; </w:t>
      </w:r>
      <w:r>
        <w:rPr>
          <w:rFonts w:ascii="Times New Roman" w:hAnsi="Times New Roman"/>
          <w:color w:val="000000"/>
          <w:sz w:val="22"/>
          <w:u w:val="single"/>
        </w:rPr>
        <w:t>provided</w:t>
      </w:r>
      <w:r>
        <w:rPr>
          <w:rFonts w:ascii="Times New Roman" w:hAnsi="Times New Roman"/>
          <w:color w:val="000000"/>
          <w:sz w:val="22"/>
        </w:rPr>
        <w:t>, however, that so long as no Event of Default has occurred and is continuing, such examinations shall be limited to no more often than once per fiscal year. In addition, any such representative shall have the right to meet with management and officers of Borrower to discuss such books of account and records at such time. In addition, Agent or the Lenders shall be entitled at reasonable times and intervals to consult with and advise the management and officers of Borrower concerning significant business issues affecting Borrower. Such consultations shall not unreasonably interfere with Borrower’s business operations. The parties intend that the rights granted Agent and the Lenders shall constitute “management rights” within the meaning of 29 C.F.R. Section 2510.3-101(d)(3)(ii), but that any advice, recommendations or participation by Agent or the Lenders with respect to any business issues shall not be deemed to give Agent or the Lenders, nor be deemed an exercise by Agent or the Lenders of, control over Borrower’s management or policies.</w:t>
      </w:r>
    </w:p>
    <w:p>
      <w:pPr>
        <w:pStyle w:val="TextBody"/>
        <w:bidi w:val="0"/>
        <w:spacing w:before="0" w:after="240"/>
        <w:jc w:val="both"/>
        <w:rPr>
          <w:rFonts w:ascii="Times New Roman" w:hAnsi="Times New Roman"/>
          <w:sz w:val="20"/>
        </w:rPr>
      </w:pPr>
      <w:r>
        <w:rPr>
          <w:rFonts w:ascii="Times New Roman" w:hAnsi="Times New Roman"/>
          <w:color w:val="000000"/>
          <w:sz w:val="22"/>
        </w:rPr>
        <w:t>7.3</w:t>
      </w:r>
      <w:r>
        <w:rPr>
          <w:rFonts w:ascii="Times New Roman" w:hAnsi="Times New Roman"/>
          <w:color w:val="000000"/>
          <w:sz w:val="20"/>
        </w:rPr>
        <w:t xml:space="preserve"> </w:t>
      </w:r>
      <w:r>
        <w:rPr>
          <w:rFonts w:ascii="Times New Roman" w:hAnsi="Times New Roman"/>
          <w:color w:val="000000"/>
          <w:sz w:val="22"/>
          <w:u w:val="single"/>
        </w:rPr>
        <w:t>Further Assurances</w:t>
      </w:r>
      <w:r>
        <w:rPr>
          <w:rFonts w:ascii="Times New Roman" w:hAnsi="Times New Roman"/>
          <w:color w:val="000000"/>
          <w:sz w:val="22"/>
        </w:rPr>
        <w:t>. Borrower shall from time to time execute, deliver and file, alone or with Agent, any financing statements, security agreements, collateral assignments, notices, control agreements, promissory notes or other documents to perfect, give the highest priority to Agent’s Lien on the Collateral or otherwise evidence Agent’s rights herein. Borrower shall from time to time procure any instruments or documents as may be reasonably requested by Agent, and take all further action that may be necessary, or that Agent may reasonably request, to perfect and protect the Liens granted hereby and thereby. In addition, and for such purposes only, Borrower hereby authorizes Agent to execute and deliver on behalf of Borrower and to file such financing statements (including an indication that the financing statement covers “all assets or all personal property” of Borrower in accordance with Section 9-504 of the UCC), collateral assignments, notices, control agreements, security agreements and other documents without the signature of Borrower either in Agent’s name or in the name of Agent as agent and attorney-in-fact for Borrower. Borrower shall protect and defend Borrower’s title to the Collateral and Agent’s Lien thereon against all Persons claiming any interest adverse to Borrower or Agent other than Permitted Liens.</w:t>
      </w:r>
    </w:p>
    <w:p>
      <w:pPr>
        <w:pStyle w:val="TextBody"/>
        <w:bidi w:val="0"/>
        <w:spacing w:before="0" w:after="240"/>
        <w:jc w:val="both"/>
        <w:rPr>
          <w:rFonts w:ascii="Times New Roman" w:hAnsi="Times New Roman"/>
          <w:sz w:val="20"/>
        </w:rPr>
      </w:pPr>
      <w:r>
        <w:rPr>
          <w:rFonts w:ascii="Times New Roman" w:hAnsi="Times New Roman"/>
          <w:color w:val="000000"/>
          <w:sz w:val="22"/>
        </w:rPr>
        <w:t>7.4</w:t>
      </w:r>
      <w:r>
        <w:rPr>
          <w:rFonts w:ascii="Times New Roman" w:hAnsi="Times New Roman"/>
          <w:color w:val="000000"/>
          <w:sz w:val="20"/>
        </w:rPr>
        <w:t xml:space="preserve"> </w:t>
      </w:r>
      <w:r>
        <w:rPr>
          <w:rFonts w:ascii="Times New Roman" w:hAnsi="Times New Roman"/>
          <w:color w:val="000000"/>
          <w:sz w:val="22"/>
          <w:u w:val="single"/>
        </w:rPr>
        <w:t>Indebtedness.</w:t>
      </w:r>
      <w:r>
        <w:rPr>
          <w:rFonts w:ascii="Times New Roman" w:hAnsi="Times New Roman"/>
          <w:color w:val="000000"/>
          <w:sz w:val="20"/>
        </w:rPr>
        <w:t xml:space="preserve"> </w:t>
      </w:r>
      <w:r>
        <w:rPr>
          <w:rFonts w:ascii="Times New Roman" w:hAnsi="Times New Roman"/>
          <w:color w:val="000000"/>
          <w:sz w:val="22"/>
        </w:rPr>
        <w:t>Borrower shall not create, incur, assume, guarantee or be or remain liable with respect to any Indebtedness, or permit any Subsidiary so to do, other than Permitted Indebtedness, or prepay any Indebtedness or take any actions which impose on Borrower an obligation to prepay any Indebtedness, except for (a) the conversion of Indebtedness into equity securities and the payment of cash in lieu of fractional shares in connection with such conversion, (b) purchase money Indebtedness or Indebtedness in respect of capital leases permitted hereunder pursuant to its then applicable payment schedule, (c) prepayment by any Subsidiary of (i) inter-company Indebtedness owed by such Subsidiary to any Borrower, or (ii) if such Subsidiary is not a Borrower, intercompany Indebtedness owed by such Subsidiary to another Subsidiary that is not a Borrower or (d) as otherwise permitted hereunder or approved in writing by Agent.</w:t>
      </w:r>
    </w:p>
    <w:p>
      <w:pPr>
        <w:pStyle w:val="TextBody"/>
        <w:bidi w:val="0"/>
        <w:spacing w:before="0" w:after="240"/>
        <w:jc w:val="both"/>
        <w:rPr>
          <w:rFonts w:ascii="Times New Roman" w:hAnsi="Times New Roman"/>
          <w:sz w:val="20"/>
        </w:rPr>
      </w:pPr>
      <w:r>
        <w:rPr>
          <w:rFonts w:ascii="Times New Roman" w:hAnsi="Times New Roman"/>
          <w:color w:val="000000"/>
          <w:sz w:val="22"/>
        </w:rPr>
        <w:t>Notwithstanding anything to the contrary in the foregoing, the issuance of, performance of obligations under (including any payments of interest), and conversion, exchange, exercise, repurchase, redemption (including, for the avoidance of doubt, a required repurchase in connection with the redemption of Permitted Convertible Debt upon satisfaction of a condition related to the stock price of the Common Stock), settlement or early termination or cancellation of (whether in whole or in part and including by netting or set-off) (in each case, whether in cash, Common Stock, following a merger event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or other change of the Common Stock, other securities or property), or the satisfaction of any condition that would permit or require any of the foregoing, any Permitted Convertible Debt shall not constitute a prepayment of Indebtedness by Borrower for the purposes of this </w:t>
      </w:r>
      <w:r>
        <w:rPr>
          <w:rFonts w:ascii="Times New Roman" w:hAnsi="Times New Roman"/>
          <w:color w:val="000000"/>
          <w:sz w:val="22"/>
          <w:u w:val="single"/>
        </w:rPr>
        <w:t>Section 7.4</w:t>
      </w:r>
      <w:r>
        <w:rPr>
          <w:rFonts w:ascii="Times New Roman" w:hAnsi="Times New Roman"/>
          <w:color w:val="000000"/>
          <w:sz w:val="22"/>
        </w:rPr>
        <w:t>; provided that principal payments in cash (other than cash in lieu of fractional shares) shall only be allowed if the Redemption Conditions are satisfied in respect of such payment and at all times after such payment.</w:t>
      </w:r>
    </w:p>
    <w:p>
      <w:pPr>
        <w:pStyle w:val="TextBody"/>
        <w:bidi w:val="0"/>
        <w:spacing w:before="0" w:after="240"/>
        <w:jc w:val="both"/>
        <w:rPr>
          <w:rFonts w:ascii="Times New Roman" w:hAnsi="Times New Roman"/>
          <w:sz w:val="20"/>
        </w:rPr>
      </w:pPr>
      <w:r>
        <w:rPr>
          <w:rFonts w:ascii="Times New Roman" w:hAnsi="Times New Roman"/>
          <w:color w:val="000000"/>
          <w:sz w:val="22"/>
        </w:rPr>
        <w:t>7.5</w:t>
      </w:r>
      <w:r>
        <w:rPr>
          <w:rFonts w:ascii="Times New Roman" w:hAnsi="Times New Roman"/>
          <w:color w:val="000000"/>
          <w:sz w:val="20"/>
        </w:rPr>
        <w:t xml:space="preserve"> </w:t>
      </w:r>
      <w:r>
        <w:rPr>
          <w:rFonts w:ascii="Times New Roman" w:hAnsi="Times New Roman"/>
          <w:color w:val="000000"/>
          <w:sz w:val="22"/>
          <w:u w:val="single"/>
        </w:rPr>
        <w:t>Collateral</w:t>
      </w:r>
      <w:r>
        <w:rPr>
          <w:rFonts w:ascii="Times New Roman" w:hAnsi="Times New Roman"/>
          <w:color w:val="000000"/>
          <w:sz w:val="22"/>
        </w:rPr>
        <w:t xml:space="preserve">. Borrower shall at all times keep the Collateral and the Company IP and all other property and assets used in Borrower’s business or in which Borrower now or hereafter holds any interest free and clear from any Liens whatsoever (other than Permitted Liens), and shall give Agent prompt written notice of (a) any legal process affecting the Collateral, the Company IP or such other property and assets of Borrower, in each case, with a value in an aggregate amount greater than $1,000,000 at any time, or (b) any Liens thereon (other than Permitted Liens), provided however, that the Collateral and such other property and assets may be subject to Permitted Liens except that there shall be no Liens whatsoever (other than Permitted Liens that (x) do not arise by agreement, such as tax or statutory Liens, or (y) are described in </w:t>
      </w:r>
      <w:r>
        <w:rPr>
          <w:rFonts w:ascii="Times New Roman" w:hAnsi="Times New Roman"/>
          <w:color w:val="000000"/>
          <w:sz w:val="22"/>
          <w:u w:val="single"/>
        </w:rPr>
        <w:t>clause (xvii)</w:t>
      </w:r>
      <w:r>
        <w:rPr>
          <w:rFonts w:ascii="Times New Roman" w:hAnsi="Times New Roman"/>
          <w:color w:val="000000"/>
          <w:sz w:val="20"/>
        </w:rPr>
        <w:t xml:space="preserve"> </w:t>
      </w:r>
      <w:r>
        <w:rPr>
          <w:rFonts w:ascii="Times New Roman" w:hAnsi="Times New Roman"/>
          <w:color w:val="000000"/>
          <w:sz w:val="22"/>
        </w:rPr>
        <w:t xml:space="preserve">of the definition thereof) on Company IP. Borrower shall not enter into or suffer to exist or become effective any agreement that prohibits or limits the ability of any Borrower to create, incur, assume or suffer to exist any Lien upon any of its property (including Company IP), whether now owned or hereafter acquired, to secure its obligations under the Loan Documents to which it is a party other than (a) this Agreement and the other Loan Documents, (b) any agreements governing any purchase money Liens or capital lease obligations otherwise permitted hereby (in which case, any prohibition or limitation shall only be effective against the assets financed thereby) and (c) customary restrictions on the assignment of leases, licenses and other agreements. Borrower shall cause its Subsidiaries to protect and defend such Subsidiary’s title to its assets from and against all Persons claiming any interest adverse to such Subsidiary (other than Permitted Liens), and Borrower shall cause its Subsidiaries at all times to keep such Subsidiary’s property and assets free and clear from any legal process or Liens whatsoever (except for Permitted Liens, provided however, that there shall be no Liens whatsoever (other than Permitted Liens that (x) do not arise by agreement, such as tax or statutory Liens, or (y) are described in </w:t>
      </w:r>
      <w:r>
        <w:rPr>
          <w:rFonts w:ascii="Times New Roman" w:hAnsi="Times New Roman"/>
          <w:color w:val="000000"/>
          <w:sz w:val="22"/>
          <w:u w:val="single"/>
        </w:rPr>
        <w:t>clause (xvii)</w:t>
      </w:r>
      <w:r>
        <w:rPr>
          <w:rFonts w:ascii="Times New Roman" w:hAnsi="Times New Roman"/>
          <w:color w:val="000000"/>
          <w:sz w:val="20"/>
        </w:rPr>
        <w:t xml:space="preserve"> </w:t>
      </w:r>
      <w:r>
        <w:rPr>
          <w:rFonts w:ascii="Times New Roman" w:hAnsi="Times New Roman"/>
          <w:color w:val="000000"/>
          <w:sz w:val="22"/>
        </w:rPr>
        <w:t>of the definition thereof) on Company IP), and shall give Agent prompt written notice of any legal process affecting such Subsidiary’s assets with a value in an aggregate amount greater than $1,000,000 at any time.</w:t>
      </w:r>
    </w:p>
    <w:p>
      <w:pPr>
        <w:pStyle w:val="TextBody"/>
        <w:bidi w:val="0"/>
        <w:spacing w:before="0" w:after="240"/>
        <w:jc w:val="both"/>
        <w:rPr>
          <w:rFonts w:ascii="Times New Roman" w:hAnsi="Times New Roman"/>
          <w:sz w:val="20"/>
        </w:rPr>
      </w:pPr>
      <w:r>
        <w:rPr>
          <w:rFonts w:ascii="Times New Roman" w:hAnsi="Times New Roman"/>
          <w:color w:val="000000"/>
          <w:sz w:val="22"/>
        </w:rPr>
        <w:t>7.6</w:t>
      </w:r>
      <w:r>
        <w:rPr>
          <w:rFonts w:ascii="Times New Roman" w:hAnsi="Times New Roman"/>
          <w:color w:val="000000"/>
          <w:sz w:val="20"/>
        </w:rPr>
        <w:t xml:space="preserve"> </w:t>
      </w:r>
      <w:r>
        <w:rPr>
          <w:rFonts w:ascii="Times New Roman" w:hAnsi="Times New Roman"/>
          <w:color w:val="000000"/>
          <w:sz w:val="22"/>
          <w:u w:val="single"/>
        </w:rPr>
        <w:t>Investments</w:t>
      </w:r>
      <w:r>
        <w:rPr>
          <w:rFonts w:ascii="Times New Roman" w:hAnsi="Times New Roman"/>
          <w:color w:val="000000"/>
          <w:sz w:val="22"/>
        </w:rPr>
        <w:t>. Borrower shall not directly or indirectly acquire or own, or make any Investment in or to any Person, or permit any of its Subsidiaries to do so, other than Permitted Investments.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Notwithstanding the foregoing, and for the avoidance of doubt, this </w:t>
      </w:r>
      <w:r>
        <w:rPr>
          <w:rFonts w:ascii="Times New Roman" w:hAnsi="Times New Roman"/>
          <w:color w:val="000000"/>
          <w:sz w:val="22"/>
          <w:u w:val="single"/>
        </w:rPr>
        <w:t>Section 7.6</w:t>
      </w:r>
      <w:r>
        <w:rPr>
          <w:rFonts w:ascii="Times New Roman" w:hAnsi="Times New Roman"/>
          <w:color w:val="000000"/>
          <w:sz w:val="20"/>
        </w:rPr>
        <w:t xml:space="preserve"> </w:t>
      </w:r>
      <w:r>
        <w:rPr>
          <w:rFonts w:ascii="Times New Roman" w:hAnsi="Times New Roman"/>
          <w:color w:val="000000"/>
          <w:sz w:val="22"/>
        </w:rPr>
        <w:t>shall not prohibit the conversion by holders of (including any payment upon conversion, whether in cash, Common Stock or a combination thereof), or required payment of any principal or premium on (including, for the avoidance of doubt, in respect of a required repurchase in connection with the redemption of Permitted Convertible Debt upon satisfaction of a condition related to the stock price of the Common Stock) or required payment of any interest with respect to, any Permitted Convertible Debt in each case, in accordance with the terms of the indenture governing such Permitted Convertible Debt; provided that principal payments in cash (other than cash in lieu of fractional shares) shall only be allowed if the Redemption Conditions are satisfied in respect of such payment and at all times after such payment.</w:t>
      </w:r>
    </w:p>
    <w:p>
      <w:pPr>
        <w:pStyle w:val="TextBody"/>
        <w:bidi w:val="0"/>
        <w:spacing w:before="0" w:after="240"/>
        <w:jc w:val="both"/>
        <w:rPr>
          <w:rFonts w:ascii="Times New Roman" w:hAnsi="Times New Roman"/>
          <w:sz w:val="20"/>
        </w:rPr>
      </w:pPr>
      <w:r>
        <w:rPr>
          <w:rFonts w:ascii="Times New Roman" w:hAnsi="Times New Roman"/>
          <w:color w:val="000000"/>
          <w:sz w:val="22"/>
        </w:rPr>
        <w:t>7.7</w:t>
      </w:r>
      <w:r>
        <w:rPr>
          <w:rFonts w:ascii="Times New Roman" w:hAnsi="Times New Roman"/>
          <w:color w:val="000000"/>
          <w:sz w:val="20"/>
        </w:rPr>
        <w:t xml:space="preserve"> </w:t>
      </w:r>
      <w:r>
        <w:rPr>
          <w:rFonts w:ascii="Times New Roman" w:hAnsi="Times New Roman"/>
          <w:color w:val="000000"/>
          <w:sz w:val="22"/>
          <w:u w:val="single"/>
        </w:rPr>
        <w:t>Distributions</w:t>
      </w:r>
      <w:r>
        <w:rPr>
          <w:rFonts w:ascii="Times New Roman" w:hAnsi="Times New Roman"/>
          <w:color w:val="000000"/>
          <w:sz w:val="22"/>
        </w:rPr>
        <w:t>. Borrower shall not, and shall not allow any Subsidiary to, (a) repurchase or redeem any class of stock or other Equity Interest other than pursuant to employee, director or consultant repurchase plans or other similar agreements, provided, however, in each case the repurchase or redemption price does not exceed the fair market value for such stock or Equity Interest, or (b) declare or pay any cash dividend or make any other cash distribution on any class of stock or other Equity Interest, except that a Subsidiary may pay dividends or make other distributions to Borrower or any Subsidiary of Borrower, (c) lend money to any employees, officers or directors or guarantee the payment of any such loans granted by a third party in excess of $200,000 in the aggregate at any time outstanding, except to the extent comprising</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Permitted Investment, or (d) waive, release or forgive any Indebtedness owed by any employees, officers or directors in excess of $200,000 in the aggregate.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Notwithstanding the foregoing, and for the avoidance of doubt, this </w:t>
      </w:r>
      <w:r>
        <w:rPr>
          <w:rFonts w:ascii="Times New Roman" w:hAnsi="Times New Roman"/>
          <w:color w:val="000000"/>
          <w:sz w:val="22"/>
          <w:u w:val="single"/>
        </w:rPr>
        <w:t>Section 7.7</w:t>
      </w:r>
      <w:r>
        <w:rPr>
          <w:rFonts w:ascii="Times New Roman" w:hAnsi="Times New Roman"/>
          <w:color w:val="000000"/>
          <w:sz w:val="20"/>
        </w:rPr>
        <w:t xml:space="preserve"> </w:t>
      </w:r>
      <w:r>
        <w:rPr>
          <w:rFonts w:ascii="Times New Roman" w:hAnsi="Times New Roman"/>
          <w:color w:val="000000"/>
          <w:sz w:val="22"/>
        </w:rPr>
        <w:t>shall not prohibit the conversion by holders of (including any payment upon conversion, whether in cash, Common Stock or a combination thereof), or required payment of any principal or premium on or required payment of any interest with respect to, any Permitted Convertible Debt in each case, in accordance with the terms of the indenture governing such Permitted Convertible Debt; provided that principal payments in cash (other than cash in lieu of fractional shares) shall only be allowed if the Redemption Conditions are satisfied in respect of such payment and at all times after such payment.</w:t>
      </w:r>
    </w:p>
    <w:p>
      <w:pPr>
        <w:pStyle w:val="TextBody"/>
        <w:bidi w:val="0"/>
        <w:spacing w:before="0" w:after="240"/>
        <w:jc w:val="both"/>
        <w:rPr>
          <w:rFonts w:ascii="Times New Roman" w:hAnsi="Times New Roman"/>
          <w:sz w:val="20"/>
        </w:rPr>
      </w:pPr>
      <w:r>
        <w:rPr>
          <w:rFonts w:ascii="Times New Roman" w:hAnsi="Times New Roman"/>
          <w:color w:val="000000"/>
          <w:sz w:val="22"/>
        </w:rPr>
        <w:t>7.8</w:t>
      </w:r>
      <w:r>
        <w:rPr>
          <w:rFonts w:ascii="Times New Roman" w:hAnsi="Times New Roman"/>
          <w:color w:val="000000"/>
          <w:sz w:val="20"/>
        </w:rPr>
        <w:t xml:space="preserve"> </w:t>
      </w:r>
      <w:r>
        <w:rPr>
          <w:rFonts w:ascii="Times New Roman" w:hAnsi="Times New Roman"/>
          <w:color w:val="000000"/>
          <w:sz w:val="22"/>
          <w:u w:val="single"/>
        </w:rPr>
        <w:t>Transfers</w:t>
      </w:r>
      <w:r>
        <w:rPr>
          <w:rFonts w:ascii="Times New Roman" w:hAnsi="Times New Roman"/>
          <w:color w:val="000000"/>
          <w:sz w:val="22"/>
        </w:rPr>
        <w:t xml:space="preserve">. Except for Permitted Transfers, Borrower shall not, and shall not allow any Subsidiary to, voluntarily or involuntarily transfer, sell, lease, license, lend or in any other manner convey any equitable, beneficial or legal interest in any material portion of its assets (including, without limitation, pursuant to a Division);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u w:val="single"/>
        </w:rPr>
        <w:t>that</w:t>
      </w:r>
      <w:r>
        <w:rPr>
          <w:rFonts w:ascii="Times New Roman" w:hAnsi="Times New Roman"/>
          <w:color w:val="000000"/>
          <w:sz w:val="20"/>
        </w:rPr>
        <w:t xml:space="preserve"> </w:t>
      </w:r>
      <w:r>
        <w:rPr>
          <w:rFonts w:ascii="Times New Roman" w:hAnsi="Times New Roman"/>
          <w:color w:val="000000"/>
          <w:sz w:val="22"/>
        </w:rPr>
        <w:t>licenses of Company IP (to the extent not constituting Permitted Transfers) may be made with the consent of the Required Lenders, it being understood that the Required Lenders’ response in respect of such consent shall not be unreasonably withheld or delayed.</w:t>
      </w:r>
    </w:p>
    <w:p>
      <w:pPr>
        <w:pStyle w:val="TextBody"/>
        <w:bidi w:val="0"/>
        <w:spacing w:before="0" w:after="240"/>
        <w:jc w:val="both"/>
        <w:rPr>
          <w:rFonts w:ascii="Times New Roman" w:hAnsi="Times New Roman"/>
          <w:sz w:val="20"/>
        </w:rPr>
      </w:pPr>
      <w:r>
        <w:rPr>
          <w:rFonts w:ascii="Times New Roman" w:hAnsi="Times New Roman"/>
          <w:color w:val="000000"/>
          <w:sz w:val="22"/>
        </w:rPr>
        <w:t>7.9</w:t>
      </w:r>
      <w:r>
        <w:rPr>
          <w:rFonts w:ascii="Times New Roman" w:hAnsi="Times New Roman"/>
          <w:color w:val="000000"/>
          <w:sz w:val="20"/>
        </w:rPr>
        <w:t xml:space="preserve"> </w:t>
      </w:r>
      <w:r>
        <w:rPr>
          <w:rFonts w:ascii="Times New Roman" w:hAnsi="Times New Roman"/>
          <w:color w:val="000000"/>
          <w:sz w:val="22"/>
          <w:u w:val="single"/>
        </w:rPr>
        <w:t>Mergers or Acquisitions</w:t>
      </w:r>
      <w:r>
        <w:rPr>
          <w:rFonts w:ascii="Times New Roman" w:hAnsi="Times New Roman"/>
          <w:color w:val="000000"/>
          <w:sz w:val="22"/>
        </w:rPr>
        <w:t>. Borrower shall not merge or consolidate, or permit any of its Subsidiaries to merge or consolidate, with or into any other business organization (other than mergers or consolidations of (a) a Subsidiary which is not a Borrower into another Subsidiary or into Borrower or (b) a Borrower into another Borrower), or, other than Permitted Acquisitions, acquire, or permit any of its Subsidiaries to acquire, in each case including for the avoidance of doubt through a merger, purchase, in-licensing arrangement or any similar transaction, all or substantially all of the capital stock or property of another Person.</w:t>
      </w:r>
    </w:p>
    <w:p>
      <w:pPr>
        <w:pStyle w:val="TextBody"/>
        <w:bidi w:val="0"/>
        <w:spacing w:before="0" w:after="240"/>
        <w:jc w:val="both"/>
        <w:rPr>
          <w:rFonts w:ascii="Times New Roman" w:hAnsi="Times New Roman"/>
          <w:sz w:val="20"/>
        </w:rPr>
      </w:pPr>
      <w:r>
        <w:rPr>
          <w:rFonts w:ascii="Times New Roman" w:hAnsi="Times New Roman"/>
          <w:color w:val="000000"/>
          <w:sz w:val="22"/>
        </w:rPr>
        <w:t>7.10</w:t>
      </w:r>
      <w:r>
        <w:rPr>
          <w:rFonts w:ascii="Times New Roman" w:hAnsi="Times New Roman"/>
          <w:color w:val="000000"/>
          <w:sz w:val="20"/>
        </w:rPr>
        <w:t xml:space="preserve"> </w:t>
      </w:r>
      <w:r>
        <w:rPr>
          <w:rFonts w:ascii="Times New Roman" w:hAnsi="Times New Roman"/>
          <w:color w:val="000000"/>
          <w:sz w:val="22"/>
          <w:u w:val="single"/>
        </w:rPr>
        <w:t>Taxes</w:t>
      </w:r>
      <w:r>
        <w:rPr>
          <w:rFonts w:ascii="Times New Roman" w:hAnsi="Times New Roman"/>
          <w:color w:val="000000"/>
          <w:sz w:val="22"/>
        </w:rPr>
        <w:t>. Borrower shall, and shall cause each of its Subsidiaries to, pay when due all material Taxes of any nature whatsoever now or hereafter imposed or assessed against Borrower or the Collateral or upon Borrower’s ownership, possession, use, operation or disposition thereof or upon Borrower’s rents, receipts or earnings arising therefrom. Borrower shall, and shall cause each of its Subsidiaries to, accurately file on or before the due date therefor (taking into account proper extensions) all federal and state income Tax returns and other material Tax returns required to be filed. Notwithstanding the foregoing, Borrower and its Subsidiaries may contest, in good faith and by appropriate proceedings diligently conducted, Taxes for which Borrower and its Subsidiaries maintain adequate reserves in accordance with GAAP.</w:t>
      </w:r>
    </w:p>
    <w:p>
      <w:pPr>
        <w:pStyle w:val="TextBody"/>
        <w:bidi w:val="0"/>
        <w:spacing w:before="0" w:after="240"/>
        <w:jc w:val="both"/>
        <w:rPr>
          <w:rFonts w:ascii="Times New Roman" w:hAnsi="Times New Roman"/>
          <w:sz w:val="20"/>
        </w:rPr>
      </w:pPr>
      <w:r>
        <w:rPr>
          <w:rFonts w:ascii="Times New Roman" w:hAnsi="Times New Roman"/>
          <w:color w:val="000000"/>
          <w:sz w:val="22"/>
        </w:rPr>
        <w:t>7.11</w:t>
      </w:r>
      <w:r>
        <w:rPr>
          <w:rFonts w:ascii="Times New Roman" w:hAnsi="Times New Roman"/>
          <w:color w:val="000000"/>
          <w:sz w:val="20"/>
        </w:rPr>
        <w:t xml:space="preserve"> </w:t>
      </w:r>
      <w:r>
        <w:rPr>
          <w:rFonts w:ascii="Times New Roman" w:hAnsi="Times New Roman"/>
          <w:color w:val="000000"/>
          <w:sz w:val="22"/>
          <w:u w:val="single"/>
        </w:rPr>
        <w:t>Corporate Changes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Neither Borrower nor any Subsidiary shall change its corporate name, legal form or jurisdiction of formation without twenty (20) days’ prior written notice to Agent.</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Neither Borrower nor any Subsidiary shall suffer a Change in Control.</w:t>
      </w:r>
    </w:p>
    <w:p>
      <w:pPr>
        <w:pStyle w:val="TextBody"/>
        <w:bidi w:val="0"/>
        <w:spacing w:before="0" w:after="240"/>
        <w:jc w:val="both"/>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 xml:space="preserve">Neither Borrower nor any Subsidiary shall relocate its chief executive office or its principal place of business unless: (i) it has provided prior written notice to Agent; and (ii) such relocation shall be within the continental United States of America. Neither Borrower nor any Subsidiary shall relocate any item of Collateral (other than (x) sales of Inventory, or dispositions of obsolete or worn out property, in each case in the ordinary course of business, (y) relocations of Equipment having an aggregate value of up to $150,000 in any fiscal year or relocations of Equipment solely for purposes of repair, and (z) relocations of Collateral from a location identified in </w:t>
      </w:r>
      <w:r>
        <w:rPr>
          <w:rFonts w:ascii="Times New Roman" w:hAnsi="Times New Roman"/>
          <w:color w:val="000000"/>
          <w:sz w:val="22"/>
          <w:u w:val="single"/>
        </w:rPr>
        <w:t>Section 4(d)</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4(e)</w:t>
      </w:r>
      <w:r>
        <w:rPr>
          <w:rFonts w:ascii="Times New Roman" w:hAnsi="Times New Roman"/>
          <w:color w:val="000000"/>
          <w:sz w:val="20"/>
        </w:rPr>
        <w:t xml:space="preserve"> </w:t>
      </w:r>
      <w:r>
        <w:rPr>
          <w:rFonts w:ascii="Times New Roman" w:hAnsi="Times New Roman"/>
          <w:color w:val="000000"/>
          <w:sz w:val="22"/>
        </w:rPr>
        <w:t xml:space="preserve">of the Perfection Certificate (as in effect on the date hereof) to another location identified in </w:t>
      </w:r>
      <w:r>
        <w:rPr>
          <w:rFonts w:ascii="Times New Roman" w:hAnsi="Times New Roman"/>
          <w:color w:val="000000"/>
          <w:sz w:val="22"/>
          <w:u w:val="single"/>
        </w:rPr>
        <w:t>Section 4(d)</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4(e)</w:t>
      </w:r>
      <w:r>
        <w:rPr>
          <w:rFonts w:ascii="Times New Roman" w:hAnsi="Times New Roman"/>
          <w:color w:val="000000"/>
          <w:sz w:val="20"/>
        </w:rPr>
        <w:t xml:space="preserve"> </w:t>
      </w:r>
      <w:r>
        <w:rPr>
          <w:rFonts w:ascii="Times New Roman" w:hAnsi="Times New Roman"/>
          <w:color w:val="000000"/>
          <w:sz w:val="22"/>
        </w:rPr>
        <w:t>of the Perfection Certificate (as in effect on the date hereof)) unless (1) it has provided prompt written notice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Agent, (2) such relocation is within the continental United States of America, and (3) if such relocation is to a third party bailee, it has delivered a bailee agreement (to the extent customary under applicable law) in form and substance reasonably acceptable to Agent.</w:t>
      </w:r>
    </w:p>
    <w:p>
      <w:pPr>
        <w:pStyle w:val="TextBody"/>
        <w:bidi w:val="0"/>
        <w:spacing w:before="0" w:after="240"/>
        <w:jc w:val="both"/>
        <w:rPr>
          <w:rFonts w:ascii="Times New Roman" w:hAnsi="Times New Roman"/>
          <w:sz w:val="20"/>
        </w:rPr>
      </w:pPr>
      <w:r>
        <w:rPr>
          <w:rFonts w:ascii="Times New Roman" w:hAnsi="Times New Roman"/>
          <w:color w:val="000000"/>
          <w:sz w:val="22"/>
        </w:rPr>
        <w:t>(d)</w:t>
      </w:r>
      <w:r>
        <w:rPr>
          <w:rFonts w:ascii="Times New Roman" w:hAnsi="Times New Roman"/>
          <w:color w:val="000000"/>
          <w:sz w:val="20"/>
        </w:rPr>
        <w:t xml:space="preserve"> </w:t>
      </w:r>
      <w:r>
        <w:rPr>
          <w:rFonts w:ascii="Times New Roman" w:hAnsi="Times New Roman"/>
          <w:color w:val="000000"/>
          <w:sz w:val="22"/>
        </w:rPr>
        <w:t>The Borrower will not, and will not permit any Subsidiary to, engage to any material extent in any business other than those businesses conducted by the Borrower and its Subsidiaries on the date hereof or any business reasonably related or incidental thereto or representing a reasonable expansion or development thereof.</w:t>
      </w:r>
    </w:p>
    <w:p>
      <w:pPr>
        <w:pStyle w:val="TextBody"/>
        <w:bidi w:val="0"/>
        <w:spacing w:before="0" w:after="240"/>
        <w:jc w:val="both"/>
        <w:rPr>
          <w:rFonts w:ascii="Times New Roman" w:hAnsi="Times New Roman"/>
          <w:sz w:val="20"/>
        </w:rPr>
      </w:pPr>
      <w:r>
        <w:rPr>
          <w:rFonts w:ascii="Times New Roman" w:hAnsi="Times New Roman"/>
          <w:color w:val="000000"/>
          <w:sz w:val="22"/>
        </w:rPr>
        <w:t>(e)</w:t>
      </w:r>
      <w:r>
        <w:rPr>
          <w:rFonts w:ascii="Times New Roman" w:hAnsi="Times New Roman"/>
          <w:color w:val="000000"/>
          <w:sz w:val="20"/>
        </w:rPr>
        <w:t xml:space="preserve"> </w:t>
      </w:r>
      <w:r>
        <w:rPr>
          <w:rFonts w:ascii="Times New Roman" w:hAnsi="Times New Roman"/>
          <w:color w:val="000000"/>
          <w:sz w:val="22"/>
        </w:rPr>
        <w:t>Without the prior written consent of Agent, the Borrower will not make, or agree to make, any modification, amendment or waiver of any of the terms or provisions of Borrower’s Organizational Documents that is adverse to Agent or any of the Lenders.</w:t>
      </w:r>
    </w:p>
    <w:p>
      <w:pPr>
        <w:pStyle w:val="TextBody"/>
        <w:bidi w:val="0"/>
        <w:spacing w:before="0" w:after="240"/>
        <w:jc w:val="both"/>
        <w:rPr>
          <w:rFonts w:ascii="Times New Roman" w:hAnsi="Times New Roman"/>
          <w:sz w:val="20"/>
        </w:rPr>
      </w:pPr>
      <w:r>
        <w:rPr>
          <w:rFonts w:ascii="Times New Roman" w:hAnsi="Times New Roman"/>
          <w:color w:val="000000"/>
          <w:sz w:val="22"/>
        </w:rPr>
        <w:t>7.12</w:t>
      </w:r>
      <w:r>
        <w:rPr>
          <w:rFonts w:ascii="Times New Roman" w:hAnsi="Times New Roman"/>
          <w:color w:val="000000"/>
          <w:sz w:val="20"/>
        </w:rPr>
        <w:t xml:space="preserve"> </w:t>
      </w:r>
      <w:r>
        <w:rPr>
          <w:rFonts w:ascii="Times New Roman" w:hAnsi="Times New Roman"/>
          <w:color w:val="000000"/>
          <w:sz w:val="22"/>
          <w:u w:val="single"/>
        </w:rPr>
        <w:t>Deposit Accounts.</w:t>
      </w:r>
      <w:r>
        <w:rPr>
          <w:rFonts w:ascii="Times New Roman" w:hAnsi="Times New Roman"/>
          <w:color w:val="000000"/>
          <w:sz w:val="20"/>
        </w:rPr>
        <w:t xml:space="preserve"> </w:t>
      </w:r>
      <w:r>
        <w:rPr>
          <w:rFonts w:ascii="Times New Roman" w:hAnsi="Times New Roman"/>
          <w:color w:val="000000"/>
          <w:sz w:val="22"/>
        </w:rPr>
        <w:t>Other than Excluded Accounts, neither Borrower nor any Subsidiary (other than Excluded Subsidiaries and the MSC Subsidiary) shall maintain any Deposit Accounts, or accounts holding Investment Property, except with respect to which Agent has an Account Control Agreement within five (5) Business Days of the opening of such Deposit Account or other account; provided that during the five (5) Business Day period, the amounts in all such newly opened account shall not exceed $500,000, at any one time, collectively. No proceeds of any Advance shall be transferred to any Deposit Account that is not subject to an Account Control Agreement. Borrower shall not permit any Excluded Subsidiary to hold cash or cash equivalents in an aggregate amount greater than $2,000,000 for any single Excluded Subsidiary and $3,000,000 for all Excluded Subsidiaries.</w:t>
      </w:r>
    </w:p>
    <w:p>
      <w:pPr>
        <w:pStyle w:val="TextBody"/>
        <w:bidi w:val="0"/>
        <w:spacing w:before="0" w:after="240"/>
        <w:jc w:val="both"/>
        <w:rPr>
          <w:rFonts w:ascii="Times New Roman" w:hAnsi="Times New Roman"/>
          <w:sz w:val="20"/>
        </w:rPr>
      </w:pPr>
      <w:r>
        <w:rPr>
          <w:rFonts w:ascii="Times New Roman" w:hAnsi="Times New Roman"/>
          <w:color w:val="000000"/>
          <w:sz w:val="22"/>
        </w:rPr>
        <w:t>7.13</w:t>
      </w:r>
      <w:r>
        <w:rPr>
          <w:rFonts w:ascii="Times New Roman" w:hAnsi="Times New Roman"/>
          <w:color w:val="000000"/>
          <w:sz w:val="20"/>
        </w:rPr>
        <w:t xml:space="preserve"> </w:t>
      </w:r>
      <w:r>
        <w:rPr>
          <w:rFonts w:ascii="Times New Roman" w:hAnsi="Times New Roman"/>
          <w:color w:val="000000"/>
          <w:sz w:val="22"/>
          <w:u w:val="single"/>
        </w:rPr>
        <w:t>New Subsidiaries</w:t>
      </w:r>
      <w:r>
        <w:rPr>
          <w:rFonts w:ascii="Times New Roman" w:hAnsi="Times New Roman"/>
          <w:color w:val="000000"/>
          <w:sz w:val="22"/>
        </w:rPr>
        <w:t>. Borrower shall notify Agent of each Subsidiary formed or acquired subsequent to the Closing Date (including any new Subsidiary formed by Division) and, within 30 days of formation or acquisition (or such longer period of time as agreed to by Agent in writing in its sole discretion), shall cause any such Subsidiary (other than an Excluded Subsidiary) to execute and deliver to Agent a Joinder Agreement and such other documents and instruments as shall be requested by Agent to effectuate the transactions contemplated by such Joinder Agreement (in each case in form and substance acceptable to Agent), or, if requested by Agent, a Guaranty and appropriate collateral security documents to secure the obligations pursuant to such Guaranty (in each case in form and substance acceptable to Agent); it being agreed that if such new Subsidiary is formed by a Division, the foregoing requirements shall be satisfied substantially concurrently with the formation of such Subsidiary. In the event one or more Subsidiaries that were previously Excluded Subsidiaries no longer qualify as an Excluded Subsidiary, such Subsidiaries shall be subject to the requirements of the immediately preceding sentence.</w:t>
      </w:r>
    </w:p>
    <w:p>
      <w:pPr>
        <w:pStyle w:val="TextBody"/>
        <w:bidi w:val="0"/>
        <w:spacing w:before="0" w:after="240"/>
        <w:jc w:val="both"/>
        <w:rPr>
          <w:rFonts w:ascii="Times New Roman" w:hAnsi="Times New Roman"/>
          <w:sz w:val="20"/>
        </w:rPr>
      </w:pPr>
      <w:r>
        <w:rPr>
          <w:rFonts w:ascii="Times New Roman" w:hAnsi="Times New Roman"/>
          <w:color w:val="000000"/>
          <w:sz w:val="22"/>
        </w:rPr>
        <w:t>7.14</w:t>
      </w:r>
      <w:r>
        <w:rPr>
          <w:rFonts w:ascii="Times New Roman" w:hAnsi="Times New Roman"/>
          <w:color w:val="000000"/>
          <w:sz w:val="20"/>
        </w:rPr>
        <w:t xml:space="preserve"> </w:t>
      </w:r>
      <w:r>
        <w:rPr>
          <w:rFonts w:ascii="Times New Roman" w:hAnsi="Times New Roman"/>
          <w:color w:val="000000"/>
          <w:sz w:val="22"/>
          <w:u w:val="single"/>
        </w:rPr>
        <w:t>MSC Investments</w:t>
      </w:r>
      <w:r>
        <w:rPr>
          <w:rFonts w:ascii="Times New Roman" w:hAnsi="Times New Roman"/>
          <w:color w:val="000000"/>
          <w:sz w:val="22"/>
        </w:rPr>
        <w:t>. At any time that (a) the MSC Subsidiary has any assets or liabilities and (b) the aggregate amount of the consolidated Cash of Borrower and its Subsidiaries is equal to or less than One Hundred Fifty Million Dollars ($150,000,000), then Borrower shall satisfy the MSC Investment Conditions at any such time.</w:t>
      </w:r>
    </w:p>
    <w:p>
      <w:pPr>
        <w:pStyle w:val="TextBody"/>
        <w:bidi w:val="0"/>
        <w:spacing w:before="0" w:after="240"/>
        <w:jc w:val="both"/>
        <w:rPr>
          <w:rFonts w:ascii="Times New Roman" w:hAnsi="Times New Roman"/>
          <w:sz w:val="20"/>
        </w:rPr>
      </w:pPr>
      <w:r>
        <w:rPr>
          <w:rFonts w:ascii="Times New Roman" w:hAnsi="Times New Roman"/>
          <w:color w:val="000000"/>
          <w:sz w:val="22"/>
        </w:rPr>
        <w:t>7.15</w:t>
      </w:r>
      <w:r>
        <w:rPr>
          <w:rFonts w:ascii="Times New Roman" w:hAnsi="Times New Roman"/>
          <w:color w:val="000000"/>
          <w:sz w:val="20"/>
        </w:rPr>
        <w:t xml:space="preserve"> </w:t>
      </w:r>
      <w:r>
        <w:rPr>
          <w:rFonts w:ascii="Times New Roman" w:hAnsi="Times New Roman"/>
          <w:color w:val="000000"/>
          <w:sz w:val="22"/>
          <w:u w:val="single"/>
        </w:rPr>
        <w:t>Notification of Event of Default</w:t>
      </w:r>
      <w:r>
        <w:rPr>
          <w:rFonts w:ascii="Times New Roman" w:hAnsi="Times New Roman"/>
          <w:color w:val="000000"/>
          <w:sz w:val="22"/>
        </w:rPr>
        <w:t>. Borrower shall notify Agent immediately of the occurrence of any Event of Default.</w:t>
      </w:r>
    </w:p>
    <w:p>
      <w:pPr>
        <w:pStyle w:val="TextBody"/>
        <w:bidi w:val="0"/>
        <w:spacing w:before="0" w:after="240"/>
        <w:jc w:val="both"/>
        <w:rPr>
          <w:rFonts w:ascii="Times New Roman" w:hAnsi="Times New Roman"/>
          <w:sz w:val="20"/>
        </w:rPr>
      </w:pPr>
      <w:r>
        <w:rPr>
          <w:rFonts w:ascii="Times New Roman" w:hAnsi="Times New Roman"/>
          <w:color w:val="000000"/>
          <w:sz w:val="22"/>
        </w:rPr>
        <w:t>7.16</w:t>
      </w:r>
      <w:r>
        <w:rPr>
          <w:rFonts w:ascii="Times New Roman" w:hAnsi="Times New Roman"/>
          <w:color w:val="000000"/>
          <w:sz w:val="20"/>
        </w:rPr>
        <w:t xml:space="preserve"> </w:t>
      </w:r>
      <w:r>
        <w:rPr>
          <w:rFonts w:ascii="Times New Roman" w:hAnsi="Times New Roman"/>
          <w:color w:val="000000"/>
          <w:sz w:val="22"/>
          <w:u w:val="single"/>
        </w:rPr>
        <w:t>Use of Proceeds</w:t>
      </w:r>
      <w:r>
        <w:rPr>
          <w:rFonts w:ascii="Times New Roman" w:hAnsi="Times New Roman"/>
          <w:color w:val="000000"/>
          <w:sz w:val="22"/>
        </w:rPr>
        <w:t>. Borrower agrees that the proceeds of the Loans shall be used solely to pay related fees and expenses in connection with this Agreement and for working capital and general corporate purposes. The proceeds of the Loans will not be used in violation of Anti-Corruption Laws or applicable Sanctions.</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7.17</w:t>
      </w:r>
      <w:r>
        <w:rPr>
          <w:rFonts w:ascii="Times New Roman" w:hAnsi="Times New Roman"/>
          <w:color w:val="000000"/>
          <w:sz w:val="20"/>
        </w:rPr>
        <w:t xml:space="preserve"> </w:t>
      </w:r>
      <w:r>
        <w:rPr>
          <w:rFonts w:ascii="Times New Roman" w:hAnsi="Times New Roman"/>
          <w:color w:val="000000"/>
          <w:sz w:val="22"/>
          <w:u w:val="single"/>
        </w:rPr>
        <w:t>Compliance with Laws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Borrower (i) shall maintain, and shall cause its Subsidiaries to maintain, compliance in all material respects with all applicable laws, rules or regulations (including any law, rule or regulation with respect to the making or brokering of loans or financial accommodations), and (ii) shall, or cause its Subsidiaries to, obtain and maintain all required governmental authorizations, approvals, licenses, franchises, permits or registrations reasonably necessary in connection with the conduct of Borrower’s business. Borrower shall not become an “investment company”, a company that would be an “investment company” except for the exclusion from the definition of “investment company” in Section 3(c) of the 1940 Act, or a company controlled by an “investment company”, under the 1940 Act, or undertake as one of its important activities extending credit to purchase or carry margin stock (as defined in Regulation X, T and U of the Federal Reserve Board of Governors).</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Neither Borrower nor any of its Subsidiaries shall, nor shall Borrower or any of its Subsidiaries permit, to its knowledge, any Affiliate to, directly or indirectly, knowingly enter into any documents, instruments, agreements or contracts with any Person listed on the OFAC Lists. Neither Borrower nor any Subsidiary shall, nor shall Borrower or any of its Subsidiaries permit, to its knowledge, any Affiliate to,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or any similar executive order or other Anti-Terrorism Law, or (iii) engage in or conspire to engage in any transaction that evades or avoids, or has the purpose of evading or avoiding, or attempts to violate, any of the prohibitions set forth in Executive Order No. 13224 or other Anti-Terrorism Law.</w:t>
      </w:r>
    </w:p>
    <w:p>
      <w:pPr>
        <w:pStyle w:val="TextBody"/>
        <w:bidi w:val="0"/>
        <w:spacing w:before="0" w:after="240"/>
        <w:jc w:val="both"/>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Borrower has implemented and maintains in effect policies and procedures designed to ensure compliance by Borrower, its Subsidiaries and their respective directors, officers, employees and agents with Anti-Corruption Laws and applicable Sanctions, and Borrower, its Subsidiaries and their respective officers and employees and to the knowledge of Borrower its directors and agents, are in compliance with Anti-Corruption Laws and applicable Sanctions in all material respects.</w:t>
      </w:r>
    </w:p>
    <w:p>
      <w:pPr>
        <w:pStyle w:val="TextBody"/>
        <w:bidi w:val="0"/>
        <w:spacing w:before="0" w:after="240"/>
        <w:jc w:val="both"/>
        <w:rPr>
          <w:rFonts w:ascii="Times New Roman" w:hAnsi="Times New Roman"/>
          <w:sz w:val="20"/>
        </w:rPr>
      </w:pPr>
      <w:r>
        <w:rPr>
          <w:rFonts w:ascii="Times New Roman" w:hAnsi="Times New Roman"/>
          <w:color w:val="000000"/>
          <w:sz w:val="22"/>
        </w:rPr>
        <w:t>(d)</w:t>
      </w:r>
      <w:r>
        <w:rPr>
          <w:rFonts w:ascii="Times New Roman" w:hAnsi="Times New Roman"/>
          <w:color w:val="000000"/>
          <w:sz w:val="20"/>
        </w:rPr>
        <w:t xml:space="preserve"> </w:t>
      </w:r>
      <w:r>
        <w:rPr>
          <w:rFonts w:ascii="Times New Roman" w:hAnsi="Times New Roman"/>
          <w:color w:val="000000"/>
          <w:sz w:val="22"/>
        </w:rPr>
        <w:t>None of Borrower, any of its Subsidiaries or any of their respective directors, officers or employees, or to the knowledge of Borrower, any agent for Borrower or its Subsidiaries that will act in any capacity in connection with or benefit from the credit facility established hereby, is a Sanctioned Person. No Loan, use of proceeds or other transaction contemplated by this Agreement will violate Anti-Corruption Laws or applicable Sanctions.</w:t>
      </w:r>
    </w:p>
    <w:p>
      <w:pPr>
        <w:pStyle w:val="TextBody"/>
        <w:bidi w:val="0"/>
        <w:spacing w:before="0" w:after="240"/>
        <w:jc w:val="both"/>
        <w:rPr>
          <w:rFonts w:ascii="Times New Roman" w:hAnsi="Times New Roman"/>
          <w:sz w:val="20"/>
        </w:rPr>
      </w:pPr>
      <w:r>
        <w:rPr>
          <w:rFonts w:ascii="Times New Roman" w:hAnsi="Times New Roman"/>
          <w:color w:val="000000"/>
          <w:sz w:val="22"/>
        </w:rPr>
        <w:t>7.18</w:t>
      </w:r>
      <w:r>
        <w:rPr>
          <w:rFonts w:ascii="Times New Roman" w:hAnsi="Times New Roman"/>
          <w:color w:val="000000"/>
          <w:sz w:val="20"/>
        </w:rPr>
        <w:t xml:space="preserve"> </w:t>
      </w:r>
      <w:r>
        <w:rPr>
          <w:rFonts w:ascii="Times New Roman" w:hAnsi="Times New Roman"/>
          <w:color w:val="000000"/>
          <w:sz w:val="22"/>
          <w:u w:val="single"/>
        </w:rPr>
        <w:t>Company IP</w:t>
      </w:r>
      <w:r>
        <w:rPr>
          <w:rFonts w:ascii="Times New Roman" w:hAnsi="Times New Roman"/>
          <w:color w:val="000000"/>
          <w:sz w:val="22"/>
        </w:rPr>
        <w:t>. Each Borrower shall (i) protect, defend and maintain the validity and enforceability of its Company IP that is material to its business; (ii) promptly advise Agent in writing of material infringements of its Company IP that is material to its business; and (iii) not allow any Company IP material to Borrower’s business to be abandoned, forfeited or dedicated to the public without Agent’s written consent, provided that Borrower is not required to advise Agent or obtain Agent’s consent (written or otherwise) to allow to abandon, forfeit or dedicate to the public Current Company IP as determined in the good faith business judgment of the Borrower. Borrower shall not permit any Excluded Subsidiary to own any Intellectual Property.</w:t>
      </w:r>
    </w:p>
    <w:p>
      <w:pPr>
        <w:pStyle w:val="TextBody"/>
        <w:bidi w:val="0"/>
        <w:spacing w:before="0" w:after="240"/>
        <w:jc w:val="both"/>
        <w:rPr>
          <w:rFonts w:ascii="Times New Roman" w:hAnsi="Times New Roman"/>
          <w:sz w:val="20"/>
        </w:rPr>
      </w:pPr>
      <w:r>
        <w:rPr>
          <w:rFonts w:ascii="Times New Roman" w:hAnsi="Times New Roman"/>
          <w:color w:val="000000"/>
          <w:sz w:val="22"/>
        </w:rPr>
        <w:t>7.19</w:t>
      </w:r>
      <w:r>
        <w:rPr>
          <w:rFonts w:ascii="Times New Roman" w:hAnsi="Times New Roman"/>
          <w:color w:val="000000"/>
          <w:sz w:val="20"/>
        </w:rPr>
        <w:t xml:space="preserve"> </w:t>
      </w:r>
      <w:r>
        <w:rPr>
          <w:rFonts w:ascii="Times New Roman" w:hAnsi="Times New Roman"/>
          <w:color w:val="000000"/>
          <w:sz w:val="22"/>
          <w:u w:val="single"/>
        </w:rPr>
        <w:t>Transactions with Affiliates</w:t>
      </w:r>
      <w:r>
        <w:rPr>
          <w:rFonts w:ascii="Times New Roman" w:hAnsi="Times New Roman"/>
          <w:color w:val="000000"/>
          <w:sz w:val="22"/>
        </w:rPr>
        <w:t>. Borrower shall not and shall not permit any Subsidiary to, directly or indirectly, enter into or permit to exist any transaction of any kind with any Affiliate of Borrower or such Subsidiary (other than transactions among Borrowers permitted under this Agreement) on terms that are less favorable to Borrower or such Subsidiary, as the case may be, than those that might be obtained in an arm’s length transaction from a Person who is not an Affiliate of Borrower or such Subsidiary.</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7.20</w:t>
      </w:r>
      <w:r>
        <w:rPr>
          <w:rFonts w:ascii="Times New Roman" w:hAnsi="Times New Roman"/>
          <w:color w:val="000000"/>
          <w:sz w:val="20"/>
        </w:rPr>
        <w:t xml:space="preserve"> </w:t>
      </w:r>
      <w:r>
        <w:rPr>
          <w:rFonts w:ascii="Times New Roman" w:hAnsi="Times New Roman"/>
          <w:color w:val="000000"/>
          <w:sz w:val="22"/>
          <w:u w:val="single"/>
        </w:rPr>
        <w:t>Material Agreement</w:t>
      </w:r>
      <w:r>
        <w:rPr>
          <w:rFonts w:ascii="Times New Roman" w:hAnsi="Times New Roman"/>
          <w:color w:val="000000"/>
          <w:sz w:val="22"/>
        </w:rPr>
        <w:t>. Borrower shall (a) not, without the consent of Agent, terminate the Material License or amend the Material License in a manner that is reasonably likely to have a material negative impact on Agent or Lenders and (b) give prompt written notice to Agent of entering into a Material Agreement or materially amending or terminating a Material Agreement. The notice described in foregoing clause (b) shall be deemed to have been delivered on the date on which Borrower makes disclosure thereof in materials filed with the SEC.</w:t>
      </w:r>
    </w:p>
    <w:p>
      <w:pPr>
        <w:pStyle w:val="TextBody"/>
        <w:bidi w:val="0"/>
        <w:spacing w:before="0" w:after="240"/>
        <w:jc w:val="both"/>
        <w:rPr>
          <w:rFonts w:ascii="Times New Roman" w:hAnsi="Times New Roman"/>
          <w:sz w:val="20"/>
        </w:rPr>
      </w:pPr>
      <w:r>
        <w:rPr>
          <w:rFonts w:ascii="Times New Roman" w:hAnsi="Times New Roman"/>
          <w:color w:val="000000"/>
          <w:sz w:val="22"/>
        </w:rPr>
        <w:t>7.21</w:t>
      </w:r>
      <w:r>
        <w:rPr>
          <w:rFonts w:ascii="Times New Roman" w:hAnsi="Times New Roman"/>
          <w:color w:val="000000"/>
          <w:sz w:val="20"/>
        </w:rPr>
        <w:t xml:space="preserve"> </w:t>
      </w:r>
      <w:r>
        <w:rPr>
          <w:rFonts w:ascii="Times New Roman" w:hAnsi="Times New Roman"/>
          <w:color w:val="000000"/>
          <w:sz w:val="22"/>
          <w:u w:val="single"/>
        </w:rPr>
        <w:t>SBA</w:t>
      </w:r>
      <w:r>
        <w:rPr>
          <w:rFonts w:ascii="Times New Roman" w:hAnsi="Times New Roman"/>
          <w:color w:val="000000"/>
          <w:sz w:val="22"/>
        </w:rPr>
        <w:t>. One or more affiliates of Agent have received a license from the U.S. Small Business Administration (“</w:t>
      </w:r>
      <w:r>
        <w:rPr>
          <w:rFonts w:ascii="Times New Roman" w:hAnsi="Times New Roman"/>
          <w:color w:val="000000"/>
          <w:sz w:val="22"/>
          <w:u w:val="single"/>
        </w:rPr>
        <w:t>SBA</w:t>
      </w:r>
      <w:r>
        <w:rPr>
          <w:rFonts w:ascii="Times New Roman" w:hAnsi="Times New Roman"/>
          <w:color w:val="000000"/>
          <w:sz w:val="20"/>
        </w:rPr>
        <w:t>”</w:t>
      </w:r>
      <w:r>
        <w:rPr>
          <w:rFonts w:ascii="Times New Roman" w:hAnsi="Times New Roman"/>
          <w:color w:val="000000"/>
          <w:sz w:val="22"/>
        </w:rPr>
        <w:t>) to extend loans as a small business investment company (“</w:t>
      </w:r>
      <w:r>
        <w:rPr>
          <w:rFonts w:ascii="Times New Roman" w:hAnsi="Times New Roman"/>
          <w:color w:val="000000"/>
          <w:sz w:val="22"/>
          <w:u w:val="single"/>
        </w:rPr>
        <w:t>SBIC</w:t>
      </w:r>
      <w:r>
        <w:rPr>
          <w:rFonts w:ascii="Times New Roman" w:hAnsi="Times New Roman"/>
          <w:color w:val="000000"/>
          <w:sz w:val="20"/>
        </w:rPr>
        <w:t>”</w:t>
      </w:r>
      <w:r>
        <w:rPr>
          <w:rFonts w:ascii="Times New Roman" w:hAnsi="Times New Roman"/>
          <w:color w:val="000000"/>
          <w:sz w:val="22"/>
        </w:rPr>
        <w:t>) pursuant to the Small Business Investment Act of 1958, as amended, and the associated regulations, as amended (collectively, the “</w:t>
      </w:r>
      <w:r>
        <w:rPr>
          <w:rFonts w:ascii="Times New Roman" w:hAnsi="Times New Roman"/>
          <w:color w:val="000000"/>
          <w:sz w:val="22"/>
          <w:u w:val="single"/>
        </w:rPr>
        <w:t>SBIC Act</w:t>
      </w:r>
      <w:r>
        <w:rPr>
          <w:rFonts w:ascii="Times New Roman" w:hAnsi="Times New Roman"/>
          <w:color w:val="000000"/>
          <w:sz w:val="20"/>
        </w:rPr>
        <w:t>”</w:t>
      </w:r>
      <w:r>
        <w:rPr>
          <w:rFonts w:ascii="Times New Roman" w:hAnsi="Times New Roman"/>
          <w:color w:val="000000"/>
          <w:sz w:val="22"/>
        </w:rPr>
        <w:t xml:space="preserve">). Portions of the Loan to Borrower may be made by a Lender that is a SBIC. </w:t>
      </w:r>
      <w:r>
        <w:rPr>
          <w:rFonts w:ascii="Times New Roman" w:hAnsi="Times New Roman"/>
          <w:color w:val="000000"/>
          <w:sz w:val="22"/>
          <w:u w:val="single"/>
        </w:rPr>
        <w:t>Addendum 3</w:t>
      </w:r>
      <w:r>
        <w:rPr>
          <w:rFonts w:ascii="Times New Roman" w:hAnsi="Times New Roman"/>
          <w:color w:val="000000"/>
          <w:sz w:val="20"/>
        </w:rPr>
        <w:t xml:space="preserve"> </w:t>
      </w:r>
      <w:r>
        <w:rPr>
          <w:rFonts w:ascii="Times New Roman" w:hAnsi="Times New Roman"/>
          <w:color w:val="000000"/>
          <w:sz w:val="22"/>
        </w:rPr>
        <w:t xml:space="preserve">to this Agreement outlines various responsibilities of Agent, each Lender and Borrower associated with a loan made by a SBIC, and such </w:t>
      </w:r>
      <w:r>
        <w:rPr>
          <w:rFonts w:ascii="Times New Roman" w:hAnsi="Times New Roman"/>
          <w:color w:val="000000"/>
          <w:sz w:val="22"/>
          <w:u w:val="single"/>
        </w:rPr>
        <w:t>Addendum 3</w:t>
      </w:r>
      <w:r>
        <w:rPr>
          <w:rFonts w:ascii="Times New Roman" w:hAnsi="Times New Roman"/>
          <w:color w:val="000000"/>
          <w:sz w:val="20"/>
        </w:rPr>
        <w:t xml:space="preserve"> </w:t>
      </w:r>
      <w:r>
        <w:rPr>
          <w:rFonts w:ascii="Times New Roman" w:hAnsi="Times New Roman"/>
          <w:color w:val="000000"/>
          <w:sz w:val="22"/>
        </w:rPr>
        <w:t xml:space="preserve">is hereby incorporated in this Agreement. Borrower shall notify Agent of any failure to comply with its obligations under </w:t>
      </w:r>
      <w:r>
        <w:rPr>
          <w:rFonts w:ascii="Times New Roman" w:hAnsi="Times New Roman"/>
          <w:color w:val="000000"/>
          <w:sz w:val="22"/>
          <w:u w:val="single"/>
        </w:rPr>
        <w:t>Addendum 3</w:t>
      </w:r>
      <w:r>
        <w:rPr>
          <w:rFonts w:ascii="Times New Roman" w:hAnsi="Times New Roman"/>
          <w:color w:val="000000"/>
          <w:sz w:val="20"/>
        </w:rPr>
        <w:t xml:space="preserve"> </w:t>
      </w:r>
      <w:r>
        <w:rPr>
          <w:rFonts w:ascii="Times New Roman" w:hAnsi="Times New Roman"/>
          <w:color w:val="000000"/>
          <w:sz w:val="22"/>
        </w:rPr>
        <w:t>within five (5) Business Days of acquiring knowledge thereof.</w:t>
      </w:r>
    </w:p>
    <w:p>
      <w:pPr>
        <w:pStyle w:val="TextBody"/>
        <w:bidi w:val="0"/>
        <w:spacing w:before="0" w:after="240"/>
        <w:jc w:val="both"/>
        <w:rPr>
          <w:rFonts w:ascii="Times New Roman" w:hAnsi="Times New Roman"/>
          <w:sz w:val="20"/>
        </w:rPr>
      </w:pPr>
      <w:r>
        <w:rPr>
          <w:rFonts w:ascii="Times New Roman" w:hAnsi="Times New Roman"/>
          <w:color w:val="000000"/>
          <w:sz w:val="22"/>
        </w:rPr>
        <w:t>7.22</w:t>
      </w:r>
      <w:r>
        <w:rPr>
          <w:rFonts w:ascii="Times New Roman" w:hAnsi="Times New Roman"/>
          <w:color w:val="000000"/>
          <w:sz w:val="20"/>
        </w:rPr>
        <w:t xml:space="preserve"> </w:t>
      </w:r>
      <w:r>
        <w:rPr>
          <w:rFonts w:ascii="Times New Roman" w:hAnsi="Times New Roman"/>
          <w:color w:val="000000"/>
          <w:sz w:val="22"/>
          <w:u w:val="single"/>
        </w:rPr>
        <w:t>Financial Covenants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Minimum Cash.</w:t>
      </w:r>
    </w:p>
    <w:p>
      <w:pPr>
        <w:pStyle w:val="TextBody"/>
        <w:bidi w:val="0"/>
        <w:spacing w:before="0" w:after="240"/>
        <w:jc w:val="both"/>
        <w:rPr>
          <w:rFonts w:ascii="Times New Roman" w:hAnsi="Times New Roman"/>
          <w:sz w:val="20"/>
        </w:rPr>
      </w:pPr>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rPr>
        <w:t xml:space="preserve">Beginning on the Initial Test Date, Borrower shall at all times maintain Qualified Cash in an amount greater than or equal to (x) the aggregate outstanding Secured Obligations plus the Qualified Cash A/P Amount </w:t>
      </w:r>
      <w:r>
        <w:rPr>
          <w:rFonts w:ascii="Times New Roman" w:hAnsi="Times New Roman"/>
          <w:i/>
          <w:color w:val="000000"/>
          <w:sz w:val="22"/>
        </w:rPr>
        <w:t>multiplied by</w:t>
      </w:r>
      <w:r>
        <w:rPr>
          <w:rFonts w:ascii="Times New Roman" w:hAnsi="Times New Roman"/>
          <w:color w:val="000000"/>
          <w:sz w:val="20"/>
        </w:rPr>
        <w:t xml:space="preserve"> </w:t>
      </w:r>
      <w:r>
        <w:rPr>
          <w:rFonts w:ascii="Times New Roman" w:hAnsi="Times New Roman"/>
          <w:color w:val="000000"/>
          <w:sz w:val="22"/>
        </w:rPr>
        <w:t xml:space="preserve">(y) (i) at all times prior to the achievement of </w:t>
      </w:r>
      <w:r>
        <w:rPr>
          <w:rFonts w:ascii="Times New Roman" w:hAnsi="Times New Roman"/>
          <w:strike/>
          <w:color w:val="FF0000"/>
          <w:sz w:val="22"/>
        </w:rPr>
        <w:t>the EP Clinical Milestone or the</w:t>
      </w:r>
      <w:r>
        <w:rPr>
          <w:rFonts w:ascii="Times New Roman" w:hAnsi="Times New Roman"/>
          <w:color w:val="FF0000"/>
          <w:sz w:val="20"/>
        </w:rPr>
        <w:t xml:space="preserve"> </w:t>
      </w:r>
      <w:r>
        <w:rPr>
          <w:rFonts w:ascii="Times New Roman" w:hAnsi="Times New Roman"/>
          <w:color w:val="000000"/>
          <w:sz w:val="22"/>
        </w:rPr>
        <w:t xml:space="preserve">Approval </w:t>
      </w:r>
      <w:r>
        <w:rPr>
          <w:rFonts w:ascii="Times New Roman" w:hAnsi="Times New Roman"/>
          <w:strike/>
          <w:color w:val="FF0000"/>
          <w:sz w:val="22"/>
        </w:rPr>
        <w:t>Milestone, 40%, (ii) upon the achievement of the EP Clinical</w:t>
      </w:r>
      <w:r>
        <w:rPr>
          <w:rFonts w:ascii="Times New Roman" w:hAnsi="Times New Roman"/>
          <w:color w:val="FF0000"/>
          <w:sz w:val="20"/>
        </w:rPr>
        <w:t xml:space="preserve"> </w:t>
      </w:r>
      <w:r>
        <w:rPr>
          <w:rFonts w:ascii="Times New Roman" w:hAnsi="Times New Roman"/>
          <w:color w:val="000000"/>
          <w:sz w:val="22"/>
        </w:rPr>
        <w:t>Milestone, 30%</w:t>
      </w:r>
      <w:r>
        <w:rPr>
          <w:rFonts w:ascii="Times New Roman" w:hAnsi="Times New Roman"/>
          <w:color w:val="0000FF"/>
          <w:sz w:val="22"/>
          <w:u w:val="single"/>
        </w:rPr>
        <w:t>,</w:t>
      </w:r>
      <w:r>
        <w:rPr>
          <w:rFonts w:ascii="Times New Roman" w:hAnsi="Times New Roman"/>
          <w:color w:val="0000FF"/>
          <w:sz w:val="20"/>
        </w:rPr>
        <w:t xml:space="preserve"> </w:t>
      </w:r>
      <w:r>
        <w:rPr>
          <w:rFonts w:ascii="Times New Roman" w:hAnsi="Times New Roman"/>
          <w:color w:val="000000"/>
          <w:sz w:val="22"/>
        </w:rPr>
        <w:t>and (</w:t>
      </w:r>
      <w:r>
        <w:rPr>
          <w:rFonts w:ascii="Times New Roman" w:hAnsi="Times New Roman"/>
          <w:strike/>
          <w:color w:val="FF0000"/>
          <w:sz w:val="22"/>
        </w:rPr>
        <w:t>iii</w:t>
      </w:r>
      <w:r>
        <w:rPr>
          <w:rFonts w:ascii="Times New Roman" w:hAnsi="Times New Roman"/>
          <w:color w:val="0000FF"/>
          <w:sz w:val="22"/>
          <w:u w:val="single"/>
        </w:rPr>
        <w:t>ii</w:t>
      </w:r>
      <w:r>
        <w:rPr>
          <w:rFonts w:ascii="Times New Roman" w:hAnsi="Times New Roman"/>
          <w:color w:val="000000"/>
          <w:sz w:val="22"/>
        </w:rPr>
        <w:t xml:space="preserve">) upon the achievement of the Approval Milestone, 25%; provided, further, that the outstanding Term Loan Advances shall include, for the avoidance of doubt, any principal that has been added to the principal balance of such Term Loan Advances pursuant to </w:t>
      </w:r>
      <w:r>
        <w:rPr>
          <w:rFonts w:ascii="Times New Roman" w:hAnsi="Times New Roman"/>
          <w:color w:val="000000"/>
          <w:sz w:val="22"/>
          <w:u w:val="single"/>
        </w:rPr>
        <w:t>Section 2.2(</w:t>
      </w:r>
      <w:r>
        <w:rPr>
          <w:rFonts w:ascii="Times New Roman" w:hAnsi="Times New Roman"/>
          <w:strike/>
          <w:color w:val="FF0000"/>
          <w:sz w:val="22"/>
          <w:u w:val="single"/>
        </w:rPr>
        <w:t>h</w:t>
      </w:r>
      <w:r>
        <w:rPr>
          <w:rFonts w:ascii="Times New Roman" w:hAnsi="Times New Roman"/>
          <w:color w:val="0000FF"/>
          <w:sz w:val="22"/>
          <w:u w:val="single"/>
        </w:rPr>
        <w:t>i</w:t>
      </w:r>
      <w:r>
        <w:rPr>
          <w:rFonts w:ascii="Times New Roman" w:hAnsi="Times New Roman"/>
          <w:color w:val="000000"/>
          <w:sz w:val="22"/>
          <w:u w:val="single"/>
        </w:rPr>
        <w:t>)(ii)</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(ii)</w:t>
      </w:r>
      <w:r>
        <w:rPr>
          <w:rFonts w:ascii="Times New Roman" w:hAnsi="Times New Roman"/>
          <w:color w:val="000000"/>
          <w:sz w:val="20"/>
        </w:rPr>
        <w:t xml:space="preserve"> </w:t>
      </w:r>
      <w:r>
        <w:rPr>
          <w:rFonts w:ascii="Times New Roman" w:hAnsi="Times New Roman"/>
          <w:color w:val="000000"/>
          <w:sz w:val="22"/>
        </w:rPr>
        <w:t>If Borrower makes a redemption or any other cash payment in respect of Permitted Convertible Debt, subject to satisfaction of the Redemption Conditions, Borrower shall, at all times thereafter, maintain Qualified Cash in the amount required by the defined term “Redemption Conditions”.</w:t>
      </w:r>
    </w:p>
    <w:p>
      <w:pPr>
        <w:pStyle w:val="TextBody"/>
        <w:bidi w:val="0"/>
        <w:spacing w:before="0" w:after="240"/>
        <w:jc w:val="both"/>
        <w:rPr>
          <w:rFonts w:ascii="Times New Roman" w:hAnsi="Times New Roman"/>
          <w:sz w:val="20"/>
        </w:rPr>
      </w:pPr>
      <w:r>
        <w:rPr>
          <w:rFonts w:ascii="Times New Roman" w:hAnsi="Times New Roman"/>
          <w:color w:val="000000"/>
          <w:sz w:val="22"/>
        </w:rPr>
        <w:t>(iii)</w:t>
      </w:r>
      <w:r>
        <w:rPr>
          <w:rFonts w:ascii="Times New Roman" w:hAnsi="Times New Roman"/>
          <w:color w:val="000000"/>
          <w:sz w:val="20"/>
        </w:rPr>
        <w:t xml:space="preserve"> </w:t>
      </w:r>
      <w:r>
        <w:rPr>
          <w:rFonts w:ascii="Times New Roman" w:hAnsi="Times New Roman"/>
          <w:color w:val="000000"/>
          <w:sz w:val="22"/>
        </w:rPr>
        <w:t xml:space="preserve">Compliance with the minimum cash covenant set forth in </w:t>
      </w:r>
      <w:r>
        <w:rPr>
          <w:rFonts w:ascii="Times New Roman" w:hAnsi="Times New Roman"/>
          <w:color w:val="000000"/>
          <w:sz w:val="22"/>
          <w:u w:val="single"/>
        </w:rPr>
        <w:t>Section 7.22(a)(i)</w:t>
      </w:r>
      <w:r>
        <w:rPr>
          <w:rFonts w:ascii="Times New Roman" w:hAnsi="Times New Roman"/>
          <w:color w:val="000000"/>
          <w:sz w:val="20"/>
        </w:rPr>
        <w:t xml:space="preserve"> </w:t>
      </w:r>
      <w:r>
        <w:rPr>
          <w:rFonts w:ascii="Times New Roman" w:hAnsi="Times New Roman"/>
          <w:color w:val="000000"/>
          <w:sz w:val="22"/>
        </w:rPr>
        <w:t xml:space="preserve">shall be waived during such times that Borrower’s Market Capitalization is greater than or equal to One Billion Dollars ($1,000,000,000); it being understood that at any time following the Initial Test Date when Borrower’s Market Capitalization is less than One Billion Dollars ($1,000,000,000), the requirements of </w:t>
      </w:r>
      <w:r>
        <w:rPr>
          <w:rFonts w:ascii="Times New Roman" w:hAnsi="Times New Roman"/>
          <w:color w:val="000000"/>
          <w:sz w:val="22"/>
          <w:u w:val="single"/>
        </w:rPr>
        <w:t>Section 7.22(a)(i)</w:t>
      </w:r>
      <w:r>
        <w:rPr>
          <w:rFonts w:ascii="Times New Roman" w:hAnsi="Times New Roman"/>
          <w:color w:val="000000"/>
          <w:sz w:val="20"/>
        </w:rPr>
        <w:t xml:space="preserve"> </w:t>
      </w:r>
      <w:r>
        <w:rPr>
          <w:rFonts w:ascii="Times New Roman" w:hAnsi="Times New Roman"/>
          <w:color w:val="000000"/>
          <w:sz w:val="22"/>
        </w:rPr>
        <w:t>shall apply without reinstatement thereof requiring any action or notice by or to any Person.</w:t>
      </w:r>
    </w:p>
    <w:p>
      <w:pPr>
        <w:pStyle w:val="TextBody"/>
        <w:bidi w:val="0"/>
        <w:spacing w:before="0" w:after="240"/>
        <w:jc w:val="both"/>
        <w:rPr>
          <w:rFonts w:ascii="Times New Roman" w:hAnsi="Times New Roman"/>
          <w:sz w:val="20"/>
        </w:rPr>
      </w:pPr>
      <w:r>
        <w:rPr>
          <w:rFonts w:ascii="Times New Roman" w:hAnsi="Times New Roman"/>
          <w:color w:val="000000"/>
          <w:sz w:val="22"/>
        </w:rPr>
        <w:t>7.23</w:t>
      </w:r>
      <w:r>
        <w:rPr>
          <w:rFonts w:ascii="Times New Roman" w:hAnsi="Times New Roman"/>
          <w:color w:val="000000"/>
          <w:sz w:val="20"/>
        </w:rPr>
        <w:t xml:space="preserve"> </w:t>
      </w:r>
      <w:r>
        <w:rPr>
          <w:rFonts w:ascii="Times New Roman" w:hAnsi="Times New Roman"/>
          <w:color w:val="000000"/>
          <w:sz w:val="22"/>
        </w:rPr>
        <w:t>[Reserved]</w:t>
      </w:r>
    </w:p>
    <w:p>
      <w:pPr>
        <w:pStyle w:val="TextBody"/>
        <w:bidi w:val="0"/>
        <w:spacing w:before="0" w:after="240"/>
        <w:jc w:val="both"/>
        <w:rPr>
          <w:rFonts w:ascii="Times New Roman" w:hAnsi="Times New Roman"/>
          <w:sz w:val="20"/>
        </w:rPr>
      </w:pPr>
      <w:r>
        <w:rPr>
          <w:rFonts w:ascii="Times New Roman" w:hAnsi="Times New Roman"/>
          <w:color w:val="000000"/>
          <w:sz w:val="22"/>
        </w:rPr>
        <w:t>7.24</w:t>
      </w:r>
      <w:r>
        <w:rPr>
          <w:rFonts w:ascii="Times New Roman" w:hAnsi="Times New Roman"/>
          <w:color w:val="000000"/>
          <w:sz w:val="20"/>
        </w:rPr>
        <w:t xml:space="preserve"> </w:t>
      </w:r>
      <w:r>
        <w:rPr>
          <w:rFonts w:ascii="Times New Roman" w:hAnsi="Times New Roman"/>
          <w:color w:val="000000"/>
          <w:sz w:val="22"/>
          <w:u w:val="single"/>
        </w:rPr>
        <w:t>Regulatory and Product Notices</w:t>
      </w:r>
      <w:r>
        <w:rPr>
          <w:rFonts w:ascii="Times New Roman" w:hAnsi="Times New Roman"/>
          <w:color w:val="000000"/>
          <w:sz w:val="22"/>
        </w:rPr>
        <w:t>. Borrower shall within three (3) Business Days after the receipt or occurrence thereof notify Agent of:</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any written notice from a Governmental Authority received by Borrower or its Subsidiaries alleging potential or actual violations of any Public Health Law by Borrower or its Subsidiaries;</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any written notice from a Governmental Authority that the FDA (or international equivalent) is limiting, suspending or revoking any Registration (including, but not limited to, by the issuance of a clinical hold);</w:t>
      </w:r>
    </w:p>
    <w:p>
      <w:pPr>
        <w:pStyle w:val="TextBody"/>
        <w:bidi w:val="0"/>
        <w:spacing w:before="0" w:after="240"/>
        <w:jc w:val="both"/>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any written notice from a Governmental Authority that Borrower or its Subsidiaries has become subject to any Regulatory Action;</w:t>
      </w:r>
    </w:p>
    <w:p>
      <w:pPr>
        <w:pStyle w:val="TextBody"/>
        <w:bidi w:val="0"/>
        <w:spacing w:before="0" w:after="240"/>
        <w:jc w:val="both"/>
        <w:rPr>
          <w:rFonts w:ascii="Times New Roman" w:hAnsi="Times New Roman"/>
          <w:sz w:val="20"/>
        </w:rPr>
      </w:pPr>
      <w:r>
        <w:rPr>
          <w:rFonts w:ascii="Times New Roman" w:hAnsi="Times New Roman"/>
          <w:color w:val="000000"/>
          <w:sz w:val="22"/>
        </w:rPr>
        <w:t>(d)</w:t>
      </w:r>
      <w:r>
        <w:rPr>
          <w:rFonts w:ascii="Times New Roman" w:hAnsi="Times New Roman"/>
          <w:color w:val="000000"/>
          <w:sz w:val="20"/>
        </w:rPr>
        <w:t xml:space="preserve"> </w:t>
      </w:r>
      <w:r>
        <w:rPr>
          <w:rFonts w:ascii="Times New Roman" w:hAnsi="Times New Roman"/>
          <w:color w:val="000000"/>
          <w:sz w:val="22"/>
        </w:rPr>
        <w:t>the exclusion or debarment from any governmental healthcare program or debarment or disqualification by FDA (or international equivalent) of Borrower or its Subsidiaries or its or their authorized officers;</w:t>
      </w:r>
    </w:p>
    <w:p>
      <w:pPr>
        <w:pStyle w:val="TextBody"/>
        <w:bidi w:val="0"/>
        <w:spacing w:before="0" w:after="240"/>
        <w:jc w:val="both"/>
        <w:rPr>
          <w:rFonts w:ascii="Times New Roman" w:hAnsi="Times New Roman"/>
          <w:sz w:val="20"/>
        </w:rPr>
      </w:pPr>
      <w:r>
        <w:rPr>
          <w:rFonts w:ascii="Times New Roman" w:hAnsi="Times New Roman"/>
          <w:color w:val="000000"/>
          <w:sz w:val="22"/>
        </w:rPr>
        <w:t>(e)</w:t>
      </w:r>
      <w:r>
        <w:rPr>
          <w:rFonts w:ascii="Times New Roman" w:hAnsi="Times New Roman"/>
          <w:color w:val="000000"/>
          <w:sz w:val="20"/>
        </w:rPr>
        <w:t xml:space="preserve"> </w:t>
      </w:r>
      <w:r>
        <w:rPr>
          <w:rFonts w:ascii="Times New Roman" w:hAnsi="Times New Roman"/>
          <w:color w:val="000000"/>
          <w:sz w:val="22"/>
        </w:rPr>
        <w:t>any notice from a Governmental Authority that Borrower or any Subsidiary, or any of their licensees or sublicensees (including licensees or sublicensees under any Material Agreement), is being investigated or is the subject of any allegation of potential or actual violations of any Federal Health Care Program Laws;</w:t>
      </w:r>
    </w:p>
    <w:p>
      <w:pPr>
        <w:pStyle w:val="TextBody"/>
        <w:bidi w:val="0"/>
        <w:spacing w:before="0" w:after="240"/>
        <w:jc w:val="both"/>
        <w:rPr>
          <w:rFonts w:ascii="Times New Roman" w:hAnsi="Times New Roman"/>
          <w:sz w:val="20"/>
        </w:rPr>
      </w:pPr>
      <w:r>
        <w:rPr>
          <w:rFonts w:ascii="Times New Roman" w:hAnsi="Times New Roman"/>
          <w:color w:val="000000"/>
          <w:sz w:val="22"/>
        </w:rPr>
        <w:t>(f)</w:t>
      </w:r>
      <w:r>
        <w:rPr>
          <w:rFonts w:ascii="Times New Roman" w:hAnsi="Times New Roman"/>
          <w:color w:val="000000"/>
          <w:sz w:val="20"/>
        </w:rPr>
        <w:t xml:space="preserve"> </w:t>
      </w:r>
      <w:r>
        <w:rPr>
          <w:rFonts w:ascii="Times New Roman" w:hAnsi="Times New Roman"/>
          <w:color w:val="000000"/>
          <w:sz w:val="22"/>
        </w:rPr>
        <w:t>any written notice from a Governmental Authority that any product of Borrower or its Subsidiaries has been seized, withdrawn, recalled, detained, or subject to a suspension of manufacturing, or the commencement of any proceedings in the United States of America or any other jurisdiction seeking the seizure, withdrawal, recall, import detention, or suspension of manufacturing, of any Product are pending or threatened in writing against Borrower or its Subsidiaries; or</w:t>
      </w:r>
    </w:p>
    <w:p>
      <w:pPr>
        <w:pStyle w:val="TextBody"/>
        <w:bidi w:val="0"/>
        <w:spacing w:before="0" w:after="240"/>
        <w:jc w:val="both"/>
        <w:rPr>
          <w:rFonts w:ascii="Times New Roman" w:hAnsi="Times New Roman"/>
          <w:sz w:val="20"/>
        </w:rPr>
      </w:pPr>
      <w:r>
        <w:rPr>
          <w:rFonts w:ascii="Times New Roman" w:hAnsi="Times New Roman"/>
          <w:color w:val="000000"/>
          <w:sz w:val="22"/>
        </w:rPr>
        <w:t>(g)</w:t>
      </w:r>
      <w:r>
        <w:rPr>
          <w:rFonts w:ascii="Times New Roman" w:hAnsi="Times New Roman"/>
          <w:color w:val="000000"/>
          <w:sz w:val="20"/>
        </w:rPr>
        <w:t xml:space="preserve"> </w:t>
      </w:r>
      <w:r>
        <w:rPr>
          <w:rFonts w:ascii="Times New Roman" w:hAnsi="Times New Roman"/>
          <w:color w:val="000000"/>
          <w:sz w:val="22"/>
        </w:rPr>
        <w:t>narrowing or limiting the scope of marketing authorization or the labeling of the Products of Borrower and its Subsidiaries under any such Registration. except, in each case of (a) through (g) above, where such action would not reasonably be expected to have, either individually or in the aggregate, Material Regulatory Liabilities.</w:t>
      </w:r>
    </w:p>
    <w:p>
      <w:pPr>
        <w:pStyle w:val="TextBody"/>
        <w:bidi w:val="0"/>
        <w:spacing w:before="0" w:after="240"/>
        <w:jc w:val="center"/>
        <w:rPr>
          <w:rFonts w:ascii="Times New Roman" w:hAnsi="Times New Roman"/>
          <w:sz w:val="20"/>
        </w:rPr>
      </w:pPr>
      <w:r>
        <w:rPr>
          <w:rFonts w:ascii="Times New Roman" w:hAnsi="Times New Roman"/>
          <w:b/>
          <w:color w:val="000000"/>
          <w:sz w:val="22"/>
        </w:rPr>
        <w:t>SECTION 8</w:t>
      </w:r>
      <w:r>
        <w:rPr>
          <w:rFonts w:ascii="Times New Roman" w:hAnsi="Times New Roman"/>
          <w:color w:val="000000"/>
          <w:sz w:val="20"/>
        </w:rPr>
        <w:t xml:space="preserve"> </w:t>
      </w:r>
      <w:r>
        <w:rPr>
          <w:rFonts w:ascii="Times New Roman" w:hAnsi="Times New Roman"/>
          <w:b/>
          <w:color w:val="000000"/>
          <w:sz w:val="22"/>
          <w:u w:val="single"/>
        </w:rPr>
        <w:t>[RESERVED]</w:t>
      </w:r>
    </w:p>
    <w:p>
      <w:pPr>
        <w:pStyle w:val="TextBody"/>
        <w:bidi w:val="0"/>
        <w:spacing w:before="0" w:after="240"/>
        <w:jc w:val="center"/>
        <w:rPr>
          <w:rFonts w:ascii="Times New Roman" w:hAnsi="Times New Roman"/>
          <w:sz w:val="20"/>
        </w:rPr>
      </w:pPr>
      <w:r>
        <w:rPr>
          <w:rFonts w:ascii="Times New Roman" w:hAnsi="Times New Roman"/>
          <w:b/>
          <w:color w:val="000000"/>
          <w:sz w:val="22"/>
        </w:rPr>
        <w:t>SECTION 9</w:t>
      </w:r>
      <w:r>
        <w:rPr>
          <w:rFonts w:ascii="Times New Roman" w:hAnsi="Times New Roman"/>
          <w:color w:val="000000"/>
          <w:sz w:val="20"/>
        </w:rPr>
        <w:t xml:space="preserve"> </w:t>
      </w:r>
      <w:r>
        <w:rPr>
          <w:rFonts w:ascii="Times New Roman" w:hAnsi="Times New Roman"/>
          <w:b/>
          <w:color w:val="000000"/>
          <w:sz w:val="22"/>
          <w:u w:val="single"/>
        </w:rPr>
        <w:t>EVENTS OF DEFAULT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occurrence of any one or more of the following events shall be an Event of Default:</w:t>
      </w:r>
    </w:p>
    <w:p>
      <w:pPr>
        <w:pStyle w:val="TextBody"/>
        <w:bidi w:val="0"/>
        <w:spacing w:before="0" w:after="240"/>
        <w:jc w:val="both"/>
        <w:rPr>
          <w:rFonts w:ascii="Times New Roman" w:hAnsi="Times New Roman"/>
          <w:sz w:val="20"/>
        </w:rPr>
      </w:pPr>
      <w:r>
        <w:rPr>
          <w:rFonts w:ascii="Times New Roman" w:hAnsi="Times New Roman"/>
          <w:color w:val="000000"/>
          <w:sz w:val="22"/>
        </w:rPr>
        <w:t>9.1</w:t>
      </w:r>
      <w:r>
        <w:rPr>
          <w:rFonts w:ascii="Times New Roman" w:hAnsi="Times New Roman"/>
          <w:color w:val="000000"/>
          <w:sz w:val="20"/>
        </w:rPr>
        <w:t xml:space="preserve"> </w:t>
      </w:r>
      <w:r>
        <w:rPr>
          <w:rFonts w:ascii="Times New Roman" w:hAnsi="Times New Roman"/>
          <w:color w:val="000000"/>
          <w:sz w:val="22"/>
          <w:u w:val="single"/>
        </w:rPr>
        <w:t>Payments</w:t>
      </w:r>
      <w:r>
        <w:rPr>
          <w:rFonts w:ascii="Times New Roman" w:hAnsi="Times New Roman"/>
          <w:color w:val="000000"/>
          <w:sz w:val="22"/>
        </w:rPr>
        <w:t>. Borrower fails to pay any amount due under this Agreement or any of the other Loan Documents on the due date; provided, however, that an Event of Default shall not occur on account of a failure to pay due solely to an administrative or operational error of Agent or the Lenders or Borrower’s bank if Borrower had the funds to make the payment when due and makes the payment within three (3) Business Days following Borrower’s knowledge of such failure to pay; or</w:t>
      </w:r>
    </w:p>
    <w:p>
      <w:pPr>
        <w:pStyle w:val="TextBody"/>
        <w:bidi w:val="0"/>
        <w:spacing w:before="0" w:after="240"/>
        <w:jc w:val="both"/>
        <w:rPr>
          <w:rFonts w:ascii="Times New Roman" w:hAnsi="Times New Roman"/>
          <w:sz w:val="20"/>
        </w:rPr>
      </w:pPr>
      <w:r>
        <w:rPr>
          <w:rFonts w:ascii="Times New Roman" w:hAnsi="Times New Roman"/>
          <w:color w:val="000000"/>
          <w:sz w:val="22"/>
        </w:rPr>
        <w:t>9.2</w:t>
      </w:r>
      <w:r>
        <w:rPr>
          <w:rFonts w:ascii="Times New Roman" w:hAnsi="Times New Roman"/>
          <w:color w:val="000000"/>
          <w:sz w:val="20"/>
        </w:rPr>
        <w:t xml:space="preserve"> </w:t>
      </w:r>
      <w:r>
        <w:rPr>
          <w:rFonts w:ascii="Times New Roman" w:hAnsi="Times New Roman"/>
          <w:color w:val="000000"/>
          <w:sz w:val="22"/>
          <w:u w:val="single"/>
        </w:rPr>
        <w:t>Covenants</w:t>
      </w:r>
      <w:r>
        <w:rPr>
          <w:rFonts w:ascii="Times New Roman" w:hAnsi="Times New Roman"/>
          <w:color w:val="000000"/>
          <w:sz w:val="22"/>
        </w:rPr>
        <w:t xml:space="preserve">. Borrower breaches or defaults in the performance of any covenant or Secured Obligation under this Agreement, or any of the other Loan Documents or any other agreement among Borrower, Agent and the Lenders, and (a) with respect to a default under any covenant under this Agreement (other than under </w:t>
      </w:r>
      <w:r>
        <w:rPr>
          <w:rFonts w:ascii="Times New Roman" w:hAnsi="Times New Roman"/>
          <w:color w:val="000000"/>
          <w:sz w:val="22"/>
          <w:u w:val="single"/>
        </w:rPr>
        <w:t>Sections 6</w:t>
      </w:r>
      <w:r>
        <w:rPr>
          <w:rFonts w:ascii="Times New Roman" w:hAnsi="Times New Roman"/>
          <w:color w:val="000000"/>
          <w:sz w:val="22"/>
        </w:rPr>
        <w:t xml:space="preserve">, </w:t>
      </w:r>
      <w:r>
        <w:rPr>
          <w:rFonts w:ascii="Times New Roman" w:hAnsi="Times New Roman"/>
          <w:color w:val="000000"/>
          <w:sz w:val="22"/>
          <w:u w:val="single"/>
        </w:rPr>
        <w:t>7.4</w:t>
      </w:r>
      <w:r>
        <w:rPr>
          <w:rFonts w:ascii="Times New Roman" w:hAnsi="Times New Roman"/>
          <w:color w:val="000000"/>
          <w:sz w:val="22"/>
        </w:rPr>
        <w:t xml:space="preserve">, </w:t>
      </w:r>
      <w:r>
        <w:rPr>
          <w:rFonts w:ascii="Times New Roman" w:hAnsi="Times New Roman"/>
          <w:color w:val="000000"/>
          <w:sz w:val="22"/>
          <w:u w:val="single"/>
        </w:rPr>
        <w:t>7.5</w:t>
      </w:r>
      <w:r>
        <w:rPr>
          <w:rFonts w:ascii="Times New Roman" w:hAnsi="Times New Roman"/>
          <w:color w:val="000000"/>
          <w:sz w:val="22"/>
        </w:rPr>
        <w:t xml:space="preserve">, </w:t>
      </w:r>
      <w:r>
        <w:rPr>
          <w:rFonts w:ascii="Times New Roman" w:hAnsi="Times New Roman"/>
          <w:color w:val="000000"/>
          <w:sz w:val="22"/>
          <w:u w:val="single"/>
        </w:rPr>
        <w:t>7.6</w:t>
      </w:r>
      <w:r>
        <w:rPr>
          <w:rFonts w:ascii="Times New Roman" w:hAnsi="Times New Roman"/>
          <w:color w:val="000000"/>
          <w:sz w:val="22"/>
        </w:rPr>
        <w:t xml:space="preserve">, </w:t>
      </w:r>
      <w:r>
        <w:rPr>
          <w:rFonts w:ascii="Times New Roman" w:hAnsi="Times New Roman"/>
          <w:color w:val="000000"/>
          <w:sz w:val="22"/>
          <w:u w:val="single"/>
        </w:rPr>
        <w:t>7.7</w:t>
      </w:r>
      <w:r>
        <w:rPr>
          <w:rFonts w:ascii="Times New Roman" w:hAnsi="Times New Roman"/>
          <w:color w:val="000000"/>
          <w:sz w:val="22"/>
        </w:rPr>
        <w:t xml:space="preserve">, </w:t>
      </w:r>
      <w:r>
        <w:rPr>
          <w:rFonts w:ascii="Times New Roman" w:hAnsi="Times New Roman"/>
          <w:color w:val="000000"/>
          <w:sz w:val="22"/>
          <w:u w:val="single"/>
        </w:rPr>
        <w:t>7.8</w:t>
      </w:r>
      <w:r>
        <w:rPr>
          <w:rFonts w:ascii="Times New Roman" w:hAnsi="Times New Roman"/>
          <w:color w:val="000000"/>
          <w:sz w:val="22"/>
        </w:rPr>
        <w:t xml:space="preserve">, </w:t>
      </w:r>
      <w:r>
        <w:rPr>
          <w:rFonts w:ascii="Times New Roman" w:hAnsi="Times New Roman"/>
          <w:color w:val="000000"/>
          <w:sz w:val="22"/>
          <w:u w:val="single"/>
        </w:rPr>
        <w:t>7.9</w:t>
      </w:r>
      <w:r>
        <w:rPr>
          <w:rFonts w:ascii="Times New Roman" w:hAnsi="Times New Roman"/>
          <w:color w:val="000000"/>
          <w:sz w:val="22"/>
        </w:rPr>
        <w:t xml:space="preserve">, </w:t>
      </w:r>
      <w:r>
        <w:rPr>
          <w:rFonts w:ascii="Times New Roman" w:hAnsi="Times New Roman"/>
          <w:color w:val="000000"/>
          <w:sz w:val="22"/>
          <w:u w:val="single"/>
        </w:rPr>
        <w:t>7.12</w:t>
      </w:r>
      <w:r>
        <w:rPr>
          <w:rFonts w:ascii="Times New Roman" w:hAnsi="Times New Roman"/>
          <w:color w:val="000000"/>
          <w:sz w:val="22"/>
        </w:rPr>
        <w:t xml:space="preserve">, </w:t>
      </w:r>
      <w:r>
        <w:rPr>
          <w:rFonts w:ascii="Times New Roman" w:hAnsi="Times New Roman"/>
          <w:color w:val="000000"/>
          <w:sz w:val="22"/>
          <w:u w:val="single"/>
        </w:rPr>
        <w:t>7.14</w:t>
      </w:r>
      <w:r>
        <w:rPr>
          <w:rFonts w:ascii="Times New Roman" w:hAnsi="Times New Roman"/>
          <w:color w:val="000000"/>
          <w:sz w:val="22"/>
        </w:rPr>
        <w:t xml:space="preserve">, </w:t>
      </w:r>
      <w:r>
        <w:rPr>
          <w:rFonts w:ascii="Times New Roman" w:hAnsi="Times New Roman"/>
          <w:color w:val="000000"/>
          <w:sz w:val="22"/>
          <w:u w:val="single"/>
        </w:rPr>
        <w:t>7.15, 7.16</w:t>
      </w:r>
      <w:r>
        <w:rPr>
          <w:rFonts w:ascii="Times New Roman" w:hAnsi="Times New Roman"/>
          <w:color w:val="000000"/>
          <w:sz w:val="22"/>
        </w:rPr>
        <w:t xml:space="preserve">, </w:t>
      </w:r>
      <w:r>
        <w:rPr>
          <w:rFonts w:ascii="Times New Roman" w:hAnsi="Times New Roman"/>
          <w:color w:val="000000"/>
          <w:sz w:val="22"/>
          <w:u w:val="single"/>
        </w:rPr>
        <w:t>7.17</w:t>
      </w:r>
      <w:r>
        <w:rPr>
          <w:rFonts w:ascii="Times New Roman" w:hAnsi="Times New Roman"/>
          <w:color w:val="000000"/>
          <w:sz w:val="22"/>
        </w:rPr>
        <w:t xml:space="preserve">, </w:t>
      </w:r>
      <w:r>
        <w:rPr>
          <w:rFonts w:ascii="Times New Roman" w:hAnsi="Times New Roman"/>
          <w:color w:val="000000"/>
          <w:sz w:val="22"/>
          <w:u w:val="single"/>
        </w:rPr>
        <w:t>7.18</w:t>
      </w:r>
      <w:r>
        <w:rPr>
          <w:rFonts w:ascii="Times New Roman" w:hAnsi="Times New Roman"/>
          <w:color w:val="000000"/>
          <w:sz w:val="22"/>
        </w:rPr>
        <w:t xml:space="preserve">, </w:t>
      </w:r>
      <w:r>
        <w:rPr>
          <w:rFonts w:ascii="Times New Roman" w:hAnsi="Times New Roman"/>
          <w:color w:val="000000"/>
          <w:sz w:val="22"/>
          <w:u w:val="single"/>
        </w:rPr>
        <w:t>7.19</w:t>
      </w:r>
      <w:r>
        <w:rPr>
          <w:rFonts w:ascii="Times New Roman" w:hAnsi="Times New Roman"/>
          <w:color w:val="000000"/>
          <w:sz w:val="22"/>
        </w:rPr>
        <w:t xml:space="preserve">, </w:t>
      </w:r>
      <w:r>
        <w:rPr>
          <w:rFonts w:ascii="Times New Roman" w:hAnsi="Times New Roman"/>
          <w:color w:val="000000"/>
          <w:sz w:val="22"/>
          <w:u w:val="single"/>
        </w:rPr>
        <w:t>7.21</w:t>
      </w:r>
      <w:r>
        <w:rPr>
          <w:rFonts w:ascii="Times New Roman" w:hAnsi="Times New Roman"/>
          <w:color w:val="000000"/>
          <w:sz w:val="22"/>
        </w:rPr>
        <w:t xml:space="preserve">, </w:t>
      </w:r>
      <w:r>
        <w:rPr>
          <w:rFonts w:ascii="Times New Roman" w:hAnsi="Times New Roman"/>
          <w:color w:val="000000"/>
          <w:sz w:val="22"/>
          <w:u w:val="single"/>
        </w:rPr>
        <w:t>7.22</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7.24</w:t>
      </w:r>
      <w:r>
        <w:rPr>
          <w:rFonts w:ascii="Times New Roman" w:hAnsi="Times New Roman"/>
          <w:color w:val="000000"/>
          <w:sz w:val="22"/>
        </w:rPr>
        <w:t xml:space="preserve">), any other Loan Document, or any other agreement among Borrower, Agent and the Lenders, such default continues for more than twenty (20) days after the earlier of the date on which (i) Agent or the Lenders has given notice of such default to Borrower or (ii) Borrower has actual knowledge of such default or (b) with respect to a default under any of </w:t>
      </w:r>
      <w:r>
        <w:rPr>
          <w:rFonts w:ascii="Times New Roman" w:hAnsi="Times New Roman"/>
          <w:color w:val="000000"/>
          <w:sz w:val="22"/>
          <w:u w:val="single"/>
        </w:rPr>
        <w:t>Sections 6</w:t>
      </w:r>
      <w:r>
        <w:rPr>
          <w:rFonts w:ascii="Times New Roman" w:hAnsi="Times New Roman"/>
          <w:color w:val="000000"/>
          <w:sz w:val="22"/>
        </w:rPr>
        <w:t xml:space="preserve">, </w:t>
      </w:r>
      <w:r>
        <w:rPr>
          <w:rFonts w:ascii="Times New Roman" w:hAnsi="Times New Roman"/>
          <w:color w:val="000000"/>
          <w:sz w:val="22"/>
          <w:u w:val="single"/>
        </w:rPr>
        <w:t>7.4</w:t>
      </w:r>
      <w:r>
        <w:rPr>
          <w:rFonts w:ascii="Times New Roman" w:hAnsi="Times New Roman"/>
          <w:color w:val="000000"/>
          <w:sz w:val="22"/>
        </w:rPr>
        <w:t xml:space="preserve">, </w:t>
      </w:r>
      <w:r>
        <w:rPr>
          <w:rFonts w:ascii="Times New Roman" w:hAnsi="Times New Roman"/>
          <w:color w:val="000000"/>
          <w:sz w:val="22"/>
          <w:u w:val="single"/>
        </w:rPr>
        <w:t>7.5</w:t>
      </w:r>
      <w:r>
        <w:rPr>
          <w:rFonts w:ascii="Times New Roman" w:hAnsi="Times New Roman"/>
          <w:color w:val="000000"/>
          <w:sz w:val="22"/>
        </w:rPr>
        <w:t xml:space="preserve">, </w:t>
      </w:r>
      <w:r>
        <w:rPr>
          <w:rFonts w:ascii="Times New Roman" w:hAnsi="Times New Roman"/>
          <w:color w:val="000000"/>
          <w:sz w:val="22"/>
          <w:u w:val="single"/>
        </w:rPr>
        <w:t>7.6</w:t>
      </w:r>
      <w:r>
        <w:rPr>
          <w:rFonts w:ascii="Times New Roman" w:hAnsi="Times New Roman"/>
          <w:color w:val="000000"/>
          <w:sz w:val="22"/>
        </w:rPr>
        <w:t xml:space="preserve">, </w:t>
      </w:r>
      <w:r>
        <w:rPr>
          <w:rFonts w:ascii="Times New Roman" w:hAnsi="Times New Roman"/>
          <w:color w:val="000000"/>
          <w:sz w:val="22"/>
          <w:u w:val="single"/>
        </w:rPr>
        <w:t>7.7</w:t>
      </w:r>
      <w:r>
        <w:rPr>
          <w:rFonts w:ascii="Times New Roman" w:hAnsi="Times New Roman"/>
          <w:color w:val="000000"/>
          <w:sz w:val="22"/>
        </w:rPr>
        <w:t xml:space="preserve">, </w:t>
      </w:r>
      <w:r>
        <w:rPr>
          <w:rFonts w:ascii="Times New Roman" w:hAnsi="Times New Roman"/>
          <w:color w:val="000000"/>
          <w:sz w:val="22"/>
          <w:u w:val="single"/>
        </w:rPr>
        <w:t>7.8</w:t>
      </w:r>
      <w:r>
        <w:rPr>
          <w:rFonts w:ascii="Times New Roman" w:hAnsi="Times New Roman"/>
          <w:color w:val="000000"/>
          <w:sz w:val="22"/>
        </w:rPr>
        <w:t xml:space="preserve">, </w:t>
      </w:r>
      <w:r>
        <w:rPr>
          <w:rFonts w:ascii="Times New Roman" w:hAnsi="Times New Roman"/>
          <w:color w:val="000000"/>
          <w:sz w:val="22"/>
          <w:u w:val="single"/>
        </w:rPr>
        <w:t>7.9</w:t>
      </w:r>
      <w:r>
        <w:rPr>
          <w:rFonts w:ascii="Times New Roman" w:hAnsi="Times New Roman"/>
          <w:color w:val="000000"/>
          <w:sz w:val="22"/>
        </w:rPr>
        <w:t xml:space="preserve">, </w:t>
      </w:r>
      <w:r>
        <w:rPr>
          <w:rFonts w:ascii="Times New Roman" w:hAnsi="Times New Roman"/>
          <w:color w:val="000000"/>
          <w:sz w:val="22"/>
          <w:u w:val="single"/>
        </w:rPr>
        <w:t>7.12</w:t>
      </w:r>
      <w:r>
        <w:rPr>
          <w:rFonts w:ascii="Times New Roman" w:hAnsi="Times New Roman"/>
          <w:color w:val="000000"/>
          <w:sz w:val="22"/>
        </w:rPr>
        <w:t xml:space="preserve">, </w:t>
      </w:r>
      <w:r>
        <w:rPr>
          <w:rFonts w:ascii="Times New Roman" w:hAnsi="Times New Roman"/>
          <w:color w:val="000000"/>
          <w:sz w:val="22"/>
          <w:u w:val="single"/>
        </w:rPr>
        <w:t>7.14</w:t>
      </w:r>
      <w:r>
        <w:rPr>
          <w:rFonts w:ascii="Times New Roman" w:hAnsi="Times New Roman"/>
          <w:color w:val="000000"/>
          <w:sz w:val="22"/>
        </w:rPr>
        <w:t xml:space="preserve">, </w:t>
      </w:r>
      <w:r>
        <w:rPr>
          <w:rFonts w:ascii="Times New Roman" w:hAnsi="Times New Roman"/>
          <w:color w:val="000000"/>
          <w:sz w:val="22"/>
          <w:u w:val="single"/>
        </w:rPr>
        <w:t>7.15</w:t>
      </w:r>
      <w:r>
        <w:rPr>
          <w:rFonts w:ascii="Times New Roman" w:hAnsi="Times New Roman"/>
          <w:color w:val="000000"/>
          <w:sz w:val="22"/>
        </w:rPr>
        <w:t xml:space="preserve">, </w:t>
      </w:r>
      <w:r>
        <w:rPr>
          <w:rFonts w:ascii="Times New Roman" w:hAnsi="Times New Roman"/>
          <w:color w:val="000000"/>
          <w:sz w:val="22"/>
          <w:u w:val="single"/>
        </w:rPr>
        <w:t>7.16</w:t>
      </w:r>
      <w:r>
        <w:rPr>
          <w:rFonts w:ascii="Times New Roman" w:hAnsi="Times New Roman"/>
          <w:color w:val="000000"/>
          <w:sz w:val="22"/>
        </w:rPr>
        <w:t xml:space="preserve">, </w:t>
      </w:r>
      <w:r>
        <w:rPr>
          <w:rFonts w:ascii="Times New Roman" w:hAnsi="Times New Roman"/>
          <w:color w:val="000000"/>
          <w:sz w:val="22"/>
          <w:u w:val="single"/>
        </w:rPr>
        <w:t>7.17</w:t>
      </w:r>
      <w:r>
        <w:rPr>
          <w:rFonts w:ascii="Times New Roman" w:hAnsi="Times New Roman"/>
          <w:color w:val="000000"/>
          <w:sz w:val="22"/>
        </w:rPr>
        <w:t xml:space="preserve">, </w:t>
      </w:r>
      <w:r>
        <w:rPr>
          <w:rFonts w:ascii="Times New Roman" w:hAnsi="Times New Roman"/>
          <w:color w:val="000000"/>
          <w:sz w:val="22"/>
          <w:u w:val="single"/>
        </w:rPr>
        <w:t>7.18</w:t>
      </w:r>
      <w:r>
        <w:rPr>
          <w:rFonts w:ascii="Times New Roman" w:hAnsi="Times New Roman"/>
          <w:color w:val="000000"/>
          <w:sz w:val="22"/>
        </w:rPr>
        <w:t xml:space="preserve">, </w:t>
      </w:r>
      <w:r>
        <w:rPr>
          <w:rFonts w:ascii="Times New Roman" w:hAnsi="Times New Roman"/>
          <w:color w:val="000000"/>
          <w:sz w:val="22"/>
          <w:u w:val="single"/>
        </w:rPr>
        <w:t>7.19</w:t>
      </w:r>
      <w:r>
        <w:rPr>
          <w:rFonts w:ascii="Times New Roman" w:hAnsi="Times New Roman"/>
          <w:color w:val="000000"/>
          <w:sz w:val="22"/>
        </w:rPr>
        <w:t xml:space="preserve">, </w:t>
      </w:r>
      <w:r>
        <w:rPr>
          <w:rFonts w:ascii="Times New Roman" w:hAnsi="Times New Roman"/>
          <w:color w:val="000000"/>
          <w:sz w:val="22"/>
          <w:u w:val="single"/>
        </w:rPr>
        <w:t>7.21</w:t>
      </w:r>
      <w:r>
        <w:rPr>
          <w:rFonts w:ascii="Times New Roman" w:hAnsi="Times New Roman"/>
          <w:color w:val="000000"/>
          <w:sz w:val="22"/>
        </w:rPr>
        <w:t xml:space="preserve">, </w:t>
      </w:r>
      <w:r>
        <w:rPr>
          <w:rFonts w:ascii="Times New Roman" w:hAnsi="Times New Roman"/>
          <w:color w:val="000000"/>
          <w:sz w:val="22"/>
          <w:u w:val="single"/>
        </w:rPr>
        <w:t>7.22</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 xml:space="preserve">7.24 </w:t>
      </w:r>
      <w:r>
        <w:rPr>
          <w:rFonts w:ascii="Times New Roman" w:hAnsi="Times New Roman"/>
          <w:color w:val="000000"/>
          <w:sz w:val="22"/>
        </w:rPr>
        <w:t>the occurrence of such default; or</w:t>
      </w:r>
    </w:p>
    <w:p>
      <w:pPr>
        <w:pStyle w:val="TextBody"/>
        <w:bidi w:val="0"/>
        <w:spacing w:before="0" w:after="240"/>
        <w:jc w:val="both"/>
        <w:rPr>
          <w:rFonts w:ascii="Times New Roman" w:hAnsi="Times New Roman"/>
          <w:sz w:val="20"/>
        </w:rPr>
      </w:pPr>
      <w:r>
        <w:rPr>
          <w:rFonts w:ascii="Times New Roman" w:hAnsi="Times New Roman"/>
          <w:color w:val="000000"/>
          <w:sz w:val="22"/>
        </w:rPr>
        <w:t>9.3</w:t>
      </w:r>
      <w:r>
        <w:rPr>
          <w:rFonts w:ascii="Times New Roman" w:hAnsi="Times New Roman"/>
          <w:color w:val="000000"/>
          <w:sz w:val="20"/>
        </w:rPr>
        <w:t xml:space="preserve"> </w:t>
      </w:r>
      <w:r>
        <w:rPr>
          <w:rFonts w:ascii="Times New Roman" w:hAnsi="Times New Roman"/>
          <w:color w:val="000000"/>
          <w:sz w:val="22"/>
          <w:u w:val="single"/>
        </w:rPr>
        <w:t>Material Adverse Effect</w:t>
      </w:r>
      <w:r>
        <w:rPr>
          <w:rFonts w:ascii="Times New Roman" w:hAnsi="Times New Roman"/>
          <w:color w:val="000000"/>
          <w:sz w:val="22"/>
        </w:rPr>
        <w:t xml:space="preserve">. A circumstance has occurred that could reasonably be expected to have a Material Adverse Effect; </w:t>
      </w:r>
      <w:r>
        <w:rPr>
          <w:rFonts w:ascii="Times New Roman" w:hAnsi="Times New Roman"/>
          <w:color w:val="000000"/>
          <w:sz w:val="22"/>
          <w:u w:val="single"/>
        </w:rPr>
        <w:t>provided that</w:t>
      </w:r>
      <w:r>
        <w:rPr>
          <w:rFonts w:ascii="Times New Roman" w:hAnsi="Times New Roman"/>
          <w:color w:val="000000"/>
          <w:sz w:val="20"/>
        </w:rPr>
        <w:t xml:space="preserve"> </w:t>
      </w:r>
      <w:r>
        <w:rPr>
          <w:rFonts w:ascii="Times New Roman" w:hAnsi="Times New Roman"/>
          <w:color w:val="000000"/>
          <w:sz w:val="22"/>
        </w:rPr>
        <w:t>the occurrence of the following, individually, shall not, in</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and of itself, constitute a “Material Adverse Effect” hereunder: (i) the failure to achieve any Milestone, (ii) adverse results or delays with respect to, or the failure to achieve, any clinical or non-clinical trial goals or objectives, (iii) the denial, delay or limitation or qualification of approval of the FDA or other regulatory agency with respect to any proposed drug or other Borrower Products, or (iv) any revisions to or termination of a strategic alliance, joint venture, co-promotion, co-commercialization or co-development agreements or license arrangement maintained by Borrower so long as the same does not affect the ability of Borrower to perform or pay the Secured Obligations in accordance with the terms of the Loan Documents; or</w:t>
      </w:r>
    </w:p>
    <w:p>
      <w:pPr>
        <w:pStyle w:val="TextBody"/>
        <w:bidi w:val="0"/>
        <w:spacing w:before="0" w:after="240"/>
        <w:jc w:val="both"/>
        <w:rPr>
          <w:rFonts w:ascii="Times New Roman" w:hAnsi="Times New Roman"/>
          <w:sz w:val="20"/>
        </w:rPr>
      </w:pPr>
      <w:r>
        <w:rPr>
          <w:rFonts w:ascii="Times New Roman" w:hAnsi="Times New Roman"/>
          <w:color w:val="000000"/>
          <w:sz w:val="22"/>
        </w:rPr>
        <w:t>9.4</w:t>
      </w:r>
      <w:r>
        <w:rPr>
          <w:rFonts w:ascii="Times New Roman" w:hAnsi="Times New Roman"/>
          <w:color w:val="000000"/>
          <w:sz w:val="20"/>
        </w:rPr>
        <w:t xml:space="preserve"> </w:t>
      </w:r>
      <w:r>
        <w:rPr>
          <w:rFonts w:ascii="Times New Roman" w:hAnsi="Times New Roman"/>
          <w:color w:val="000000"/>
          <w:sz w:val="22"/>
          <w:u w:val="single"/>
        </w:rPr>
        <w:t>Representations</w:t>
      </w:r>
      <w:r>
        <w:rPr>
          <w:rFonts w:ascii="Times New Roman" w:hAnsi="Times New Roman"/>
          <w:color w:val="000000"/>
          <w:sz w:val="22"/>
        </w:rPr>
        <w:t>. Any representation or warranty made by Borrower in any Loan Document shall have been false or misleading in any material respect when made or when deemed made; or</w:t>
      </w:r>
    </w:p>
    <w:p>
      <w:pPr>
        <w:pStyle w:val="TextBody"/>
        <w:bidi w:val="0"/>
        <w:spacing w:before="0" w:after="240"/>
        <w:jc w:val="both"/>
        <w:rPr>
          <w:rFonts w:ascii="Times New Roman" w:hAnsi="Times New Roman"/>
          <w:sz w:val="20"/>
        </w:rPr>
      </w:pPr>
      <w:r>
        <w:rPr>
          <w:rFonts w:ascii="Times New Roman" w:hAnsi="Times New Roman"/>
          <w:color w:val="000000"/>
          <w:sz w:val="22"/>
        </w:rPr>
        <w:t>9.5</w:t>
      </w:r>
      <w:r>
        <w:rPr>
          <w:rFonts w:ascii="Times New Roman" w:hAnsi="Times New Roman"/>
          <w:color w:val="000000"/>
          <w:sz w:val="20"/>
        </w:rPr>
        <w:t xml:space="preserve"> </w:t>
      </w:r>
      <w:r>
        <w:rPr>
          <w:rFonts w:ascii="Times New Roman" w:hAnsi="Times New Roman"/>
          <w:color w:val="000000"/>
          <w:sz w:val="22"/>
          <w:u w:val="single"/>
        </w:rPr>
        <w:t>Insolvency</w:t>
      </w:r>
      <w:r>
        <w:rPr>
          <w:rFonts w:ascii="Times New Roman" w:hAnsi="Times New Roman"/>
          <w:color w:val="000000"/>
          <w:sz w:val="22"/>
        </w:rPr>
        <w:t>. Borrower (a) (i) shall be unable to pay its debts (including trade debts) as they become due, or be unable to pay or perform under the Loan Documents, (ii) shall fail to maintain assets with a fair saleable value that exceeds the fair value of such Borrower’s liabilities, (iii) shall maintain an unreasonably small amount of capital with which to conduct its business, or (iv) shall otherwise become insolvent; or (b) (i) shall make an assignment for the benefit of creditors; or (ii) shall file a voluntary petition in bankruptcy, or (iii) shall file any petition, answer, or document seeking for itself any reorganization, arrangement, composition, readjustment, liquidation, dissolution or similar relief under any present or future statute, law or regulation pertinent to such circumstances; or (iv) shall seek or consent to or acquiesce in the appointment of any trustee, receiver, or liquidator of Borrower or of all or any substantial part (i.e., 33-1/3% or more) of the assets or property of Borrower; or (v) shall cease operations of its business as its business has normally been conducted, or terminate substantially all of its employees; or (vi) Borrower or its directors or majority shareholders shall take any action initiating any of the foregoing actions described in clauses (i) through (v); or (c) either (i) forty five (45) days shall have expired after the commencement of an involuntary action against Borrower seeking reorganization, arrangement, composition, readjustment, liquidation, dissolution or similar relief under any present or future statute, law or regulation, without such action being dismissed or all orders or proceedings thereunder affecting the operations or the business of Borrower being stayed; or (ii) a stay of any such order or proceedings shall thereafter be set aside and the action setting it aside shall not be timely appealed; or (iii) Borrower shall file any answer admitting or not contesting the material allegations of a petition filed against Borrower in any such proceedings; or (iv) the court in which such proceedings are pending shall enter a decree or order granting the relief sought in any such proceedings; or (v) forty five (45) days shall have expired after the appointment, without the consent or acquiescence of Borrower, of any trustee, receiver or liquidator of Borrower or of all or any substantial part of the properties of Borrower without such appointment being vacated; or</w:t>
      </w:r>
    </w:p>
    <w:p>
      <w:pPr>
        <w:pStyle w:val="TextBody"/>
        <w:bidi w:val="0"/>
        <w:spacing w:before="0" w:after="240"/>
        <w:jc w:val="both"/>
        <w:rPr>
          <w:rFonts w:ascii="Times New Roman" w:hAnsi="Times New Roman"/>
          <w:sz w:val="20"/>
        </w:rPr>
      </w:pPr>
      <w:r>
        <w:rPr>
          <w:rFonts w:ascii="Times New Roman" w:hAnsi="Times New Roman"/>
          <w:color w:val="000000"/>
          <w:sz w:val="22"/>
        </w:rPr>
        <w:t>9.6</w:t>
      </w:r>
      <w:r>
        <w:rPr>
          <w:rFonts w:ascii="Times New Roman" w:hAnsi="Times New Roman"/>
          <w:color w:val="000000"/>
          <w:sz w:val="20"/>
        </w:rPr>
        <w:t xml:space="preserve"> </w:t>
      </w:r>
      <w:r>
        <w:rPr>
          <w:rFonts w:ascii="Times New Roman" w:hAnsi="Times New Roman"/>
          <w:color w:val="000000"/>
          <w:sz w:val="22"/>
          <w:u w:val="single"/>
        </w:rPr>
        <w:t>Attachments; Judgments</w:t>
      </w:r>
      <w:r>
        <w:rPr>
          <w:rFonts w:ascii="Times New Roman" w:hAnsi="Times New Roman"/>
          <w:color w:val="000000"/>
          <w:sz w:val="22"/>
        </w:rPr>
        <w:t>. Any portion of Borrower’s assets is attached or seized, or a levy is filed against any such assets, or a judgment or judgments is/are entered for the payment of money (not covered by independent third party insurance as to which liability has not been rejected by such insurance carrier), individually or in the aggregate, of at least $1,000,000, or Borrower is enjoined or in any way prevented by court order from conducting any part of its business; or</w:t>
      </w:r>
    </w:p>
    <w:p>
      <w:pPr>
        <w:pStyle w:val="TextBody"/>
        <w:bidi w:val="0"/>
        <w:spacing w:before="0" w:after="240"/>
        <w:jc w:val="both"/>
        <w:rPr>
          <w:rFonts w:ascii="Times New Roman" w:hAnsi="Times New Roman"/>
          <w:sz w:val="20"/>
        </w:rPr>
      </w:pPr>
      <w:r>
        <w:rPr>
          <w:rFonts w:ascii="Times New Roman" w:hAnsi="Times New Roman"/>
          <w:color w:val="000000"/>
          <w:sz w:val="22"/>
        </w:rPr>
        <w:t>9.7</w:t>
      </w:r>
      <w:r>
        <w:rPr>
          <w:rFonts w:ascii="Times New Roman" w:hAnsi="Times New Roman"/>
          <w:color w:val="000000"/>
          <w:sz w:val="20"/>
        </w:rPr>
        <w:t xml:space="preserve"> </w:t>
      </w:r>
      <w:r>
        <w:rPr>
          <w:rFonts w:ascii="Times New Roman" w:hAnsi="Times New Roman"/>
          <w:color w:val="000000"/>
          <w:sz w:val="22"/>
          <w:u w:val="single"/>
        </w:rPr>
        <w:t>Other Obligations</w:t>
      </w:r>
      <w:r>
        <w:rPr>
          <w:rFonts w:ascii="Times New Roman" w:hAnsi="Times New Roman"/>
          <w:color w:val="000000"/>
          <w:sz w:val="22"/>
        </w:rPr>
        <w:t>. The occurrence of any default under any agreement or obligation of Borrower involving any Indebtedness in excess of $1,000,000, the effect of which default is to cause, or to permit the holder or beneficiary of such Indebtedness (or a trustee or agent on behalf of such holder or beneficiary) to cause, with the giving of notice if required, such Indebtedness to become due prior to its stated maturity.</w:t>
      </w:r>
    </w:p>
    <w:p>
      <w:pPr>
        <w:pStyle w:val="TextBody"/>
        <w:bidi w:val="0"/>
        <w:spacing w:before="0" w:after="240"/>
        <w:jc w:val="center"/>
        <w:rPr>
          <w:rFonts w:ascii="Times New Roman" w:hAnsi="Times New Roman"/>
          <w:sz w:val="20"/>
        </w:rPr>
      </w:pPr>
      <w:r>
        <w:rPr>
          <w:rFonts w:ascii="Times New Roman" w:hAnsi="Times New Roman"/>
          <w:b/>
          <w:color w:val="000000"/>
          <w:sz w:val="22"/>
        </w:rPr>
        <w:t>SECTION 10</w:t>
      </w:r>
      <w:r>
        <w:rPr>
          <w:rFonts w:ascii="Times New Roman" w:hAnsi="Times New Roman"/>
          <w:color w:val="000000"/>
          <w:sz w:val="20"/>
        </w:rPr>
        <w:t xml:space="preserve"> </w:t>
      </w:r>
      <w:r>
        <w:rPr>
          <w:rFonts w:ascii="Times New Roman" w:hAnsi="Times New Roman"/>
          <w:b/>
          <w:color w:val="000000"/>
          <w:sz w:val="22"/>
          <w:u w:val="single"/>
        </w:rPr>
        <w:t>REMEDIES</w:t>
      </w:r>
    </w:p>
    <w:p>
      <w:pPr>
        <w:pStyle w:val="TextBody"/>
        <w:bidi w:val="0"/>
        <w:spacing w:before="0" w:after="240"/>
        <w:jc w:val="both"/>
        <w:rPr>
          <w:rFonts w:ascii="Times New Roman" w:hAnsi="Times New Roman"/>
          <w:sz w:val="20"/>
        </w:rPr>
      </w:pPr>
      <w:r>
        <w:rPr>
          <w:rFonts w:ascii="Times New Roman" w:hAnsi="Times New Roman"/>
          <w:color w:val="000000"/>
          <w:sz w:val="22"/>
        </w:rPr>
        <w:t>10.1</w:t>
      </w:r>
      <w:r>
        <w:rPr>
          <w:rFonts w:ascii="Times New Roman" w:hAnsi="Times New Roman"/>
          <w:color w:val="000000"/>
          <w:sz w:val="20"/>
        </w:rPr>
        <w:t xml:space="preserve"> </w:t>
      </w:r>
      <w:r>
        <w:rPr>
          <w:rFonts w:ascii="Times New Roman" w:hAnsi="Times New Roman"/>
          <w:color w:val="000000"/>
          <w:sz w:val="22"/>
          <w:u w:val="single"/>
        </w:rPr>
        <w:t>General</w:t>
      </w:r>
      <w:r>
        <w:rPr>
          <w:rFonts w:ascii="Times New Roman" w:hAnsi="Times New Roman"/>
          <w:color w:val="000000"/>
          <w:sz w:val="22"/>
        </w:rPr>
        <w:t>. Upon the occurrence of any one or more Events of Default that is continuing, Agent may, and at the direction of the Required Lenders shall, accelerate and demand payment of all or any</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part of the Secured Obligations together with the applicable Prepayment Charge and declare them to be immediately due and payable (provided, that upon the occurrence of an Event of Default of the type described in Section 9.5 that is continuing, all of the Secured Obligations (including, without limitation, the Prepayment Charge and the End of Term Charge) shall automatically be accelerated and made due and payable, in each case without any further notice or act). Borrower hereby irrevocably appoints Agent as its lawful attorney-in-fact to: (a) exercisable following the occurrence of an Event of Default that is continuing, (i) sign Borrower’s name on any invoice or bill of lading for any account or drafts against account debtors; (ii) demand, collect, sue, and give releases to any account debtor for monies due, settle and adjust disputes and claims about the accounts directly with account debtors, and compromise, prosecute, or defend any action, claim, case, or proceeding about any Collateral (including filing a claim or voting a claim in any bankruptcy case in Agent’s or Borrower’s name, as Agent may elect); (iii) make, settle, and adjust all claims under Borrower’s insurance policies; (iv) pay, contest or settle any Lien, charge, encumbrance, security interest, or other claim in or to the Collateral, or any judgment based thereon, or otherwise take any action to terminate or discharge the same; (v) transfer the Collateral into the name of Agent or a third party as the UCC permits; and (vi) receive, open and dispose of mail addressed to Borrower; and (b) regardless of whether an Event of Default has occurred, (i) endorse Borrower’s name on any checks, payment instruments, or other forms of payment or security; and (ii) notify all account debtors to pay Agent directly. Borrower hereby appoints Agent as its lawful attorney-in-fact to sign Borrower’s name on any documents necessary to perfect or continue the perfection of Agent’s security interest in the Collateral regardless of whether an Event of Default has occurred until all Secured Obligations have been satisfied in full and the Loan Documents have been terminated. Agent’s foregoing appointment as Borrower’s attorney in fact, and all of Agent’s rights and powers, coupled with an interest, are irrevocable until all Secured Obligations have been fully repaid and performed and the Loan Documents have been terminated. Following the occurrence of an Event of Default that is continuing, Agent may, and at the direction of the Required Lenders shall, exercise all rights and remedies with respect to the Collateral under the Loan Documents or otherwise available to it under the UCC and other applicable law, including the right to release, hold, sell, lease, liquidate, collect, realize upon, or otherwise dispose of all or any part of the Collateral and the right to occupy, utilize, process and commingle the Collateral. All Agent’s rights and remedies shall be cumulative and not exclusive.</w:t>
      </w:r>
    </w:p>
    <w:p>
      <w:pPr>
        <w:pStyle w:val="TextBody"/>
        <w:bidi w:val="0"/>
        <w:spacing w:before="0" w:after="240"/>
        <w:jc w:val="both"/>
        <w:rPr>
          <w:rFonts w:ascii="Times New Roman" w:hAnsi="Times New Roman"/>
          <w:sz w:val="20"/>
        </w:rPr>
      </w:pPr>
      <w:r>
        <w:rPr>
          <w:rFonts w:ascii="Times New Roman" w:hAnsi="Times New Roman"/>
          <w:color w:val="000000"/>
          <w:sz w:val="22"/>
        </w:rPr>
        <w:t>10.2</w:t>
      </w:r>
      <w:r>
        <w:rPr>
          <w:rFonts w:ascii="Times New Roman" w:hAnsi="Times New Roman"/>
          <w:color w:val="000000"/>
          <w:sz w:val="20"/>
        </w:rPr>
        <w:t xml:space="preserve"> </w:t>
      </w:r>
      <w:r>
        <w:rPr>
          <w:rFonts w:ascii="Times New Roman" w:hAnsi="Times New Roman"/>
          <w:color w:val="000000"/>
          <w:sz w:val="22"/>
          <w:u w:val="single"/>
        </w:rPr>
        <w:t>Collection; Foreclosure</w:t>
      </w:r>
      <w:r>
        <w:rPr>
          <w:rFonts w:ascii="Times New Roman" w:hAnsi="Times New Roman"/>
          <w:color w:val="000000"/>
          <w:sz w:val="22"/>
        </w:rPr>
        <w:t>. Upon the occurrence and during the continuance of any Event of Default, Agent may, and at the direction of the Required Lenders shall, at any time or from time to time, apply, collect, liquidate, sell in one or more sales, lease or otherwise dispose of, any or all of the Collateral, in its then condition or following any commercially reasonable preparation or processing, in such order as Agent may elect. Any such sale may be made either at public or private sale at its place of business or elsewhere. Borrower agrees that any such public or private sale may occur upon ten (10) calendar days’ prior written notice to Borrower. Agent may require Borrower to assemble the Collateral and make it available to Agent at a place designated by Agent that is reasonably convenient to Agent and Borrower. The proceeds of any sale, disposition or other realization upon all or any part of the Collateral shall be applied by Agent in the following order of priorities: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First, to Agent and the Lenders in an amount sufficient to pay in full Agent’s and the Lenders’ reasonable costs and professionals’ and advisors’ fees and expenses as described in </w:t>
      </w:r>
      <w:r>
        <w:rPr>
          <w:rFonts w:ascii="Times New Roman" w:hAnsi="Times New Roman"/>
          <w:color w:val="000000"/>
          <w:sz w:val="22"/>
          <w:u w:val="single"/>
        </w:rPr>
        <w:t>Section 11.12</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Second, to the Lenders in an amount equal to the then unpaid amount of the Secured Obligations (including principal, interest, and the default rate interest set forth in </w:t>
      </w:r>
      <w:r>
        <w:rPr>
          <w:rFonts w:ascii="Times New Roman" w:hAnsi="Times New Roman"/>
          <w:color w:val="000000"/>
          <w:sz w:val="22"/>
          <w:u w:val="single"/>
        </w:rPr>
        <w:t>Section 2.4</w:t>
      </w:r>
      <w:r>
        <w:rPr>
          <w:rFonts w:ascii="Times New Roman" w:hAnsi="Times New Roman"/>
          <w:color w:val="000000"/>
          <w:sz w:val="22"/>
        </w:rPr>
        <w:t>), in such order and priority as Agent may choose in its sole discretion; and</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Finally, after the full and final payment in cash of all of the Secured Obligations (other than inchoate obligations), to any creditor holding a junior Lien on the Collateral, or to Borrower or its representatives or as a court of competent jurisdiction may direct.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Agent shall be deemed to have acted reasonably in the custody, preservation and disposition of any of the Collateral if it complies with the obligations of a secured party under the UCC.</w:t>
      </w:r>
    </w:p>
    <w:p>
      <w:pPr>
        <w:pStyle w:val="TextBody"/>
        <w:bidi w:val="0"/>
        <w:spacing w:before="0" w:after="240"/>
        <w:jc w:val="both"/>
        <w:rPr>
          <w:rFonts w:ascii="Times New Roman" w:hAnsi="Times New Roman"/>
          <w:sz w:val="20"/>
        </w:rPr>
      </w:pPr>
      <w:r>
        <w:rPr>
          <w:rFonts w:ascii="Times New Roman" w:hAnsi="Times New Roman"/>
          <w:color w:val="000000"/>
          <w:sz w:val="22"/>
        </w:rPr>
        <w:t>10.3</w:t>
      </w:r>
      <w:r>
        <w:rPr>
          <w:rFonts w:ascii="Times New Roman" w:hAnsi="Times New Roman"/>
          <w:color w:val="000000"/>
          <w:sz w:val="20"/>
        </w:rPr>
        <w:t xml:space="preserve"> </w:t>
      </w:r>
      <w:r>
        <w:rPr>
          <w:rFonts w:ascii="Times New Roman" w:hAnsi="Times New Roman"/>
          <w:color w:val="000000"/>
          <w:sz w:val="22"/>
          <w:u w:val="single"/>
        </w:rPr>
        <w:t>No Waiver</w:t>
      </w:r>
      <w:r>
        <w:rPr>
          <w:rFonts w:ascii="Times New Roman" w:hAnsi="Times New Roman"/>
          <w:color w:val="000000"/>
          <w:sz w:val="22"/>
        </w:rPr>
        <w:t>. Agent shall be under no obligation to marshal any of the Collateral for the benefit of Borrower or any other Person, and Borrower expressly waives all rights, if any, to require Agent to marshal any Collateral.</w:t>
      </w:r>
    </w:p>
    <w:p>
      <w:pPr>
        <w:pStyle w:val="TextBody"/>
        <w:bidi w:val="0"/>
        <w:spacing w:before="0" w:after="240"/>
        <w:jc w:val="both"/>
        <w:rPr>
          <w:rFonts w:ascii="Times New Roman" w:hAnsi="Times New Roman"/>
          <w:sz w:val="20"/>
        </w:rPr>
      </w:pPr>
      <w:r>
        <w:rPr>
          <w:rFonts w:ascii="Times New Roman" w:hAnsi="Times New Roman"/>
          <w:color w:val="000000"/>
          <w:sz w:val="22"/>
        </w:rPr>
        <w:t>10.4</w:t>
      </w:r>
      <w:r>
        <w:rPr>
          <w:rFonts w:ascii="Times New Roman" w:hAnsi="Times New Roman"/>
          <w:color w:val="000000"/>
          <w:sz w:val="20"/>
        </w:rPr>
        <w:t xml:space="preserve"> </w:t>
      </w:r>
      <w:r>
        <w:rPr>
          <w:rFonts w:ascii="Times New Roman" w:hAnsi="Times New Roman"/>
          <w:color w:val="000000"/>
          <w:sz w:val="22"/>
          <w:u w:val="single"/>
        </w:rPr>
        <w:t>Cumulative Remedies</w:t>
      </w:r>
      <w:r>
        <w:rPr>
          <w:rFonts w:ascii="Times New Roman" w:hAnsi="Times New Roman"/>
          <w:color w:val="000000"/>
          <w:sz w:val="22"/>
        </w:rPr>
        <w:t>. The rights, powers and remedies of Agent hereunder shall be in addition to all rights, powers and remedies given by statute or rule of law and are cumulative. The exercise of any one or more of the rights, powers and remedies provided herein shall not be construed as a waiver of or election of remedies with respect to any other rights, powers and remedies of Agent.</w:t>
      </w:r>
    </w:p>
    <w:p>
      <w:pPr>
        <w:pStyle w:val="TextBody"/>
        <w:bidi w:val="0"/>
        <w:spacing w:before="0" w:after="240"/>
        <w:jc w:val="both"/>
        <w:rPr>
          <w:rFonts w:ascii="Times New Roman" w:hAnsi="Times New Roman"/>
          <w:sz w:val="20"/>
        </w:rPr>
      </w:pPr>
      <w:r>
        <w:rPr>
          <w:rFonts w:ascii="Times New Roman" w:hAnsi="Times New Roman"/>
          <w:color w:val="000000"/>
          <w:sz w:val="22"/>
        </w:rPr>
        <w:t>10.5</w:t>
      </w:r>
      <w:r>
        <w:rPr>
          <w:rFonts w:ascii="Times New Roman" w:hAnsi="Times New Roman"/>
          <w:color w:val="000000"/>
          <w:sz w:val="20"/>
        </w:rPr>
        <w:t xml:space="preserve"> </w:t>
      </w:r>
      <w:r>
        <w:rPr>
          <w:rFonts w:ascii="Times New Roman" w:hAnsi="Times New Roman"/>
          <w:color w:val="000000"/>
          <w:sz w:val="22"/>
          <w:u w:val="single"/>
        </w:rPr>
        <w:t>Waivers</w:t>
      </w:r>
      <w:r>
        <w:rPr>
          <w:rFonts w:ascii="Times New Roman" w:hAnsi="Times New Roman"/>
          <w:color w:val="000000"/>
          <w:sz w:val="22"/>
        </w:rPr>
        <w:t>. Borrower waives demand, notice of default or dishonor, notice of payment and nonpayment, notice of any default, nonpayment at maturity, release, compromise, settlement, extension, or renewal of accounts, documents, instruments, chattel paper, and guarantees held by Agent on which Borrower is liable.</w:t>
      </w:r>
    </w:p>
    <w:p>
      <w:pPr>
        <w:pStyle w:val="TextBody"/>
        <w:bidi w:val="0"/>
        <w:spacing w:before="0" w:after="240"/>
        <w:jc w:val="center"/>
        <w:rPr>
          <w:rFonts w:ascii="Times New Roman" w:hAnsi="Times New Roman"/>
          <w:sz w:val="20"/>
        </w:rPr>
      </w:pPr>
      <w:r>
        <w:rPr>
          <w:rFonts w:ascii="Times New Roman" w:hAnsi="Times New Roman"/>
          <w:b/>
          <w:color w:val="000000"/>
          <w:sz w:val="22"/>
        </w:rPr>
        <w:t>SECTION 11</w:t>
      </w:r>
      <w:r>
        <w:rPr>
          <w:rFonts w:ascii="Times New Roman" w:hAnsi="Times New Roman"/>
          <w:color w:val="000000"/>
          <w:sz w:val="20"/>
        </w:rPr>
        <w:t xml:space="preserve"> </w:t>
      </w:r>
      <w:r>
        <w:rPr>
          <w:rFonts w:ascii="Times New Roman" w:hAnsi="Times New Roman"/>
          <w:b/>
          <w:color w:val="000000"/>
          <w:sz w:val="22"/>
          <w:u w:val="single"/>
        </w:rPr>
        <w:t>MISCELLANEOUS</w:t>
      </w:r>
    </w:p>
    <w:p>
      <w:pPr>
        <w:pStyle w:val="TextBody"/>
        <w:bidi w:val="0"/>
        <w:spacing w:before="0" w:after="240"/>
        <w:jc w:val="both"/>
        <w:rPr>
          <w:rFonts w:ascii="Times New Roman" w:hAnsi="Times New Roman"/>
          <w:sz w:val="20"/>
        </w:rPr>
      </w:pPr>
      <w:r>
        <w:rPr>
          <w:rFonts w:ascii="Times New Roman" w:hAnsi="Times New Roman"/>
          <w:color w:val="000000"/>
          <w:sz w:val="22"/>
        </w:rPr>
        <w:t>11.1</w:t>
      </w:r>
      <w:r>
        <w:rPr>
          <w:rFonts w:ascii="Times New Roman" w:hAnsi="Times New Roman"/>
          <w:color w:val="000000"/>
          <w:sz w:val="20"/>
        </w:rPr>
        <w:t xml:space="preserve"> </w:t>
      </w:r>
      <w:r>
        <w:rPr>
          <w:rFonts w:ascii="Times New Roman" w:hAnsi="Times New Roman"/>
          <w:color w:val="000000"/>
          <w:sz w:val="22"/>
          <w:u w:val="single"/>
        </w:rPr>
        <w:t>Severability</w:t>
      </w:r>
      <w:r>
        <w:rPr>
          <w:rFonts w:ascii="Times New Roman" w:hAnsi="Times New Roman"/>
          <w:color w:val="000000"/>
          <w:sz w:val="22"/>
        </w:rPr>
        <w:t>. Whenever possible, each provision of this Agreement shall be interpreted in such manner as to be effective and valid under applicable law, but if any provision of this Agreement shall be prohibited by or invalid under such law, such provision shall be ineffective only to the extent and duration of such prohibition or invalidity, without invalidating the remainder of such provision or the remaining provisions of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11.2</w:t>
      </w:r>
      <w:r>
        <w:rPr>
          <w:rFonts w:ascii="Times New Roman" w:hAnsi="Times New Roman"/>
          <w:color w:val="000000"/>
          <w:sz w:val="20"/>
        </w:rPr>
        <w:t xml:space="preserve"> </w:t>
      </w:r>
      <w:r>
        <w:rPr>
          <w:rFonts w:ascii="Times New Roman" w:hAnsi="Times New Roman"/>
          <w:color w:val="000000"/>
          <w:sz w:val="22"/>
          <w:u w:val="single"/>
        </w:rPr>
        <w:t>Notice</w:t>
      </w:r>
      <w:r>
        <w:rPr>
          <w:rFonts w:ascii="Times New Roman" w:hAnsi="Times New Roman"/>
          <w:color w:val="000000"/>
          <w:sz w:val="22"/>
        </w:rPr>
        <w:t>. Except as otherwise provided herein, any notice, demand, request, consent, approval, declaration, service of process or other communication (including the delivery of Financial Statements) that is required, contemplated, or permitted under the Loan Documents or with respect to the subject matter hereof shall be in writing, and shall be deemed to have been validly served, given, delivered, and received upon the earlier of: (i) the day of transmission by electronic mail or hand delivery or delivery by an overnight express service or overnight mail delivery service; or (ii) the third calendar day after deposit in the United States of America mails, with proper first class postage prepaid, in each case addressed to the party to be notified as follows:</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If to Agent: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HERCULES CAPITAL, INC.</w:t>
        <w:br/>
        <w:t>Legal Department</w:t>
        <w:br/>
        <w:t>Attention: Chief Legal Officer, Bryan Jadot and Jeff Ralto</w:t>
        <w:br/>
        <w:t>1 North B Street, Suite 2000</w:t>
        <w:br/>
        <w:t>San Mateo, CA 94401</w:t>
        <w:br/>
        <w:t>email: [***]</w:t>
        <w:br/>
        <w:t>Telephone: [***]</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If to the Lenders:</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HERCULES CAPITAL, INC.</w:t>
        <w:br/>
        <w:t>HERCULES SBIC V, L.P.</w:t>
        <w:br/>
        <w:t>Legal Department</w:t>
        <w:br/>
        <w:t>Attention: Chief Legal Officer, Bryan Jadot and Jeff Ralto</w:t>
        <w:br/>
        <w:t>1 North B Street, Suite 2000</w:t>
        <w:br/>
        <w:t>San Mateo, CA 94401</w:t>
        <w:br/>
        <w:t>email: [***]</w:t>
        <w:br/>
        <w:t>Telephone: [***]</w:t>
      </w:r>
    </w:p>
    <w:p>
      <w:pPr>
        <w:pStyle w:val="TextBody"/>
        <w:bidi w:val="0"/>
        <w:spacing w:before="0" w:after="240"/>
        <w:jc w:val="both"/>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If to Borrower: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DISC MEDICINE, INC.</w:t>
        <w:br/>
        <w:t>Attention: John Quisel, JD, PhD, Chief Executive Officer</w:t>
        <w:br/>
        <w:t>Jean Franchi, Chief Financial Officer</w:t>
        <w:br/>
        <w:t>321 Arsenal Street, Suite 101</w:t>
        <w:br/>
        <w:t>Watertown, MA 02472</w:t>
        <w:br/>
        <w:t>email: [***]</w:t>
        <w:br/>
        <w:t>Telephone: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or to such other address as each party may designate for itself by like notice.</w:t>
      </w:r>
    </w:p>
    <w:p>
      <w:pPr>
        <w:pStyle w:val="TextBody"/>
        <w:bidi w:val="0"/>
        <w:spacing w:before="0" w:after="240"/>
        <w:jc w:val="both"/>
        <w:rPr>
          <w:rFonts w:ascii="Times New Roman" w:hAnsi="Times New Roman"/>
          <w:sz w:val="20"/>
        </w:rPr>
      </w:pPr>
      <w:r>
        <w:rPr>
          <w:rFonts w:ascii="Times New Roman" w:hAnsi="Times New Roman"/>
          <w:color w:val="000000"/>
          <w:sz w:val="22"/>
        </w:rPr>
        <w:t>11.3</w:t>
      </w:r>
      <w:r>
        <w:rPr>
          <w:rFonts w:ascii="Times New Roman" w:hAnsi="Times New Roman"/>
          <w:color w:val="000000"/>
          <w:sz w:val="20"/>
        </w:rPr>
        <w:t xml:space="preserve"> </w:t>
      </w:r>
      <w:r>
        <w:rPr>
          <w:rFonts w:ascii="Times New Roman" w:hAnsi="Times New Roman"/>
          <w:color w:val="000000"/>
          <w:sz w:val="22"/>
          <w:u w:val="single"/>
        </w:rPr>
        <w:t>Entire Agreement; Amendments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This Agreement and the other Loan Documents constitute the entire agreement and understanding of the parties hereto in respect of the subject matter hereof and thereof, and supersede and replace in their entirety any prior proposals, term sheets, non-disclosure or confidentiality agreements, letters, negotiations or other documents or agreements, whether written or oral, with respect to the subject matter hereof or thereof (including Agent’s proposal letter dated October 3, 2024, and the Non-Disclosure Agreement).</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Neither this Agreement, any other Loan Document, nor any terms hereof or thereof may be amended, supplemented or modified except in accordance with the provisions of this </w:t>
      </w:r>
      <w:r>
        <w:rPr>
          <w:rFonts w:ascii="Times New Roman" w:hAnsi="Times New Roman"/>
          <w:color w:val="000000"/>
          <w:sz w:val="22"/>
          <w:u w:val="single"/>
        </w:rPr>
        <w:t>Section 11.3(b)</w:t>
      </w:r>
      <w:r>
        <w:rPr>
          <w:rFonts w:ascii="Times New Roman" w:hAnsi="Times New Roman"/>
          <w:color w:val="000000"/>
          <w:sz w:val="22"/>
        </w:rPr>
        <w:t xml:space="preserve">. The Required Lenders and Borrower party to the relevant Loan Document may, or, with the written consent of the Required Lenders, the Agent and Borrower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of the Lenders or of Borrower hereunder or thereunder or (ii) waive, on such terms and conditions as the Required Lenders or the Agent, as the case may be, may specify in such instrument, any of the requirements of this Agreement or the other Loan Documents or any Default or Event of Default and its consequences; provided, however, that no such waiver and no such amendment, supplement or modification shall (A) forgive the principal amount or extend the final scheduled date of maturity of any Loan, extend the scheduled date of any amortization payment in respect of any Term Loan, reduce the stated rate of any interest or fee payable hereunder or extend the scheduled date of any payment thereof, in each case without the written consent of each Lender directly affected thereby; (B) eliminate or reduce the voting rights of any Lender under this Section 11.3(b) without the written consent of such Lender; (C) reduce any percentage specified in the definition of Required Lenders, consent to the assignment or transfer by Borrower of any of its rights and obligations under this Agreement and the other Loan Documents (except as otherwise permitted herein), release all or substantially all of the Collateral or release a Borrower from its obligations under the Loan Documents (except as otherwise permitted herein), in each case without the written consent of all Lenders; or (D) amend, modify or waive any provision of </w:t>
      </w:r>
      <w:r>
        <w:rPr>
          <w:rFonts w:ascii="Times New Roman" w:hAnsi="Times New Roman"/>
          <w:color w:val="000000"/>
          <w:sz w:val="22"/>
          <w:u w:val="single"/>
        </w:rPr>
        <w:t>Section 11.18</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Addendum 4</w:t>
      </w:r>
      <w:r>
        <w:rPr>
          <w:rFonts w:ascii="Times New Roman" w:hAnsi="Times New Roman"/>
          <w:color w:val="000000"/>
          <w:sz w:val="20"/>
        </w:rPr>
        <w:t xml:space="preserve"> </w:t>
      </w:r>
      <w:r>
        <w:rPr>
          <w:rFonts w:ascii="Times New Roman" w:hAnsi="Times New Roman"/>
          <w:color w:val="000000"/>
          <w:sz w:val="22"/>
        </w:rPr>
        <w:t>without the written consent of the Agent. Any such waiver and any such</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amendment, supplement or modification shall apply equally to each Lender and shall be binding upon Borrower, the Lender, the Agent and all future holders of the Loans.</w:t>
      </w:r>
    </w:p>
    <w:p>
      <w:pPr>
        <w:pStyle w:val="TextBody"/>
        <w:bidi w:val="0"/>
        <w:spacing w:before="0" w:after="240"/>
        <w:jc w:val="both"/>
        <w:rPr>
          <w:rFonts w:ascii="Times New Roman" w:hAnsi="Times New Roman"/>
          <w:sz w:val="20"/>
        </w:rPr>
      </w:pPr>
      <w:r>
        <w:rPr>
          <w:rFonts w:ascii="Times New Roman" w:hAnsi="Times New Roman"/>
          <w:color w:val="000000"/>
          <w:sz w:val="22"/>
        </w:rPr>
        <w:t>11.4</w:t>
      </w:r>
      <w:r>
        <w:rPr>
          <w:rFonts w:ascii="Times New Roman" w:hAnsi="Times New Roman"/>
          <w:color w:val="000000"/>
          <w:sz w:val="20"/>
        </w:rPr>
        <w:t xml:space="preserve"> </w:t>
      </w:r>
      <w:r>
        <w:rPr>
          <w:rFonts w:ascii="Times New Roman" w:hAnsi="Times New Roman"/>
          <w:color w:val="000000"/>
          <w:sz w:val="22"/>
          <w:u w:val="single"/>
        </w:rPr>
        <w:t>No Strict Construction</w:t>
      </w:r>
      <w:r>
        <w:rPr>
          <w:rFonts w:ascii="Times New Roman" w:hAnsi="Times New Roman"/>
          <w:color w:val="000000"/>
          <w:sz w:val="22"/>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11.5</w:t>
      </w:r>
      <w:r>
        <w:rPr>
          <w:rFonts w:ascii="Times New Roman" w:hAnsi="Times New Roman"/>
          <w:color w:val="000000"/>
          <w:sz w:val="20"/>
        </w:rPr>
        <w:t xml:space="preserve"> </w:t>
      </w:r>
      <w:r>
        <w:rPr>
          <w:rFonts w:ascii="Times New Roman" w:hAnsi="Times New Roman"/>
          <w:color w:val="000000"/>
          <w:sz w:val="22"/>
          <w:u w:val="single"/>
        </w:rPr>
        <w:t>No Waiver</w:t>
      </w:r>
      <w:r>
        <w:rPr>
          <w:rFonts w:ascii="Times New Roman" w:hAnsi="Times New Roman"/>
          <w:color w:val="000000"/>
          <w:sz w:val="22"/>
        </w:rPr>
        <w:t>. The powers conferred upon Agent and the Lenders by this Agreement are solely to protect its rights hereunder and under the other Loan Documents and its interest in the Collateral and shall not impose any duty upon Agent or the Lenders to exercise any such powers. No omission or delay by Agent or the Lenders at any time to enforce any right or remedy reserved to it, or to require performance of any of the terms, covenants or provisions hereof by Borrower at any time designated, shall be a waiver of any such right or remedy to which Agent or the Lenders is entitled, nor shall it in any way affect the right of Agent or the Lenders to enforce such provisions thereafter.</w:t>
      </w:r>
    </w:p>
    <w:p>
      <w:pPr>
        <w:pStyle w:val="TextBody"/>
        <w:bidi w:val="0"/>
        <w:spacing w:before="0" w:after="240"/>
        <w:jc w:val="both"/>
        <w:rPr>
          <w:rFonts w:ascii="Times New Roman" w:hAnsi="Times New Roman"/>
          <w:sz w:val="20"/>
        </w:rPr>
      </w:pPr>
      <w:r>
        <w:rPr>
          <w:rFonts w:ascii="Times New Roman" w:hAnsi="Times New Roman"/>
          <w:color w:val="000000"/>
          <w:sz w:val="22"/>
        </w:rPr>
        <w:t>11.6</w:t>
      </w:r>
      <w:r>
        <w:rPr>
          <w:rFonts w:ascii="Times New Roman" w:hAnsi="Times New Roman"/>
          <w:color w:val="000000"/>
          <w:sz w:val="20"/>
        </w:rPr>
        <w:t xml:space="preserve"> </w:t>
      </w:r>
      <w:r>
        <w:rPr>
          <w:rFonts w:ascii="Times New Roman" w:hAnsi="Times New Roman"/>
          <w:color w:val="000000"/>
          <w:sz w:val="22"/>
          <w:u w:val="single"/>
        </w:rPr>
        <w:t>Survival</w:t>
      </w:r>
      <w:r>
        <w:rPr>
          <w:rFonts w:ascii="Times New Roman" w:hAnsi="Times New Roman"/>
          <w:color w:val="000000"/>
          <w:sz w:val="22"/>
        </w:rPr>
        <w:t>. All agreements, representations and warranties contained in this Agreement and the other Loan Documents or in any document delivered pursuant hereto or thereto shall be for the benefit of Agent and the Lenders and shall survive the execution and delivery of this Agreement. Sections 6.3 and 11.15 shall survive the termination of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11.7</w:t>
      </w:r>
      <w:r>
        <w:rPr>
          <w:rFonts w:ascii="Times New Roman" w:hAnsi="Times New Roman"/>
          <w:color w:val="000000"/>
          <w:sz w:val="20"/>
        </w:rPr>
        <w:t xml:space="preserve"> </w:t>
      </w:r>
      <w:r>
        <w:rPr>
          <w:rFonts w:ascii="Times New Roman" w:hAnsi="Times New Roman"/>
          <w:color w:val="000000"/>
          <w:sz w:val="22"/>
          <w:u w:val="single"/>
        </w:rPr>
        <w:t>Successors and Assigns</w:t>
      </w:r>
      <w:r>
        <w:rPr>
          <w:rFonts w:ascii="Times New Roman" w:hAnsi="Times New Roman"/>
          <w:color w:val="000000"/>
          <w:sz w:val="22"/>
        </w:rPr>
        <w:t>. The provisions of this Agreement and the other Loan Documents shall inure to the benefit of and be binding on Borrower and its permitted assigns (if any). Borrower shall not assign its obligations under this Agreement or any of the other Loan Documents without Agent’s express prior written consent, and any such attempted assignment shall be void and of no effect. Agent and the Lenders may not assign, transfer, or endorse its rights hereunder and under the other Loan Documents without the prior written consent of Company (such consent not to be unreasonably withheld, conditioned or delayed); provided that (i) no such consent shall be required for any such assignment, transfer or endorsement (x) after the occurrence of an Event of Default that is continuing, or (y) to Agent or a Lender or Affiliate of any Lender or Agent, and all of such rights shall inure to the benefit of Agent’s and the Lenders’ successors and permitted assigns. Notwithstanding the foregoing, (x) no such assignment, transfer or endorsement may be made to any direct competitor of Borrower unless an Event of Default shall have occurred and be continuing, (y) in connection with any assignment by a Lender as a result of a forced divestiture at the request of any regulatory agency, the restrictions set forth herein shall not apply and Agent and the Lenders may assign, transfer or indorse its rights hereunder and under the other Loan Documents to any Person or party, and (z) in connection with a Lender’s own financing or securitization transactions, the restrictions set forth herein shall not apply and Agent and the Lenders may assign, transfer or endorse its rights hereunder and under the other Loan Documents to any Person or party providing such financing or formed to undertake such securitization transaction and any transferee of such Person or party upon the occurrence of a default, event of default or similar occurrence with respect to such financing or securitization transaction; provided that no such sale, transfer, pledge or assignment under this clause (z) shall release such Lender from any of its obligations hereunder or substitute any such Person or party for such Lender as a party hereto until Agent shall have received and accepted an effective assignment agreement from such Person or party in form satisfactory to Agent executed, delivered and fully completed by the applicable parties thereto, and shall have received such other information regarding such assignee as Agent reasonably shall require. The Agent, acting solely for this purpose as an agent of Borrower, shall maintain at one of its offices in the United States a register for the recordation of the names and addresses of the Lender(s), and the Term Commitments of, and principal amounts (and stated interest) of the Loans owing to, each Lender pursuant to the terms hereof from time to time (the “</w:t>
      </w:r>
      <w:r>
        <w:rPr>
          <w:rFonts w:ascii="Times New Roman" w:hAnsi="Times New Roman"/>
          <w:color w:val="000000"/>
          <w:sz w:val="22"/>
          <w:u w:val="single"/>
        </w:rPr>
        <w:t>Register</w:t>
      </w:r>
      <w:r>
        <w:rPr>
          <w:rFonts w:ascii="Times New Roman" w:hAnsi="Times New Roman"/>
          <w:color w:val="000000"/>
          <w:sz w:val="20"/>
        </w:rPr>
        <w:t>”</w:t>
      </w:r>
      <w:r>
        <w:rPr>
          <w:rFonts w:ascii="Times New Roman" w:hAnsi="Times New Roman"/>
          <w:color w:val="000000"/>
          <w:sz w:val="22"/>
        </w:rPr>
        <w:t>). The entries in the Register shall be conclusive absent manifest error, and Borrower, the Agent and the Lender(s) shall treat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Person whose name is recorded in the Register pursuant to the terms hereof as a Lender hereunder for all purposes of this Agreement. The Register shall be available for inspection by Borrower and any Lender, at any reasonable time and from time to time upon reasonable prior notice.</w:t>
      </w:r>
    </w:p>
    <w:p>
      <w:pPr>
        <w:pStyle w:val="TextBody"/>
        <w:bidi w:val="0"/>
        <w:spacing w:before="0" w:after="240"/>
        <w:jc w:val="both"/>
        <w:rPr>
          <w:rFonts w:ascii="Times New Roman" w:hAnsi="Times New Roman"/>
          <w:sz w:val="20"/>
        </w:rPr>
      </w:pPr>
      <w:r>
        <w:rPr>
          <w:rFonts w:ascii="Times New Roman" w:hAnsi="Times New Roman"/>
          <w:color w:val="000000"/>
          <w:sz w:val="22"/>
        </w:rPr>
        <w:t>11.8</w:t>
      </w:r>
      <w:r>
        <w:rPr>
          <w:rFonts w:ascii="Times New Roman" w:hAnsi="Times New Roman"/>
          <w:color w:val="000000"/>
          <w:sz w:val="20"/>
        </w:rPr>
        <w:t xml:space="preserve"> </w:t>
      </w:r>
      <w:r>
        <w:rPr>
          <w:rFonts w:ascii="Times New Roman" w:hAnsi="Times New Roman"/>
          <w:color w:val="000000"/>
          <w:sz w:val="22"/>
          <w:u w:val="single"/>
        </w:rPr>
        <w:t>Participations</w:t>
      </w:r>
      <w:r>
        <w:rPr>
          <w:rFonts w:ascii="Times New Roman" w:hAnsi="Times New Roman"/>
          <w:color w:val="000000"/>
          <w:sz w:val="22"/>
        </w:rPr>
        <w:t xml:space="preserve">. Each Lender that sells a participation shall, acting solely for this purpose as a non-fiduciary agent of Borrower, maintain a register on which it enters the name and address of each participant and the principal amounts (and stated interest) of each participant’s interest in the Loans or other obligations under the Loan Documents (the “Participant Register”); provided that no Lender shall have any obligation to disclose all or any portion of the Participant Register (including the identity of any participant or any information relating to a participant’s interest in any commitments, loans,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 Borrower agrees that each participant shall be entitled to the benefits of the provisions in </w:t>
      </w:r>
      <w:r>
        <w:rPr>
          <w:rFonts w:ascii="Times New Roman" w:hAnsi="Times New Roman"/>
          <w:color w:val="000000"/>
          <w:sz w:val="22"/>
          <w:u w:val="single"/>
        </w:rPr>
        <w:t>Addendum 1</w:t>
      </w:r>
      <w:r>
        <w:rPr>
          <w:rFonts w:ascii="Times New Roman" w:hAnsi="Times New Roman"/>
          <w:color w:val="000000"/>
          <w:sz w:val="20"/>
        </w:rPr>
        <w:t xml:space="preserve"> </w:t>
      </w:r>
      <w:r>
        <w:rPr>
          <w:rFonts w:ascii="Times New Roman" w:hAnsi="Times New Roman"/>
          <w:color w:val="000000"/>
          <w:sz w:val="22"/>
        </w:rPr>
        <w:t xml:space="preserve">attached hereto (subject to the requirements and limitations therein, including the requirements under </w:t>
      </w:r>
      <w:r>
        <w:rPr>
          <w:rFonts w:ascii="Times New Roman" w:hAnsi="Times New Roman"/>
          <w:color w:val="000000"/>
          <w:sz w:val="22"/>
          <w:u w:val="single"/>
        </w:rPr>
        <w:t>Section 7</w:t>
      </w:r>
      <w:r>
        <w:rPr>
          <w:rFonts w:ascii="Times New Roman" w:hAnsi="Times New Roman"/>
          <w:color w:val="000000"/>
          <w:sz w:val="20"/>
        </w:rPr>
        <w:t xml:space="preserve"> </w:t>
      </w:r>
      <w:r>
        <w:rPr>
          <w:rFonts w:ascii="Times New Roman" w:hAnsi="Times New Roman"/>
          <w:color w:val="000000"/>
          <w:sz w:val="22"/>
        </w:rPr>
        <w:t xml:space="preserve">of </w:t>
      </w:r>
      <w:r>
        <w:rPr>
          <w:rFonts w:ascii="Times New Roman" w:hAnsi="Times New Roman"/>
          <w:color w:val="000000"/>
          <w:sz w:val="22"/>
          <w:u w:val="single"/>
        </w:rPr>
        <w:t>Addendum 1</w:t>
      </w:r>
      <w:r>
        <w:rPr>
          <w:rFonts w:ascii="Times New Roman" w:hAnsi="Times New Roman"/>
          <w:color w:val="000000"/>
          <w:sz w:val="20"/>
        </w:rPr>
        <w:t xml:space="preserve"> </w:t>
      </w:r>
      <w:r>
        <w:rPr>
          <w:rFonts w:ascii="Times New Roman" w:hAnsi="Times New Roman"/>
          <w:color w:val="000000"/>
          <w:sz w:val="22"/>
        </w:rPr>
        <w:t xml:space="preserve">attached hereto (it being understood that the documentation required under </w:t>
      </w:r>
      <w:r>
        <w:rPr>
          <w:rFonts w:ascii="Times New Roman" w:hAnsi="Times New Roman"/>
          <w:color w:val="000000"/>
          <w:sz w:val="22"/>
          <w:u w:val="single"/>
        </w:rPr>
        <w:t>Section 7</w:t>
      </w:r>
      <w:r>
        <w:rPr>
          <w:rFonts w:ascii="Times New Roman" w:hAnsi="Times New Roman"/>
          <w:color w:val="000000"/>
          <w:sz w:val="20"/>
        </w:rPr>
        <w:t xml:space="preserve"> </w:t>
      </w:r>
      <w:r>
        <w:rPr>
          <w:rFonts w:ascii="Times New Roman" w:hAnsi="Times New Roman"/>
          <w:color w:val="000000"/>
          <w:sz w:val="22"/>
        </w:rPr>
        <w:t xml:space="preserve">of </w:t>
      </w:r>
      <w:r>
        <w:rPr>
          <w:rFonts w:ascii="Times New Roman" w:hAnsi="Times New Roman"/>
          <w:color w:val="000000"/>
          <w:sz w:val="22"/>
          <w:u w:val="single"/>
        </w:rPr>
        <w:t>Addendum 1</w:t>
      </w:r>
      <w:r>
        <w:rPr>
          <w:rFonts w:ascii="Times New Roman" w:hAnsi="Times New Roman"/>
          <w:color w:val="000000"/>
          <w:sz w:val="20"/>
        </w:rPr>
        <w:t xml:space="preserve"> </w:t>
      </w:r>
      <w:r>
        <w:rPr>
          <w:rFonts w:ascii="Times New Roman" w:hAnsi="Times New Roman"/>
          <w:color w:val="000000"/>
          <w:sz w:val="22"/>
        </w:rPr>
        <w:t xml:space="preserve">attached hereto shall be delivered to the participating Lender)) to the same extent as if it were a Lender and had acquired its interest by assignment pursuant to </w:t>
      </w:r>
      <w:r>
        <w:rPr>
          <w:rFonts w:ascii="Times New Roman" w:hAnsi="Times New Roman"/>
          <w:color w:val="000000"/>
          <w:sz w:val="22"/>
          <w:u w:val="single"/>
        </w:rPr>
        <w:t>Section 11.7</w:t>
      </w:r>
      <w:r>
        <w:rPr>
          <w:rFonts w:ascii="Times New Roman" w:hAnsi="Times New Roman"/>
          <w:color w:val="000000"/>
          <w:sz w:val="22"/>
        </w:rPr>
        <w:t xml:space="preserve">; provided that such participant shall not be entitled to receive any greater payment under </w:t>
      </w:r>
      <w:r>
        <w:rPr>
          <w:rFonts w:ascii="Times New Roman" w:hAnsi="Times New Roman"/>
          <w:color w:val="000000"/>
          <w:sz w:val="22"/>
          <w:u w:val="single"/>
        </w:rPr>
        <w:t>Addendum 1</w:t>
      </w:r>
      <w:r>
        <w:rPr>
          <w:rFonts w:ascii="Times New Roman" w:hAnsi="Times New Roman"/>
          <w:color w:val="000000"/>
          <w:sz w:val="20"/>
        </w:rPr>
        <w:t xml:space="preserve"> </w:t>
      </w:r>
      <w:r>
        <w:rPr>
          <w:rFonts w:ascii="Times New Roman" w:hAnsi="Times New Roman"/>
          <w:color w:val="000000"/>
          <w:sz w:val="22"/>
        </w:rPr>
        <w:t>attached hereto,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pStyle w:val="TextBody"/>
        <w:bidi w:val="0"/>
        <w:spacing w:before="0" w:after="240"/>
        <w:jc w:val="both"/>
        <w:rPr>
          <w:rFonts w:ascii="Times New Roman" w:hAnsi="Times New Roman"/>
          <w:sz w:val="20"/>
        </w:rPr>
      </w:pPr>
      <w:r>
        <w:rPr>
          <w:rFonts w:ascii="Times New Roman" w:hAnsi="Times New Roman"/>
          <w:color w:val="000000"/>
          <w:sz w:val="22"/>
        </w:rPr>
        <w:t>11.9</w:t>
      </w:r>
      <w:r>
        <w:rPr>
          <w:rFonts w:ascii="Times New Roman" w:hAnsi="Times New Roman"/>
          <w:color w:val="000000"/>
          <w:sz w:val="20"/>
        </w:rPr>
        <w:t xml:space="preserve"> </w:t>
      </w:r>
      <w:r>
        <w:rPr>
          <w:rFonts w:ascii="Times New Roman" w:hAnsi="Times New Roman"/>
          <w:color w:val="000000"/>
          <w:sz w:val="22"/>
          <w:u w:val="single"/>
        </w:rPr>
        <w:t>Governing Law</w:t>
      </w:r>
      <w:r>
        <w:rPr>
          <w:rFonts w:ascii="Times New Roman" w:hAnsi="Times New Roman"/>
          <w:color w:val="000000"/>
          <w:sz w:val="22"/>
        </w:rPr>
        <w:t>. This Agreement and the other Loan Documents have been negotiated and delivered to Agent and Lenders in the State of California, and shall have been accepted by Agent and Lenders in the State of California. Payment to Agent and Lenders by Borrower of the Secured Obligations is due in the State of California. This Agreement and the other Loan Documents shall be governed by, and construed and enforced in accordance with, the laws of the State of California, excluding conflict of laws principles that would cause the application of laws of any other jurisdiction.</w:t>
      </w:r>
    </w:p>
    <w:p>
      <w:pPr>
        <w:pStyle w:val="TextBody"/>
        <w:bidi w:val="0"/>
        <w:spacing w:before="0" w:after="240"/>
        <w:jc w:val="both"/>
        <w:rPr>
          <w:rFonts w:ascii="Times New Roman" w:hAnsi="Times New Roman"/>
          <w:sz w:val="20"/>
        </w:rPr>
      </w:pPr>
      <w:r>
        <w:rPr>
          <w:rFonts w:ascii="Times New Roman" w:hAnsi="Times New Roman"/>
          <w:color w:val="000000"/>
          <w:sz w:val="22"/>
        </w:rPr>
        <w:t>11.10</w:t>
      </w:r>
      <w:r>
        <w:rPr>
          <w:rFonts w:ascii="Times New Roman" w:hAnsi="Times New Roman"/>
          <w:color w:val="000000"/>
          <w:sz w:val="20"/>
        </w:rPr>
        <w:t xml:space="preserve"> </w:t>
      </w:r>
      <w:r>
        <w:rPr>
          <w:rFonts w:ascii="Times New Roman" w:hAnsi="Times New Roman"/>
          <w:color w:val="000000"/>
          <w:sz w:val="22"/>
          <w:u w:val="single"/>
        </w:rPr>
        <w:t>Consent to Jurisdiction and Venue</w:t>
      </w:r>
      <w:r>
        <w:rPr>
          <w:rFonts w:ascii="Times New Roman" w:hAnsi="Times New Roman"/>
          <w:color w:val="000000"/>
          <w:sz w:val="22"/>
        </w:rPr>
        <w:t xml:space="preserve">. All judicial proceedings (to the extent that the reference requirement of </w:t>
      </w:r>
      <w:r>
        <w:rPr>
          <w:rFonts w:ascii="Times New Roman" w:hAnsi="Times New Roman"/>
          <w:color w:val="000000"/>
          <w:sz w:val="22"/>
          <w:u w:val="single"/>
        </w:rPr>
        <w:t>Section 11.11</w:t>
      </w:r>
      <w:r>
        <w:rPr>
          <w:rFonts w:ascii="Times New Roman" w:hAnsi="Times New Roman"/>
          <w:color w:val="000000"/>
          <w:sz w:val="22"/>
        </w:rPr>
        <w:t xml:space="preserve">is not applicable) arising in or under or related to this Agreement or any of the other Loan Documents may be brought in any state or federal court located in the State of California. By execution and delivery of this Agreement, each party hereto generally and unconditionally: (a) consents to nonexclusive personal jurisdiction in Santa Clara County, State of California; (b) waives any objection as to jurisdiction or venue in Santa Clara County, State of California; (c) agrees not to assert any defense based on lack of jurisdiction or venue in the aforesaid courts; and (d) irrevocably agrees to be bound by any judgment rendered thereby in connection with this Agreement or the other Loan Documents. Service of process on any party hereto in any action arising out of or relating to this Agreement shall be effective if given in accordance with the requirements for notice set forth in </w:t>
      </w:r>
      <w:r>
        <w:rPr>
          <w:rFonts w:ascii="Times New Roman" w:hAnsi="Times New Roman"/>
          <w:color w:val="000000"/>
          <w:sz w:val="22"/>
          <w:u w:val="single"/>
        </w:rPr>
        <w:t>Section 11.2</w:t>
      </w:r>
      <w:r>
        <w:rPr>
          <w:rFonts w:ascii="Times New Roman" w:hAnsi="Times New Roman"/>
          <w:color w:val="000000"/>
          <w:sz w:val="22"/>
        </w:rPr>
        <w:t xml:space="preserve">, and shall be deemed effective and received as set forth in </w:t>
      </w:r>
      <w:r>
        <w:rPr>
          <w:rFonts w:ascii="Times New Roman" w:hAnsi="Times New Roman"/>
          <w:color w:val="000000"/>
          <w:sz w:val="22"/>
          <w:u w:val="single"/>
        </w:rPr>
        <w:t>Section 11.2</w:t>
      </w:r>
      <w:r>
        <w:rPr>
          <w:rFonts w:ascii="Times New Roman" w:hAnsi="Times New Roman"/>
          <w:color w:val="000000"/>
          <w:sz w:val="22"/>
        </w:rPr>
        <w:t>. Nothing herein shall affect the right to serve process in any other manner permitted by law or shall limit the right of either party to bring proceedings in the courts of any other jurisdiction.</w:t>
      </w:r>
    </w:p>
    <w:p>
      <w:pPr>
        <w:pStyle w:val="TextBody"/>
        <w:bidi w:val="0"/>
        <w:spacing w:before="0" w:after="240"/>
        <w:jc w:val="both"/>
        <w:rPr>
          <w:rFonts w:ascii="Times New Roman" w:hAnsi="Times New Roman"/>
          <w:sz w:val="20"/>
        </w:rPr>
      </w:pPr>
      <w:r>
        <w:rPr>
          <w:rFonts w:ascii="Times New Roman" w:hAnsi="Times New Roman"/>
          <w:color w:val="000000"/>
          <w:sz w:val="22"/>
        </w:rPr>
        <w:t>11.11</w:t>
      </w:r>
      <w:r>
        <w:rPr>
          <w:rFonts w:ascii="Times New Roman" w:hAnsi="Times New Roman"/>
          <w:color w:val="000000"/>
          <w:sz w:val="20"/>
        </w:rPr>
        <w:t xml:space="preserve"> </w:t>
      </w:r>
      <w:r>
        <w:rPr>
          <w:rFonts w:ascii="Times New Roman" w:hAnsi="Times New Roman"/>
          <w:color w:val="000000"/>
          <w:sz w:val="22"/>
          <w:u w:val="single"/>
        </w:rPr>
        <w:t>Mutual Waiver of Jury Trial</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Because disputes arising in connection with complex financial transactions are most quickly and economically resolved by an experienced and expert Person and the parties wish</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applicable state and federal laws to apply (rather than arbitration rules), the parties desire that their disputes be resolved by a judge applying such applicable laws. EACH OF BORROWER, AGENT AND THE LENDERS SPECIFICALLY WAIVES ANY RIGHT IT MAY HAVE TO TRIAL BY JURY OF ANY CAUSE OF ACTION, CLAIM, CROSS-CLAIM, COUNTERCLAIM, THIRD PARTY CLAIM OR ANY OTHER CLAIM (COLLECTIVELY, “</w:t>
      </w:r>
      <w:r>
        <w:rPr>
          <w:rFonts w:ascii="Times New Roman" w:hAnsi="Times New Roman"/>
          <w:color w:val="000000"/>
          <w:sz w:val="22"/>
          <w:u w:val="single"/>
        </w:rPr>
        <w:t>CLAIMS</w:t>
      </w:r>
      <w:r>
        <w:rPr>
          <w:rFonts w:ascii="Times New Roman" w:hAnsi="Times New Roman"/>
          <w:color w:val="000000"/>
          <w:sz w:val="20"/>
        </w:rPr>
        <w:t>”</w:t>
      </w:r>
      <w:r>
        <w:rPr>
          <w:rFonts w:ascii="Times New Roman" w:hAnsi="Times New Roman"/>
          <w:color w:val="000000"/>
          <w:sz w:val="22"/>
        </w:rPr>
        <w:t>) ASSERTED BY BORROWER AGAINST AGENT, THE LENDERS OR THEIR RESPECTIVE ASSIGNEE OR BY AGENT, THE LENDERS OR THEIR RESPECTIVE ASSIGNEE AGAINST BORROWER. This waiver extends to all such Claims, including Claims that involve Persons other than Agent, Borrower and the Lenders; Claims that arise out of or are in any way connected to the relationship among Borrower, Agent and the Lenders; and any Claims for damages, breach of contract, tort, specific performance, or any equitable or legal relief of any kind, arising out of this Agreement, any other Loan Document.</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If the waiver of jury trial set forth in </w:t>
      </w:r>
      <w:r>
        <w:rPr>
          <w:rFonts w:ascii="Times New Roman" w:hAnsi="Times New Roman"/>
          <w:color w:val="000000"/>
          <w:sz w:val="22"/>
          <w:u w:val="single"/>
        </w:rPr>
        <w:t>Section 11.11(a)</w:t>
      </w:r>
      <w:r>
        <w:rPr>
          <w:rFonts w:ascii="Times New Roman" w:hAnsi="Times New Roman"/>
          <w:color w:val="000000"/>
          <w:sz w:val="20"/>
        </w:rPr>
        <w:t xml:space="preserve"> </w:t>
      </w:r>
      <w:r>
        <w:rPr>
          <w:rFonts w:ascii="Times New Roman" w:hAnsi="Times New Roman"/>
          <w:color w:val="000000"/>
          <w:sz w:val="22"/>
        </w:rPr>
        <w:t>is ineffective or unenforceable, the parties agree that all Claims shall be resolved by reference to a private judge sitting without a jury, pursuant to Code of Civil Procedure Section 638, before a mutually acceptable referee or, if the parties cannot agree, a referee selected by the Presiding Judge of the Santa Clara County, California. Such proceeding shall be conducted in Santa Clara County, California, with California rules of evidence and discovery applicable to such proceeding.</w:t>
      </w:r>
    </w:p>
    <w:p>
      <w:pPr>
        <w:pStyle w:val="TextBody"/>
        <w:bidi w:val="0"/>
        <w:spacing w:before="0" w:after="240"/>
        <w:jc w:val="both"/>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 xml:space="preserve">In the event Claims are to be resolved by judicial reference, either party may seek from a court identified in </w:t>
      </w:r>
      <w:r>
        <w:rPr>
          <w:rFonts w:ascii="Times New Roman" w:hAnsi="Times New Roman"/>
          <w:color w:val="000000"/>
          <w:sz w:val="22"/>
          <w:u w:val="single"/>
        </w:rPr>
        <w:t>Section 11.10</w:t>
      </w:r>
      <w:r>
        <w:rPr>
          <w:rFonts w:ascii="Times New Roman" w:hAnsi="Times New Roman"/>
          <w:color w:val="000000"/>
          <w:sz w:val="22"/>
        </w:rPr>
        <w:t>, any prejudgment order, writ or other relief and have such prejudgment order, writ or other relief enforced to the fullest extent permitted by law notwithstanding that all Claims are otherwise subject to resolution by judicial reference.</w:t>
      </w:r>
    </w:p>
    <w:p>
      <w:pPr>
        <w:pStyle w:val="TextBody"/>
        <w:bidi w:val="0"/>
        <w:spacing w:before="0" w:after="240"/>
        <w:jc w:val="both"/>
        <w:rPr>
          <w:rFonts w:ascii="Times New Roman" w:hAnsi="Times New Roman"/>
          <w:sz w:val="20"/>
        </w:rPr>
      </w:pPr>
      <w:r>
        <w:rPr>
          <w:rFonts w:ascii="Times New Roman" w:hAnsi="Times New Roman"/>
          <w:color w:val="000000"/>
          <w:sz w:val="22"/>
        </w:rPr>
        <w:t>11.12</w:t>
      </w:r>
      <w:r>
        <w:rPr>
          <w:rFonts w:ascii="Times New Roman" w:hAnsi="Times New Roman"/>
          <w:color w:val="000000"/>
          <w:sz w:val="20"/>
        </w:rPr>
        <w:t xml:space="preserve"> </w:t>
      </w:r>
      <w:r>
        <w:rPr>
          <w:rFonts w:ascii="Times New Roman" w:hAnsi="Times New Roman"/>
          <w:color w:val="000000"/>
          <w:sz w:val="22"/>
          <w:u w:val="single"/>
        </w:rPr>
        <w:t>Professional Fees</w:t>
      </w:r>
      <w:r>
        <w:rPr>
          <w:rFonts w:ascii="Times New Roman" w:hAnsi="Times New Roman"/>
          <w:color w:val="000000"/>
          <w:sz w:val="22"/>
        </w:rPr>
        <w:t>. Borrower promises to pay Agent’s and the Lenders’ reasonable and documented fees and out-of-pocket expenses necessary to finalize the loan documentation, including but not limited to reasonable and documented attorneys’ fees, UCC searches, filing costs, and other miscellaneous out-of-pocket expenses. In addition, Borrower promises to pay any and all reasonable and documented attorneys’ and other professionals’ fees and out of pocket expenses incurred by Agent and the Lenders after the Closing Date in connection with or related to: (a) the Loan; (b) the administration, collection, or enforcement of the Loan; (c) the amendment or modification of the Loan Documents; (d) any waiver, consent, release, or termination under the Loan Documents; (e) the protection, preservation, audit, field exam, sale, lease, liquidation, or disposition of Collateral or the exercise of remedies with respect to the Collateral; (f) any legal, litigation, administrative, arbitration, or out of court proceeding in connection with or related to Borrower or the Collateral, and any appeal or review thereof; and (g) any bankruptcy, restructuring, reorganization, assignment for the benefit of creditors, workout, foreclosure, or other action related to Borrower, the Collateral, the Loan Documents, including representing Agent or the Lenders in any adversary proceeding or contested matter commenced or continued by or on behalf of Borrower’s estate, and any appeal or review thereof.</w:t>
      </w:r>
    </w:p>
    <w:p>
      <w:pPr>
        <w:pStyle w:val="TextBody"/>
        <w:bidi w:val="0"/>
        <w:spacing w:before="0" w:after="240"/>
        <w:jc w:val="both"/>
        <w:rPr>
          <w:rFonts w:ascii="Times New Roman" w:hAnsi="Times New Roman"/>
          <w:sz w:val="20"/>
        </w:rPr>
      </w:pPr>
      <w:r>
        <w:rPr>
          <w:rFonts w:ascii="Times New Roman" w:hAnsi="Times New Roman"/>
          <w:color w:val="000000"/>
          <w:sz w:val="22"/>
        </w:rPr>
        <w:t>11.13</w:t>
      </w:r>
      <w:r>
        <w:rPr>
          <w:rFonts w:ascii="Times New Roman" w:hAnsi="Times New Roman"/>
          <w:color w:val="000000"/>
          <w:sz w:val="20"/>
        </w:rPr>
        <w:t xml:space="preserve"> </w:t>
      </w:r>
      <w:r>
        <w:rPr>
          <w:rFonts w:ascii="Times New Roman" w:hAnsi="Times New Roman"/>
          <w:color w:val="000000"/>
          <w:sz w:val="22"/>
          <w:u w:val="single"/>
        </w:rPr>
        <w:t>Confidentiality</w:t>
      </w:r>
      <w:r>
        <w:rPr>
          <w:rFonts w:ascii="Times New Roman" w:hAnsi="Times New Roman"/>
          <w:color w:val="000000"/>
          <w:sz w:val="22"/>
        </w:rPr>
        <w:t>. Agent and the Lenders acknowledge that certain items of Collateral and information provided to Agent and the Lenders by Borrower are confidential and proprietary information of Borrower, if and to the extent such information either (x) is marked as confidential by Borrower at the time of disclosure, or (y) should reasonably be understood to be confidential (the “</w:t>
      </w:r>
      <w:r>
        <w:rPr>
          <w:rFonts w:ascii="Times New Roman" w:hAnsi="Times New Roman"/>
          <w:color w:val="000000"/>
          <w:sz w:val="22"/>
          <w:u w:val="single"/>
        </w:rPr>
        <w:t>Confidential Information</w:t>
      </w:r>
      <w:r>
        <w:rPr>
          <w:rFonts w:ascii="Times New Roman" w:hAnsi="Times New Roman"/>
          <w:color w:val="000000"/>
          <w:sz w:val="20"/>
        </w:rPr>
        <w:t>”</w:t>
      </w:r>
      <w:r>
        <w:rPr>
          <w:rFonts w:ascii="Times New Roman" w:hAnsi="Times New Roman"/>
          <w:color w:val="000000"/>
          <w:sz w:val="22"/>
        </w:rPr>
        <w:t>). Accordingly, Agent and the Lenders agree that any Confidential Information it may obtain in the course of acquiring, administering, or perfecting Agent’s security interest in the Collateral shall not be disclosed to any other Person or entity in any manner whatsoever, in whole or in part, without the prior written consent of Borrower, except that Agent and the Lenders may disclose any such information: (a) to its Affiliates and its partners, investors, lenders, directors, officers, employees, agents, advisors, counsel, accountants, counsel, representative and other professional advisors if Agent or the Lenders in their sole discretion determines that any such party should have access to such information in connection with such</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party’s responsibilities in connection with the Loan or this Agreement and, provided that such recipient of such Confidential Information either (i) agrees to be bound by the confidentiality provisions of this paragraph or (ii) is otherwise subject to confidentiality restrictions that reasonably protect against the disclosure of Confidential Information; (b) if such information is generally available to the public or to the extent such information becomes publicly available other than as a result of a breach of this Section or becomes available to Agent or any Lender, or any of their respective Affiliates on a non-confidential basis from a source other than the Borrower; (c) if required or appropriate in any report, statement or testimony submitted to any Governmental Authority having or claiming to have jurisdiction over Agent or the Lenders and any rating agency; (d) if required or appropriate in response to any summons or subpoena or in connection with any litigation, to the extent permitted or deemed advisable by Agent’s or the Lenders’ counsel; (e) to comply with any legal requirement or law applicable to Agent or the Lenders or demanded by any Governmental Authority; (f) to the extent reasonably necessary in connection with the exercise of, or preparing to exercise, or the enforcement of, or preparing to enforce, any right or remedy under any Loan Document (including Agent’s sale, lease, or other disposition of Collateral after an Event of Default), or any action or proceeding relating to any Loan Document; (g) to any participant or assignee of Agent or the Lenders permitted hereunder or any prospective participant or assignee permitted hereunder, provided, that such participant or assignee or prospective participant or assignee is subject to confidentiality restrictions that reasonably protect against the disclosure of Confidential Information; (h) to any investor or potential investor (and each of their respective Affiliates or clients) in the Agent or the Lenders (or each of their respective Affiliates); provided that such investor, potential investor, Affiliate or client is subject to confidentiality obligations with respect to the Confidential Information; (i) otherwise to the extent consisting of general portfolio information that does not identify Borrower; or (j) otherwise with the prior consent of Borrower; provided, that any disclosure made in violation of this Agreement shall not affect the obligations of Borrower or any of its Affiliates or any guarantor under this Agreement or the other Loan Documents. Agent’s and the Lenders’ obligations under this Section 11.13 shall supersede all of their respective obligations under the Non-Disclosure Agreement.</w:t>
      </w:r>
    </w:p>
    <w:p>
      <w:pPr>
        <w:pStyle w:val="TextBody"/>
        <w:bidi w:val="0"/>
        <w:spacing w:before="0" w:after="240"/>
        <w:jc w:val="both"/>
        <w:rPr>
          <w:rFonts w:ascii="Times New Roman" w:hAnsi="Times New Roman"/>
          <w:sz w:val="20"/>
        </w:rPr>
      </w:pPr>
      <w:r>
        <w:rPr>
          <w:rFonts w:ascii="Times New Roman" w:hAnsi="Times New Roman"/>
          <w:color w:val="000000"/>
          <w:sz w:val="22"/>
        </w:rPr>
        <w:t>11.14</w:t>
      </w:r>
      <w:r>
        <w:rPr>
          <w:rFonts w:ascii="Times New Roman" w:hAnsi="Times New Roman"/>
          <w:color w:val="000000"/>
          <w:sz w:val="20"/>
        </w:rPr>
        <w:t xml:space="preserve"> </w:t>
      </w:r>
      <w:r>
        <w:rPr>
          <w:rFonts w:ascii="Times New Roman" w:hAnsi="Times New Roman"/>
          <w:color w:val="000000"/>
          <w:sz w:val="22"/>
          <w:u w:val="single"/>
        </w:rPr>
        <w:t>Assignment of Rights</w:t>
      </w:r>
      <w:r>
        <w:rPr>
          <w:rFonts w:ascii="Times New Roman" w:hAnsi="Times New Roman"/>
          <w:color w:val="000000"/>
          <w:sz w:val="22"/>
        </w:rPr>
        <w:t xml:space="preserve">. Borrower acknowledges and understands that Agent or the Lenders may, subject to (and in compliance with) </w:t>
      </w:r>
      <w:r>
        <w:rPr>
          <w:rFonts w:ascii="Times New Roman" w:hAnsi="Times New Roman"/>
          <w:color w:val="000000"/>
          <w:sz w:val="22"/>
          <w:u w:val="single"/>
        </w:rPr>
        <w:t>Section 11.7</w:t>
      </w:r>
      <w:r>
        <w:rPr>
          <w:rFonts w:ascii="Times New Roman" w:hAnsi="Times New Roman"/>
          <w:color w:val="000000"/>
          <w:sz w:val="22"/>
        </w:rPr>
        <w:t>, sell and assign all or part of its interest hereunder and under the Loan Documents to any Person or entity (an “</w:t>
      </w:r>
      <w:r>
        <w:rPr>
          <w:rFonts w:ascii="Times New Roman" w:hAnsi="Times New Roman"/>
          <w:color w:val="000000"/>
          <w:sz w:val="22"/>
          <w:u w:val="single"/>
        </w:rPr>
        <w:t>Assignee</w:t>
      </w:r>
      <w:r>
        <w:rPr>
          <w:rFonts w:ascii="Times New Roman" w:hAnsi="Times New Roman"/>
          <w:color w:val="000000"/>
          <w:sz w:val="20"/>
        </w:rPr>
        <w:t>”</w:t>
      </w:r>
      <w:r>
        <w:rPr>
          <w:rFonts w:ascii="Times New Roman" w:hAnsi="Times New Roman"/>
          <w:color w:val="000000"/>
          <w:sz w:val="22"/>
        </w:rPr>
        <w:t>). After such assignment the term “Agent” or “Lender” as used in the Loan Documents shall mean and include such Assignee, and such Assignee shall be vested with all rights, powers and remedies of Agent and the Lenders hereunder with respect to the interest so assigned; but with respect to any such interest not so transferred, Agent and the Lenders shall retain all rights, powers and remedies hereby given. No such assignment by Agent or the Lenders shall relieve Borrower of any of its obligations hereunder. Each Lender agrees that in the event of any transfer by it of the promissory note(s) (if any), it will endorse thereon a notation as to the portion of the principal of the promissory note(s), which shall have been paid at the time of such transfer and as to the date to which interest shall have been last paid thereon.</w:t>
      </w:r>
    </w:p>
    <w:p>
      <w:pPr>
        <w:pStyle w:val="TextBody"/>
        <w:bidi w:val="0"/>
        <w:spacing w:before="0" w:after="240"/>
        <w:jc w:val="both"/>
        <w:rPr>
          <w:rFonts w:ascii="Times New Roman" w:hAnsi="Times New Roman"/>
          <w:sz w:val="20"/>
        </w:rPr>
      </w:pPr>
      <w:r>
        <w:rPr>
          <w:rFonts w:ascii="Times New Roman" w:hAnsi="Times New Roman"/>
          <w:color w:val="000000"/>
          <w:sz w:val="22"/>
        </w:rPr>
        <w:t>11.15</w:t>
      </w:r>
      <w:r>
        <w:rPr>
          <w:rFonts w:ascii="Times New Roman" w:hAnsi="Times New Roman"/>
          <w:color w:val="000000"/>
          <w:sz w:val="20"/>
        </w:rPr>
        <w:t xml:space="preserve"> </w:t>
      </w:r>
      <w:r>
        <w:rPr>
          <w:rFonts w:ascii="Times New Roman" w:hAnsi="Times New Roman"/>
          <w:color w:val="000000"/>
          <w:sz w:val="22"/>
          <w:u w:val="single"/>
        </w:rPr>
        <w:t>Revival of Secured Obligations</w:t>
      </w:r>
      <w:r>
        <w:rPr>
          <w:rFonts w:ascii="Times New Roman" w:hAnsi="Times New Roman"/>
          <w:color w:val="000000"/>
          <w:sz w:val="22"/>
        </w:rPr>
        <w:t>. This Agreement and the Loan Documents shall remain in full force and effect and continue to be effective if any petition is filed by or against Borrower for liquidation or reorganization, if Borrower becomes insolvent or makes an assignment for the benefit of creditors, if a receiver or trustee is appointed for all or any significant part of Borrower’s assets, or if any payment or transfer of Collateral is recovered from Agent or the Lenders. The Loan Documents and the Secured Obligations and Collateral security shall continue to be effective, or shall be revived or reinstated, as the case may be, if at any time payment and performance of the Secured Obligations or any transfer of Collateral to Agent, or any part thereof is rescinded, avoided or avoidable, reduced in amount, or must otherwise be restored or returned by, or is recovered from, Agent, the Lenders or by any obligee of the Secured Obligations, whether as a “voidable preference,” “fraudulent conveyance,” or otherwise, all as though such payment, performance, or transfer of Collateral had not been made. In the event that any payment, or any part thereof, is rescinded, reduced, avoided, avoidable, restored, returned, or recovered,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Loan Documents and the Secured Obligations shall be deemed, without any further action or documentation, to have been revived and reinstated except to the extent of the full, final, and indefeasible payment to Agent or the Lenders in cash.</w:t>
      </w:r>
    </w:p>
    <w:p>
      <w:pPr>
        <w:pStyle w:val="TextBody"/>
        <w:bidi w:val="0"/>
        <w:spacing w:before="0" w:after="240"/>
        <w:jc w:val="both"/>
        <w:rPr>
          <w:rFonts w:ascii="Times New Roman" w:hAnsi="Times New Roman"/>
          <w:sz w:val="20"/>
        </w:rPr>
      </w:pPr>
      <w:r>
        <w:rPr>
          <w:rFonts w:ascii="Times New Roman" w:hAnsi="Times New Roman"/>
          <w:color w:val="000000"/>
          <w:sz w:val="22"/>
        </w:rPr>
        <w:t>11.16</w:t>
      </w:r>
      <w:r>
        <w:rPr>
          <w:rFonts w:ascii="Times New Roman" w:hAnsi="Times New Roman"/>
          <w:color w:val="000000"/>
          <w:sz w:val="20"/>
        </w:rPr>
        <w:t xml:space="preserve"> </w:t>
      </w:r>
      <w:r>
        <w:rPr>
          <w:rFonts w:ascii="Times New Roman" w:hAnsi="Times New Roman"/>
          <w:color w:val="000000"/>
          <w:sz w:val="22"/>
          <w:u w:val="single"/>
        </w:rPr>
        <w:t>Counterparts</w:t>
      </w:r>
      <w:r>
        <w:rPr>
          <w:rFonts w:ascii="Times New Roman" w:hAnsi="Times New Roman"/>
          <w:color w:val="000000"/>
          <w:sz w:val="22"/>
        </w:rPr>
        <w:t>. This Agreement and any amendments, waivers, consents or supplements hereto may be executed in any number of counterparts, and by different parties hereto in separate counterparts, each of which when so delivered shall be deemed an original, but all of which counterparts shall constitute but one and the same instrument. Delivery of an executed signature page of this Agreement by facsimile or other electronic mail transmission shall be effective as delivery of a manually executed counterpart hereof. A set of the copies of this Agreement signed by all the parties shall be lodged with Borrower and Agent.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California Uniform Electronics Transactions Act, or any other similar state laws based on the Uniform Electronic Transactions Act.</w:t>
      </w:r>
    </w:p>
    <w:p>
      <w:pPr>
        <w:pStyle w:val="TextBody"/>
        <w:bidi w:val="0"/>
        <w:spacing w:before="0" w:after="240"/>
        <w:jc w:val="both"/>
        <w:rPr>
          <w:rFonts w:ascii="Times New Roman" w:hAnsi="Times New Roman"/>
          <w:sz w:val="20"/>
        </w:rPr>
      </w:pPr>
      <w:r>
        <w:rPr>
          <w:rFonts w:ascii="Times New Roman" w:hAnsi="Times New Roman"/>
          <w:color w:val="000000"/>
          <w:sz w:val="22"/>
        </w:rPr>
        <w:t>11.17</w:t>
      </w:r>
      <w:r>
        <w:rPr>
          <w:rFonts w:ascii="Times New Roman" w:hAnsi="Times New Roman"/>
          <w:color w:val="000000"/>
          <w:sz w:val="20"/>
        </w:rPr>
        <w:t xml:space="preserve"> </w:t>
      </w:r>
      <w:r>
        <w:rPr>
          <w:rFonts w:ascii="Times New Roman" w:hAnsi="Times New Roman"/>
          <w:color w:val="000000"/>
          <w:sz w:val="22"/>
          <w:u w:val="single"/>
        </w:rPr>
        <w:t>No Third Party Beneficiaries</w:t>
      </w:r>
      <w:r>
        <w:rPr>
          <w:rFonts w:ascii="Times New Roman" w:hAnsi="Times New Roman"/>
          <w:color w:val="000000"/>
          <w:sz w:val="22"/>
        </w:rPr>
        <w:t>. No provisions of the Loan Documents are intended, nor will be interpreted, to provide or create any third-party beneficiary rights or any other rights of any kind in any Person other than Agent, the Lenders and Borrower unless specifically provided otherwise herein, and, except as otherwise so provided, all provisions of the Loan Documents will be personal and solely among Agent, the Lenders and Borrower.</w:t>
      </w:r>
    </w:p>
    <w:p>
      <w:pPr>
        <w:pStyle w:val="TextBody"/>
        <w:bidi w:val="0"/>
        <w:spacing w:before="0" w:after="240"/>
        <w:jc w:val="both"/>
        <w:rPr>
          <w:rFonts w:ascii="Times New Roman" w:hAnsi="Times New Roman"/>
          <w:sz w:val="20"/>
        </w:rPr>
      </w:pPr>
      <w:r>
        <w:rPr>
          <w:rFonts w:ascii="Times New Roman" w:hAnsi="Times New Roman"/>
          <w:color w:val="000000"/>
          <w:sz w:val="22"/>
        </w:rPr>
        <w:t>11.18</w:t>
      </w:r>
      <w:r>
        <w:rPr>
          <w:rFonts w:ascii="Times New Roman" w:hAnsi="Times New Roman"/>
          <w:color w:val="000000"/>
          <w:sz w:val="20"/>
        </w:rPr>
        <w:t xml:space="preserve"> </w:t>
      </w:r>
      <w:r>
        <w:rPr>
          <w:rFonts w:ascii="Times New Roman" w:hAnsi="Times New Roman"/>
          <w:color w:val="000000"/>
          <w:sz w:val="22"/>
          <w:u w:val="single"/>
        </w:rPr>
        <w:t>Agency</w:t>
      </w:r>
      <w:r>
        <w:rPr>
          <w:rFonts w:ascii="Times New Roman" w:hAnsi="Times New Roman"/>
          <w:color w:val="000000"/>
          <w:sz w:val="22"/>
        </w:rPr>
        <w:t xml:space="preserve">. Agent and each Lender hereby agree to the terms and conditions set forth on </w:t>
      </w:r>
      <w:r>
        <w:rPr>
          <w:rFonts w:ascii="Times New Roman" w:hAnsi="Times New Roman"/>
          <w:color w:val="000000"/>
          <w:sz w:val="22"/>
          <w:u w:val="single"/>
        </w:rPr>
        <w:t>Addendum 4</w:t>
      </w:r>
      <w:r>
        <w:rPr>
          <w:rFonts w:ascii="Times New Roman" w:hAnsi="Times New Roman"/>
          <w:color w:val="000000"/>
          <w:sz w:val="20"/>
        </w:rPr>
        <w:t xml:space="preserve"> </w:t>
      </w:r>
      <w:r>
        <w:rPr>
          <w:rFonts w:ascii="Times New Roman" w:hAnsi="Times New Roman"/>
          <w:color w:val="000000"/>
          <w:sz w:val="22"/>
        </w:rPr>
        <w:t xml:space="preserve">attached hereto. Borrower acknowledges and agrees to the terms and conditions set forth on </w:t>
      </w:r>
      <w:r>
        <w:rPr>
          <w:rFonts w:ascii="Times New Roman" w:hAnsi="Times New Roman"/>
          <w:color w:val="000000"/>
          <w:sz w:val="22"/>
          <w:u w:val="single"/>
        </w:rPr>
        <w:t>Addendum 4</w:t>
      </w:r>
      <w:r>
        <w:rPr>
          <w:rFonts w:ascii="Times New Roman" w:hAnsi="Times New Roman"/>
          <w:color w:val="000000"/>
          <w:sz w:val="22"/>
        </w:rPr>
        <w:t>attached hereto.</w:t>
      </w:r>
    </w:p>
    <w:p>
      <w:pPr>
        <w:pStyle w:val="TextBody"/>
        <w:bidi w:val="0"/>
        <w:spacing w:before="0" w:after="240"/>
        <w:jc w:val="both"/>
        <w:rPr>
          <w:rFonts w:ascii="Times New Roman" w:hAnsi="Times New Roman"/>
          <w:sz w:val="20"/>
        </w:rPr>
      </w:pPr>
      <w:r>
        <w:rPr>
          <w:rFonts w:ascii="Times New Roman" w:hAnsi="Times New Roman"/>
          <w:color w:val="000000"/>
          <w:sz w:val="22"/>
        </w:rPr>
        <w:t>11.19</w:t>
      </w:r>
      <w:r>
        <w:rPr>
          <w:rFonts w:ascii="Times New Roman" w:hAnsi="Times New Roman"/>
          <w:color w:val="000000"/>
          <w:sz w:val="20"/>
        </w:rPr>
        <w:t xml:space="preserve"> </w:t>
      </w:r>
      <w:r>
        <w:rPr>
          <w:rFonts w:ascii="Times New Roman" w:hAnsi="Times New Roman"/>
          <w:color w:val="000000"/>
          <w:sz w:val="22"/>
          <w:u w:val="single"/>
        </w:rPr>
        <w:t>Publicity</w:t>
      </w:r>
      <w:r>
        <w:rPr>
          <w:rFonts w:ascii="Times New Roman" w:hAnsi="Times New Roman"/>
          <w:color w:val="000000"/>
          <w:sz w:val="22"/>
        </w:rPr>
        <w:t xml:space="preserve">. None of the parties hereto nor any of its respective member businesses and Affiliates shall, without the other parties’ prior written consent (which shall not be unreasonably withheld or delayed), publicize or use (a) the other party’s name (including a brief description of the relationship among the parties hereto), logo or hyperlink to such other parties’ web site, separately or together, in written and oral presentations, advertising, promotional and marketing materials, client lists, public relations materials or on its web site (together, the “Publicity Materials”); (b) the names of officers of such other parties in the Publicity Materials; and (c) such other parties’ name, trademarks, servicemarks in any news or press release concerning such party; provided however, notwithstanding anything to the contrary herein, no such consent shall be required (i) to the extent necessary to comply with the requests of any regulators, legal requirements or laws applicable to such party, pursuant to any listing agreement with any national securities exchange (so long as such party provides prior notice to the other party hereto to the extent reasonably practicable) and (ii) to comply with </w:t>
      </w:r>
      <w:r>
        <w:rPr>
          <w:rFonts w:ascii="Times New Roman" w:hAnsi="Times New Roman"/>
          <w:color w:val="000000"/>
          <w:sz w:val="22"/>
          <w:u w:val="single"/>
        </w:rPr>
        <w:t>Section 11.13</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11.20</w:t>
      </w:r>
      <w:r>
        <w:rPr>
          <w:rFonts w:ascii="Times New Roman" w:hAnsi="Times New Roman"/>
          <w:color w:val="000000"/>
          <w:sz w:val="20"/>
        </w:rPr>
        <w:t xml:space="preserve"> </w:t>
      </w:r>
      <w:r>
        <w:rPr>
          <w:rFonts w:ascii="Times New Roman" w:hAnsi="Times New Roman"/>
          <w:color w:val="000000"/>
          <w:sz w:val="22"/>
          <w:u w:val="single"/>
        </w:rPr>
        <w:t>Multiple Borrowers</w:t>
      </w:r>
      <w:r>
        <w:rPr>
          <w:rFonts w:ascii="Times New Roman" w:hAnsi="Times New Roman"/>
          <w:color w:val="000000"/>
          <w:sz w:val="22"/>
        </w:rPr>
        <w:t xml:space="preserve">. Each Borrower hereby agrees to the terms and conditions set forth on </w:t>
      </w:r>
      <w:r>
        <w:rPr>
          <w:rFonts w:ascii="Times New Roman" w:hAnsi="Times New Roman"/>
          <w:color w:val="000000"/>
          <w:sz w:val="22"/>
          <w:u w:val="single"/>
        </w:rPr>
        <w:t>Addendum 5</w:t>
      </w:r>
      <w:r>
        <w:rPr>
          <w:rFonts w:ascii="Times New Roman" w:hAnsi="Times New Roman"/>
          <w:color w:val="000000"/>
          <w:sz w:val="20"/>
        </w:rPr>
        <w:t xml:space="preserve"> </w:t>
      </w:r>
      <w:r>
        <w:rPr>
          <w:rFonts w:ascii="Times New Roman" w:hAnsi="Times New Roman"/>
          <w:color w:val="000000"/>
          <w:sz w:val="22"/>
        </w:rPr>
        <w:t>attached hereto.</w:t>
      </w:r>
    </w:p>
    <w:p>
      <w:pPr>
        <w:pStyle w:val="TextBody"/>
        <w:bidi w:val="0"/>
        <w:spacing w:before="0" w:after="240"/>
        <w:jc w:val="both"/>
        <w:rPr>
          <w:rFonts w:ascii="Times New Roman" w:hAnsi="Times New Roman"/>
          <w:sz w:val="20"/>
        </w:rPr>
      </w:pPr>
      <w:r>
        <w:rPr>
          <w:rFonts w:ascii="Times New Roman" w:hAnsi="Times New Roman"/>
          <w:color w:val="000000"/>
          <w:sz w:val="22"/>
        </w:rPr>
        <w:t>11.21</w:t>
      </w:r>
      <w:r>
        <w:rPr>
          <w:rFonts w:ascii="Times New Roman" w:hAnsi="Times New Roman"/>
          <w:color w:val="000000"/>
          <w:sz w:val="20"/>
        </w:rPr>
        <w:t xml:space="preserve"> </w:t>
      </w:r>
      <w:r>
        <w:rPr>
          <w:rFonts w:ascii="Times New Roman" w:hAnsi="Times New Roman"/>
          <w:color w:val="000000"/>
          <w:sz w:val="22"/>
          <w:u w:val="single"/>
        </w:rPr>
        <w:t>Managerial Assistance</w:t>
      </w:r>
      <w:r>
        <w:rPr>
          <w:rFonts w:ascii="Times New Roman" w:hAnsi="Times New Roman"/>
          <w:color w:val="000000"/>
          <w:sz w:val="22"/>
        </w:rPr>
        <w:t>. Borrower acknowledges that Hercules Capital, Inc .has elected to be regulated as a business development company under the 1940 Act, and as such is required to make available significant managerial assistance to its portfolio companies. Significant managerial assistance may include, but is not limited to, guidance and counsel concerning the portfolio company’s management, operations, business objectives and policies, arrangement of financing, management of relationships with financing sources, recruitment of management personnel and evaluation of acquisition and divestiture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opportunities. Borrower hereby acknowledges and agrees that it may request such assistance at any time from Hercules Capital, Inc. by contacting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WITNESS WHEREOF, Borrower, Agent and the Lenders have duly executed and delivered this Loan and Security Agreement as of the day and year first above written.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BORROWER:</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DISC MEDICINE, INC.</w:t>
      </w:r>
    </w:p>
    <w:p>
      <w:pPr>
        <w:pStyle w:val="TextBody"/>
        <w:bidi w:val="0"/>
        <w:spacing w:before="0" w:after="240"/>
        <w:jc w:val="left"/>
        <w:rPr>
          <w:rFonts w:ascii="Times New Roman" w:hAnsi="Times New Roman"/>
          <w:sz w:val="20"/>
        </w:rPr>
      </w:pPr>
      <w:r>
        <w:rPr>
          <w:rFonts w:ascii="Times New Roman" w:hAnsi="Times New Roman"/>
          <w:color w:val="000000"/>
          <w:sz w:val="22"/>
        </w:rPr>
        <w:t>Signature:</w:t>
      </w:r>
      <w:r>
        <w:rPr>
          <w:rFonts w:ascii="Times New Roman" w:hAnsi="Times New Roman"/>
          <w:color w:val="000000"/>
          <w:sz w:val="20"/>
        </w:rPr>
        <w:t xml:space="preserve"> </w:t>
      </w:r>
      <w:r>
        <w:rPr>
          <w:rFonts w:ascii="Times New Roman" w:hAnsi="Times New Roman"/>
          <w:color w:val="000000"/>
          <w:sz w:val="22"/>
          <w:u w:val="single"/>
        </w:rPr>
        <w:t>/s/ Jean Franchi</w:t>
      </w:r>
      <w:r>
        <w:rPr>
          <w:rFonts w:ascii="Times New Roman" w:hAnsi="Times New Roman"/>
          <w:color w:val="000000"/>
          <w:sz w:val="20"/>
          <w:u w:val="single"/>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Print Name:</w:t>
      </w:r>
      <w:r>
        <w:rPr>
          <w:rFonts w:ascii="Times New Roman" w:hAnsi="Times New Roman"/>
          <w:color w:val="000000"/>
          <w:sz w:val="20"/>
        </w:rPr>
        <w:t xml:space="preserve"> </w:t>
      </w:r>
      <w:r>
        <w:rPr>
          <w:rFonts w:ascii="Times New Roman" w:hAnsi="Times New Roman"/>
          <w:color w:val="000000"/>
          <w:sz w:val="22"/>
          <w:u w:val="single"/>
        </w:rPr>
        <w:t>Jean Franchi</w:t>
      </w:r>
      <w:r>
        <w:rPr>
          <w:rFonts w:ascii="Times New Roman" w:hAnsi="Times New Roman"/>
          <w:color w:val="000000"/>
          <w:sz w:val="20"/>
          <w:u w:val="single"/>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Title:</w:t>
      </w:r>
      <w:r>
        <w:rPr>
          <w:rFonts w:ascii="Times New Roman" w:hAnsi="Times New Roman"/>
          <w:color w:val="000000"/>
          <w:sz w:val="20"/>
        </w:rPr>
        <w:t xml:space="preserve"> </w:t>
      </w:r>
      <w:r>
        <w:rPr>
          <w:rFonts w:ascii="Times New Roman" w:hAnsi="Times New Roman"/>
          <w:color w:val="000000"/>
          <w:sz w:val="22"/>
          <w:u w:val="single"/>
        </w:rPr>
        <w:t>Chief Financial Officer</w:t>
      </w:r>
      <w:r>
        <w:rPr>
          <w:rFonts w:ascii="Times New Roman" w:hAnsi="Times New Roman"/>
          <w:color w:val="000000"/>
          <w:sz w:val="20"/>
          <w:u w:val="single"/>
        </w:rPr>
        <w:t xml:space="preserve"> </w:t>
      </w:r>
    </w:p>
    <w:p>
      <w:pPr>
        <w:pStyle w:val="TextBody"/>
        <w:bidi w:val="0"/>
        <w:jc w:val="left"/>
        <w:rPr/>
      </w:pPr>
      <w:r>
        <w:rPr/>
        <w:t> </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DISC MEDICINE OPCO, INC.</w:t>
      </w:r>
    </w:p>
    <w:p>
      <w:pPr>
        <w:pStyle w:val="TextBody"/>
        <w:bidi w:val="0"/>
        <w:spacing w:before="0" w:after="240"/>
        <w:jc w:val="left"/>
        <w:rPr>
          <w:rFonts w:ascii="Times New Roman" w:hAnsi="Times New Roman"/>
          <w:sz w:val="20"/>
        </w:rPr>
      </w:pPr>
      <w:r>
        <w:rPr>
          <w:rFonts w:ascii="Times New Roman" w:hAnsi="Times New Roman"/>
          <w:color w:val="000000"/>
          <w:sz w:val="22"/>
        </w:rPr>
        <w:t>Signature:</w:t>
      </w:r>
      <w:r>
        <w:rPr>
          <w:rFonts w:ascii="Times New Roman" w:hAnsi="Times New Roman"/>
          <w:color w:val="000000"/>
          <w:sz w:val="20"/>
        </w:rPr>
        <w:t xml:space="preserve"> </w:t>
      </w:r>
      <w:r>
        <w:rPr>
          <w:rFonts w:ascii="Times New Roman" w:hAnsi="Times New Roman"/>
          <w:color w:val="000000"/>
          <w:sz w:val="22"/>
          <w:u w:val="single"/>
        </w:rPr>
        <w:t>/s/ Jean Franchi</w:t>
      </w:r>
      <w:r>
        <w:rPr>
          <w:rFonts w:ascii="Times New Roman" w:hAnsi="Times New Roman"/>
          <w:color w:val="000000"/>
          <w:sz w:val="20"/>
          <w:u w:val="single"/>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Print Name:</w:t>
      </w:r>
      <w:r>
        <w:rPr>
          <w:rFonts w:ascii="Times New Roman" w:hAnsi="Times New Roman"/>
          <w:color w:val="000000"/>
          <w:sz w:val="20"/>
        </w:rPr>
        <w:t xml:space="preserve"> </w:t>
      </w:r>
      <w:r>
        <w:rPr>
          <w:rFonts w:ascii="Times New Roman" w:hAnsi="Times New Roman"/>
          <w:color w:val="000000"/>
          <w:sz w:val="22"/>
          <w:u w:val="single"/>
        </w:rPr>
        <w:t>Jean Franchi</w:t>
      </w:r>
      <w:r>
        <w:rPr>
          <w:rFonts w:ascii="Times New Roman" w:hAnsi="Times New Roman"/>
          <w:color w:val="000000"/>
          <w:sz w:val="20"/>
          <w:u w:val="single"/>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Title:</w:t>
      </w:r>
      <w:r>
        <w:rPr>
          <w:rFonts w:ascii="Times New Roman" w:hAnsi="Times New Roman"/>
          <w:color w:val="000000"/>
          <w:sz w:val="20"/>
        </w:rPr>
        <w:t xml:space="preserve"> </w:t>
      </w:r>
      <w:r>
        <w:rPr>
          <w:rFonts w:ascii="Times New Roman" w:hAnsi="Times New Roman"/>
          <w:color w:val="000000"/>
          <w:sz w:val="22"/>
          <w:u w:val="single"/>
        </w:rPr>
        <w:t>Chief Financial Officer</w:t>
      </w:r>
      <w:r>
        <w:rPr>
          <w:rFonts w:ascii="Times New Roman" w:hAnsi="Times New Roman"/>
          <w:color w:val="000000"/>
          <w:sz w:val="20"/>
          <w:u w:val="single"/>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[Signature Page to Loan and Security Agreement (Hercules/Disc Med)]</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AGENT:</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HERCULES CAPITAL, INC</w:t>
      </w:r>
    </w:p>
    <w:p>
      <w:pPr>
        <w:pStyle w:val="TextBody"/>
        <w:bidi w:val="0"/>
        <w:spacing w:before="0" w:after="240"/>
        <w:jc w:val="left"/>
        <w:rPr>
          <w:rFonts w:ascii="Times New Roman" w:hAnsi="Times New Roman"/>
          <w:sz w:val="20"/>
        </w:rPr>
      </w:pPr>
      <w:r>
        <w:rPr>
          <w:rFonts w:ascii="Times New Roman" w:hAnsi="Times New Roman"/>
          <w:color w:val="000000"/>
          <w:sz w:val="22"/>
        </w:rPr>
        <w:t>Signature:</w:t>
      </w:r>
      <w:r>
        <w:rPr>
          <w:rFonts w:ascii="Times New Roman" w:hAnsi="Times New Roman"/>
          <w:color w:val="000000"/>
          <w:sz w:val="20"/>
        </w:rPr>
        <w:t xml:space="preserve"> </w:t>
      </w:r>
      <w:r>
        <w:rPr>
          <w:rFonts w:ascii="Times New Roman" w:hAnsi="Times New Roman"/>
          <w:color w:val="000000"/>
          <w:sz w:val="22"/>
          <w:u w:val="single"/>
        </w:rPr>
        <w:t>/s/ Seth Meyer</w:t>
      </w:r>
      <w:r>
        <w:rPr>
          <w:rFonts w:ascii="Times New Roman" w:hAnsi="Times New Roman"/>
          <w:color w:val="000000"/>
          <w:sz w:val="20"/>
          <w:u w:val="single"/>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Print Name:</w:t>
      </w:r>
      <w:r>
        <w:rPr>
          <w:rFonts w:ascii="Times New Roman" w:hAnsi="Times New Roman"/>
          <w:color w:val="000000"/>
          <w:sz w:val="20"/>
        </w:rPr>
        <w:t xml:space="preserve"> </w:t>
      </w:r>
      <w:r>
        <w:rPr>
          <w:rFonts w:ascii="Times New Roman" w:hAnsi="Times New Roman"/>
          <w:color w:val="000000"/>
          <w:sz w:val="22"/>
        </w:rPr>
        <w:t>Seth Meyer</w:t>
      </w:r>
    </w:p>
    <w:p>
      <w:pPr>
        <w:pStyle w:val="TextBody"/>
        <w:bidi w:val="0"/>
        <w:spacing w:before="0" w:after="240"/>
        <w:jc w:val="left"/>
        <w:rPr>
          <w:rFonts w:ascii="Times New Roman" w:hAnsi="Times New Roman"/>
          <w:sz w:val="20"/>
        </w:rPr>
      </w:pPr>
      <w:r>
        <w:rPr>
          <w:rFonts w:ascii="Times New Roman" w:hAnsi="Times New Roman"/>
          <w:color w:val="000000"/>
          <w:sz w:val="22"/>
        </w:rPr>
        <w:t>Title:</w:t>
      </w:r>
      <w:r>
        <w:rPr>
          <w:rFonts w:ascii="Times New Roman" w:hAnsi="Times New Roman"/>
          <w:color w:val="000000"/>
          <w:sz w:val="20"/>
        </w:rPr>
        <w:t xml:space="preserve"> </w:t>
      </w:r>
      <w:r>
        <w:rPr>
          <w:rFonts w:ascii="Times New Roman" w:hAnsi="Times New Roman"/>
          <w:color w:val="000000"/>
          <w:sz w:val="22"/>
        </w:rPr>
        <w:t>Authorized Signatory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[Signature Page to Loan and Security Agreement (Hercules/Disc Med)]</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LENDERS:</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HERCULES CAPITAL, INC</w:t>
      </w:r>
    </w:p>
    <w:p>
      <w:pPr>
        <w:pStyle w:val="TextBody"/>
        <w:bidi w:val="0"/>
        <w:spacing w:before="0" w:after="240"/>
        <w:jc w:val="left"/>
        <w:rPr>
          <w:rFonts w:ascii="Times New Roman" w:hAnsi="Times New Roman"/>
          <w:sz w:val="20"/>
        </w:rPr>
      </w:pPr>
      <w:r>
        <w:rPr>
          <w:rFonts w:ascii="Times New Roman" w:hAnsi="Times New Roman"/>
          <w:color w:val="000000"/>
          <w:sz w:val="22"/>
        </w:rPr>
        <w:t>Signature:</w:t>
      </w:r>
      <w:r>
        <w:rPr>
          <w:rFonts w:ascii="Times New Roman" w:hAnsi="Times New Roman"/>
          <w:color w:val="000000"/>
          <w:sz w:val="20"/>
        </w:rPr>
        <w:t xml:space="preserve"> </w:t>
      </w:r>
      <w:r>
        <w:rPr>
          <w:rFonts w:ascii="Times New Roman" w:hAnsi="Times New Roman"/>
          <w:color w:val="000000"/>
          <w:sz w:val="22"/>
          <w:u w:val="single"/>
        </w:rPr>
        <w:t>/s/ Seth Meyer</w:t>
      </w:r>
      <w:r>
        <w:rPr>
          <w:rFonts w:ascii="Times New Roman" w:hAnsi="Times New Roman"/>
          <w:color w:val="000000"/>
          <w:sz w:val="20"/>
          <w:u w:val="single"/>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Print Name:</w:t>
      </w:r>
      <w:r>
        <w:rPr>
          <w:rFonts w:ascii="Times New Roman" w:hAnsi="Times New Roman"/>
          <w:color w:val="000000"/>
          <w:sz w:val="20"/>
        </w:rPr>
        <w:t xml:space="preserve"> </w:t>
      </w:r>
      <w:r>
        <w:rPr>
          <w:rFonts w:ascii="Times New Roman" w:hAnsi="Times New Roman"/>
          <w:color w:val="000000"/>
          <w:sz w:val="22"/>
        </w:rPr>
        <w:t>Seth Meyer</w:t>
      </w:r>
    </w:p>
    <w:p>
      <w:pPr>
        <w:pStyle w:val="TextBody"/>
        <w:bidi w:val="0"/>
        <w:spacing w:before="0" w:after="240"/>
        <w:jc w:val="left"/>
        <w:rPr>
          <w:rFonts w:ascii="Times New Roman" w:hAnsi="Times New Roman"/>
          <w:sz w:val="20"/>
        </w:rPr>
      </w:pPr>
      <w:r>
        <w:rPr>
          <w:rFonts w:ascii="Times New Roman" w:hAnsi="Times New Roman"/>
          <w:color w:val="000000"/>
          <w:sz w:val="22"/>
        </w:rPr>
        <w:t>Title:</w:t>
      </w:r>
      <w:r>
        <w:rPr>
          <w:rFonts w:ascii="Times New Roman" w:hAnsi="Times New Roman"/>
          <w:color w:val="000000"/>
          <w:sz w:val="20"/>
        </w:rPr>
        <w:t xml:space="preserve"> </w:t>
      </w:r>
      <w:r>
        <w:rPr>
          <w:rFonts w:ascii="Times New Roman" w:hAnsi="Times New Roman"/>
          <w:color w:val="000000"/>
          <w:sz w:val="22"/>
        </w:rPr>
        <w:t>Authorized Signatory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[Signature Page to Loan and Security Agreement (Hercules/Disc Med)]</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LENDER:</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HERCULES CAPITAL IV, L.P.</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By: Hercules Technology SBIC Management, LLC, its General Partner</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By Hercules Capital, Inc., its Manager</w:t>
      </w:r>
    </w:p>
    <w:p>
      <w:pPr>
        <w:pStyle w:val="TextBody"/>
        <w:bidi w:val="0"/>
        <w:spacing w:before="0" w:after="240"/>
        <w:jc w:val="left"/>
        <w:rPr>
          <w:rFonts w:ascii="Times New Roman" w:hAnsi="Times New Roman"/>
          <w:sz w:val="20"/>
        </w:rPr>
      </w:pPr>
      <w:r>
        <w:rPr>
          <w:rFonts w:ascii="Times New Roman" w:hAnsi="Times New Roman"/>
          <w:color w:val="000000"/>
          <w:sz w:val="22"/>
        </w:rPr>
        <w:t>Signature:</w:t>
      </w:r>
      <w:r>
        <w:rPr>
          <w:rFonts w:ascii="Times New Roman" w:hAnsi="Times New Roman"/>
          <w:color w:val="000000"/>
          <w:sz w:val="20"/>
        </w:rPr>
        <w:t xml:space="preserve"> </w:t>
      </w:r>
      <w:r>
        <w:rPr>
          <w:rFonts w:ascii="Times New Roman" w:hAnsi="Times New Roman"/>
          <w:color w:val="000000"/>
          <w:sz w:val="22"/>
          <w:u w:val="single"/>
        </w:rPr>
        <w:t>/s/ Seth Meyer</w:t>
      </w:r>
      <w:r>
        <w:rPr>
          <w:rFonts w:ascii="Times New Roman" w:hAnsi="Times New Roman"/>
          <w:color w:val="000000"/>
          <w:sz w:val="20"/>
          <w:u w:val="single"/>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Print Name:</w:t>
      </w:r>
      <w:r>
        <w:rPr>
          <w:rFonts w:ascii="Times New Roman" w:hAnsi="Times New Roman"/>
          <w:color w:val="000000"/>
          <w:sz w:val="20"/>
        </w:rPr>
        <w:t xml:space="preserve"> </w:t>
      </w:r>
      <w:r>
        <w:rPr>
          <w:rFonts w:ascii="Times New Roman" w:hAnsi="Times New Roman"/>
          <w:color w:val="000000"/>
          <w:sz w:val="22"/>
        </w:rPr>
        <w:t>Seth Meyer</w:t>
      </w:r>
    </w:p>
    <w:p>
      <w:pPr>
        <w:pStyle w:val="TextBody"/>
        <w:bidi w:val="0"/>
        <w:spacing w:before="0" w:after="240"/>
        <w:jc w:val="left"/>
        <w:rPr>
          <w:rFonts w:ascii="Times New Roman" w:hAnsi="Times New Roman"/>
          <w:sz w:val="20"/>
        </w:rPr>
      </w:pPr>
      <w:r>
        <w:rPr>
          <w:rFonts w:ascii="Times New Roman" w:hAnsi="Times New Roman"/>
          <w:color w:val="000000"/>
          <w:sz w:val="22"/>
        </w:rPr>
        <w:t>Title:</w:t>
      </w:r>
      <w:r>
        <w:rPr>
          <w:rFonts w:ascii="Times New Roman" w:hAnsi="Times New Roman"/>
          <w:color w:val="000000"/>
          <w:sz w:val="20"/>
        </w:rPr>
        <w:t xml:space="preserve"> </w:t>
      </w:r>
      <w:r>
        <w:rPr>
          <w:rFonts w:ascii="Times New Roman" w:hAnsi="Times New Roman"/>
          <w:color w:val="000000"/>
          <w:sz w:val="22"/>
        </w:rPr>
        <w:t>Authorized Signatory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[Signature Page to Loan and Security Agreement (Hercules/Disc Med)]</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LENDER:</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HERCULES SBIC V, L.P.</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By: Hercules Technology SBIC Management, LLC, its General Partner</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By Hercules Capital, Inc., its Manager</w:t>
      </w:r>
    </w:p>
    <w:p>
      <w:pPr>
        <w:pStyle w:val="TextBody"/>
        <w:bidi w:val="0"/>
        <w:spacing w:before="0" w:after="240"/>
        <w:jc w:val="left"/>
        <w:rPr>
          <w:rFonts w:ascii="Times New Roman" w:hAnsi="Times New Roman"/>
          <w:sz w:val="20"/>
        </w:rPr>
      </w:pPr>
      <w:r>
        <w:rPr>
          <w:rFonts w:ascii="Times New Roman" w:hAnsi="Times New Roman"/>
          <w:color w:val="000000"/>
          <w:sz w:val="22"/>
        </w:rPr>
        <w:t>Signature:</w:t>
      </w:r>
      <w:r>
        <w:rPr>
          <w:rFonts w:ascii="Times New Roman" w:hAnsi="Times New Roman"/>
          <w:color w:val="000000"/>
          <w:sz w:val="20"/>
        </w:rPr>
        <w:t xml:space="preserve"> </w:t>
      </w:r>
      <w:r>
        <w:rPr>
          <w:rFonts w:ascii="Times New Roman" w:hAnsi="Times New Roman"/>
          <w:color w:val="000000"/>
          <w:sz w:val="22"/>
          <w:u w:val="single"/>
        </w:rPr>
        <w:t>/s/ Seth Meyer</w:t>
      </w:r>
      <w:r>
        <w:rPr>
          <w:rFonts w:ascii="Times New Roman" w:hAnsi="Times New Roman"/>
          <w:color w:val="000000"/>
          <w:sz w:val="20"/>
          <w:u w:val="single"/>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Print Name:</w:t>
      </w:r>
      <w:r>
        <w:rPr>
          <w:rFonts w:ascii="Times New Roman" w:hAnsi="Times New Roman"/>
          <w:color w:val="000000"/>
          <w:sz w:val="20"/>
        </w:rPr>
        <w:t xml:space="preserve"> </w:t>
      </w:r>
      <w:r>
        <w:rPr>
          <w:rFonts w:ascii="Times New Roman" w:hAnsi="Times New Roman"/>
          <w:color w:val="000000"/>
          <w:sz w:val="22"/>
        </w:rPr>
        <w:t>Seth Meyer</w:t>
      </w:r>
    </w:p>
    <w:p>
      <w:pPr>
        <w:pStyle w:val="TextBody"/>
        <w:bidi w:val="0"/>
        <w:spacing w:before="0" w:after="240"/>
        <w:jc w:val="left"/>
        <w:rPr>
          <w:rFonts w:ascii="Times New Roman" w:hAnsi="Times New Roman"/>
          <w:sz w:val="20"/>
        </w:rPr>
      </w:pPr>
      <w:r>
        <w:rPr>
          <w:rFonts w:ascii="Times New Roman" w:hAnsi="Times New Roman"/>
          <w:color w:val="000000"/>
          <w:sz w:val="22"/>
        </w:rPr>
        <w:t>Title:</w:t>
      </w:r>
      <w:r>
        <w:rPr>
          <w:rFonts w:ascii="Times New Roman" w:hAnsi="Times New Roman"/>
          <w:color w:val="000000"/>
          <w:sz w:val="20"/>
        </w:rPr>
        <w:t xml:space="preserve"> </w:t>
      </w:r>
      <w:r>
        <w:rPr>
          <w:rFonts w:ascii="Times New Roman" w:hAnsi="Times New Roman"/>
          <w:color w:val="000000"/>
          <w:sz w:val="22"/>
        </w:rPr>
        <w:t>Authorized Signatory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[Signature Page to Loan and Security Agreement (Hercules/Disc Med)]</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LENDER:</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HERCULES CAPITAL PRIVATE CREDIT FUND 1 L.P.</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By: Hercules Adviser LLC, its Investment Adviser</w:t>
      </w:r>
    </w:p>
    <w:p>
      <w:pPr>
        <w:pStyle w:val="TextBody"/>
        <w:bidi w:val="0"/>
        <w:spacing w:before="0" w:after="240"/>
        <w:jc w:val="left"/>
        <w:rPr>
          <w:rFonts w:ascii="Times New Roman" w:hAnsi="Times New Roman"/>
          <w:sz w:val="20"/>
        </w:rPr>
      </w:pPr>
      <w:r>
        <w:rPr>
          <w:rFonts w:ascii="Times New Roman" w:hAnsi="Times New Roman"/>
          <w:color w:val="000000"/>
          <w:sz w:val="22"/>
        </w:rPr>
        <w:t>Signature:</w:t>
      </w:r>
      <w:r>
        <w:rPr>
          <w:rFonts w:ascii="Times New Roman" w:hAnsi="Times New Roman"/>
          <w:color w:val="000000"/>
          <w:sz w:val="20"/>
        </w:rPr>
        <w:t xml:space="preserve"> </w:t>
      </w:r>
      <w:r>
        <w:rPr>
          <w:rFonts w:ascii="Times New Roman" w:hAnsi="Times New Roman"/>
          <w:color w:val="000000"/>
          <w:sz w:val="22"/>
          <w:u w:val="single"/>
        </w:rPr>
        <w:t>/s/ Seth Meyer</w:t>
      </w:r>
      <w:r>
        <w:rPr>
          <w:rFonts w:ascii="Times New Roman" w:hAnsi="Times New Roman"/>
          <w:color w:val="000000"/>
          <w:sz w:val="20"/>
          <w:u w:val="single"/>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Print Name:</w:t>
      </w:r>
      <w:r>
        <w:rPr>
          <w:rFonts w:ascii="Times New Roman" w:hAnsi="Times New Roman"/>
          <w:color w:val="000000"/>
          <w:sz w:val="20"/>
        </w:rPr>
        <w:t xml:space="preserve"> </w:t>
      </w:r>
      <w:r>
        <w:rPr>
          <w:rFonts w:ascii="Times New Roman" w:hAnsi="Times New Roman"/>
          <w:color w:val="000000"/>
          <w:sz w:val="22"/>
        </w:rPr>
        <w:t>Seth Meyer</w:t>
      </w:r>
    </w:p>
    <w:p>
      <w:pPr>
        <w:pStyle w:val="TextBody"/>
        <w:bidi w:val="0"/>
        <w:spacing w:before="0" w:after="240"/>
        <w:jc w:val="left"/>
        <w:rPr>
          <w:rFonts w:ascii="Times New Roman" w:hAnsi="Times New Roman"/>
          <w:sz w:val="20"/>
        </w:rPr>
      </w:pPr>
      <w:r>
        <w:rPr>
          <w:rFonts w:ascii="Times New Roman" w:hAnsi="Times New Roman"/>
          <w:color w:val="000000"/>
          <w:sz w:val="22"/>
        </w:rPr>
        <w:t>Title:</w:t>
      </w:r>
      <w:r>
        <w:rPr>
          <w:rFonts w:ascii="Times New Roman" w:hAnsi="Times New Roman"/>
          <w:color w:val="000000"/>
          <w:sz w:val="20"/>
        </w:rPr>
        <w:t xml:space="preserve"> </w:t>
      </w:r>
      <w:r>
        <w:rPr>
          <w:rFonts w:ascii="Times New Roman" w:hAnsi="Times New Roman"/>
          <w:color w:val="000000"/>
          <w:sz w:val="22"/>
        </w:rPr>
        <w:t>Authorized Signatory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[Signature Page to Loan and Security Agreement (Hercules/Disc Med)]</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LENDER:</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HERCULES PRIVATE GLOBAL VENTURE GROWTH FUND I L.P.</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By: Hercules Adviser LLC, its Investment Adviser</w:t>
      </w:r>
    </w:p>
    <w:p>
      <w:pPr>
        <w:pStyle w:val="TextBody"/>
        <w:bidi w:val="0"/>
        <w:spacing w:before="0" w:after="240"/>
        <w:jc w:val="left"/>
        <w:rPr>
          <w:rFonts w:ascii="Times New Roman" w:hAnsi="Times New Roman"/>
          <w:sz w:val="20"/>
        </w:rPr>
      </w:pPr>
      <w:r>
        <w:rPr>
          <w:rFonts w:ascii="Times New Roman" w:hAnsi="Times New Roman"/>
          <w:color w:val="000000"/>
          <w:sz w:val="22"/>
        </w:rPr>
        <w:t>Signature:</w:t>
      </w:r>
      <w:r>
        <w:rPr>
          <w:rFonts w:ascii="Times New Roman" w:hAnsi="Times New Roman"/>
          <w:color w:val="000000"/>
          <w:sz w:val="20"/>
        </w:rPr>
        <w:t xml:space="preserve"> </w:t>
      </w:r>
      <w:r>
        <w:rPr>
          <w:rFonts w:ascii="Times New Roman" w:hAnsi="Times New Roman"/>
          <w:color w:val="000000"/>
          <w:sz w:val="22"/>
          <w:u w:val="single"/>
        </w:rPr>
        <w:t>/s/ Seth Meyer</w:t>
      </w:r>
      <w:r>
        <w:rPr>
          <w:rFonts w:ascii="Times New Roman" w:hAnsi="Times New Roman"/>
          <w:color w:val="000000"/>
          <w:sz w:val="20"/>
          <w:u w:val="single"/>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Print Name:</w:t>
      </w:r>
      <w:r>
        <w:rPr>
          <w:rFonts w:ascii="Times New Roman" w:hAnsi="Times New Roman"/>
          <w:color w:val="000000"/>
          <w:sz w:val="20"/>
        </w:rPr>
        <w:t xml:space="preserve"> </w:t>
      </w:r>
      <w:r>
        <w:rPr>
          <w:rFonts w:ascii="Times New Roman" w:hAnsi="Times New Roman"/>
          <w:color w:val="000000"/>
          <w:sz w:val="22"/>
        </w:rPr>
        <w:t>Seth Meyer</w:t>
      </w:r>
    </w:p>
    <w:p>
      <w:pPr>
        <w:pStyle w:val="TextBody"/>
        <w:bidi w:val="0"/>
        <w:spacing w:before="0" w:after="240"/>
        <w:jc w:val="left"/>
        <w:rPr>
          <w:rFonts w:ascii="Times New Roman" w:hAnsi="Times New Roman"/>
          <w:sz w:val="20"/>
        </w:rPr>
      </w:pPr>
      <w:r>
        <w:rPr>
          <w:rFonts w:ascii="Times New Roman" w:hAnsi="Times New Roman"/>
          <w:color w:val="000000"/>
          <w:sz w:val="22"/>
        </w:rPr>
        <w:t>Title:</w:t>
      </w:r>
      <w:r>
        <w:rPr>
          <w:rFonts w:ascii="Times New Roman" w:hAnsi="Times New Roman"/>
          <w:color w:val="000000"/>
          <w:sz w:val="20"/>
        </w:rPr>
        <w:t xml:space="preserve"> </w:t>
      </w:r>
      <w:r>
        <w:rPr>
          <w:rFonts w:ascii="Times New Roman" w:hAnsi="Times New Roman"/>
          <w:color w:val="000000"/>
          <w:sz w:val="22"/>
        </w:rPr>
        <w:t>Authorized Signatory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[Signature Page to Loan and Security Agreement (Hercules/Disc Med)]</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Table of Addenda, Exhibits and Schedules</w:t>
      </w:r>
    </w:p>
    <w:p>
      <w:pPr>
        <w:pStyle w:val="TextBody"/>
        <w:bidi w:val="0"/>
        <w:jc w:val="both"/>
        <w:rPr>
          <w:rFonts w:ascii="Times New Roman" w:hAnsi="Times New Roman"/>
          <w:sz w:val="20"/>
        </w:rPr>
      </w:pPr>
      <w:r>
        <w:rPr>
          <w:rFonts w:ascii="Times New Roman" w:hAnsi="Times New Roman"/>
          <w:color w:val="000000"/>
          <w:sz w:val="22"/>
        </w:rPr>
        <w:t>Addendum 1:</w:t>
      </w:r>
      <w:r>
        <w:rPr>
          <w:rFonts w:ascii="Times New Roman" w:hAnsi="Times New Roman"/>
          <w:color w:val="000000"/>
          <w:sz w:val="20"/>
        </w:rPr>
        <w:t xml:space="preserve"> </w:t>
      </w:r>
      <w:r>
        <w:rPr>
          <w:rFonts w:ascii="Times New Roman" w:hAnsi="Times New Roman"/>
          <w:color w:val="000000"/>
          <w:sz w:val="22"/>
        </w:rPr>
        <w:t>Taxes; Increased Costs</w:t>
      </w:r>
    </w:p>
    <w:p>
      <w:pPr>
        <w:pStyle w:val="TextBody"/>
        <w:bidi w:val="0"/>
        <w:jc w:val="both"/>
        <w:rPr>
          <w:rFonts w:ascii="Times New Roman" w:hAnsi="Times New Roman"/>
          <w:sz w:val="20"/>
        </w:rPr>
      </w:pPr>
      <w:r>
        <w:rPr>
          <w:rFonts w:ascii="Times New Roman" w:hAnsi="Times New Roman"/>
          <w:color w:val="000000"/>
          <w:sz w:val="22"/>
        </w:rPr>
        <w:t>Addendum 2:</w:t>
      </w:r>
      <w:r>
        <w:rPr>
          <w:rFonts w:ascii="Times New Roman" w:hAnsi="Times New Roman"/>
          <w:color w:val="000000"/>
          <w:sz w:val="20"/>
        </w:rPr>
        <w:t xml:space="preserve"> </w:t>
      </w:r>
      <w:r>
        <w:rPr>
          <w:rFonts w:ascii="Times New Roman" w:hAnsi="Times New Roman"/>
          <w:color w:val="000000"/>
          <w:sz w:val="22"/>
        </w:rPr>
        <w:t>Delivery Instructions</w:t>
      </w:r>
    </w:p>
    <w:p>
      <w:pPr>
        <w:pStyle w:val="TextBody"/>
        <w:bidi w:val="0"/>
        <w:jc w:val="both"/>
        <w:rPr>
          <w:rFonts w:ascii="Times New Roman" w:hAnsi="Times New Roman"/>
          <w:sz w:val="20"/>
        </w:rPr>
      </w:pPr>
      <w:r>
        <w:rPr>
          <w:rFonts w:ascii="Times New Roman" w:hAnsi="Times New Roman"/>
          <w:color w:val="000000"/>
          <w:sz w:val="22"/>
        </w:rPr>
        <w:t>Addendum 3:</w:t>
      </w:r>
      <w:r>
        <w:rPr>
          <w:rFonts w:ascii="Times New Roman" w:hAnsi="Times New Roman"/>
          <w:color w:val="000000"/>
          <w:sz w:val="20"/>
        </w:rPr>
        <w:t xml:space="preserve"> </w:t>
      </w:r>
      <w:r>
        <w:rPr>
          <w:rFonts w:ascii="Times New Roman" w:hAnsi="Times New Roman"/>
          <w:color w:val="000000"/>
          <w:sz w:val="22"/>
        </w:rPr>
        <w:t>SBA Provisions</w:t>
      </w:r>
    </w:p>
    <w:p>
      <w:pPr>
        <w:pStyle w:val="TextBody"/>
        <w:bidi w:val="0"/>
        <w:jc w:val="both"/>
        <w:rPr>
          <w:rFonts w:ascii="Times New Roman" w:hAnsi="Times New Roman"/>
          <w:sz w:val="20"/>
        </w:rPr>
      </w:pPr>
      <w:r>
        <w:rPr>
          <w:rFonts w:ascii="Times New Roman" w:hAnsi="Times New Roman"/>
          <w:color w:val="000000"/>
          <w:sz w:val="22"/>
        </w:rPr>
        <w:t>Addendum 4:</w:t>
      </w:r>
      <w:r>
        <w:rPr>
          <w:rFonts w:ascii="Times New Roman" w:hAnsi="Times New Roman"/>
          <w:color w:val="000000"/>
          <w:sz w:val="20"/>
        </w:rPr>
        <w:t xml:space="preserve"> </w:t>
      </w:r>
      <w:r>
        <w:rPr>
          <w:rFonts w:ascii="Times New Roman" w:hAnsi="Times New Roman"/>
          <w:color w:val="000000"/>
          <w:sz w:val="22"/>
        </w:rPr>
        <w:t>Agent and Lender Terms</w:t>
      </w:r>
    </w:p>
    <w:p>
      <w:pPr>
        <w:pStyle w:val="TextBody"/>
        <w:bidi w:val="0"/>
        <w:jc w:val="both"/>
        <w:rPr>
          <w:rFonts w:ascii="Times New Roman" w:hAnsi="Times New Roman"/>
          <w:sz w:val="20"/>
        </w:rPr>
      </w:pPr>
      <w:r>
        <w:rPr>
          <w:rFonts w:ascii="Times New Roman" w:hAnsi="Times New Roman"/>
          <w:color w:val="000000"/>
          <w:sz w:val="22"/>
        </w:rPr>
        <w:t>Addendum 5:</w:t>
      </w:r>
      <w:r>
        <w:rPr>
          <w:rFonts w:ascii="Times New Roman" w:hAnsi="Times New Roman"/>
          <w:color w:val="000000"/>
          <w:sz w:val="20"/>
        </w:rPr>
        <w:t xml:space="preserve"> </w:t>
      </w:r>
      <w:r>
        <w:rPr>
          <w:rFonts w:ascii="Times New Roman" w:hAnsi="Times New Roman"/>
          <w:color w:val="000000"/>
          <w:sz w:val="22"/>
        </w:rPr>
        <w:t>Multiple Borrower Terms</w:t>
      </w:r>
    </w:p>
    <w:p>
      <w:pPr>
        <w:pStyle w:val="TextBody"/>
        <w:bidi w:val="0"/>
        <w:jc w:val="both"/>
        <w:rPr>
          <w:rFonts w:ascii="Times New Roman" w:hAnsi="Times New Roman"/>
          <w:sz w:val="20"/>
        </w:rPr>
      </w:pPr>
      <w:r>
        <w:rPr>
          <w:rFonts w:ascii="Times New Roman" w:hAnsi="Times New Roman"/>
          <w:color w:val="000000"/>
          <w:sz w:val="22"/>
        </w:rPr>
        <w:t>Exhibit A:</w:t>
      </w:r>
      <w:r>
        <w:rPr>
          <w:rFonts w:ascii="Times New Roman" w:hAnsi="Times New Roman"/>
          <w:color w:val="000000"/>
          <w:sz w:val="20"/>
        </w:rPr>
        <w:t xml:space="preserve"> </w:t>
      </w:r>
      <w:r>
        <w:rPr>
          <w:rFonts w:ascii="Times New Roman" w:hAnsi="Times New Roman"/>
          <w:color w:val="000000"/>
          <w:sz w:val="22"/>
        </w:rPr>
        <w:t>Advance Request Attachment to Advance Request</w:t>
      </w:r>
    </w:p>
    <w:p>
      <w:pPr>
        <w:pStyle w:val="TextBody"/>
        <w:bidi w:val="0"/>
        <w:jc w:val="both"/>
        <w:rPr>
          <w:rFonts w:ascii="Times New Roman" w:hAnsi="Times New Roman"/>
          <w:sz w:val="20"/>
        </w:rPr>
      </w:pPr>
      <w:r>
        <w:rPr>
          <w:rFonts w:ascii="Times New Roman" w:hAnsi="Times New Roman"/>
          <w:color w:val="000000"/>
          <w:sz w:val="22"/>
        </w:rPr>
        <w:t>Exhibit B:</w:t>
      </w:r>
      <w:r>
        <w:rPr>
          <w:rFonts w:ascii="Times New Roman" w:hAnsi="Times New Roman"/>
          <w:color w:val="000000"/>
          <w:sz w:val="20"/>
        </w:rPr>
        <w:t xml:space="preserve"> </w:t>
      </w:r>
      <w:r>
        <w:rPr>
          <w:rFonts w:ascii="Times New Roman" w:hAnsi="Times New Roman"/>
          <w:color w:val="000000"/>
          <w:sz w:val="22"/>
        </w:rPr>
        <w:t>Name, Locations, and Other Information for Borrower</w:t>
      </w:r>
    </w:p>
    <w:p>
      <w:pPr>
        <w:pStyle w:val="TextBody"/>
        <w:bidi w:val="0"/>
        <w:jc w:val="both"/>
        <w:rPr>
          <w:rFonts w:ascii="Times New Roman" w:hAnsi="Times New Roman"/>
          <w:sz w:val="20"/>
        </w:rPr>
      </w:pPr>
      <w:r>
        <w:rPr>
          <w:rFonts w:ascii="Times New Roman" w:hAnsi="Times New Roman"/>
          <w:color w:val="000000"/>
          <w:sz w:val="22"/>
        </w:rPr>
        <w:t>Exhibit C:</w:t>
      </w:r>
      <w:r>
        <w:rPr>
          <w:rFonts w:ascii="Times New Roman" w:hAnsi="Times New Roman"/>
          <w:color w:val="000000"/>
          <w:sz w:val="20"/>
        </w:rPr>
        <w:t xml:space="preserve"> </w:t>
      </w:r>
      <w:r>
        <w:rPr>
          <w:rFonts w:ascii="Times New Roman" w:hAnsi="Times New Roman"/>
          <w:color w:val="000000"/>
          <w:sz w:val="22"/>
        </w:rPr>
        <w:t>Reserved</w:t>
      </w:r>
    </w:p>
    <w:p>
      <w:pPr>
        <w:pStyle w:val="TextBody"/>
        <w:bidi w:val="0"/>
        <w:jc w:val="both"/>
        <w:rPr>
          <w:rFonts w:ascii="Times New Roman" w:hAnsi="Times New Roman"/>
          <w:sz w:val="20"/>
        </w:rPr>
      </w:pPr>
      <w:r>
        <w:rPr>
          <w:rFonts w:ascii="Times New Roman" w:hAnsi="Times New Roman"/>
          <w:color w:val="000000"/>
          <w:sz w:val="22"/>
        </w:rPr>
        <w:t>Exhibit D:</w:t>
      </w:r>
      <w:r>
        <w:rPr>
          <w:rFonts w:ascii="Times New Roman" w:hAnsi="Times New Roman"/>
          <w:color w:val="000000"/>
          <w:sz w:val="20"/>
        </w:rPr>
        <w:t xml:space="preserve"> </w:t>
      </w:r>
      <w:r>
        <w:rPr>
          <w:rFonts w:ascii="Times New Roman" w:hAnsi="Times New Roman"/>
          <w:color w:val="000000"/>
          <w:sz w:val="22"/>
        </w:rPr>
        <w:t>Borrower’s and Subsidiaries’ Deposit Accounts and Investment Accounts</w:t>
      </w:r>
    </w:p>
    <w:p>
      <w:pPr>
        <w:pStyle w:val="TextBody"/>
        <w:bidi w:val="0"/>
        <w:jc w:val="both"/>
        <w:rPr>
          <w:rFonts w:ascii="Times New Roman" w:hAnsi="Times New Roman"/>
          <w:sz w:val="20"/>
        </w:rPr>
      </w:pPr>
      <w:r>
        <w:rPr>
          <w:rFonts w:ascii="Times New Roman" w:hAnsi="Times New Roman"/>
          <w:color w:val="000000"/>
          <w:sz w:val="22"/>
        </w:rPr>
        <w:t>Exhibit E:</w:t>
      </w:r>
      <w:r>
        <w:rPr>
          <w:rFonts w:ascii="Times New Roman" w:hAnsi="Times New Roman"/>
          <w:color w:val="000000"/>
          <w:sz w:val="20"/>
        </w:rPr>
        <w:t xml:space="preserve"> </w:t>
      </w:r>
      <w:r>
        <w:rPr>
          <w:rFonts w:ascii="Times New Roman" w:hAnsi="Times New Roman"/>
          <w:color w:val="000000"/>
          <w:sz w:val="22"/>
        </w:rPr>
        <w:t>Compliance Certificate</w:t>
      </w:r>
    </w:p>
    <w:p>
      <w:pPr>
        <w:pStyle w:val="TextBody"/>
        <w:bidi w:val="0"/>
        <w:jc w:val="both"/>
        <w:rPr>
          <w:rFonts w:ascii="Times New Roman" w:hAnsi="Times New Roman"/>
          <w:sz w:val="20"/>
        </w:rPr>
      </w:pPr>
      <w:r>
        <w:rPr>
          <w:rFonts w:ascii="Times New Roman" w:hAnsi="Times New Roman"/>
          <w:color w:val="000000"/>
          <w:sz w:val="22"/>
        </w:rPr>
        <w:t>Exhibit F:</w:t>
      </w:r>
      <w:r>
        <w:rPr>
          <w:rFonts w:ascii="Times New Roman" w:hAnsi="Times New Roman"/>
          <w:color w:val="000000"/>
          <w:sz w:val="20"/>
        </w:rPr>
        <w:t xml:space="preserve"> </w:t>
      </w:r>
      <w:r>
        <w:rPr>
          <w:rFonts w:ascii="Times New Roman" w:hAnsi="Times New Roman"/>
          <w:color w:val="000000"/>
          <w:sz w:val="22"/>
        </w:rPr>
        <w:t>Joinder Agreement</w:t>
      </w:r>
    </w:p>
    <w:p>
      <w:pPr>
        <w:pStyle w:val="TextBody"/>
        <w:bidi w:val="0"/>
        <w:jc w:val="both"/>
        <w:rPr>
          <w:rFonts w:ascii="Times New Roman" w:hAnsi="Times New Roman"/>
          <w:sz w:val="20"/>
        </w:rPr>
      </w:pPr>
      <w:r>
        <w:rPr>
          <w:rFonts w:ascii="Times New Roman" w:hAnsi="Times New Roman"/>
          <w:color w:val="000000"/>
          <w:sz w:val="22"/>
        </w:rPr>
        <w:t>Exhibit G:</w:t>
      </w:r>
      <w:r>
        <w:rPr>
          <w:rFonts w:ascii="Times New Roman" w:hAnsi="Times New Roman"/>
          <w:color w:val="000000"/>
          <w:sz w:val="20"/>
        </w:rPr>
        <w:t xml:space="preserve"> </w:t>
      </w:r>
      <w:r>
        <w:rPr>
          <w:rFonts w:ascii="Times New Roman" w:hAnsi="Times New Roman"/>
          <w:color w:val="000000"/>
          <w:sz w:val="22"/>
        </w:rPr>
        <w:t>ACH Debit Authorization Agreement</w:t>
      </w:r>
    </w:p>
    <w:p>
      <w:pPr>
        <w:pStyle w:val="TextBody"/>
        <w:bidi w:val="0"/>
        <w:jc w:val="both"/>
        <w:rPr>
          <w:rFonts w:ascii="Times New Roman" w:hAnsi="Times New Roman"/>
          <w:sz w:val="20"/>
        </w:rPr>
      </w:pPr>
      <w:r>
        <w:rPr>
          <w:rFonts w:ascii="Times New Roman" w:hAnsi="Times New Roman"/>
          <w:color w:val="000000"/>
          <w:sz w:val="22"/>
        </w:rPr>
        <w:t>Exhibit H-1:</w:t>
      </w:r>
      <w:r>
        <w:rPr>
          <w:rFonts w:ascii="Times New Roman" w:hAnsi="Times New Roman"/>
          <w:color w:val="000000"/>
          <w:sz w:val="20"/>
        </w:rPr>
        <w:t xml:space="preserve"> </w:t>
      </w:r>
      <w:r>
        <w:rPr>
          <w:rFonts w:ascii="Times New Roman" w:hAnsi="Times New Roman"/>
          <w:color w:val="000000"/>
          <w:sz w:val="22"/>
        </w:rPr>
        <w:t>Form of U.S. Tax Compliance Certificate (For Foreign Lenders That Are Not Partnerships For U.S. Federal Income Tax Purposes)</w:t>
      </w:r>
    </w:p>
    <w:p>
      <w:pPr>
        <w:pStyle w:val="TextBody"/>
        <w:bidi w:val="0"/>
        <w:jc w:val="both"/>
        <w:rPr>
          <w:rFonts w:ascii="Times New Roman" w:hAnsi="Times New Roman"/>
          <w:sz w:val="20"/>
        </w:rPr>
      </w:pPr>
      <w:r>
        <w:rPr>
          <w:rFonts w:ascii="Times New Roman" w:hAnsi="Times New Roman"/>
          <w:color w:val="000000"/>
          <w:sz w:val="22"/>
        </w:rPr>
        <w:t>Exhibit H-2:</w:t>
      </w:r>
      <w:r>
        <w:rPr>
          <w:rFonts w:ascii="Times New Roman" w:hAnsi="Times New Roman"/>
          <w:color w:val="000000"/>
          <w:sz w:val="20"/>
        </w:rPr>
        <w:t xml:space="preserve"> </w:t>
      </w:r>
      <w:r>
        <w:rPr>
          <w:rFonts w:ascii="Times New Roman" w:hAnsi="Times New Roman"/>
          <w:color w:val="000000"/>
          <w:sz w:val="22"/>
        </w:rPr>
        <w:t>Form of U.S. Tax Compliance Certificate (For Foreign Participants That Are Not Partnerships For U.S. Federal Income Tax Purposes)</w:t>
      </w:r>
    </w:p>
    <w:p>
      <w:pPr>
        <w:pStyle w:val="TextBody"/>
        <w:bidi w:val="0"/>
        <w:jc w:val="both"/>
        <w:rPr>
          <w:rFonts w:ascii="Times New Roman" w:hAnsi="Times New Roman"/>
          <w:sz w:val="20"/>
        </w:rPr>
      </w:pPr>
      <w:r>
        <w:rPr>
          <w:rFonts w:ascii="Times New Roman" w:hAnsi="Times New Roman"/>
          <w:color w:val="000000"/>
          <w:sz w:val="22"/>
        </w:rPr>
        <w:t>Exhibit H-3:</w:t>
      </w:r>
      <w:r>
        <w:rPr>
          <w:rFonts w:ascii="Times New Roman" w:hAnsi="Times New Roman"/>
          <w:color w:val="000000"/>
          <w:sz w:val="20"/>
        </w:rPr>
        <w:t xml:space="preserve"> </w:t>
      </w:r>
      <w:r>
        <w:rPr>
          <w:rFonts w:ascii="Times New Roman" w:hAnsi="Times New Roman"/>
          <w:color w:val="000000"/>
          <w:sz w:val="22"/>
        </w:rPr>
        <w:t>Form of U.S. Tax Compliance Certificate (For Foreign Participants That Are Partnerships For U.S. Federal Income Tax Purposes)</w:t>
      </w:r>
    </w:p>
    <w:p>
      <w:pPr>
        <w:pStyle w:val="TextBody"/>
        <w:bidi w:val="0"/>
        <w:spacing w:before="0" w:after="240"/>
        <w:jc w:val="both"/>
        <w:rPr>
          <w:rFonts w:ascii="Times New Roman" w:hAnsi="Times New Roman"/>
          <w:sz w:val="20"/>
        </w:rPr>
      </w:pPr>
      <w:r>
        <w:rPr>
          <w:rFonts w:ascii="Times New Roman" w:hAnsi="Times New Roman"/>
          <w:color w:val="000000"/>
          <w:sz w:val="22"/>
        </w:rPr>
        <w:t>Exhibit H-4:</w:t>
      </w:r>
      <w:r>
        <w:rPr>
          <w:rFonts w:ascii="Times New Roman" w:hAnsi="Times New Roman"/>
          <w:color w:val="000000"/>
          <w:sz w:val="20"/>
        </w:rPr>
        <w:t xml:space="preserve"> </w:t>
      </w:r>
      <w:r>
        <w:rPr>
          <w:rFonts w:ascii="Times New Roman" w:hAnsi="Times New Roman"/>
          <w:color w:val="000000"/>
          <w:sz w:val="22"/>
        </w:rPr>
        <w:t>Form of U.S. Tax Compliance Certificate (For Foreign Lenders That Are Partnerships For U.S. Federal Income Tax Purposes)</w:t>
      </w:r>
    </w:p>
    <w:p>
      <w:pPr>
        <w:pStyle w:val="TextBody"/>
        <w:bidi w:val="0"/>
        <w:jc w:val="both"/>
        <w:rPr>
          <w:rFonts w:ascii="Times New Roman" w:hAnsi="Times New Roman"/>
          <w:sz w:val="20"/>
        </w:rPr>
      </w:pPr>
      <w:r>
        <w:rPr>
          <w:rFonts w:ascii="Times New Roman" w:hAnsi="Times New Roman"/>
          <w:color w:val="000000"/>
          <w:sz w:val="22"/>
        </w:rPr>
        <w:t>Schedule 1.1</w:t>
      </w:r>
      <w:r>
        <w:rPr>
          <w:rFonts w:ascii="Times New Roman" w:hAnsi="Times New Roman"/>
          <w:color w:val="000000"/>
          <w:sz w:val="20"/>
        </w:rPr>
        <w:t xml:space="preserve"> </w:t>
      </w:r>
      <w:r>
        <w:rPr>
          <w:rFonts w:ascii="Times New Roman" w:hAnsi="Times New Roman"/>
          <w:color w:val="000000"/>
          <w:sz w:val="22"/>
        </w:rPr>
        <w:t>Commitments</w:t>
      </w:r>
    </w:p>
    <w:p>
      <w:pPr>
        <w:pStyle w:val="TextBody"/>
        <w:bidi w:val="0"/>
        <w:jc w:val="both"/>
        <w:rPr>
          <w:rFonts w:ascii="Times New Roman" w:hAnsi="Times New Roman"/>
          <w:sz w:val="20"/>
        </w:rPr>
      </w:pPr>
      <w:r>
        <w:rPr>
          <w:rFonts w:ascii="Times New Roman" w:hAnsi="Times New Roman"/>
          <w:color w:val="000000"/>
          <w:sz w:val="22"/>
        </w:rPr>
        <w:t>Schedule 1A</w:t>
      </w:r>
      <w:r>
        <w:rPr>
          <w:rFonts w:ascii="Times New Roman" w:hAnsi="Times New Roman"/>
          <w:color w:val="000000"/>
          <w:sz w:val="20"/>
        </w:rPr>
        <w:t xml:space="preserve"> </w:t>
      </w:r>
      <w:r>
        <w:rPr>
          <w:rFonts w:ascii="Times New Roman" w:hAnsi="Times New Roman"/>
          <w:color w:val="000000"/>
          <w:sz w:val="22"/>
        </w:rPr>
        <w:t>Existing Permitted Indebtedness</w:t>
      </w:r>
    </w:p>
    <w:p>
      <w:pPr>
        <w:pStyle w:val="TextBody"/>
        <w:bidi w:val="0"/>
        <w:jc w:val="both"/>
        <w:rPr>
          <w:rFonts w:ascii="Times New Roman" w:hAnsi="Times New Roman"/>
          <w:sz w:val="20"/>
        </w:rPr>
      </w:pPr>
      <w:r>
        <w:rPr>
          <w:rFonts w:ascii="Times New Roman" w:hAnsi="Times New Roman"/>
          <w:color w:val="000000"/>
          <w:sz w:val="22"/>
        </w:rPr>
        <w:t>Schedule 1B</w:t>
      </w:r>
      <w:r>
        <w:rPr>
          <w:rFonts w:ascii="Times New Roman" w:hAnsi="Times New Roman"/>
          <w:color w:val="000000"/>
          <w:sz w:val="20"/>
        </w:rPr>
        <w:t xml:space="preserve"> </w:t>
      </w:r>
      <w:r>
        <w:rPr>
          <w:rFonts w:ascii="Times New Roman" w:hAnsi="Times New Roman"/>
          <w:color w:val="000000"/>
          <w:sz w:val="22"/>
        </w:rPr>
        <w:t>Existing Permitted Investments</w:t>
      </w:r>
    </w:p>
    <w:p>
      <w:pPr>
        <w:pStyle w:val="TextBody"/>
        <w:bidi w:val="0"/>
        <w:jc w:val="both"/>
        <w:rPr>
          <w:rFonts w:ascii="Times New Roman" w:hAnsi="Times New Roman"/>
          <w:sz w:val="20"/>
        </w:rPr>
      </w:pPr>
      <w:r>
        <w:rPr>
          <w:rFonts w:ascii="Times New Roman" w:hAnsi="Times New Roman"/>
          <w:color w:val="000000"/>
          <w:sz w:val="22"/>
        </w:rPr>
        <w:t>Schedule 5.3</w:t>
      </w:r>
      <w:r>
        <w:rPr>
          <w:rFonts w:ascii="Times New Roman" w:hAnsi="Times New Roman"/>
          <w:color w:val="000000"/>
          <w:sz w:val="20"/>
        </w:rPr>
        <w:t xml:space="preserve"> </w:t>
      </w:r>
      <w:r>
        <w:rPr>
          <w:rFonts w:ascii="Times New Roman" w:hAnsi="Times New Roman"/>
          <w:color w:val="000000"/>
          <w:sz w:val="22"/>
        </w:rPr>
        <w:t>Consents, Etc.</w:t>
      </w:r>
    </w:p>
    <w:p>
      <w:pPr>
        <w:pStyle w:val="TextBody"/>
        <w:bidi w:val="0"/>
        <w:jc w:val="both"/>
        <w:rPr>
          <w:rFonts w:ascii="Times New Roman" w:hAnsi="Times New Roman"/>
          <w:sz w:val="20"/>
        </w:rPr>
      </w:pPr>
      <w:r>
        <w:rPr>
          <w:rFonts w:ascii="Times New Roman" w:hAnsi="Times New Roman"/>
          <w:color w:val="000000"/>
          <w:sz w:val="22"/>
        </w:rPr>
        <w:t>Schedule 5.8</w:t>
      </w:r>
      <w:r>
        <w:rPr>
          <w:rFonts w:ascii="Times New Roman" w:hAnsi="Times New Roman"/>
          <w:color w:val="000000"/>
          <w:sz w:val="20"/>
        </w:rPr>
        <w:t xml:space="preserve"> </w:t>
      </w:r>
      <w:r>
        <w:rPr>
          <w:rFonts w:ascii="Times New Roman" w:hAnsi="Times New Roman"/>
          <w:color w:val="000000"/>
          <w:sz w:val="22"/>
        </w:rPr>
        <w:t>Tax Matters</w:t>
      </w:r>
    </w:p>
    <w:p>
      <w:pPr>
        <w:pStyle w:val="TextBody"/>
        <w:bidi w:val="0"/>
        <w:jc w:val="both"/>
        <w:rPr>
          <w:rFonts w:ascii="Times New Roman" w:hAnsi="Times New Roman"/>
          <w:sz w:val="20"/>
        </w:rPr>
      </w:pPr>
      <w:r>
        <w:rPr>
          <w:rFonts w:ascii="Times New Roman" w:hAnsi="Times New Roman"/>
          <w:color w:val="000000"/>
          <w:sz w:val="22"/>
        </w:rPr>
        <w:t>Schedule 5.9</w:t>
      </w:r>
      <w:r>
        <w:rPr>
          <w:rFonts w:ascii="Times New Roman" w:hAnsi="Times New Roman"/>
          <w:color w:val="000000"/>
          <w:sz w:val="20"/>
        </w:rPr>
        <w:t xml:space="preserve"> </w:t>
      </w:r>
      <w:r>
        <w:rPr>
          <w:rFonts w:ascii="Times New Roman" w:hAnsi="Times New Roman"/>
          <w:color w:val="000000"/>
          <w:sz w:val="22"/>
        </w:rPr>
        <w:t>Current Company IP Claims</w:t>
      </w:r>
    </w:p>
    <w:p>
      <w:pPr>
        <w:pStyle w:val="TextBody"/>
        <w:bidi w:val="0"/>
        <w:jc w:val="both"/>
        <w:rPr>
          <w:rFonts w:ascii="Times New Roman" w:hAnsi="Times New Roman"/>
          <w:sz w:val="20"/>
        </w:rPr>
      </w:pPr>
      <w:r>
        <w:rPr>
          <w:rFonts w:ascii="Times New Roman" w:hAnsi="Times New Roman"/>
          <w:color w:val="000000"/>
          <w:sz w:val="22"/>
        </w:rPr>
        <w:t>Schedule 5.10(a)</w:t>
      </w:r>
      <w:r>
        <w:rPr>
          <w:rFonts w:ascii="Times New Roman" w:hAnsi="Times New Roman"/>
          <w:color w:val="000000"/>
          <w:sz w:val="20"/>
        </w:rPr>
        <w:t xml:space="preserve"> </w:t>
      </w:r>
      <w:r>
        <w:rPr>
          <w:rFonts w:ascii="Times New Roman" w:hAnsi="Times New Roman"/>
          <w:color w:val="000000"/>
          <w:sz w:val="22"/>
        </w:rPr>
        <w:t>Current Company IP</w:t>
      </w:r>
    </w:p>
    <w:p>
      <w:pPr>
        <w:pStyle w:val="TextBody"/>
        <w:bidi w:val="0"/>
        <w:jc w:val="both"/>
        <w:rPr>
          <w:rFonts w:ascii="Times New Roman" w:hAnsi="Times New Roman"/>
          <w:sz w:val="20"/>
        </w:rPr>
      </w:pPr>
      <w:r>
        <w:rPr>
          <w:rFonts w:ascii="Times New Roman" w:hAnsi="Times New Roman"/>
          <w:color w:val="000000"/>
          <w:sz w:val="22"/>
        </w:rPr>
        <w:t>Schedule 5.10(f)</w:t>
      </w:r>
      <w:r>
        <w:rPr>
          <w:rFonts w:ascii="Times New Roman" w:hAnsi="Times New Roman"/>
          <w:color w:val="000000"/>
          <w:sz w:val="20"/>
        </w:rPr>
        <w:t xml:space="preserve"> </w:t>
      </w:r>
      <w:r>
        <w:rPr>
          <w:rFonts w:ascii="Times New Roman" w:hAnsi="Times New Roman"/>
          <w:color w:val="000000"/>
          <w:sz w:val="22"/>
        </w:rPr>
        <w:t>Circumstances to Invalidate or Render Unenforceable Current Company IP or Ownership or Entitlement to License and Exploit Current Company IP</w:t>
      </w:r>
    </w:p>
    <w:p>
      <w:pPr>
        <w:pStyle w:val="TextBody"/>
        <w:bidi w:val="0"/>
        <w:jc w:val="both"/>
        <w:rPr>
          <w:rFonts w:ascii="Times New Roman" w:hAnsi="Times New Roman"/>
          <w:sz w:val="20"/>
        </w:rPr>
      </w:pPr>
      <w:r>
        <w:rPr>
          <w:rFonts w:ascii="Times New Roman" w:hAnsi="Times New Roman"/>
          <w:color w:val="000000"/>
          <w:sz w:val="22"/>
        </w:rPr>
        <w:t>Schedule 5.10(g)</w:t>
      </w:r>
      <w:r>
        <w:rPr>
          <w:rFonts w:ascii="Times New Roman" w:hAnsi="Times New Roman"/>
          <w:color w:val="000000"/>
          <w:sz w:val="20"/>
        </w:rPr>
        <w:t xml:space="preserve"> </w:t>
      </w:r>
      <w:r>
        <w:rPr>
          <w:rFonts w:ascii="Times New Roman" w:hAnsi="Times New Roman"/>
          <w:color w:val="000000"/>
          <w:sz w:val="22"/>
        </w:rPr>
        <w:t>Specified Disputes</w:t>
      </w:r>
    </w:p>
    <w:p>
      <w:pPr>
        <w:pStyle w:val="TextBody"/>
        <w:bidi w:val="0"/>
        <w:jc w:val="both"/>
        <w:rPr>
          <w:rFonts w:ascii="Times New Roman" w:hAnsi="Times New Roman"/>
          <w:sz w:val="20"/>
        </w:rPr>
      </w:pPr>
      <w:r>
        <w:rPr>
          <w:rFonts w:ascii="Times New Roman" w:hAnsi="Times New Roman"/>
          <w:color w:val="000000"/>
          <w:sz w:val="22"/>
        </w:rPr>
        <w:t>Schedule 5.10(i)</w:t>
      </w:r>
      <w:r>
        <w:rPr>
          <w:rFonts w:ascii="Times New Roman" w:hAnsi="Times New Roman"/>
          <w:color w:val="000000"/>
          <w:sz w:val="20"/>
        </w:rPr>
        <w:t xml:space="preserve"> </w:t>
      </w:r>
      <w:r>
        <w:rPr>
          <w:rFonts w:ascii="Times New Roman" w:hAnsi="Times New Roman"/>
          <w:color w:val="000000"/>
          <w:sz w:val="22"/>
        </w:rPr>
        <w:t>Claims Regarding Current Company IP</w:t>
      </w:r>
    </w:p>
    <w:p>
      <w:pPr>
        <w:pStyle w:val="TextBody"/>
        <w:bidi w:val="0"/>
        <w:jc w:val="both"/>
        <w:rPr>
          <w:rFonts w:ascii="Times New Roman" w:hAnsi="Times New Roman"/>
          <w:sz w:val="20"/>
        </w:rPr>
      </w:pPr>
      <w:r>
        <w:rPr>
          <w:rFonts w:ascii="Times New Roman" w:hAnsi="Times New Roman"/>
          <w:color w:val="000000"/>
          <w:sz w:val="22"/>
        </w:rPr>
        <w:t>Schedule 5.10(j)</w:t>
      </w:r>
      <w:r>
        <w:rPr>
          <w:rFonts w:ascii="Times New Roman" w:hAnsi="Times New Roman"/>
          <w:color w:val="000000"/>
          <w:sz w:val="20"/>
        </w:rPr>
        <w:t xml:space="preserve"> </w:t>
      </w:r>
      <w:r>
        <w:rPr>
          <w:rFonts w:ascii="Times New Roman" w:hAnsi="Times New Roman"/>
          <w:color w:val="000000"/>
          <w:sz w:val="22"/>
        </w:rPr>
        <w:t>Infringement or Violation of Third Party IP</w:t>
      </w:r>
    </w:p>
    <w:p>
      <w:pPr>
        <w:pStyle w:val="TextBody"/>
        <w:bidi w:val="0"/>
        <w:jc w:val="both"/>
        <w:rPr>
          <w:rFonts w:ascii="Times New Roman" w:hAnsi="Times New Roman"/>
          <w:sz w:val="20"/>
        </w:rPr>
      </w:pPr>
      <w:r>
        <w:rPr>
          <w:rFonts w:ascii="Times New Roman" w:hAnsi="Times New Roman"/>
          <w:color w:val="000000"/>
          <w:sz w:val="22"/>
        </w:rPr>
        <w:t>Schedule 5.10(k)</w:t>
      </w:r>
      <w:r>
        <w:rPr>
          <w:rFonts w:ascii="Times New Roman" w:hAnsi="Times New Roman"/>
          <w:color w:val="000000"/>
          <w:sz w:val="20"/>
        </w:rPr>
        <w:t xml:space="preserve"> </w:t>
      </w:r>
      <w:r>
        <w:rPr>
          <w:rFonts w:ascii="Times New Roman" w:hAnsi="Times New Roman"/>
          <w:color w:val="000000"/>
          <w:sz w:val="22"/>
        </w:rPr>
        <w:t>Certain Settlements, Covenants Not to Sue, Consents, Judgments, Orders</w:t>
      </w:r>
    </w:p>
    <w:p>
      <w:pPr>
        <w:pStyle w:val="TextBody"/>
        <w:bidi w:val="0"/>
        <w:jc w:val="both"/>
        <w:rPr>
          <w:rFonts w:ascii="Times New Roman" w:hAnsi="Times New Roman"/>
          <w:sz w:val="20"/>
        </w:rPr>
      </w:pPr>
      <w:r>
        <w:rPr>
          <w:rFonts w:ascii="Times New Roman" w:hAnsi="Times New Roman"/>
          <w:color w:val="000000"/>
          <w:sz w:val="22"/>
        </w:rPr>
        <w:t>Schedule 5.10(l)</w:t>
      </w:r>
      <w:r>
        <w:rPr>
          <w:rFonts w:ascii="Times New Roman" w:hAnsi="Times New Roman"/>
          <w:color w:val="000000"/>
          <w:sz w:val="20"/>
        </w:rPr>
        <w:t xml:space="preserve"> </w:t>
      </w:r>
      <w:r>
        <w:rPr>
          <w:rFonts w:ascii="Times New Roman" w:hAnsi="Times New Roman"/>
          <w:color w:val="000000"/>
          <w:sz w:val="22"/>
        </w:rPr>
        <w:t>Infringement, Violation, Misappropriation of Current Company IP</w:t>
      </w:r>
    </w:p>
    <w:p>
      <w:pPr>
        <w:pStyle w:val="TextBody"/>
        <w:bidi w:val="0"/>
        <w:jc w:val="both"/>
        <w:rPr>
          <w:rFonts w:ascii="Times New Roman" w:hAnsi="Times New Roman"/>
          <w:sz w:val="20"/>
        </w:rPr>
      </w:pPr>
      <w:r>
        <w:rPr>
          <w:rFonts w:ascii="Times New Roman" w:hAnsi="Times New Roman"/>
          <w:color w:val="000000"/>
          <w:sz w:val="22"/>
        </w:rPr>
        <w:t>Schedule 5.10(o)</w:t>
      </w:r>
      <w:r>
        <w:rPr>
          <w:rFonts w:ascii="Times New Roman" w:hAnsi="Times New Roman"/>
          <w:color w:val="000000"/>
          <w:sz w:val="20"/>
        </w:rPr>
        <w:t xml:space="preserve"> </w:t>
      </w:r>
      <w:r>
        <w:rPr>
          <w:rFonts w:ascii="Times New Roman" w:hAnsi="Times New Roman"/>
          <w:color w:val="000000"/>
          <w:sz w:val="22"/>
        </w:rPr>
        <w:t>Lack of Rights to Current Company IP</w:t>
      </w:r>
    </w:p>
    <w:p>
      <w:pPr>
        <w:pStyle w:val="TextBody"/>
        <w:bidi w:val="0"/>
        <w:jc w:val="both"/>
        <w:rPr>
          <w:rFonts w:ascii="Times New Roman" w:hAnsi="Times New Roman"/>
          <w:sz w:val="20"/>
        </w:rPr>
      </w:pPr>
      <w:r>
        <w:rPr>
          <w:rFonts w:ascii="Times New Roman" w:hAnsi="Times New Roman"/>
          <w:color w:val="000000"/>
          <w:sz w:val="22"/>
        </w:rPr>
        <w:t>Schedule 5.11</w:t>
      </w:r>
      <w:r>
        <w:rPr>
          <w:rFonts w:ascii="Times New Roman" w:hAnsi="Times New Roman"/>
          <w:color w:val="000000"/>
          <w:sz w:val="20"/>
        </w:rPr>
        <w:t xml:space="preserve"> </w:t>
      </w:r>
      <w:r>
        <w:rPr>
          <w:rFonts w:ascii="Times New Roman" w:hAnsi="Times New Roman"/>
          <w:color w:val="000000"/>
          <w:sz w:val="22"/>
        </w:rPr>
        <w:t>Borrower Products</w:t>
      </w:r>
    </w:p>
    <w:p>
      <w:pPr>
        <w:pStyle w:val="TextBody"/>
        <w:bidi w:val="0"/>
        <w:spacing w:before="0" w:after="240"/>
        <w:jc w:val="both"/>
        <w:rPr>
          <w:rFonts w:ascii="Times New Roman" w:hAnsi="Times New Roman"/>
          <w:sz w:val="20"/>
        </w:rPr>
      </w:pPr>
      <w:r>
        <w:rPr>
          <w:rFonts w:ascii="Times New Roman" w:hAnsi="Times New Roman"/>
          <w:color w:val="000000"/>
          <w:sz w:val="22"/>
        </w:rPr>
        <w:t>Schedule 5.14</w:t>
      </w:r>
      <w:r>
        <w:rPr>
          <w:rFonts w:ascii="Times New Roman" w:hAnsi="Times New Roman"/>
          <w:color w:val="000000"/>
          <w:sz w:val="20"/>
        </w:rPr>
        <w:t xml:space="preserve"> </w:t>
      </w:r>
      <w:r>
        <w:rPr>
          <w:rFonts w:ascii="Times New Roman" w:hAnsi="Times New Roman"/>
          <w:color w:val="000000"/>
          <w:sz w:val="22"/>
        </w:rPr>
        <w:t>Subsidiaries; Capitalization</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b/>
          <w:color w:val="000000"/>
          <w:sz w:val="22"/>
        </w:rPr>
      </w:pPr>
      <w:r>
        <w:rPr>
          <w:rFonts w:ascii="Times New Roman" w:hAnsi="Times New Roman"/>
          <w:b/>
          <w:color w:val="000000"/>
          <w:sz w:val="22"/>
        </w:rPr>
        <w:t>ADDENDUM 1 to LOAN AND SECURITY AGREEMENT</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TAXES; INCREASED COSTS</w:t>
      </w:r>
    </w:p>
    <w:p>
      <w:pPr>
        <w:pStyle w:val="TextBody"/>
        <w:bidi w:val="0"/>
        <w:spacing w:before="0" w:after="240"/>
        <w:jc w:val="both"/>
        <w:rPr>
          <w:rFonts w:ascii="Times New Roman" w:hAnsi="Times New Roman"/>
          <w:sz w:val="20"/>
        </w:rPr>
      </w:pPr>
      <w:r>
        <w:rPr>
          <w:rFonts w:ascii="Times New Roman" w:hAnsi="Times New Roman"/>
          <w:color w:val="000000"/>
          <w:sz w:val="22"/>
        </w:rPr>
        <w:t>1.</w:t>
      </w:r>
      <w:r>
        <w:rPr>
          <w:rFonts w:ascii="Times New Roman" w:hAnsi="Times New Roman"/>
          <w:color w:val="000000"/>
          <w:sz w:val="20"/>
        </w:rPr>
        <w:t xml:space="preserve"> </w:t>
      </w:r>
      <w:r>
        <w:rPr>
          <w:rFonts w:ascii="Times New Roman" w:hAnsi="Times New Roman"/>
          <w:b/>
          <w:color w:val="000000"/>
          <w:sz w:val="22"/>
        </w:rPr>
        <w:t>Defined Terms</w:t>
      </w:r>
      <w:r>
        <w:rPr>
          <w:rFonts w:ascii="Times New Roman" w:hAnsi="Times New Roman"/>
          <w:color w:val="000000"/>
          <w:sz w:val="22"/>
        </w:rPr>
        <w:t>. For purposes of this Addendum 1:</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b/>
          <w:color w:val="000000"/>
          <w:sz w:val="22"/>
        </w:rPr>
        <w:t>Connection Income Taxes</w:t>
      </w:r>
      <w:r>
        <w:rPr>
          <w:rFonts w:ascii="Times New Roman" w:hAnsi="Times New Roman"/>
          <w:color w:val="000000"/>
          <w:sz w:val="20"/>
        </w:rPr>
        <w:t xml:space="preserve">” </w:t>
      </w:r>
      <w:r>
        <w:rPr>
          <w:rFonts w:ascii="Times New Roman" w:hAnsi="Times New Roman"/>
          <w:color w:val="000000"/>
          <w:sz w:val="22"/>
        </w:rPr>
        <w:t>means Other Connection Taxes that are imposed on or measured by net income (however denominated) or that are franchise Taxes or branch profits Taxes.</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b/>
          <w:color w:val="000000"/>
          <w:sz w:val="22"/>
        </w:rPr>
        <w:t>Excluded Taxes</w:t>
      </w:r>
      <w:r>
        <w:rPr>
          <w:rFonts w:ascii="Times New Roman" w:hAnsi="Times New Roman"/>
          <w:color w:val="000000"/>
          <w:sz w:val="20"/>
        </w:rPr>
        <w:t xml:space="preserve">” </w:t>
      </w:r>
      <w:r>
        <w:rPr>
          <w:rFonts w:ascii="Times New Roman" w:hAnsi="Times New Roman"/>
          <w:color w:val="000000"/>
          <w:sz w:val="22"/>
        </w:rPr>
        <w:t>means any of the following Taxes imposed on or with respect to a Recipient or required to be withheld or deducted from a payment to a Recipient, (i) Taxes imposed on or measured by net income (however denominated), franchise Taxes, and branch profits Taxes, in each case, (A) imposed as a result of such Recipient being organized under the laws of, or having its principal office or, in the case of any Lender, its applicable lending office located in, the jurisdiction imposing such Tax (or any political subdivision thereof) or (B) that are Other Connection Taxes, (ii) in the case of a Lender, U.S. federal withholding Taxes imposed on amounts payable to or for the account of such Lender with respect to an applicable interest in a Loan or Term Commitment pursuant to a law in effect on the date on which (A) such Lender acquires such interest in the Loan or Term Commitment or (B) such Lender changes its lending office, except in each case to the extent that, pursuant to Section 2 or Section 4 of this Addendum 1, amounts with respect to such Taxes were payable either to such Lender’s assignor immediately before such Lender became a party hereto or to such Lender immediately before it changed its lending office, (iii) Taxes attributable to such Recipient’s failure to comply with Section 7 of this Addendum 1 and (iv) any withholding Taxes imposed under FATCA.</w:t>
      </w:r>
    </w:p>
    <w:p>
      <w:pPr>
        <w:pStyle w:val="TextBody"/>
        <w:bidi w:val="0"/>
        <w:spacing w:before="0" w:after="240"/>
        <w:jc w:val="both"/>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b/>
          <w:color w:val="000000"/>
          <w:sz w:val="22"/>
        </w:rPr>
        <w:t>FATCA</w:t>
      </w:r>
      <w:r>
        <w:rPr>
          <w:rFonts w:ascii="Times New Roman" w:hAnsi="Times New Roman"/>
          <w:color w:val="000000"/>
          <w:sz w:val="20"/>
        </w:rPr>
        <w:t xml:space="preserve">” </w:t>
      </w:r>
      <w:r>
        <w:rPr>
          <w:rFonts w:ascii="Times New Roman" w:hAnsi="Times New Roman"/>
          <w:color w:val="000000"/>
          <w:sz w:val="22"/>
        </w:rPr>
        <w:t>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Authority and implementing such Sections of the Code.</w:t>
      </w:r>
    </w:p>
    <w:p>
      <w:pPr>
        <w:pStyle w:val="TextBody"/>
        <w:bidi w:val="0"/>
        <w:spacing w:before="0" w:after="240"/>
        <w:jc w:val="both"/>
        <w:rPr>
          <w:rFonts w:ascii="Times New Roman" w:hAnsi="Times New Roman"/>
          <w:sz w:val="20"/>
        </w:rPr>
      </w:pPr>
      <w:r>
        <w:rPr>
          <w:rFonts w:ascii="Times New Roman" w:hAnsi="Times New Roman"/>
          <w:color w:val="000000"/>
          <w:sz w:val="22"/>
        </w:rPr>
        <w:t>d.</w:t>
      </w:r>
      <w:r>
        <w:rPr>
          <w:rFonts w:ascii="Times New Roman" w:hAnsi="Times New Roman"/>
          <w:color w:val="000000"/>
          <w:sz w:val="20"/>
        </w:rPr>
        <w:t xml:space="preserve"> “</w:t>
      </w:r>
      <w:r>
        <w:rPr>
          <w:rFonts w:ascii="Times New Roman" w:hAnsi="Times New Roman"/>
          <w:b/>
          <w:color w:val="000000"/>
          <w:sz w:val="22"/>
        </w:rPr>
        <w:t>Foreign Lender</w:t>
      </w:r>
      <w:r>
        <w:rPr>
          <w:rFonts w:ascii="Times New Roman" w:hAnsi="Times New Roman"/>
          <w:color w:val="000000"/>
          <w:sz w:val="20"/>
        </w:rPr>
        <w:t xml:space="preserve">” </w:t>
      </w:r>
      <w:r>
        <w:rPr>
          <w:rFonts w:ascii="Times New Roman" w:hAnsi="Times New Roman"/>
          <w:color w:val="000000"/>
          <w:sz w:val="22"/>
        </w:rPr>
        <w:t>means a Lender that is not a U.S. Person.</w:t>
      </w:r>
    </w:p>
    <w:p>
      <w:pPr>
        <w:pStyle w:val="TextBody"/>
        <w:bidi w:val="0"/>
        <w:spacing w:before="0" w:after="240"/>
        <w:jc w:val="both"/>
        <w:rPr>
          <w:rFonts w:ascii="Times New Roman" w:hAnsi="Times New Roman"/>
          <w:sz w:val="20"/>
        </w:rPr>
      </w:pPr>
      <w:r>
        <w:rPr>
          <w:rFonts w:ascii="Times New Roman" w:hAnsi="Times New Roman"/>
          <w:color w:val="000000"/>
          <w:sz w:val="22"/>
        </w:rPr>
        <w:t>e.</w:t>
      </w:r>
      <w:r>
        <w:rPr>
          <w:rFonts w:ascii="Times New Roman" w:hAnsi="Times New Roman"/>
          <w:color w:val="000000"/>
          <w:sz w:val="20"/>
        </w:rPr>
        <w:t xml:space="preserve"> “</w:t>
      </w:r>
      <w:r>
        <w:rPr>
          <w:rFonts w:ascii="Times New Roman" w:hAnsi="Times New Roman"/>
          <w:b/>
          <w:color w:val="000000"/>
          <w:sz w:val="22"/>
        </w:rPr>
        <w:t>Indemnified Taxes</w:t>
      </w:r>
      <w:r>
        <w:rPr>
          <w:rFonts w:ascii="Times New Roman" w:hAnsi="Times New Roman"/>
          <w:color w:val="000000"/>
          <w:sz w:val="20"/>
        </w:rPr>
        <w:t xml:space="preserve">” </w:t>
      </w:r>
      <w:r>
        <w:rPr>
          <w:rFonts w:ascii="Times New Roman" w:hAnsi="Times New Roman"/>
          <w:color w:val="000000"/>
          <w:sz w:val="22"/>
        </w:rPr>
        <w:t>means (i) Taxes, other than Excluded Taxes, imposed on or with respect to any payment made by or on account of any obligation of Borrower under any Loan Document and (ii) to the extent not otherwise described in clause (i), Other Taxes.</w:t>
      </w:r>
    </w:p>
    <w:p>
      <w:pPr>
        <w:pStyle w:val="TextBody"/>
        <w:bidi w:val="0"/>
        <w:spacing w:before="0" w:after="240"/>
        <w:jc w:val="both"/>
        <w:rPr>
          <w:rFonts w:ascii="Times New Roman" w:hAnsi="Times New Roman"/>
          <w:sz w:val="20"/>
        </w:rPr>
      </w:pPr>
      <w:r>
        <w:rPr>
          <w:rFonts w:ascii="Times New Roman" w:hAnsi="Times New Roman"/>
          <w:color w:val="000000"/>
          <w:sz w:val="22"/>
        </w:rPr>
        <w:t>f.</w:t>
      </w:r>
      <w:r>
        <w:rPr>
          <w:rFonts w:ascii="Times New Roman" w:hAnsi="Times New Roman"/>
          <w:color w:val="000000"/>
          <w:sz w:val="20"/>
        </w:rPr>
        <w:t xml:space="preserve"> “</w:t>
      </w:r>
      <w:r>
        <w:rPr>
          <w:rFonts w:ascii="Times New Roman" w:hAnsi="Times New Roman"/>
          <w:b/>
          <w:color w:val="000000"/>
          <w:sz w:val="22"/>
        </w:rPr>
        <w:t>Other Connection Taxes</w:t>
      </w:r>
      <w:r>
        <w:rPr>
          <w:rFonts w:ascii="Times New Roman" w:hAnsi="Times New Roman"/>
          <w:color w:val="000000"/>
          <w:sz w:val="20"/>
        </w:rPr>
        <w:t xml:space="preserve">” </w:t>
      </w:r>
      <w:r>
        <w:rPr>
          <w:rFonts w:ascii="Times New Roman" w:hAnsi="Times New Roman"/>
          <w:color w:val="000000"/>
          <w:sz w:val="22"/>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240"/>
        <w:jc w:val="both"/>
        <w:rPr>
          <w:rFonts w:ascii="Times New Roman" w:hAnsi="Times New Roman"/>
          <w:sz w:val="20"/>
        </w:rPr>
      </w:pPr>
      <w:r>
        <w:rPr>
          <w:rFonts w:ascii="Times New Roman" w:hAnsi="Times New Roman"/>
          <w:color w:val="000000"/>
          <w:sz w:val="22"/>
        </w:rPr>
        <w:t>g.</w:t>
      </w:r>
      <w:r>
        <w:rPr>
          <w:rFonts w:ascii="Times New Roman" w:hAnsi="Times New Roman"/>
          <w:color w:val="000000"/>
          <w:sz w:val="20"/>
        </w:rPr>
        <w:t xml:space="preserve"> “</w:t>
      </w:r>
      <w:r>
        <w:rPr>
          <w:rFonts w:ascii="Times New Roman" w:hAnsi="Times New Roman"/>
          <w:b/>
          <w:color w:val="000000"/>
          <w:sz w:val="22"/>
        </w:rPr>
        <w:t>Other Taxes</w:t>
      </w:r>
      <w:r>
        <w:rPr>
          <w:rFonts w:ascii="Times New Roman" w:hAnsi="Times New Roman"/>
          <w:color w:val="000000"/>
          <w:sz w:val="20"/>
        </w:rPr>
        <w:t xml:space="preserve">” </w:t>
      </w:r>
      <w:r>
        <w:rPr>
          <w:rFonts w:ascii="Times New Roman" w:hAnsi="Times New Roman"/>
          <w:color w:val="000000"/>
          <w:sz w:val="22"/>
        </w:rPr>
        <w:t>means all present or future stamp, court or documentary, intangible, recording, filing or similar Taxes that arise from any payment made under, from the execution, delivery, performance, enforcement or registration of, from the receipt or</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perfection of a security interest under, or otherwise with respect to, any Loan Document, except any such Taxes that are Other Connection Taxes imposed with respect to an assignment.</w:t>
      </w:r>
    </w:p>
    <w:p>
      <w:pPr>
        <w:pStyle w:val="TextBody"/>
        <w:bidi w:val="0"/>
        <w:spacing w:before="0" w:after="240"/>
        <w:jc w:val="both"/>
        <w:rPr>
          <w:rFonts w:ascii="Times New Roman" w:hAnsi="Times New Roman"/>
          <w:sz w:val="20"/>
        </w:rPr>
      </w:pPr>
      <w:r>
        <w:rPr>
          <w:rFonts w:ascii="Times New Roman" w:hAnsi="Times New Roman"/>
          <w:color w:val="000000"/>
          <w:sz w:val="22"/>
        </w:rPr>
        <w:t>h.</w:t>
      </w:r>
      <w:r>
        <w:rPr>
          <w:rFonts w:ascii="Times New Roman" w:hAnsi="Times New Roman"/>
          <w:color w:val="000000"/>
          <w:sz w:val="20"/>
        </w:rPr>
        <w:t xml:space="preserve"> “</w:t>
      </w:r>
      <w:r>
        <w:rPr>
          <w:rFonts w:ascii="Times New Roman" w:hAnsi="Times New Roman"/>
          <w:b/>
          <w:color w:val="000000"/>
          <w:sz w:val="22"/>
        </w:rPr>
        <w:t>Recipient</w:t>
      </w:r>
      <w:r>
        <w:rPr>
          <w:rFonts w:ascii="Times New Roman" w:hAnsi="Times New Roman"/>
          <w:color w:val="000000"/>
          <w:sz w:val="20"/>
        </w:rPr>
        <w:t xml:space="preserve">” </w:t>
      </w:r>
      <w:r>
        <w:rPr>
          <w:rFonts w:ascii="Times New Roman" w:hAnsi="Times New Roman"/>
          <w:color w:val="000000"/>
          <w:sz w:val="22"/>
        </w:rPr>
        <w:t>means the Agent or any Lender, as applicable.</w:t>
      </w:r>
    </w:p>
    <w:p>
      <w:pPr>
        <w:pStyle w:val="TextBody"/>
        <w:bidi w:val="0"/>
        <w:spacing w:before="0" w:after="240"/>
        <w:jc w:val="both"/>
        <w:rPr>
          <w:rFonts w:ascii="Times New Roman" w:hAnsi="Times New Roman"/>
          <w:sz w:val="20"/>
        </w:rPr>
      </w:pPr>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b/>
          <w:color w:val="000000"/>
          <w:sz w:val="22"/>
        </w:rPr>
        <w:t>Withholding Agent</w:t>
      </w:r>
      <w:r>
        <w:rPr>
          <w:rFonts w:ascii="Times New Roman" w:hAnsi="Times New Roman"/>
          <w:color w:val="000000"/>
          <w:sz w:val="20"/>
        </w:rPr>
        <w:t xml:space="preserve">” </w:t>
      </w:r>
      <w:r>
        <w:rPr>
          <w:rFonts w:ascii="Times New Roman" w:hAnsi="Times New Roman"/>
          <w:color w:val="000000"/>
          <w:sz w:val="22"/>
        </w:rPr>
        <w:t>means Borrower and the Agent.</w:t>
      </w:r>
    </w:p>
    <w:p>
      <w:pPr>
        <w:pStyle w:val="TextBody"/>
        <w:bidi w:val="0"/>
        <w:spacing w:before="0" w:after="240"/>
        <w:jc w:val="both"/>
        <w:rPr>
          <w:rFonts w:ascii="Times New Roman" w:hAnsi="Times New Roman"/>
          <w:sz w:val="20"/>
        </w:rPr>
      </w:pPr>
      <w:r>
        <w:rPr>
          <w:rFonts w:ascii="Times New Roman" w:hAnsi="Times New Roman"/>
          <w:color w:val="000000"/>
          <w:sz w:val="22"/>
        </w:rPr>
        <w:t>2.</w:t>
      </w:r>
      <w:r>
        <w:rPr>
          <w:rFonts w:ascii="Times New Roman" w:hAnsi="Times New Roman"/>
          <w:color w:val="000000"/>
          <w:sz w:val="20"/>
        </w:rPr>
        <w:t xml:space="preserve"> </w:t>
      </w:r>
      <w:r>
        <w:rPr>
          <w:rFonts w:ascii="Times New Roman" w:hAnsi="Times New Roman"/>
          <w:b/>
          <w:color w:val="000000"/>
          <w:sz w:val="22"/>
        </w:rPr>
        <w:t>Payments Free of Taxes</w:t>
      </w:r>
      <w:r>
        <w:rPr>
          <w:rFonts w:ascii="Times New Roman" w:hAnsi="Times New Roman"/>
          <w:color w:val="000000"/>
          <w:sz w:val="22"/>
        </w:rPr>
        <w:t>. Any and all payments by or on account of any obligation of Borrower under any Loan Document shall be made without deduction or withholding for any Taxes, except as required by applicable law. If any applicable law, including FATCA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Borrower shall be increased as necessary so that after such deduction or withholding has been made (including such deductions and withholdings applicable to additional sums payable under this Section 2 or Section 4 of this Addendum 1) the applicable Recipient receives an amount equal to the sum it would have received had no such deduction or withholding been made.</w:t>
      </w:r>
    </w:p>
    <w:p>
      <w:pPr>
        <w:pStyle w:val="TextBody"/>
        <w:bidi w:val="0"/>
        <w:spacing w:before="0" w:after="240"/>
        <w:jc w:val="both"/>
        <w:rPr>
          <w:rFonts w:ascii="Times New Roman" w:hAnsi="Times New Roman"/>
          <w:sz w:val="20"/>
        </w:rPr>
      </w:pPr>
      <w:r>
        <w:rPr>
          <w:rFonts w:ascii="Times New Roman" w:hAnsi="Times New Roman"/>
          <w:color w:val="000000"/>
          <w:sz w:val="22"/>
        </w:rPr>
        <w:t>3.</w:t>
      </w:r>
      <w:r>
        <w:rPr>
          <w:rFonts w:ascii="Times New Roman" w:hAnsi="Times New Roman"/>
          <w:color w:val="000000"/>
          <w:sz w:val="20"/>
        </w:rPr>
        <w:t xml:space="preserve"> </w:t>
      </w:r>
      <w:r>
        <w:rPr>
          <w:rFonts w:ascii="Times New Roman" w:hAnsi="Times New Roman"/>
          <w:b/>
          <w:color w:val="000000"/>
          <w:sz w:val="22"/>
        </w:rPr>
        <w:t>Payment of Other Taxes by Borrower</w:t>
      </w:r>
      <w:r>
        <w:rPr>
          <w:rFonts w:ascii="Times New Roman" w:hAnsi="Times New Roman"/>
          <w:color w:val="000000"/>
          <w:sz w:val="22"/>
        </w:rPr>
        <w:t>. Borrower shall timely pay to the relevant Governmental Authority in accordance with applicable law, or at the option of the Agent timely reimburse it for the payment of, any Other Taxes.</w:t>
      </w:r>
    </w:p>
    <w:p>
      <w:pPr>
        <w:pStyle w:val="TextBody"/>
        <w:bidi w:val="0"/>
        <w:spacing w:before="0" w:after="240"/>
        <w:jc w:val="both"/>
        <w:rPr>
          <w:rFonts w:ascii="Times New Roman" w:hAnsi="Times New Roman"/>
          <w:sz w:val="20"/>
        </w:rPr>
      </w:pPr>
      <w:r>
        <w:rPr>
          <w:rFonts w:ascii="Times New Roman" w:hAnsi="Times New Roman"/>
          <w:color w:val="000000"/>
          <w:sz w:val="22"/>
        </w:rPr>
        <w:t>4.</w:t>
      </w:r>
      <w:r>
        <w:rPr>
          <w:rFonts w:ascii="Times New Roman" w:hAnsi="Times New Roman"/>
          <w:color w:val="000000"/>
          <w:sz w:val="20"/>
        </w:rPr>
        <w:t xml:space="preserve"> </w:t>
      </w:r>
      <w:r>
        <w:rPr>
          <w:rFonts w:ascii="Times New Roman" w:hAnsi="Times New Roman"/>
          <w:b/>
          <w:color w:val="000000"/>
          <w:sz w:val="22"/>
        </w:rPr>
        <w:t>Indemnification by Borrower</w:t>
      </w:r>
      <w:r>
        <w:rPr>
          <w:rFonts w:ascii="Times New Roman" w:hAnsi="Times New Roman"/>
          <w:color w:val="000000"/>
          <w:sz w:val="22"/>
        </w:rPr>
        <w:t>. Borrower shall indemnify each Recipient, within 10 days after demand therefor, for the full amount of any Indemnified Taxes (including Indemnified Taxes imposed or asserted on or attributable to amounts payable under Section 2 of this Addendum 1 or this Section 4)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Borrower by a Lender (with a copy to the Agent), or by the Agent on its own behalf or on behalf of a Lender, shall be conclusive absent manifest error. In addition, Borrower agrees to pay, and to save the Agent and any Lender harmless from, any and all liabilities with respect to, or resulting from any delay in paying, any and all excise, sales or other similar Taxes (excluding Taxes imposed on or measured by the net income of the Agent or such Lender) that may be payable or determined to be payable with respect to any of the Collateral or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5.</w:t>
      </w:r>
      <w:r>
        <w:rPr>
          <w:rFonts w:ascii="Times New Roman" w:hAnsi="Times New Roman"/>
          <w:color w:val="000000"/>
          <w:sz w:val="20"/>
        </w:rPr>
        <w:t xml:space="preserve"> </w:t>
      </w:r>
      <w:r>
        <w:rPr>
          <w:rFonts w:ascii="Times New Roman" w:hAnsi="Times New Roman"/>
          <w:b/>
          <w:color w:val="000000"/>
          <w:sz w:val="22"/>
        </w:rPr>
        <w:t>Indemnification by the Lenders</w:t>
      </w:r>
      <w:r>
        <w:rPr>
          <w:rFonts w:ascii="Times New Roman" w:hAnsi="Times New Roman"/>
          <w:color w:val="000000"/>
          <w:sz w:val="22"/>
        </w:rPr>
        <w:t>. Each Lender shall severally indemnify the Agent, within 10 days after demand therefor, for (a) any Indemnified Taxes attributable to such Lender (but only to the extent that Borrower has not already indemnified the Agent for such Indemnified Taxes and without limiting the obligation of Borrower to do so), (b) any Taxes attributable to such Lender’s failure to comply with the provisions of Section 11.8 of the Agreement relating to the maintenance of a Participant Register and (c) any Excluded Taxes attributable to such Lender, in each case, that are payable or paid by the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Agent shall be conclusive absent manifest error. Each Lender hereby authorizes the Agent to set off and apply any and all amounts at any time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owing to such Lender under any Loan Document or otherwise payable by the Agent to the Lender from any other source against any amount due to the Agent under this Section 5.</w:t>
      </w:r>
    </w:p>
    <w:p>
      <w:pPr>
        <w:pStyle w:val="TextBody"/>
        <w:bidi w:val="0"/>
        <w:spacing w:before="0" w:after="240"/>
        <w:jc w:val="both"/>
        <w:rPr>
          <w:rFonts w:ascii="Times New Roman" w:hAnsi="Times New Roman"/>
          <w:sz w:val="20"/>
        </w:rPr>
      </w:pPr>
      <w:r>
        <w:rPr>
          <w:rFonts w:ascii="Times New Roman" w:hAnsi="Times New Roman"/>
          <w:color w:val="000000"/>
          <w:sz w:val="22"/>
        </w:rPr>
        <w:t>6.</w:t>
      </w:r>
      <w:r>
        <w:rPr>
          <w:rFonts w:ascii="Times New Roman" w:hAnsi="Times New Roman"/>
          <w:color w:val="000000"/>
          <w:sz w:val="20"/>
        </w:rPr>
        <w:t xml:space="preserve"> </w:t>
      </w:r>
      <w:r>
        <w:rPr>
          <w:rFonts w:ascii="Times New Roman" w:hAnsi="Times New Roman"/>
          <w:b/>
          <w:color w:val="000000"/>
          <w:sz w:val="22"/>
        </w:rPr>
        <w:t>Evidence of Payments</w:t>
      </w:r>
      <w:r>
        <w:rPr>
          <w:rFonts w:ascii="Times New Roman" w:hAnsi="Times New Roman"/>
          <w:color w:val="000000"/>
          <w:sz w:val="22"/>
        </w:rPr>
        <w:t>. As soon as practicable after any payment of Taxes by Borrower to a Governmental Authority pursuant to the provisions of this Addendum 1, Borrower shall deliver to the Agent the original or a certified copy of a receipt issued by such Governmental Authority evidencing such payment, a copy of the return reporting such payment or other evidence of such payment reasonably satisfactory to the Agent.</w:t>
      </w:r>
    </w:p>
    <w:p>
      <w:pPr>
        <w:pStyle w:val="TextBody"/>
        <w:bidi w:val="0"/>
        <w:spacing w:before="0" w:after="240"/>
        <w:jc w:val="both"/>
        <w:rPr>
          <w:rFonts w:ascii="Times New Roman" w:hAnsi="Times New Roman"/>
          <w:sz w:val="20"/>
        </w:rPr>
      </w:pPr>
      <w:r>
        <w:rPr>
          <w:rFonts w:ascii="Times New Roman" w:hAnsi="Times New Roman"/>
          <w:color w:val="000000"/>
          <w:sz w:val="22"/>
        </w:rPr>
        <w:t>7.</w:t>
      </w:r>
      <w:r>
        <w:rPr>
          <w:rFonts w:ascii="Times New Roman" w:hAnsi="Times New Roman"/>
          <w:color w:val="000000"/>
          <w:sz w:val="20"/>
        </w:rPr>
        <w:t xml:space="preserve"> </w:t>
      </w:r>
      <w:r>
        <w:rPr>
          <w:rFonts w:ascii="Times New Roman" w:hAnsi="Times New Roman"/>
          <w:b/>
          <w:color w:val="000000"/>
          <w:sz w:val="22"/>
        </w:rPr>
        <w:t>Status of Lenders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Any Lender that is entitled to an exemption from or reduction of withholding Tax with respect to payments made under any Loan Document shall deliver to Borrower and the Agent (or submit to the appropriate tax authority, as applicable), at the time or times reasonably requested by Borrower or the Agent, such properly completed and executed documentation reasonably requested by Borrower or the Agent as will permit such payments to be made without withholding or at a reduced rate of withholding. In addition, any Lender, if reasonably requested by Borrower or the Agent, shall deliver such other documentation prescribed by applicable law or reasonably requested by Borrower or the Agent as will enable Borrower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Sections 7(b)(i), 7(b)(ii) and 7(b)(iv) of this Addendum 1)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Without limiting the generality of the foregoing, in the event that Borrower is a U.S. Person,</w:t>
      </w:r>
    </w:p>
    <w:p>
      <w:pPr>
        <w:pStyle w:val="TextBody"/>
        <w:bidi w:val="0"/>
        <w:spacing w:before="0" w:after="240"/>
        <w:jc w:val="both"/>
        <w:rPr>
          <w:rFonts w:ascii="Times New Roman" w:hAnsi="Times New Roman"/>
          <w:sz w:val="20"/>
        </w:rPr>
      </w:pPr>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rPr>
        <w:t>any Lender that is a U.S. Person shall deliver to Borrower and the Agent on or prior to the date on which such Lender becomes a Lender under this Agreement (and from time to time thereafter upon the reasonable request of Borrower or the Agent), executed copies of IRS Form W-9 certifying that such Lender is exempt from U.S. federal backup withholding tax;</w:t>
      </w:r>
    </w:p>
    <w:p>
      <w:pPr>
        <w:pStyle w:val="TextBody"/>
        <w:bidi w:val="0"/>
        <w:spacing w:before="0" w:after="240"/>
        <w:jc w:val="both"/>
        <w:rPr>
          <w:rFonts w:ascii="Times New Roman" w:hAnsi="Times New Roman"/>
          <w:sz w:val="20"/>
        </w:rPr>
      </w:pPr>
      <w:r>
        <w:rPr>
          <w:rFonts w:ascii="Times New Roman" w:hAnsi="Times New Roman"/>
          <w:color w:val="000000"/>
          <w:sz w:val="22"/>
        </w:rPr>
        <w:t>ii.</w:t>
      </w:r>
      <w:r>
        <w:rPr>
          <w:rFonts w:ascii="Times New Roman" w:hAnsi="Times New Roman"/>
          <w:color w:val="000000"/>
          <w:sz w:val="20"/>
        </w:rPr>
        <w:t xml:space="preserve"> </w:t>
      </w:r>
      <w:r>
        <w:rPr>
          <w:rFonts w:ascii="Times New Roman" w:hAnsi="Times New Roman"/>
          <w:color w:val="000000"/>
          <w:sz w:val="22"/>
        </w:rPr>
        <w:t>any Foreign Lender shall, to the extent it is legally entitled to do so, deliver to Borrower and the Agent (in such number of copies as shall be requested by the recipient) on or prior to the date on which such Foreign Lender becomes a Lender under this Agreement (and from time to time thereafter upon the reasonable request of Borrower or the Agent), whichever of the following is applicable:</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Document, IRS Form W-8BEN or IRS Form W-8BEN-E establishing an exemption from, or reduction of, U.S. federal withholding Tax pursuant to the “business profits” or “other income” article of such tax treaty;</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executed copies of IRS Form W-8ECI;</w:t>
      </w:r>
    </w:p>
    <w:p>
      <w:pPr>
        <w:pStyle w:val="TextBody"/>
        <w:bidi w:val="0"/>
        <w:spacing w:before="0" w:after="240"/>
        <w:jc w:val="both"/>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in the case of a Foreign Lender claiming the benefits of the exemption for portfolio interest under Section 881(c) of the Code, (x) a certificate substantially in the form of Exhibit H-1 to the effect that such Foreign Lender is not a “bank” within the meaning of Section 881(c)(3)(A) of the Code, a “10 percent shareholder” of Borrower within the meaning of Section 871(h)(3)(B) of the Code, or a “controlled foreign corporation” related to Borrower as described in Section 881(c)(3)(C) of the Code (a “</w:t>
      </w:r>
      <w:r>
        <w:rPr>
          <w:rFonts w:ascii="Times New Roman" w:hAnsi="Times New Roman"/>
          <w:b/>
          <w:color w:val="000000"/>
          <w:sz w:val="22"/>
        </w:rPr>
        <w:t>U.S. Tax Compliance Certificate</w:t>
      </w:r>
      <w:r>
        <w:rPr>
          <w:rFonts w:ascii="Times New Roman" w:hAnsi="Times New Roman"/>
          <w:color w:val="000000"/>
          <w:sz w:val="20"/>
        </w:rPr>
        <w:t>”</w:t>
      </w:r>
      <w:r>
        <w:rPr>
          <w:rFonts w:ascii="Times New Roman" w:hAnsi="Times New Roman"/>
          <w:color w:val="000000"/>
          <w:sz w:val="22"/>
        </w:rPr>
        <w:t>) and (y) executed copies of IRS Form W-8BEN or IRS Form W-8BEN-E; or</w:t>
      </w:r>
    </w:p>
    <w:p>
      <w:pPr>
        <w:pStyle w:val="TextBody"/>
        <w:bidi w:val="0"/>
        <w:spacing w:before="0" w:after="240"/>
        <w:jc w:val="both"/>
        <w:rPr>
          <w:rFonts w:ascii="Times New Roman" w:hAnsi="Times New Roman"/>
          <w:sz w:val="20"/>
        </w:rPr>
      </w:pPr>
      <w:r>
        <w:rPr>
          <w:rFonts w:ascii="Times New Roman" w:hAnsi="Times New Roman"/>
          <w:color w:val="000000"/>
          <w:sz w:val="22"/>
        </w:rPr>
        <w:t>D.</w:t>
      </w:r>
      <w:r>
        <w:rPr>
          <w:rFonts w:ascii="Times New Roman" w:hAnsi="Times New Roman"/>
          <w:color w:val="000000"/>
          <w:sz w:val="20"/>
        </w:rPr>
        <w:t xml:space="preserve"> </w:t>
      </w:r>
      <w:r>
        <w:rPr>
          <w:rFonts w:ascii="Times New Roman" w:hAnsi="Times New Roman"/>
          <w:color w:val="000000"/>
          <w:sz w:val="22"/>
        </w:rPr>
        <w:t>to the extent a Foreign Lender is not the beneficial owner, executed copies of IRS Form W-8IMY, accompanied by IRS Form W-8ECI, IRS Form W-8BEN, IRS Form W-8BEN-E, a U.S. Tax Compliance Certificate substantially in the form of Exhibit H-2 or Exhibit H-3,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H-4 on behalf of each such direct and indirect partner;</w:t>
      </w:r>
    </w:p>
    <w:p>
      <w:pPr>
        <w:pStyle w:val="TextBody"/>
        <w:bidi w:val="0"/>
        <w:spacing w:before="0" w:after="240"/>
        <w:jc w:val="both"/>
        <w:rPr>
          <w:rFonts w:ascii="Times New Roman" w:hAnsi="Times New Roman"/>
          <w:sz w:val="20"/>
        </w:rPr>
      </w:pPr>
      <w:r>
        <w:rPr>
          <w:rFonts w:ascii="Times New Roman" w:hAnsi="Times New Roman"/>
          <w:color w:val="000000"/>
          <w:sz w:val="22"/>
        </w:rPr>
        <w:t>iii.</w:t>
      </w:r>
      <w:r>
        <w:rPr>
          <w:rFonts w:ascii="Times New Roman" w:hAnsi="Times New Roman"/>
          <w:color w:val="000000"/>
          <w:sz w:val="20"/>
        </w:rPr>
        <w:t xml:space="preserve"> </w:t>
      </w:r>
      <w:r>
        <w:rPr>
          <w:rFonts w:ascii="Times New Roman" w:hAnsi="Times New Roman"/>
          <w:color w:val="000000"/>
          <w:sz w:val="22"/>
        </w:rPr>
        <w:t>any Foreign Lender shall, to the extent it is legally entitled to do so, deliver to Borrower and the Agent (in such number of copies as shall be requested by the recipient) on or prior to the date on which such Foreign Lender becomes a Lender under this Agreement (and from time to time thereafter upon the reasonable request of Borrower or the Agent), executed copies of any other form prescribed by applicable law as a basis for claiming exemption from or a reduction in U.S. federal withholding Tax, duly completed, together with such supplementary documentation as may be prescribed by applicable law to permit Borrower or the Agent to determine the withholding or deduction required to be made; and</w:t>
      </w:r>
    </w:p>
    <w:p>
      <w:pPr>
        <w:pStyle w:val="TextBody"/>
        <w:bidi w:val="0"/>
        <w:spacing w:before="0" w:after="240"/>
        <w:jc w:val="both"/>
        <w:rPr>
          <w:rFonts w:ascii="Times New Roman" w:hAnsi="Times New Roman"/>
          <w:sz w:val="20"/>
        </w:rPr>
      </w:pPr>
      <w:r>
        <w:rPr>
          <w:rFonts w:ascii="Times New Roman" w:hAnsi="Times New Roman"/>
          <w:color w:val="000000"/>
          <w:sz w:val="22"/>
        </w:rPr>
        <w:t>iv.</w:t>
      </w:r>
      <w:r>
        <w:rPr>
          <w:rFonts w:ascii="Times New Roman" w:hAnsi="Times New Roman"/>
          <w:color w:val="000000"/>
          <w:sz w:val="20"/>
        </w:rPr>
        <w:t xml:space="preserve"> </w:t>
      </w:r>
      <w:r>
        <w:rPr>
          <w:rFonts w:ascii="Times New Roman" w:hAnsi="Times New Roman"/>
          <w:color w:val="000000"/>
          <w:sz w:val="22"/>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Borrower and the Agent at the time or times prescribed by law and at such time or times reasonably requested by Borrower or the Agent such documentation prescribed by applicable law (including as prescribed by Section 1471(b)(3)(C)(i) of the Code) and such additional documentation reasonably requested by Borrower or the Agent as may be necessary for Borrower and the Agent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comply with their obligations under FATCA and to determine that such Lender has complied with such Lender’s obligations under FATCA or to determine the amount, if any, to deduct and withhold from such payment. Solely for purposes of this clause (iv), “FATCA” shall include any amendments made to FATCA after the date of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Each Lender agrees that if any form or certification it previously delivered expires or becomes obsolete or inaccurate in any respect, it shall update such form or certification or promptly notify Borrower and the Agent in writing of its legal inability to do so.</w:t>
      </w:r>
    </w:p>
    <w:p>
      <w:pPr>
        <w:pStyle w:val="TextBody"/>
        <w:bidi w:val="0"/>
        <w:spacing w:before="0" w:after="240"/>
        <w:jc w:val="both"/>
        <w:rPr>
          <w:rFonts w:ascii="Times New Roman" w:hAnsi="Times New Roman"/>
          <w:sz w:val="20"/>
        </w:rPr>
      </w:pPr>
      <w:r>
        <w:rPr>
          <w:rFonts w:ascii="Times New Roman" w:hAnsi="Times New Roman"/>
          <w:color w:val="000000"/>
          <w:sz w:val="22"/>
        </w:rPr>
        <w:t>8.</w:t>
      </w:r>
      <w:r>
        <w:rPr>
          <w:rFonts w:ascii="Times New Roman" w:hAnsi="Times New Roman"/>
          <w:color w:val="000000"/>
          <w:sz w:val="20"/>
        </w:rPr>
        <w:t xml:space="preserve"> </w:t>
      </w:r>
      <w:r>
        <w:rPr>
          <w:rFonts w:ascii="Times New Roman" w:hAnsi="Times New Roman"/>
          <w:b/>
          <w:color w:val="000000"/>
          <w:sz w:val="22"/>
        </w:rPr>
        <w:t>Treatment of Certain Refunds</w:t>
      </w:r>
      <w:r>
        <w:rPr>
          <w:rFonts w:ascii="Times New Roman" w:hAnsi="Times New Roman"/>
          <w:color w:val="000000"/>
          <w:sz w:val="22"/>
        </w:rPr>
        <w:t>. If any party determines, in its sole discretion exercised in good faith, that it has received a refund of any Taxes as to which it has been indemnified pursuant to the provisions of this Addendum 1 (including by the payment of additional amounts pursuant to the provisions of this Addendum 1), it shall pay to the indemnifying party an amount equal to such refund (but only to the extent of indemnity payments made under the provisions of this Addendum 1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Section 8 (plus any penalties, interest or other charges imposed by the relevant Governmental Authority) in the event that such indemnified party is required to repay such refund to such Governmental Authority. Notwithstanding anything to the contrary in this Section 8, in no event will the indemnified party be required to pay any amount to an indemnifying party pursuant to this Section 8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8 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240"/>
        <w:jc w:val="both"/>
        <w:rPr>
          <w:rFonts w:ascii="Times New Roman" w:hAnsi="Times New Roman"/>
          <w:sz w:val="20"/>
        </w:rPr>
      </w:pPr>
      <w:r>
        <w:rPr>
          <w:rFonts w:ascii="Times New Roman" w:hAnsi="Times New Roman"/>
          <w:color w:val="000000"/>
          <w:sz w:val="22"/>
        </w:rPr>
        <w:t>9.</w:t>
      </w:r>
      <w:r>
        <w:rPr>
          <w:rFonts w:ascii="Times New Roman" w:hAnsi="Times New Roman"/>
          <w:color w:val="000000"/>
          <w:sz w:val="20"/>
        </w:rPr>
        <w:t xml:space="preserve"> </w:t>
      </w:r>
      <w:r>
        <w:rPr>
          <w:rFonts w:ascii="Times New Roman" w:hAnsi="Times New Roman"/>
          <w:b/>
          <w:color w:val="000000"/>
          <w:sz w:val="22"/>
        </w:rPr>
        <w:t>Increased Costs</w:t>
      </w:r>
      <w:r>
        <w:rPr>
          <w:rFonts w:ascii="Times New Roman" w:hAnsi="Times New Roman"/>
          <w:color w:val="000000"/>
          <w:sz w:val="22"/>
        </w:rPr>
        <w:t>. If any change in applicable law shall subject any Recipient to any Taxes (other than (A) Indemnified Taxes, (B) Taxes described in clauses (ii) through (iv) of the definition of Excluded Taxes and (C) Connection Income Taxes) on its loans, loan principal, commitments, or other obligations, or its deposits, reserves, other liabilities or capital attributable thereto, and the result shall be to increase the cost to such Recipient of making, converting to, continuing or maintaining any Term Loan or of maintaining its obligation to make any such Loan, or to reduce the amount of any sum received or receivable by such Recipient (whether of principal, interest or any other amount), then, upon the request of such Recipient, Borrower will pay to such Recipient such additional amount or amounts as will compensate such Recipient for such additional costs incurred or reduction suffered.</w:t>
      </w:r>
    </w:p>
    <w:p>
      <w:pPr>
        <w:pStyle w:val="TextBody"/>
        <w:bidi w:val="0"/>
        <w:spacing w:before="0" w:after="240"/>
        <w:jc w:val="both"/>
        <w:rPr>
          <w:rFonts w:ascii="Times New Roman" w:hAnsi="Times New Roman"/>
          <w:sz w:val="20"/>
        </w:rPr>
      </w:pPr>
      <w:r>
        <w:rPr>
          <w:rFonts w:ascii="Times New Roman" w:hAnsi="Times New Roman"/>
          <w:color w:val="000000"/>
          <w:sz w:val="22"/>
        </w:rPr>
        <w:t>10.</w:t>
      </w:r>
      <w:r>
        <w:rPr>
          <w:rFonts w:ascii="Times New Roman" w:hAnsi="Times New Roman"/>
          <w:color w:val="000000"/>
          <w:sz w:val="20"/>
        </w:rPr>
        <w:t xml:space="preserve"> </w:t>
      </w:r>
      <w:r>
        <w:rPr>
          <w:rFonts w:ascii="Times New Roman" w:hAnsi="Times New Roman"/>
          <w:b/>
          <w:color w:val="000000"/>
          <w:sz w:val="22"/>
        </w:rPr>
        <w:t>Survival</w:t>
      </w:r>
      <w:r>
        <w:rPr>
          <w:rFonts w:ascii="Times New Roman" w:hAnsi="Times New Roman"/>
          <w:color w:val="000000"/>
          <w:sz w:val="22"/>
        </w:rPr>
        <w:t>. Each party’s obligations under the provisions of this Addendum 1 shall survive the resignation or replacement of the Agent or any assignment of rights by, or the replacement of, a Lender, the termination of the Term Commitments and the repayment, satisfaction or discharge of all obligations under any Loan Document.</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ADDENDUM 2 to LOAN AND SECURITY AGREEMENT</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Delivery Instructions</w:t>
      </w:r>
    </w:p>
    <w:p>
      <w:pPr>
        <w:pStyle w:val="TextBody"/>
        <w:bidi w:val="0"/>
        <w:spacing w:before="0" w:after="240"/>
        <w:jc w:val="both"/>
        <w:rPr>
          <w:rFonts w:ascii="Times New Roman" w:hAnsi="Times New Roman"/>
          <w:sz w:val="20"/>
        </w:rPr>
      </w:pPr>
      <w:r>
        <w:rPr>
          <w:rFonts w:ascii="Times New Roman" w:hAnsi="Times New Roman"/>
          <w:color w:val="000000"/>
          <w:sz w:val="22"/>
        </w:rPr>
        <w:t>The Compliance Certificate shall be uploaded and executed via Lumonic</w:t>
      </w:r>
      <w:r>
        <w:rPr>
          <w:rFonts w:ascii="Times New Roman" w:hAnsi="Times New Roman"/>
          <w:color w:val="000000"/>
          <w:sz w:val="15"/>
        </w:rPr>
        <w:t>1</w:t>
      </w:r>
      <w:r>
        <w:rPr>
          <w:rFonts w:ascii="Times New Roman" w:hAnsi="Times New Roman"/>
          <w:color w:val="000000"/>
          <w:sz w:val="22"/>
        </w:rPr>
        <w:t>. All other financial reports required to be furnished to Agent pursuant to Section 7.1 shall be submitted via Lumonic.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Compliance Certificate and other financial reports required to be furnished to Agent pursuant to Section 7.1 may be sent to [***] with a copy to [***], should access to Lumonic be temporarily unavailable.</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13"/>
        </w:rPr>
      </w:pPr>
      <w:r>
        <w:rPr>
          <w:rFonts w:ascii="Times New Roman" w:hAnsi="Times New Roman"/>
          <w:color w:val="000000"/>
          <w:sz w:val="13"/>
        </w:rPr>
        <w:t>_______________________________________</w:t>
      </w:r>
    </w:p>
    <w:p>
      <w:pPr>
        <w:pStyle w:val="TextBody"/>
        <w:bidi w:val="0"/>
        <w:jc w:val="both"/>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All references to Lumonic shall be interpreted as the Portfolio Management Software currently in use by Agent. Lumonic can be reached at the following URL: https://lumonic.com/</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ADDENDUM 3 to LOAN AND SECURITY AGREEMENT</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SBIC</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i/>
          <w:color w:val="000000"/>
          <w:sz w:val="22"/>
        </w:rPr>
        <w:t>Borrower’s Business</w:t>
      </w:r>
      <w:r>
        <w:rPr>
          <w:rFonts w:ascii="Times New Roman" w:hAnsi="Times New Roman"/>
          <w:color w:val="000000"/>
          <w:sz w:val="22"/>
        </w:rPr>
        <w:t xml:space="preserve">. For purposes of this Addendum 3, Borrower shall be deemed to include its “affiliates” as defined in Title 13 Code of Federal Regulations Section 121.103. Borrower (i) represents and warrants to Agent and Lenders, with respect to subsection 1 below, as of the initial SBA Funding Date, and (ii) represents and warrants to Agent and Lenders, as of each SBA Funding Date and covenants to Agent and Lenders for a period of one year after each SBA Funding Date or for such longer period as set forth below with respect to </w:t>
      </w:r>
      <w:r>
        <w:rPr>
          <w:rFonts w:ascii="Times New Roman" w:hAnsi="Times New Roman"/>
          <w:color w:val="000000"/>
          <w:sz w:val="22"/>
          <w:u w:val="single"/>
        </w:rPr>
        <w:t>subsections 2</w:t>
      </w:r>
      <w:r>
        <w:rPr>
          <w:rFonts w:ascii="Times New Roman" w:hAnsi="Times New Roman"/>
          <w:color w:val="000000"/>
          <w:sz w:val="22"/>
        </w:rPr>
        <w:t xml:space="preserve">, </w:t>
      </w:r>
      <w:r>
        <w:rPr>
          <w:rFonts w:ascii="Times New Roman" w:hAnsi="Times New Roman"/>
          <w:color w:val="000000"/>
          <w:sz w:val="22"/>
          <w:u w:val="single"/>
        </w:rPr>
        <w:t>3</w:t>
      </w:r>
      <w:r>
        <w:rPr>
          <w:rFonts w:ascii="Times New Roman" w:hAnsi="Times New Roman"/>
          <w:color w:val="000000"/>
          <w:sz w:val="22"/>
        </w:rPr>
        <w:t xml:space="preserve">, </w:t>
      </w:r>
      <w:r>
        <w:rPr>
          <w:rFonts w:ascii="Times New Roman" w:hAnsi="Times New Roman"/>
          <w:color w:val="000000"/>
          <w:sz w:val="22"/>
          <w:u w:val="single"/>
        </w:rPr>
        <w:t>4</w:t>
      </w:r>
      <w:r>
        <w:rPr>
          <w:rFonts w:ascii="Times New Roman" w:hAnsi="Times New Roman"/>
          <w:color w:val="000000"/>
          <w:sz w:val="22"/>
        </w:rPr>
        <w:t xml:space="preserve">, </w:t>
      </w:r>
      <w:r>
        <w:rPr>
          <w:rFonts w:ascii="Times New Roman" w:hAnsi="Times New Roman"/>
          <w:color w:val="000000"/>
          <w:sz w:val="22"/>
          <w:u w:val="single"/>
        </w:rPr>
        <w:t>5</w:t>
      </w:r>
      <w:r>
        <w:rPr>
          <w:rFonts w:ascii="Times New Roman" w:hAnsi="Times New Roman"/>
          <w:color w:val="000000"/>
          <w:sz w:val="22"/>
        </w:rPr>
        <w:t xml:space="preserve">, </w:t>
      </w:r>
      <w:r>
        <w:rPr>
          <w:rFonts w:ascii="Times New Roman" w:hAnsi="Times New Roman"/>
          <w:color w:val="000000"/>
          <w:sz w:val="22"/>
          <w:u w:val="single"/>
        </w:rPr>
        <w:t>6</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7</w:t>
      </w:r>
      <w:r>
        <w:rPr>
          <w:rFonts w:ascii="Times New Roman" w:hAnsi="Times New Roman"/>
          <w:color w:val="000000"/>
          <w:sz w:val="20"/>
        </w:rPr>
        <w:t xml:space="preserve"> </w:t>
      </w:r>
      <w:r>
        <w:rPr>
          <w:rFonts w:ascii="Times New Roman" w:hAnsi="Times New Roman"/>
          <w:color w:val="000000"/>
          <w:sz w:val="22"/>
        </w:rPr>
        <w:t>below, as follows:</w:t>
      </w:r>
    </w:p>
    <w:p>
      <w:pPr>
        <w:pStyle w:val="TextBody"/>
        <w:bidi w:val="0"/>
        <w:spacing w:before="0" w:after="240"/>
        <w:jc w:val="both"/>
        <w:rPr>
          <w:rFonts w:ascii="Times New Roman" w:hAnsi="Times New Roman"/>
          <w:sz w:val="20"/>
        </w:rPr>
      </w:pPr>
      <w:r>
        <w:rPr>
          <w:rFonts w:ascii="Times New Roman" w:hAnsi="Times New Roman"/>
          <w:color w:val="000000"/>
          <w:sz w:val="22"/>
        </w:rPr>
        <w:t>1.</w:t>
      </w:r>
      <w:r>
        <w:rPr>
          <w:rFonts w:ascii="Times New Roman" w:hAnsi="Times New Roman"/>
          <w:color w:val="000000"/>
          <w:sz w:val="20"/>
        </w:rPr>
        <w:t xml:space="preserve"> </w:t>
      </w:r>
      <w:r>
        <w:rPr>
          <w:rFonts w:ascii="Times New Roman" w:hAnsi="Times New Roman"/>
          <w:color w:val="000000"/>
          <w:sz w:val="22"/>
          <w:u w:val="single"/>
        </w:rPr>
        <w:t xml:space="preserve">Size </w:t>
      </w:r>
      <w:r>
        <w:rPr>
          <w:rFonts w:ascii="Times New Roman" w:hAnsi="Times New Roman"/>
          <w:i/>
          <w:color w:val="000000"/>
          <w:sz w:val="22"/>
          <w:u w:val="single"/>
        </w:rPr>
        <w:t>Status</w:t>
      </w:r>
      <w:r>
        <w:rPr>
          <w:rFonts w:ascii="Times New Roman" w:hAnsi="Times New Roman"/>
          <w:color w:val="000000"/>
          <w:sz w:val="22"/>
        </w:rPr>
        <w:t>. Borrower’s primary NAICS code is 541714 and has less than 83 employees in the aggregate (as determined in accordance with Title 13 Code of Federal Regulations Section 121.106) average receipts (as determined in accordance with Title 13 Code of Federal Regulations Section 121.104) less than $5,151,292 for its last three completed fiscal years;</w:t>
      </w:r>
    </w:p>
    <w:p>
      <w:pPr>
        <w:pStyle w:val="TextBody"/>
        <w:bidi w:val="0"/>
        <w:spacing w:before="0" w:after="240"/>
        <w:jc w:val="both"/>
        <w:rPr>
          <w:rFonts w:ascii="Times New Roman" w:hAnsi="Times New Roman"/>
          <w:sz w:val="20"/>
        </w:rPr>
      </w:pPr>
      <w:r>
        <w:rPr>
          <w:rFonts w:ascii="Times New Roman" w:hAnsi="Times New Roman"/>
          <w:color w:val="000000"/>
          <w:sz w:val="22"/>
        </w:rPr>
        <w:t>2.</w:t>
      </w:r>
      <w:r>
        <w:rPr>
          <w:rFonts w:ascii="Times New Roman" w:hAnsi="Times New Roman"/>
          <w:color w:val="000000"/>
          <w:sz w:val="20"/>
        </w:rPr>
        <w:t xml:space="preserve"> </w:t>
      </w:r>
      <w:r>
        <w:rPr>
          <w:rFonts w:ascii="Times New Roman" w:hAnsi="Times New Roman"/>
          <w:color w:val="000000"/>
          <w:sz w:val="22"/>
        </w:rPr>
        <w:t>No Relender. Borrower’s primary business activity does not involve, directly or indirectly, providing funds to others, purchasing debt obligations, factoring, or long-term leasing of equipment with no provision for maintenance or repair;</w:t>
      </w:r>
    </w:p>
    <w:p>
      <w:pPr>
        <w:pStyle w:val="TextBody"/>
        <w:bidi w:val="0"/>
        <w:spacing w:before="0" w:after="240"/>
        <w:jc w:val="both"/>
        <w:rPr>
          <w:rFonts w:ascii="Times New Roman" w:hAnsi="Times New Roman"/>
          <w:sz w:val="20"/>
        </w:rPr>
      </w:pPr>
      <w:r>
        <w:rPr>
          <w:rFonts w:ascii="Times New Roman" w:hAnsi="Times New Roman"/>
          <w:color w:val="000000"/>
          <w:sz w:val="22"/>
        </w:rPr>
        <w:t>3.</w:t>
      </w:r>
      <w:r>
        <w:rPr>
          <w:rFonts w:ascii="Times New Roman" w:hAnsi="Times New Roman"/>
          <w:color w:val="000000"/>
          <w:sz w:val="20"/>
        </w:rPr>
        <w:t xml:space="preserve"> </w:t>
      </w:r>
      <w:r>
        <w:rPr>
          <w:rFonts w:ascii="Times New Roman" w:hAnsi="Times New Roman"/>
          <w:color w:val="000000"/>
          <w:sz w:val="22"/>
          <w:u w:val="single"/>
        </w:rPr>
        <w:t>No Passive Business</w:t>
      </w:r>
      <w:r>
        <w:rPr>
          <w:rFonts w:ascii="Times New Roman" w:hAnsi="Times New Roman"/>
          <w:color w:val="000000"/>
          <w:sz w:val="22"/>
        </w:rPr>
        <w:t>. Borrower is engaged in a regular and continuous business operation (excluding the mere receipt of payments such as dividends, rents, lease payments, or royalties). Borrower’s employees are carrying on the majority of day to day operations. Borrower will not pass through substantially all of the proceeds of the Loan to another entity;</w:t>
      </w:r>
    </w:p>
    <w:p>
      <w:pPr>
        <w:pStyle w:val="TextBody"/>
        <w:bidi w:val="0"/>
        <w:spacing w:before="0" w:after="240"/>
        <w:jc w:val="both"/>
        <w:rPr>
          <w:rFonts w:ascii="Times New Roman" w:hAnsi="Times New Roman"/>
          <w:sz w:val="20"/>
        </w:rPr>
      </w:pPr>
      <w:r>
        <w:rPr>
          <w:rFonts w:ascii="Times New Roman" w:hAnsi="Times New Roman"/>
          <w:color w:val="000000"/>
          <w:sz w:val="22"/>
        </w:rPr>
        <w:t>4.</w:t>
      </w:r>
      <w:r>
        <w:rPr>
          <w:rFonts w:ascii="Times New Roman" w:hAnsi="Times New Roman"/>
          <w:color w:val="000000"/>
          <w:sz w:val="20"/>
        </w:rPr>
        <w:t xml:space="preserve"> </w:t>
      </w:r>
      <w:r>
        <w:rPr>
          <w:rFonts w:ascii="Times New Roman" w:hAnsi="Times New Roman"/>
          <w:color w:val="000000"/>
          <w:sz w:val="22"/>
          <w:u w:val="single"/>
        </w:rPr>
        <w:t>No Real Estate Business.</w:t>
      </w:r>
      <w:r>
        <w:rPr>
          <w:rFonts w:ascii="Times New Roman" w:hAnsi="Times New Roman"/>
          <w:color w:val="000000"/>
          <w:sz w:val="20"/>
        </w:rPr>
        <w:t xml:space="preserve"> </w:t>
      </w:r>
      <w:r>
        <w:rPr>
          <w:rFonts w:ascii="Times New Roman" w:hAnsi="Times New Roman"/>
          <w:color w:val="000000"/>
          <w:sz w:val="22"/>
        </w:rPr>
        <w:t>Borrower is not classified under North American Industry Classification System (NAICS) codes 531110 (lessors of residential buildings and dwellings), 531120 (lessors of nonresidential buildings except miniwarehouses), 531190 (lessors of other real estate property), 237210 (land subdivision), or 236117 (new housing for-sale builders). Borrower is not classified under NAICS codes 236118 (residential remodelers), 236210 (industrial building construction), or 236220 (commercial and institutional building construction), if Borrower is primarily engaged in construction or renovation of properties on its own account rather than as a hired contractor. Borrower is not classified under NAICS codes 531210 (offices of real estate agents and brokers), 531311 (residential property managers), 531312 (nonresidential property managers), 531320 (offices of real estate appraisers), or 531390 (other activities related to real estate), unless it derives at least 80 percent of its revenue from non-Affiliate sources. The proceeds of the Loan will not be used to acquire or refinance real property unless Borrower (x) is acquiring an existing property and will use at least 51 percent of the usable square footage for its business purposes; (y) is building or renovating a building and will use at least 67 percent of the usable square footage for its business purposes; or (z) occupies the subject property and uses at least 67 percent of the usable square footage for its business purposes.</w:t>
      </w:r>
    </w:p>
    <w:p>
      <w:pPr>
        <w:pStyle w:val="TextBody"/>
        <w:bidi w:val="0"/>
        <w:spacing w:before="0" w:after="240"/>
        <w:jc w:val="both"/>
        <w:rPr>
          <w:rFonts w:ascii="Times New Roman" w:hAnsi="Times New Roman"/>
          <w:sz w:val="20"/>
        </w:rPr>
      </w:pPr>
      <w:r>
        <w:rPr>
          <w:rFonts w:ascii="Times New Roman" w:hAnsi="Times New Roman"/>
          <w:color w:val="000000"/>
          <w:sz w:val="22"/>
        </w:rPr>
        <w:t>5.</w:t>
      </w:r>
      <w:r>
        <w:rPr>
          <w:rFonts w:ascii="Times New Roman" w:hAnsi="Times New Roman"/>
          <w:color w:val="000000"/>
          <w:sz w:val="20"/>
        </w:rPr>
        <w:t xml:space="preserve"> </w:t>
      </w:r>
      <w:r>
        <w:rPr>
          <w:rFonts w:ascii="Times New Roman" w:hAnsi="Times New Roman"/>
          <w:color w:val="000000"/>
          <w:sz w:val="22"/>
          <w:u w:val="single"/>
        </w:rPr>
        <w:t>No Project Finance</w:t>
      </w:r>
      <w:r>
        <w:rPr>
          <w:rFonts w:ascii="Times New Roman" w:hAnsi="Times New Roman"/>
          <w:color w:val="000000"/>
          <w:sz w:val="22"/>
        </w:rPr>
        <w:t>. Borrower’s assets are not intended to be reduced or consumed, generally without replacement, as the life of its business progresses, and the nature of Borrower’s business does not require that a stream of cash payments be made to the business’s financing sources, on a basis associated with the continuing sale of assets (e.g., real estate development projects and oil and gas wells). The primary purpose of the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Loan is not to fund production of a single item or defined limited number of items, generally over a defined production period, where such production will constitute the majority of the activities of Borrower (e.g., motion pictures and electric generating plants).</w:t>
      </w:r>
    </w:p>
    <w:p>
      <w:pPr>
        <w:pStyle w:val="TextBody"/>
        <w:bidi w:val="0"/>
        <w:spacing w:before="0" w:after="240"/>
        <w:jc w:val="both"/>
        <w:rPr>
          <w:rFonts w:ascii="Times New Roman" w:hAnsi="Times New Roman"/>
          <w:sz w:val="20"/>
        </w:rPr>
      </w:pPr>
      <w:r>
        <w:rPr>
          <w:rFonts w:ascii="Times New Roman" w:hAnsi="Times New Roman"/>
          <w:color w:val="000000"/>
          <w:sz w:val="22"/>
        </w:rPr>
        <w:t>6.</w:t>
      </w:r>
      <w:r>
        <w:rPr>
          <w:rFonts w:ascii="Times New Roman" w:hAnsi="Times New Roman"/>
          <w:color w:val="000000"/>
          <w:sz w:val="20"/>
        </w:rPr>
        <w:t xml:space="preserve"> </w:t>
      </w:r>
      <w:r>
        <w:rPr>
          <w:rFonts w:ascii="Times New Roman" w:hAnsi="Times New Roman"/>
          <w:color w:val="000000"/>
          <w:sz w:val="22"/>
          <w:u w:val="single"/>
        </w:rPr>
        <w:t>No Farm Land Purchases</w:t>
      </w:r>
      <w:r>
        <w:rPr>
          <w:rFonts w:ascii="Times New Roman" w:hAnsi="Times New Roman"/>
          <w:color w:val="000000"/>
          <w:sz w:val="22"/>
        </w:rPr>
        <w:t>. Borrower will not use the proceeds of the Loan to acquire farm land which is or is intended to be used for agricultural or forestry purposes, such as the production of food, fiber, or wood, or is so taxed or zoned.</w:t>
      </w:r>
    </w:p>
    <w:p>
      <w:pPr>
        <w:pStyle w:val="TextBody"/>
        <w:bidi w:val="0"/>
        <w:spacing w:before="0" w:after="240"/>
        <w:jc w:val="both"/>
        <w:rPr>
          <w:rFonts w:ascii="Times New Roman" w:hAnsi="Times New Roman"/>
          <w:sz w:val="20"/>
        </w:rPr>
      </w:pPr>
      <w:r>
        <w:rPr>
          <w:rFonts w:ascii="Times New Roman" w:hAnsi="Times New Roman"/>
          <w:color w:val="000000"/>
          <w:sz w:val="22"/>
        </w:rPr>
        <w:t>7.</w:t>
      </w:r>
      <w:r>
        <w:rPr>
          <w:rFonts w:ascii="Times New Roman" w:hAnsi="Times New Roman"/>
          <w:color w:val="000000"/>
          <w:sz w:val="20"/>
        </w:rPr>
        <w:t xml:space="preserve"> </w:t>
      </w:r>
      <w:r>
        <w:rPr>
          <w:rFonts w:ascii="Times New Roman" w:hAnsi="Times New Roman"/>
          <w:color w:val="000000"/>
          <w:sz w:val="22"/>
          <w:u w:val="single"/>
        </w:rPr>
        <w:t>No Foreign Investment</w:t>
      </w:r>
      <w:r>
        <w:rPr>
          <w:rFonts w:ascii="Times New Roman" w:hAnsi="Times New Roman"/>
          <w:color w:val="000000"/>
          <w:sz w:val="22"/>
        </w:rPr>
        <w:t>. The proceeds of the Loan will not be used substantially for a foreign operation, passed through to a foreign business or used to acquire a foreign business. Borrower will not have, on or within one year after each SBA Funding Date and each other Loan provided by a Lender that is an SBIC more than 49 percent of its employees or tangible assets located outside the United States of America.</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i/>
          <w:color w:val="000000"/>
          <w:sz w:val="22"/>
        </w:rPr>
        <w:t>Small Business Administration Documentation</w:t>
      </w:r>
      <w:r>
        <w:rPr>
          <w:rFonts w:ascii="Times New Roman" w:hAnsi="Times New Roman"/>
          <w:color w:val="000000"/>
          <w:sz w:val="22"/>
        </w:rPr>
        <w:t>. Agent and Lenders acknowledge that Borrower completed, executed and delivered to Agent prior to each SBA Funding Date SBA Forms 480, 652 and 1031 (Parts A and B) together with a business plan showing Borrower’s financial projections (including balance sheets and income and cash flows statements) for the period described therein and a written statement (whether included in the purchase agreement or pursuant to a separate statement) from Agent regarding its intended use of proceeds from the sale of securities to Lenders (the “</w:t>
      </w:r>
      <w:r>
        <w:rPr>
          <w:rFonts w:ascii="Times New Roman" w:hAnsi="Times New Roman"/>
          <w:color w:val="000000"/>
          <w:sz w:val="22"/>
          <w:u w:val="single"/>
        </w:rPr>
        <w:t>Use of Proceeds Statement</w:t>
      </w:r>
      <w:r>
        <w:rPr>
          <w:rFonts w:ascii="Times New Roman" w:hAnsi="Times New Roman"/>
          <w:color w:val="000000"/>
          <w:sz w:val="20"/>
        </w:rPr>
        <w:t>”</w:t>
      </w:r>
      <w:r>
        <w:rPr>
          <w:rFonts w:ascii="Times New Roman" w:hAnsi="Times New Roman"/>
          <w:color w:val="000000"/>
          <w:sz w:val="22"/>
        </w:rPr>
        <w:t>). Borrower represents and warrants to Agent and Lenders that the information regarding Borrower and its affiliates set forth in the SBA Form 480, Form 652 and Form 1031 and the Use of Proceeds Statement delivered as of each SBA Funding Date is accurate and complete.</w:t>
      </w:r>
    </w:p>
    <w:p>
      <w:pPr>
        <w:pStyle w:val="TextBody"/>
        <w:bidi w:val="0"/>
        <w:spacing w:before="0" w:after="240"/>
        <w:jc w:val="both"/>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i/>
          <w:color w:val="000000"/>
          <w:sz w:val="22"/>
        </w:rPr>
        <w:t>Inspection</w:t>
      </w:r>
      <w:r>
        <w:rPr>
          <w:rFonts w:ascii="Times New Roman" w:hAnsi="Times New Roman"/>
          <w:color w:val="000000"/>
          <w:sz w:val="22"/>
        </w:rPr>
        <w:t xml:space="preserve">. The following covenants contained in this </w:t>
      </w:r>
      <w:r>
        <w:rPr>
          <w:rFonts w:ascii="Times New Roman" w:hAnsi="Times New Roman"/>
          <w:color w:val="000000"/>
          <w:sz w:val="22"/>
          <w:u w:val="single"/>
        </w:rPr>
        <w:t>Section (c)</w:t>
      </w:r>
      <w:r>
        <w:rPr>
          <w:rFonts w:ascii="Times New Roman" w:hAnsi="Times New Roman"/>
          <w:color w:val="000000"/>
          <w:sz w:val="20"/>
        </w:rPr>
        <w:t xml:space="preserve"> </w:t>
      </w:r>
      <w:r>
        <w:rPr>
          <w:rFonts w:ascii="Times New Roman" w:hAnsi="Times New Roman"/>
          <w:color w:val="000000"/>
          <w:sz w:val="22"/>
        </w:rPr>
        <w:t>are intended to supplement and not to restrict the related provisions of the Loan Documents. Borrower will permit, for so long as Lenders hold any debt or equity securities of Borrower, Agent, Lenders or their representative, at Agent’s or Lenders’ expense, and examiners of the SBA to visit and inspect the properties and assets of Borrower, to examine its books of account and records, and to discuss Borrower’s affairs, finances and accounts with Borrower’s officers, senior management and accountants, all at such reasonable times during normal business hours and upon reasonable notice as may be requested by Agent or Lenders or the SBA.</w:t>
      </w:r>
    </w:p>
    <w:p>
      <w:pPr>
        <w:pStyle w:val="TextBody"/>
        <w:bidi w:val="0"/>
        <w:spacing w:before="0" w:after="240"/>
        <w:jc w:val="both"/>
        <w:rPr>
          <w:rFonts w:ascii="Times New Roman" w:hAnsi="Times New Roman"/>
          <w:sz w:val="20"/>
        </w:rPr>
      </w:pPr>
      <w:r>
        <w:rPr>
          <w:rFonts w:ascii="Times New Roman" w:hAnsi="Times New Roman"/>
          <w:color w:val="000000"/>
          <w:sz w:val="22"/>
        </w:rPr>
        <w:t>(d)</w:t>
      </w:r>
      <w:r>
        <w:rPr>
          <w:rFonts w:ascii="Times New Roman" w:hAnsi="Times New Roman"/>
          <w:color w:val="000000"/>
          <w:sz w:val="20"/>
        </w:rPr>
        <w:t xml:space="preserve"> </w:t>
      </w:r>
      <w:r>
        <w:rPr>
          <w:rFonts w:ascii="Times New Roman" w:hAnsi="Times New Roman"/>
          <w:i/>
          <w:color w:val="000000"/>
          <w:sz w:val="22"/>
        </w:rPr>
        <w:t>Annual Assessment</w:t>
      </w:r>
      <w:r>
        <w:rPr>
          <w:rFonts w:ascii="Times New Roman" w:hAnsi="Times New Roman"/>
          <w:color w:val="000000"/>
          <w:sz w:val="22"/>
        </w:rPr>
        <w:t>. Upon request of Agent or Lender, promptly after the end of each calendar year (but in any event prior to February 28 of each year) and at such other times as may be reasonably requested by Agent or Lenders, Borrower will deliver to Agent a written assessment of the economic impact of Lenders’ investment in Borrower, specifying the full-time equivalent net jobs created and total jobs created or retained in connection with the investment, the impact of the investment on the revenues and profits of Borrower’s business and on taxes paid by Borrower and its employees, and such other information as may be required regarding Borrower in connection with the filing of Lenders’ SBA Form 468. Lenders will assist Borrower with preparing such assessment. In addition to any other rights granted hereunder, Borrower will grant Agent and Lenders and the SBA access to Borrower’s books and records for the purpose of verifying the use of such proceeds. Borrower also will furnish or cause to be furnished to Agent and Lenders such other information regarding the business, affairs and condition of Borrower as Agent or Lenders may from time to time reasonably request, and such information shall be certified by the President, Chief Executive Officer or Chief Financial Officer of Borrower to the extent requested by Agent or Lender for compliance with the SBIC Act.</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(e)</w:t>
      </w:r>
      <w:r>
        <w:rPr>
          <w:rFonts w:ascii="Times New Roman" w:hAnsi="Times New Roman"/>
          <w:color w:val="000000"/>
          <w:sz w:val="20"/>
        </w:rPr>
        <w:t xml:space="preserve"> </w:t>
      </w:r>
      <w:r>
        <w:rPr>
          <w:rFonts w:ascii="Times New Roman" w:hAnsi="Times New Roman"/>
          <w:i/>
          <w:color w:val="000000"/>
          <w:sz w:val="22"/>
        </w:rPr>
        <w:t>Use of Proceeds.</w:t>
      </w:r>
      <w:r>
        <w:rPr>
          <w:rFonts w:ascii="Times New Roman" w:hAnsi="Times New Roman"/>
          <w:color w:val="000000"/>
          <w:sz w:val="20"/>
        </w:rPr>
        <w:t xml:space="preserve"> </w:t>
      </w:r>
      <w:r>
        <w:rPr>
          <w:rFonts w:ascii="Times New Roman" w:hAnsi="Times New Roman"/>
          <w:color w:val="000000"/>
          <w:sz w:val="22"/>
        </w:rPr>
        <w:t xml:space="preserve">Borrower will use the proceeds from the Loan only for purposes set forth in </w:t>
      </w:r>
      <w:r>
        <w:rPr>
          <w:rFonts w:ascii="Times New Roman" w:hAnsi="Times New Roman"/>
          <w:color w:val="000000"/>
          <w:sz w:val="22"/>
          <w:u w:val="single"/>
        </w:rPr>
        <w:t>Section 7.16</w:t>
      </w:r>
      <w:r>
        <w:rPr>
          <w:rFonts w:ascii="Times New Roman" w:hAnsi="Times New Roman"/>
          <w:color w:val="000000"/>
          <w:sz w:val="22"/>
        </w:rPr>
        <w:t xml:space="preserve">. Borrower will deliver to Agent from time to time promptly following Agent’s request, a written report, certified as correct by Borrower’s Chief Financial Officer, verifying the purposes and amounts for which proceeds from the Loan have been disbursed. Borrower will supply to Agent such additional information and documents as Agent reasonably requests with respect to its use of proceeds and will permit Agent and Lenders and the SBA to have access to any and all Borrower records and information and personnel as Agent deems necessary to verify how such proceeds have been or are being used, and to assure that the proceeds have been used for the purposes specified in </w:t>
      </w:r>
      <w:r>
        <w:rPr>
          <w:rFonts w:ascii="Times New Roman" w:hAnsi="Times New Roman"/>
          <w:color w:val="000000"/>
          <w:sz w:val="22"/>
          <w:u w:val="single"/>
        </w:rPr>
        <w:t>Section 7.17</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(f)</w:t>
      </w:r>
      <w:r>
        <w:rPr>
          <w:rFonts w:ascii="Times New Roman" w:hAnsi="Times New Roman"/>
          <w:color w:val="000000"/>
          <w:sz w:val="20"/>
        </w:rPr>
        <w:t xml:space="preserve"> </w:t>
      </w:r>
      <w:r>
        <w:rPr>
          <w:rFonts w:ascii="Times New Roman" w:hAnsi="Times New Roman"/>
          <w:i/>
          <w:color w:val="000000"/>
          <w:sz w:val="22"/>
        </w:rPr>
        <w:t>Activities and Proceeds</w:t>
      </w:r>
      <w:r>
        <w:rPr>
          <w:rFonts w:ascii="Times New Roman" w:hAnsi="Times New Roman"/>
          <w:color w:val="000000"/>
          <w:sz w:val="22"/>
        </w:rPr>
        <w:t xml:space="preserve">. Neither Borrower nor any of its affiliates (if any) will engage in any activities or use directly or indirectly the proceeds from the Loan for any purpose for which a small business investment company is prohibited from providing funds by the SBIC Act, including 13 C.F.R. §107.720. Borrower shall not, nor shall it cause or permit any of its subsidiaries to, without obtaining the prior written approval of Agent, change Borrower’s or any such subsidiary’s business activities from that conducted on the date hereof to a business activity from which a licensee under the SBIC Act is prohibited from providing funds by the SBIC Act. Borrower agrees that any such change in its or any such subsidiary’s business activities without such prior written consent of Agent shall constitute a material breach of the obligations of Borrower under this </w:t>
      </w:r>
      <w:r>
        <w:rPr>
          <w:rFonts w:ascii="Times New Roman" w:hAnsi="Times New Roman"/>
          <w:color w:val="000000"/>
          <w:sz w:val="22"/>
          <w:u w:val="single"/>
        </w:rPr>
        <w:t>Addendum 3</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(g)</w:t>
      </w:r>
      <w:r>
        <w:rPr>
          <w:rFonts w:ascii="Times New Roman" w:hAnsi="Times New Roman"/>
          <w:color w:val="000000"/>
          <w:sz w:val="20"/>
        </w:rPr>
        <w:t xml:space="preserve"> </w:t>
      </w:r>
      <w:r>
        <w:rPr>
          <w:rFonts w:ascii="Times New Roman" w:hAnsi="Times New Roman"/>
          <w:i/>
          <w:color w:val="000000"/>
          <w:sz w:val="22"/>
        </w:rPr>
        <w:t>Compliance and Resolution.</w:t>
      </w:r>
      <w:r>
        <w:rPr>
          <w:rFonts w:ascii="Times New Roman" w:hAnsi="Times New Roman"/>
          <w:color w:val="000000"/>
          <w:sz w:val="20"/>
        </w:rPr>
        <w:t xml:space="preserve"> </w:t>
      </w:r>
      <w:r>
        <w:rPr>
          <w:rFonts w:ascii="Times New Roman" w:hAnsi="Times New Roman"/>
          <w:color w:val="000000"/>
          <w:sz w:val="22"/>
        </w:rPr>
        <w:t>Borrower agrees that a failure to comply with Borrower’s obligations under this Addendum, or any other set of facts or circumstances where it has been asserted by any governmental regulatory agency (or Agent or Lenders believes that there is a substantial risk of such assertion) that Agent, Lenders and their affiliates are not entitled to hold, or exercise any significant right with respect to, any securities issued to Lenders by Borrower, will constitute a breach of the obligations of Borrower under the financing agreements among Borrower, Agent and Lenders. In the event of (i) a failure to comply with Borrower’s obligations under this Addendum; or (ii) an assertion by any governmental regulatory agency (or Agent or Lenders believe that there is a substantial risk of such assertion) of a failure to comply with Borrower’s obligations under this Addendum, then (i) Agent, Lenders and Borrower will meet and resolve any such issue in good faith to the satisfaction of Borrower, Agent, Lenders, and any governmental regulatory agency, and (ii) upon request of Lenders or Agent, Borrower will cooperate and assist with any assignment of the financing agreements among Hercules SBIC V, L.P. and Hercules Capital, Inc.</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ADDENDUM 4 to LOAN AND SECURITY AGREEMENT</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Agent and Lender Terms</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 xml:space="preserve">Each Lender hereby irrevocably appoints Hercules Capital, Inc. to act on its behalf as Agent hereunder and under the other Loan Documents and irrevocably authorizes Agent to take such actions on its behalf and to exercise such powers as are delegated to Agent by the terms hereof or thereof, together with such actions and powers as are reasonably incidental thereto. Agent shall have only those duties which are specified in this Agreement and it may perform such duties by or through its agents, representatives or employees. In performing its duties on behalf of Lenders, Agent shall exercise the same care which it would exercise in dealing with loans made for its own account, but it shall not be responsible to any Lender for the execution, effectiveness, genuineness, validity, enforceability, collectability or sufficiency of all or any of the Loan Documents, or for any representations, warranties, recitals or statements made therein or made in any written or oral statement or in any financial or other statements, instruments, reports, certificates or any other documents furnished or delivered in connection herewith or therewith by Agent to any Lender or by or on behalf of Borrower to Agent or any Lender, or be required to ascertain or inquire as to the performance or observance of any of the terms, conditions, provisions, covenants or agreements contained herein or therein, as to the use of the proceeds of the Term Loan Advances, the contents of any certificate, report or other document delivered hereunder or thereunder or in connection herewith or therewith, the validity, enforceability, effectiveness or genuineness of this Agreement, any other Loan Document or any other agreement, instrument or document or the satisfaction of any condition set forth in </w:t>
      </w:r>
      <w:r>
        <w:rPr>
          <w:rFonts w:ascii="Times New Roman" w:hAnsi="Times New Roman"/>
          <w:color w:val="000000"/>
          <w:sz w:val="22"/>
          <w:u w:val="single"/>
        </w:rPr>
        <w:t>Section 4</w:t>
      </w:r>
      <w:r>
        <w:rPr>
          <w:rFonts w:ascii="Times New Roman" w:hAnsi="Times New Roman"/>
          <w:color w:val="000000"/>
          <w:sz w:val="20"/>
        </w:rPr>
        <w:t xml:space="preserve"> </w:t>
      </w:r>
      <w:r>
        <w:rPr>
          <w:rFonts w:ascii="Times New Roman" w:hAnsi="Times New Roman"/>
          <w:color w:val="000000"/>
          <w:sz w:val="22"/>
        </w:rPr>
        <w:t>or elsewhere herein, other than to confirm receipt of items expressly required to be delivered to Agent. Agent shall not be responsible for insuring the Collateral or for the payment of any Taxes, assessments, charges or any other charges or liens of any nature whatsoever upon the Collateral or otherwise for the maintenance of the Collateral, except in the event Agent enters into possession of a part or all of the Collateral, in which event Agent shall preserve the part in its possession. Unless the officers of Agent acting in their capacity as officer of Agent on Borrower’s account have actual knowledge thereof or have been notified in writing thereof by Lenders, Agent shall not be required to ascertain or inquire as to the existence or possible existence of any Event of Default.</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Neither Agent nor any of its officers, directors, employees, attorneys, representatives or agents shall be liable to Lenders for any action taken or omitted hereunder or under any of the other Loan Documents or in connection herewith or therewith unless caused by its or their gross negligence or willful misconduct. No provision of this Agreement or of any other Loan Document shall be deemed to impose any duty or obligation on Agent to perform any act or to exercise any power in any jurisdiction in which it shall be illegal, or shall be deemed to impose any duty or obligation on Agent to perform any act or exercise any right or power if such performance or exercise (a) would subject Agent to a Tax in a jurisdiction where it is not then subject to a Tax or (b) would require Agent to qualify to do business in any jurisdiction where it is not so qualified. Without prejudice to the generality of the foregoing, no Lender shall have any right of action whatsoever against Agent as a result of Agent acting or (where so instructed) refraining from acting under this Agreement or under any of the other Loan Documents in accordance with the instructions of Lenders. Agent shall be entitled to refrain from exercising any power, discretion or authority vested in it under this Agreement unless and until it has obtained the written instructions of Lenders. The agency hereby created shall in no way impair or affect any of the rights and powers of, or impose any duties or obligations upon Agent in its individual capacity. With respect to its participation in the Loan Agreement hereunder, Agent shall have the same rights and powers hereunder as any other Lender and may exercise the same rights and powers as though it were not performing the duties and functions delegated to it hereunder and the term “Lender” or</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color w:val="000000"/>
        </w:rPr>
      </w:pPr>
      <w:r>
        <w:rPr>
          <w:color w:val="000000"/>
        </w:rPr>
        <w:t>“</w:t>
      </w:r>
      <w:r>
        <w:rPr>
          <w:rFonts w:ascii="Times New Roman" w:hAnsi="Times New Roman"/>
          <w:color w:val="000000"/>
          <w:sz w:val="22"/>
        </w:rPr>
        <w:t>Lenders” or any similar term shall unless the context clearly indicates otherwise include Agent in its individual capacity.</w:t>
      </w:r>
    </w:p>
    <w:p>
      <w:pPr>
        <w:pStyle w:val="TextBody"/>
        <w:bidi w:val="0"/>
        <w:spacing w:before="0" w:after="240"/>
        <w:jc w:val="both"/>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Agent may rely, and shall be fully protected in acting, or refraining to act, upon, any resolution, statement, certificate, instrument, opinion, report, notice, request, consent, order, bond or other paper or document that it has no reason to believe to be other than genuine and to have been signed or presented by the proper party or parties or, in the case of cables, telecopies and telexes, to have been sent by the proper party or parties. In the absence of its gross negligence or willful misconduct, Agent may conclusively rely, as to the truth of the statements and the correctness of the opinions expressed therein, upon any certificates or opinions furnished to Agent and conforming to the requirements of this Agreement or any of the other Loan Documents. Agent may consult with counsel, and any opinion or legal advice of such counsel shall be full and complete authorization and protection in respect of any action taken, not taken or suffered by Agent hereunder or under any Loan Documents in accordance therewith. Agent shall have the right at any time to seek instructions concerning the administration of the Collateral from any court of competent jurisdiction. Agent shall not be under any obligation to exercise any of the rights or powers granted to Agent by this Agreement and the other Loan Documents at the request or direction of Lenders unless Agent shall have been provided by Lenders with adequate security and indemnity against the costs, expenses and liabilities that may be incurred by it in compliance with such request or direction.</w:t>
      </w:r>
    </w:p>
    <w:p>
      <w:pPr>
        <w:pStyle w:val="TextBody"/>
        <w:bidi w:val="0"/>
        <w:spacing w:before="0" w:after="240"/>
        <w:jc w:val="both"/>
        <w:rPr>
          <w:rFonts w:ascii="Times New Roman" w:hAnsi="Times New Roman"/>
          <w:sz w:val="20"/>
        </w:rPr>
      </w:pPr>
      <w:r>
        <w:rPr>
          <w:rFonts w:ascii="Times New Roman" w:hAnsi="Times New Roman"/>
          <w:color w:val="000000"/>
          <w:sz w:val="22"/>
        </w:rPr>
        <w:t>(d)</w:t>
      </w:r>
      <w:r>
        <w:rPr>
          <w:rFonts w:ascii="Times New Roman" w:hAnsi="Times New Roman"/>
          <w:color w:val="000000"/>
          <w:sz w:val="20"/>
        </w:rPr>
        <w:t xml:space="preserve"> </w:t>
      </w:r>
      <w:r>
        <w:rPr>
          <w:rFonts w:ascii="Times New Roman" w:hAnsi="Times New Roman"/>
          <w:color w:val="000000"/>
          <w:sz w:val="22"/>
        </w:rPr>
        <w:t xml:space="preserve">Each Lender agrees to indemnify Agent in its capacity as such (to the extent not reimbursed by Borrower and without limiting the obligation of Borrower to do so), according to its respective Term Commitment percentages (based upon the total outstanding Term Commitments) in effect on the date on which indemnification is sought under this </w:t>
      </w:r>
      <w:r>
        <w:rPr>
          <w:rFonts w:ascii="Times New Roman" w:hAnsi="Times New Roman"/>
          <w:color w:val="000000"/>
          <w:sz w:val="22"/>
          <w:u w:val="single"/>
        </w:rPr>
        <w:t>Addendum 4</w:t>
      </w:r>
      <w:r>
        <w:rPr>
          <w:rFonts w:ascii="Times New Roman" w:hAnsi="Times New Roman"/>
          <w:color w:val="000000"/>
          <w:sz w:val="22"/>
        </w:rPr>
        <w:t>, from and against any and all liabilities, obligations, losses, damages, penalties, actions, judgments, suits, costs, expenses or disbursements of any kind whatsoever that may at any time be imposed on, incurred by or asserted against Agent in any way relating to or arising out of, this Agreement, any of the other Loan Documents or any documents contemplated by or referred to herein or therein or the transactions contemplated hereby or thereby or any action taken or omitted by Agent under or in connection with any of the foregoing; The agreements in this Section shall survive the payment of the Loans and all other amounts payable hereunder.</w:t>
      </w:r>
    </w:p>
    <w:p>
      <w:pPr>
        <w:pStyle w:val="TextBody"/>
        <w:bidi w:val="0"/>
        <w:spacing w:before="0" w:after="240"/>
        <w:jc w:val="both"/>
        <w:rPr>
          <w:rFonts w:ascii="Times New Roman" w:hAnsi="Times New Roman"/>
          <w:sz w:val="20"/>
        </w:rPr>
      </w:pPr>
      <w:r>
        <w:rPr>
          <w:rFonts w:ascii="Times New Roman" w:hAnsi="Times New Roman"/>
          <w:color w:val="000000"/>
          <w:sz w:val="22"/>
        </w:rPr>
        <w:t>(e)</w:t>
      </w:r>
      <w:r>
        <w:rPr>
          <w:rFonts w:ascii="Times New Roman" w:hAnsi="Times New Roman"/>
          <w:color w:val="000000"/>
          <w:sz w:val="20"/>
        </w:rPr>
        <w:t xml:space="preserve"> </w:t>
      </w:r>
      <w:r>
        <w:rPr>
          <w:rFonts w:ascii="Times New Roman" w:hAnsi="Times New Roman"/>
          <w:color w:val="000000"/>
          <w:sz w:val="22"/>
        </w:rPr>
        <w:t xml:space="preserve">To the extent not reimbursed either by Borrower or from the application of Collateral proceeds pursuant to </w:t>
      </w:r>
      <w:r>
        <w:rPr>
          <w:rFonts w:ascii="Times New Roman" w:hAnsi="Times New Roman"/>
          <w:color w:val="000000"/>
          <w:sz w:val="22"/>
          <w:u w:val="single"/>
        </w:rPr>
        <w:t>Section 10.2</w:t>
      </w:r>
      <w:r>
        <w:rPr>
          <w:rFonts w:ascii="Times New Roman" w:hAnsi="Times New Roman"/>
          <w:color w:val="000000"/>
          <w:sz w:val="22"/>
        </w:rPr>
        <w:t>, a Lender (the “</w:t>
      </w:r>
      <w:r>
        <w:rPr>
          <w:rFonts w:ascii="Times New Roman" w:hAnsi="Times New Roman"/>
          <w:color w:val="000000"/>
          <w:sz w:val="22"/>
          <w:u w:val="single"/>
        </w:rPr>
        <w:t>Indemnified Lender</w:t>
      </w:r>
      <w:r>
        <w:rPr>
          <w:rFonts w:ascii="Times New Roman" w:hAnsi="Times New Roman"/>
          <w:color w:val="000000"/>
          <w:sz w:val="20"/>
        </w:rPr>
        <w:t>”</w:t>
      </w:r>
      <w:r>
        <w:rPr>
          <w:rFonts w:ascii="Times New Roman" w:hAnsi="Times New Roman"/>
          <w:color w:val="000000"/>
          <w:sz w:val="22"/>
        </w:rPr>
        <w:t>) shall be indemnified by the other Lender (an “</w:t>
      </w:r>
      <w:r>
        <w:rPr>
          <w:rFonts w:ascii="Times New Roman" w:hAnsi="Times New Roman"/>
          <w:color w:val="000000"/>
          <w:sz w:val="22"/>
          <w:u w:val="single"/>
        </w:rPr>
        <w:t>Indemnifying Lender</w:t>
      </w:r>
      <w:r>
        <w:rPr>
          <w:rFonts w:ascii="Times New Roman" w:hAnsi="Times New Roman"/>
          <w:color w:val="000000"/>
          <w:sz w:val="20"/>
        </w:rPr>
        <w:t>”</w:t>
      </w:r>
      <w:r>
        <w:rPr>
          <w:rFonts w:ascii="Times New Roman" w:hAnsi="Times New Roman"/>
          <w:color w:val="000000"/>
          <w:sz w:val="22"/>
        </w:rPr>
        <w:t>), on a several basis in proportion to each Lender’s pro rata portion of the Term Commitment, and each Indemnifying Lender agrees to reimburse the Indemnified Lender for the Indemnifying Lender’s pro rata share of the following items (an “</w:t>
      </w:r>
      <w:r>
        <w:rPr>
          <w:rFonts w:ascii="Times New Roman" w:hAnsi="Times New Roman"/>
          <w:color w:val="000000"/>
          <w:sz w:val="22"/>
          <w:u w:val="single"/>
        </w:rPr>
        <w:t>Indemnified Payment</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rPr>
        <w:t>all reasonable out-of-pocket costs and expenses of the Indemnified Lender incurred by the Indemnified Lender in connection with the discharge of its activities under this Agreement or the Loan Agreement, including reasonable legal expenses and attorneys’ fees; provided, that the Indemnified Lender shall consult with the other Lender regarding the incurrence of such costs and expenses at reasonable intervals (but not more often than monthly) and any such reasonable costs and expenses shall be “Claims” hereunder notwithstanding any disagreement by the other Lender as to their incurrence; and</w:t>
      </w:r>
    </w:p>
    <w:p>
      <w:pPr>
        <w:pStyle w:val="TextBody"/>
        <w:bidi w:val="0"/>
        <w:spacing w:before="0" w:after="240"/>
        <w:jc w:val="both"/>
        <w:rPr>
          <w:rFonts w:ascii="Times New Roman" w:hAnsi="Times New Roman"/>
          <w:sz w:val="20"/>
        </w:rPr>
      </w:pPr>
      <w:r>
        <w:rPr>
          <w:rFonts w:ascii="Times New Roman" w:hAnsi="Times New Roman"/>
          <w:color w:val="000000"/>
          <w:sz w:val="22"/>
        </w:rPr>
        <w:t>(ii)</w:t>
      </w:r>
      <w:r>
        <w:rPr>
          <w:rFonts w:ascii="Times New Roman" w:hAnsi="Times New Roman"/>
          <w:color w:val="000000"/>
          <w:sz w:val="20"/>
        </w:rPr>
        <w:t xml:space="preserve"> </w:t>
      </w:r>
      <w:r>
        <w:rPr>
          <w:rFonts w:ascii="Times New Roman" w:hAnsi="Times New Roman"/>
          <w:color w:val="000000"/>
          <w:sz w:val="22"/>
        </w:rPr>
        <w:t>from and against any and all liabilities, obligations, losses, damages, penalties, actions, judgments, suits, costs, expenses or disbursements of any kind or nature whatsoever, which may be imposed on, incurred by or asserted against the Indemnified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Lender in any way relating to or arising out of this Agreement, or any action taken or omitted by the Indemnified Lender hereunder;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provided, however, that the Indemnified Lender shall not be reimbursed or indemnified for an Indemnified Payment, except to the extent that the Indemnified Lender paid more than its ratable share of such payment. All Indemnified Payments as set forth in this </w:t>
      </w:r>
      <w:r>
        <w:rPr>
          <w:rFonts w:ascii="Times New Roman" w:hAnsi="Times New Roman"/>
          <w:color w:val="000000"/>
          <w:sz w:val="22"/>
          <w:u w:val="single"/>
        </w:rPr>
        <w:t>clause (e)</w:t>
      </w:r>
      <w:r>
        <w:rPr>
          <w:rFonts w:ascii="Times New Roman" w:hAnsi="Times New Roman"/>
          <w:color w:val="000000"/>
          <w:sz w:val="20"/>
        </w:rPr>
        <w:t xml:space="preserve"> </w:t>
      </w:r>
      <w:r>
        <w:rPr>
          <w:rFonts w:ascii="Times New Roman" w:hAnsi="Times New Roman"/>
          <w:color w:val="000000"/>
          <w:sz w:val="22"/>
        </w:rPr>
        <w:t>to an Indemnified Lender are intended to be paid ratably by the other Lender.</w:t>
      </w:r>
    </w:p>
    <w:p>
      <w:pPr>
        <w:pStyle w:val="TextBody"/>
        <w:bidi w:val="0"/>
        <w:spacing w:before="0" w:after="240"/>
        <w:jc w:val="both"/>
        <w:rPr>
          <w:rFonts w:ascii="Times New Roman" w:hAnsi="Times New Roman"/>
          <w:sz w:val="20"/>
        </w:rPr>
      </w:pPr>
      <w:r>
        <w:rPr>
          <w:rFonts w:ascii="Times New Roman" w:hAnsi="Times New Roman"/>
          <w:color w:val="000000"/>
          <w:sz w:val="22"/>
        </w:rPr>
        <w:t>(f)</w:t>
      </w:r>
      <w:r>
        <w:rPr>
          <w:rFonts w:ascii="Times New Roman" w:hAnsi="Times New Roman"/>
          <w:color w:val="000000"/>
          <w:sz w:val="20"/>
        </w:rPr>
        <w:t xml:space="preserve"> </w:t>
      </w:r>
      <w:r>
        <w:rPr>
          <w:rFonts w:ascii="Times New Roman" w:hAnsi="Times New Roman"/>
          <w:color w:val="000000"/>
          <w:sz w:val="22"/>
          <w:u w:val="single"/>
        </w:rPr>
        <w:t>Agent in Its Individual Capacity</w:t>
      </w:r>
      <w:r>
        <w:rPr>
          <w:rFonts w:ascii="Times New Roman" w:hAnsi="Times New Roman"/>
          <w:color w:val="000000"/>
          <w:sz w:val="22"/>
        </w:rPr>
        <w:t>. The Person serving as Agent hereunder shall have the same rights and powers in its capacity as a Lender as any other Lender and may exercise the same as though it were not Agent and the term “Lender” shall, unless otherwise expressly indicated or unless the context otherwise requires, include each such Person serving as Agent hereunder in its individual capacity.</w:t>
      </w:r>
    </w:p>
    <w:p>
      <w:pPr>
        <w:pStyle w:val="TextBody"/>
        <w:bidi w:val="0"/>
        <w:spacing w:before="0" w:after="240"/>
        <w:jc w:val="both"/>
        <w:rPr>
          <w:rFonts w:ascii="Times New Roman" w:hAnsi="Times New Roman"/>
          <w:sz w:val="20"/>
        </w:rPr>
      </w:pPr>
      <w:r>
        <w:rPr>
          <w:rFonts w:ascii="Times New Roman" w:hAnsi="Times New Roman"/>
          <w:color w:val="000000"/>
          <w:sz w:val="22"/>
        </w:rPr>
        <w:t>(g)</w:t>
      </w:r>
      <w:r>
        <w:rPr>
          <w:rFonts w:ascii="Times New Roman" w:hAnsi="Times New Roman"/>
          <w:color w:val="000000"/>
          <w:sz w:val="20"/>
        </w:rPr>
        <w:t xml:space="preserve"> </w:t>
      </w:r>
      <w:r>
        <w:rPr>
          <w:rFonts w:ascii="Times New Roman" w:hAnsi="Times New Roman"/>
          <w:color w:val="000000"/>
          <w:sz w:val="22"/>
          <w:u w:val="single"/>
        </w:rPr>
        <w:t>Exculpatory Provisions</w:t>
      </w:r>
      <w:r>
        <w:rPr>
          <w:rFonts w:ascii="Times New Roman" w:hAnsi="Times New Roman"/>
          <w:color w:val="000000"/>
          <w:sz w:val="22"/>
        </w:rPr>
        <w:t>. Agent shall have no duties or obligations except those expressly set forth herein and in the other Loan Documents. Without limiting the generality of the foregoing, Agent shall not:</w:t>
      </w:r>
    </w:p>
    <w:p>
      <w:pPr>
        <w:pStyle w:val="TextBody"/>
        <w:bidi w:val="0"/>
        <w:spacing w:before="0" w:after="240"/>
        <w:jc w:val="both"/>
        <w:rPr>
          <w:rFonts w:ascii="Times New Roman" w:hAnsi="Times New Roman"/>
          <w:sz w:val="20"/>
        </w:rPr>
      </w:pPr>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rPr>
        <w:t>be subject to any fiduciary, advisory or other implied duties, regardless of whether any Default or any Event of Default has occurred and is continuing;</w:t>
      </w:r>
    </w:p>
    <w:p>
      <w:pPr>
        <w:pStyle w:val="TextBody"/>
        <w:bidi w:val="0"/>
        <w:spacing w:before="0" w:after="240"/>
        <w:jc w:val="both"/>
        <w:rPr>
          <w:rFonts w:ascii="Times New Roman" w:hAnsi="Times New Roman"/>
          <w:sz w:val="20"/>
        </w:rPr>
      </w:pPr>
      <w:r>
        <w:rPr>
          <w:rFonts w:ascii="Times New Roman" w:hAnsi="Times New Roman"/>
          <w:color w:val="000000"/>
          <w:sz w:val="22"/>
        </w:rPr>
        <w:t>(ii)</w:t>
      </w:r>
      <w:r>
        <w:rPr>
          <w:rFonts w:ascii="Times New Roman" w:hAnsi="Times New Roman"/>
          <w:color w:val="000000"/>
          <w:sz w:val="20"/>
        </w:rPr>
        <w:t xml:space="preserve"> </w:t>
      </w:r>
      <w:r>
        <w:rPr>
          <w:rFonts w:ascii="Times New Roman" w:hAnsi="Times New Roman"/>
          <w:color w:val="000000"/>
          <w:sz w:val="22"/>
        </w:rPr>
        <w:t>have any duty to take any discretionary action or exercise any discretionary powers, except discretionary rights and powers expressly contemplated hereby or by the other Loan Documents that Agent is required to exercise as directed in writing by Lenders, provided that Agent shall not be required to take any action that, in its opinion or the opinion of its counsel, may expose Agent to liability or that is contrary to any Loan Document or applicable law; and</w:t>
      </w:r>
    </w:p>
    <w:p>
      <w:pPr>
        <w:pStyle w:val="TextBody"/>
        <w:bidi w:val="0"/>
        <w:spacing w:before="0" w:after="240"/>
        <w:jc w:val="both"/>
        <w:rPr>
          <w:rFonts w:ascii="Times New Roman" w:hAnsi="Times New Roman"/>
          <w:sz w:val="20"/>
        </w:rPr>
      </w:pPr>
      <w:r>
        <w:rPr>
          <w:rFonts w:ascii="Times New Roman" w:hAnsi="Times New Roman"/>
          <w:color w:val="000000"/>
          <w:sz w:val="22"/>
        </w:rPr>
        <w:t>(iii)</w:t>
      </w:r>
      <w:r>
        <w:rPr>
          <w:rFonts w:ascii="Times New Roman" w:hAnsi="Times New Roman"/>
          <w:color w:val="000000"/>
          <w:sz w:val="20"/>
        </w:rPr>
        <w:t xml:space="preserve"> </w:t>
      </w:r>
      <w:r>
        <w:rPr>
          <w:rFonts w:ascii="Times New Roman" w:hAnsi="Times New Roman"/>
          <w:color w:val="000000"/>
          <w:sz w:val="22"/>
        </w:rPr>
        <w:t>except as expressly set forth herein and in the other Loan Documents, have any duty to disclose, and Agent shall not be liable for the failure to disclose, any information relating to Borrower or any of its Affiliates that is communicated to or obtained by any Person serving as Agent or any of its Affiliates in any capacity.</w:t>
      </w:r>
    </w:p>
    <w:p>
      <w:pPr>
        <w:pStyle w:val="TextBody"/>
        <w:bidi w:val="0"/>
        <w:spacing w:before="0" w:after="240"/>
        <w:jc w:val="both"/>
        <w:rPr>
          <w:rFonts w:ascii="Times New Roman" w:hAnsi="Times New Roman"/>
          <w:sz w:val="20"/>
        </w:rPr>
      </w:pPr>
      <w:r>
        <w:rPr>
          <w:rFonts w:ascii="Times New Roman" w:hAnsi="Times New Roman"/>
          <w:color w:val="000000"/>
          <w:sz w:val="22"/>
        </w:rPr>
        <w:t>(h)</w:t>
      </w:r>
      <w:r>
        <w:rPr>
          <w:rFonts w:ascii="Times New Roman" w:hAnsi="Times New Roman"/>
          <w:color w:val="000000"/>
          <w:sz w:val="20"/>
        </w:rPr>
        <w:t xml:space="preserve"> </w:t>
      </w:r>
      <w:r>
        <w:rPr>
          <w:rFonts w:ascii="Times New Roman" w:hAnsi="Times New Roman"/>
          <w:color w:val="000000"/>
          <w:sz w:val="22"/>
        </w:rPr>
        <w:t>In connection with any exercise of Enforcement Actions hereunder, neither any Agent nor any Lender or any of its partners, or any of their respective directors, officers, employees, attorneys, accountants, or agents shall be liable as such for any action taken or omitted by it or them, except for its or their own gross negligence or willful misconduct with respect to its duties under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rPr>
        <w:t>Each Lender and Agent may execute any of its powers and perform any duties hereunder either directly or by or through agents or attorneys-in-fact. Each Lender and Agent shall be entitled to advice of counsel concerning all matters pertaining to such powers and duties. No Lender or Agent shall be responsible for the negligence or misconduct of any agents or attorneys-in-fact selected by it, if the selection of such agents or attorneys-in-fact was done without gross negligence or willful misconduct.</w:t>
      </w:r>
    </w:p>
    <w:p>
      <w:pPr>
        <w:pStyle w:val="TextBody"/>
        <w:bidi w:val="0"/>
        <w:spacing w:before="0" w:after="240"/>
        <w:jc w:val="both"/>
        <w:rPr>
          <w:rFonts w:ascii="Times New Roman" w:hAnsi="Times New Roman"/>
          <w:sz w:val="20"/>
        </w:rPr>
      </w:pPr>
      <w:r>
        <w:rPr>
          <w:rFonts w:ascii="Times New Roman" w:hAnsi="Times New Roman"/>
          <w:color w:val="000000"/>
          <w:sz w:val="22"/>
        </w:rPr>
        <w:t>Each Lender agrees that it will make its own independent investigation of the financial condition and affairs of Borrower in connection with the making of Term Loan Advances pursuant to the Loan Agreement and has made and shall continue to make its own appraisal of the creditworthiness of Borrower. Neither Agent nor any Lender shall have any duty or responsibility either initially or on a continuing basis to make any such investigation or any such appraisal on</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behalf of all Lenders or to provide the other Lenders with any credit or other information with respect thereto whether coming into its possession before the date hereof or any time or times thereafter and shall further have no responsibility with respect to the accuracy of or the completeness of the information provided to Lenders by Borrower.</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ADDENDUM 5 to LOAN AND SECURITY AGREEMENT</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Multiple Borrower Terms</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Borrower’s Agent. Each Borrower hereby irrevocably appoints Company as its agent, attorney-in-fact and legal representative for all purposes under the Loan Documents, including requesting disbursement of the Term Loan and receiving account statements and other notices and communications to Borrower (or any of them) from the Agent or any Lender (in such capacity, “</w:t>
      </w:r>
      <w:r>
        <w:rPr>
          <w:rFonts w:ascii="Times New Roman" w:hAnsi="Times New Roman"/>
          <w:color w:val="000000"/>
          <w:sz w:val="22"/>
          <w:u w:val="single"/>
        </w:rPr>
        <w:t>Borrower Agent</w:t>
      </w:r>
      <w:r>
        <w:rPr>
          <w:rFonts w:ascii="Times New Roman" w:hAnsi="Times New Roman"/>
          <w:color w:val="000000"/>
          <w:sz w:val="20"/>
        </w:rPr>
        <w:t>”</w:t>
      </w:r>
      <w:r>
        <w:rPr>
          <w:rFonts w:ascii="Times New Roman" w:hAnsi="Times New Roman"/>
          <w:color w:val="000000"/>
          <w:sz w:val="22"/>
        </w:rPr>
        <w:t>). The Agent may rely, and shall be fully protected in relying, on any request for the Term Loan, disbursement instruction, report, information or any other notice or communication made or given by Company, whether in its own name or on behalf of one or more of the other Borrowers, and the Agent shall not have any obligation to make any inquiry or request any confirmation from or on behalf of any other Borrower as to the binding effect on it of any such request, instruction, report, information, other notice or communication, nor shall the joint and several character of Borrower’s obligations hereunder be affected thereby.</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Waivers. Each Borrower hereby waives: (i) any right to require the Agent to institute suit against, or to exhaust its rights and remedies against, any other Borrower or any other person, or to proceed against any property of any kind which secures all or any part of the Secured Obligations, or to exercise any right of offset or other right with respect to any reserves, credits or deposit accounts held by or maintained with the Agent or any Indebtedness of the Agent or any Lender to any other Borrower, or to exercise any other right or power, or pursue any other remedy the Agent or any Lender may have; (ii) any defense arising by reason of any disability or other defense of any other Borrower or any guarantor or any endorser, co-maker or other person, or by reason of the cessation from any cause whatsoever of any liability of any other Borrower or any guarantor or any endorser, co-maker or other person, with respect to all or any part of the Secured Obligations, or by reason of any act or omission of the Agent or others which directly or indirectly results in the discharge or release of any other Borrower or any guarantor or any other person or any Secured Obligations or any security therefor, whether by operation of law or otherwise; (iii) any defense arising by reason of any failure of the Agent to obtain, perfect, maintain or keep in force any Lien on, any property of any Borrower or any other person; (iv) any defense based upon or arising out of any bankruptcy, insolvency, reorganization, arrangement, readjustment of debt, liquidation or dissolution proceeding commenced by or against any other Borrower or any guarantor or any endorser, co-maker or other person, including without limitation any discharge of, or bar against collecting, any of the Secured Obligations (including without limitation any interest thereon), in or as a result of any such proceeding. Until all of the Secured Obligations (other than contingent obligations for which no Claim has been made) have been paid, performed, and discharged in full, nothing shall discharge or satisfy the liability of any Borrower hereunder except the full performance and payment of all of the Secured Obligations (other than contingent obligations for which no Claim has been made). If any claim is ever made upon the Agent for repayment or recovery of any amount or amounts received by the Agent in payment of or on account of any of the Secured Obligations, because of any claim that any such payment constituted a preferential transfer or fraudulent conveyance, or for any other reason whatsoever, and the Agent repays all or part of said amount by reason of any judgment, decree or order of any court or administrative body having jurisdiction over the Agent or any of its property, or by reason of any settlement or compromise of any such claim effected by the Agent with any such claimant (including without limitation the any other Borrower), then and in any such event, each Borrower agrees that any such judgment, decree, order, settlement and compromise shall be binding upon such Borrower, notwithstanding any revocation or release of this Agreement or the cancellation of any note or other instrument evidencing any of the Secured Obligations, or any release of any of the Secured Obligations, and each Borrower shall be and remain liable to the Agent and the Lenders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under this Agreement for the amount so repaid or recovered, to the same extent as if such amount had never originally been received by the Agent or any Lender, and the provisions of this sentence shall survive, and continue in effect, notwithstanding any revocation or release of this Agreement. Each Borrower hereby expressly and unconditionally waives all rights of subrogation, reimbursement and indemnity of every kind against any other Borrower, and all rights of recourse to any assets or property of any other Borrower, and all rights to any collateral or security held for the payment and performance of any Secured Obligations, including (but not limited to) any of the foregoing rights which Borrower may have under any present or future document or agreement with any other Borrower or other person, and including (but not limited to) any of the foregoing rights which any Borrower may have under any equitable doctrine of subrogation, implied contract, or unjust enrichment, or any other equitable or legal doctrine, in each case until the Secured Obligations have been repaid in full.</w:t>
      </w:r>
    </w:p>
    <w:p>
      <w:pPr>
        <w:pStyle w:val="TextBody"/>
        <w:bidi w:val="0"/>
        <w:spacing w:before="0" w:after="240"/>
        <w:jc w:val="both"/>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Consents. Each Borrower hereby consents and agrees that, without notice to or by Borrower and without affecting or impairing in any way the obligations or liability of Borrower hereunder, the Agent may, from time to time before or after revocation of this Agreement, do any one or more of the following in its sole and absolute discretion: (i) accept partial payments of, compromise or settle, renew, extend the time for the payment, discharge, or performance of, refuse to enforce, and release all or any parties to, any or all of the Secured Obligations; (ii) grant any other indulgence to any Borrower or any other Person in respect of any or all of the Secured Obligations or any other matter; (iii) accept, release, waive, surrender, enforce, exchange, modify, impair, or extend the time for the performance, discharge, or payment of, any and all property of any kind securing any or all of the Secured Obligations or any guaranty of any or all of the Secured Obligations, or on which the Agent at any time may have a Lien, or refuse to enforce its rights or make any compromise or settlement or agreement therefor in respect of any or all of such property; (iv) substitute or add, or take any action or omit to take any action which results in the release of, any one or more other Borrowers or any endorsers or guarantors of all or any part of the Secured Obligations, including, without limitation one or more parties to this Agreement, regardless of any destruction or impairment of any right of contribution or other right of Borrower; and (v) apply any sums received from any other Borrower, any guarantor, endorser, or co-signer, or from the disposition of any Collateral or security, to any Indebtedness whatsoever owing from such person or secured by such Collateral or security, in such manner and order as the Agent determines in its sole discretion, and regardless of whether such Indebtedness is part of the Secured Obligations, is secured, or is due and payable. Each Borrower consents and agrees that the Agent shall be under no obligation to marshal any assets in favor of Borrower, or against or in payment of any or all of the Secured Obligations. Each Borrower further consents and agrees that the Agent shall have no duties or responsibilities whatsoever with respect to any property securing any or all of the Secured Obligations. Without limiting the generality of the foregoing, the Agent shall have no obligation to monitor, verify, audit, examine, or obtain or maintain any insurance with respect to, any property securing any or all of the Secured Obligations.</w:t>
      </w:r>
    </w:p>
    <w:p>
      <w:pPr>
        <w:pStyle w:val="TextBody"/>
        <w:bidi w:val="0"/>
        <w:spacing w:before="0" w:after="240"/>
        <w:jc w:val="both"/>
        <w:rPr>
          <w:rFonts w:ascii="Times New Roman" w:hAnsi="Times New Roman"/>
          <w:sz w:val="20"/>
        </w:rPr>
      </w:pPr>
      <w:r>
        <w:rPr>
          <w:rFonts w:ascii="Times New Roman" w:hAnsi="Times New Roman"/>
          <w:color w:val="000000"/>
          <w:sz w:val="22"/>
        </w:rPr>
        <w:t>(d)</w:t>
      </w:r>
      <w:r>
        <w:rPr>
          <w:rFonts w:ascii="Times New Roman" w:hAnsi="Times New Roman"/>
          <w:color w:val="000000"/>
          <w:sz w:val="20"/>
        </w:rPr>
        <w:t xml:space="preserve"> </w:t>
      </w:r>
      <w:r>
        <w:rPr>
          <w:rFonts w:ascii="Times New Roman" w:hAnsi="Times New Roman"/>
          <w:color w:val="000000"/>
          <w:sz w:val="22"/>
        </w:rPr>
        <w:t>Independent Liability. Each Borrower hereby agrees that one or more successive or concurrent actions may be brought hereon against such Borrower, in the same action in which any other Borrower may be sued or in separate actions, as often as deemed advisable by Agent. Each Borrower is fully aware of the financial condition of each other Borrower and is executing and delivering this Agreement based solely upon its own independent investigation of all matters pertinent hereto, and such Borrower is not relying in any manner upon any representation or statement of the Agent or any Lender with respect thereto. Each Borrower represents and warrants that it is in a position to obtain, and each Borrower hereby assumes full responsibility for obtaining, any additional information concerning any other Borrower’s financial condition and any other matter pertinent hereto as such Borrower may desire, and such Borrower is not relying upon or</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expecting the Agent to furnish to it any information now or hereafter in the Agent’s possession concerning the same or any other matter.</w:t>
      </w:r>
    </w:p>
    <w:p>
      <w:pPr>
        <w:pStyle w:val="TextBody"/>
        <w:bidi w:val="0"/>
        <w:spacing w:before="0" w:after="240"/>
        <w:jc w:val="both"/>
        <w:rPr>
          <w:rFonts w:ascii="Times New Roman" w:hAnsi="Times New Roman"/>
          <w:sz w:val="20"/>
        </w:rPr>
      </w:pPr>
      <w:r>
        <w:rPr>
          <w:rFonts w:ascii="Times New Roman" w:hAnsi="Times New Roman"/>
          <w:color w:val="000000"/>
          <w:sz w:val="22"/>
        </w:rPr>
        <w:t>(e)</w:t>
      </w:r>
      <w:r>
        <w:rPr>
          <w:rFonts w:ascii="Times New Roman" w:hAnsi="Times New Roman"/>
          <w:color w:val="000000"/>
          <w:sz w:val="20"/>
        </w:rPr>
        <w:t xml:space="preserve"> </w:t>
      </w:r>
      <w:r>
        <w:rPr>
          <w:rFonts w:ascii="Times New Roman" w:hAnsi="Times New Roman"/>
          <w:color w:val="000000"/>
          <w:sz w:val="22"/>
        </w:rPr>
        <w:t>Subordination. All Indebtedness of a Borrower or any Subsidiary of a Borrower now or hereafter arising held by another Borrower or Subsidiary of a Borrower is subordinated to the Secured Obligations and Borrower holding the Indebtedness shall take all actions reasonably requested by Agent to effect, to enforce and to give notice of such subordination and to dispose of any such Indebtedness if the Agent is enforcing over shares in the capital of a Borrower or any Subsidiary or holding company of a Borrower, or if the Indebtedness is held by a Subsidiary of a Borrower, such Borrower shall take all actions reasonably requested by Agent to cause that Borrower to effect, to enforce and to give notice of such subordination and to permit the Agent to dispose of any such Indebtedness if the Agent is enforcing over shares in the capital of a Borrower or any Subsidiary or holding company of a Borrower.</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EXHIBIT A</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ADVANCE REQUEST</w:t>
      </w:r>
    </w:p>
    <w:p>
      <w:pPr>
        <w:pStyle w:val="TextBody"/>
        <w:bidi w:val="0"/>
        <w:jc w:val="both"/>
        <w:rPr>
          <w:rFonts w:ascii="Times New Roman" w:hAnsi="Times New Roman"/>
          <w:sz w:val="20"/>
        </w:rPr>
      </w:pPr>
      <w:r>
        <w:rPr>
          <w:rFonts w:ascii="Times New Roman" w:hAnsi="Times New Roman"/>
          <w:color w:val="000000"/>
          <w:sz w:val="22"/>
        </w:rPr>
        <w:t>To:</w:t>
      </w:r>
      <w:r>
        <w:rPr>
          <w:rFonts w:ascii="Times New Roman" w:hAnsi="Times New Roman"/>
          <w:color w:val="000000"/>
          <w:sz w:val="20"/>
        </w:rPr>
        <w:t xml:space="preserve"> </w:t>
      </w:r>
      <w:r>
        <w:rPr>
          <w:rFonts w:ascii="Times New Roman" w:hAnsi="Times New Roman"/>
          <w:color w:val="000000"/>
          <w:sz w:val="22"/>
        </w:rPr>
        <w:t>Agent:</w:t>
      </w:r>
      <w:r>
        <w:rPr>
          <w:rFonts w:ascii="Times New Roman" w:hAnsi="Times New Roman"/>
          <w:color w:val="000000"/>
          <w:sz w:val="20"/>
        </w:rPr>
        <w:t xml:space="preserve"> </w:t>
      </w:r>
      <w:r>
        <w:rPr>
          <w:rFonts w:ascii="Times New Roman" w:hAnsi="Times New Roman"/>
          <w:color w:val="000000"/>
          <w:sz w:val="22"/>
        </w:rPr>
        <w:t xml:space="preserve">Date: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Hercules Capital, Inc. (the “Agent”)</w:t>
        <w:br/>
        <w:t>Legal Department</w:t>
        <w:br/>
        <w:t>Attention: Chief Legal Officer, Bryan Jadot and</w:t>
        <w:br/>
        <w:t>Jeff Ralto</w:t>
        <w:br/>
        <w:t>1 North B Street, Suite 2000</w:t>
        <w:br/>
        <w:t>San Mateo, CA 94401</w:t>
        <w:br/>
        <w:t>email: [***]</w:t>
        <w:br/>
        <w:t>Telephone: [***]</w:t>
      </w:r>
    </w:p>
    <w:p>
      <w:pPr>
        <w:pStyle w:val="TextBody"/>
        <w:bidi w:val="0"/>
        <w:spacing w:before="0" w:after="240"/>
        <w:jc w:val="both"/>
        <w:rPr>
          <w:rFonts w:ascii="Times New Roman" w:hAnsi="Times New Roman"/>
          <w:sz w:val="20"/>
        </w:rPr>
      </w:pPr>
      <w:r>
        <w:rPr>
          <w:rFonts w:ascii="Times New Roman" w:hAnsi="Times New Roman"/>
          <w:color w:val="000000"/>
          <w:sz w:val="22"/>
        </w:rPr>
        <w:t>Disc Medicine, Inc., a Delaware corporation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and each other Person that has delivered a Joinder Agreement pursuant to Section 7.13 from time to time party to the Agreement (together with Company, individually or collectively, as the context may require, “</w:t>
      </w:r>
      <w:r>
        <w:rPr>
          <w:rFonts w:ascii="Times New Roman" w:hAnsi="Times New Roman"/>
          <w:color w:val="000000"/>
          <w:sz w:val="22"/>
          <w:u w:val="single"/>
        </w:rPr>
        <w:t>Borrower</w:t>
      </w:r>
      <w:r>
        <w:rPr>
          <w:rFonts w:ascii="Times New Roman" w:hAnsi="Times New Roman"/>
          <w:color w:val="000000"/>
          <w:sz w:val="20"/>
        </w:rPr>
        <w:t>”</w:t>
      </w:r>
      <w:r>
        <w:rPr>
          <w:rFonts w:ascii="Times New Roman" w:hAnsi="Times New Roman"/>
          <w:color w:val="000000"/>
          <w:sz w:val="22"/>
        </w:rPr>
        <w:t>), hereby requests Agent to cause Lenders to make a[n] [[Tranche 1-[A][B][C]</w:t>
      </w:r>
      <w:r>
        <w:rPr>
          <w:rFonts w:ascii="Times New Roman" w:hAnsi="Times New Roman"/>
          <w:color w:val="0000FF"/>
          <w:sz w:val="22"/>
          <w:u w:val="single"/>
        </w:rPr>
        <w:t>[D]</w:t>
      </w:r>
      <w:r>
        <w:rPr>
          <w:rFonts w:ascii="Times New Roman" w:hAnsi="Times New Roman"/>
          <w:color w:val="000000"/>
          <w:sz w:val="22"/>
        </w:rPr>
        <w:t>] [Tranche 2] [Tranche 3] [Tranche 4]] Advance in the amount of _____________________ Dollars ($________________) (the “</w:t>
      </w:r>
      <w:r>
        <w:rPr>
          <w:rFonts w:ascii="Times New Roman" w:hAnsi="Times New Roman"/>
          <w:color w:val="000000"/>
          <w:sz w:val="22"/>
          <w:u w:val="single"/>
        </w:rPr>
        <w:t>Advance Amount</w:t>
      </w:r>
      <w:r>
        <w:rPr>
          <w:rFonts w:ascii="Times New Roman" w:hAnsi="Times New Roman"/>
          <w:color w:val="000000"/>
          <w:sz w:val="20"/>
        </w:rPr>
        <w:t>”</w:t>
      </w:r>
      <w:r>
        <w:rPr>
          <w:rFonts w:ascii="Times New Roman" w:hAnsi="Times New Roman"/>
          <w:color w:val="000000"/>
          <w:sz w:val="22"/>
        </w:rPr>
        <w:t>) on ______________, _____ (the “</w:t>
      </w:r>
      <w:r>
        <w:rPr>
          <w:rFonts w:ascii="Times New Roman" w:hAnsi="Times New Roman"/>
          <w:color w:val="000000"/>
          <w:sz w:val="22"/>
          <w:u w:val="single"/>
        </w:rPr>
        <w:t>Advance Date</w:t>
      </w:r>
      <w:r>
        <w:rPr>
          <w:rFonts w:ascii="Times New Roman" w:hAnsi="Times New Roman"/>
          <w:color w:val="000000"/>
          <w:sz w:val="20"/>
        </w:rPr>
        <w:t>”</w:t>
      </w:r>
      <w:r>
        <w:rPr>
          <w:rFonts w:ascii="Times New Roman" w:hAnsi="Times New Roman"/>
          <w:color w:val="000000"/>
          <w:sz w:val="22"/>
        </w:rPr>
        <w:t>) pursuant to the Loan and Security Agreement among Company and its Subsidiaries from time to time party thereto, as Borrowers, Agent and Lenders (the “</w:t>
      </w:r>
      <w:r>
        <w:rPr>
          <w:rFonts w:ascii="Times New Roman" w:hAnsi="Times New Roman"/>
          <w:color w:val="000000"/>
          <w:sz w:val="22"/>
          <w:u w:val="single"/>
        </w:rPr>
        <w:t>Agreement</w:t>
      </w:r>
      <w:r>
        <w:rPr>
          <w:rFonts w:ascii="Times New Roman" w:hAnsi="Times New Roman"/>
          <w:color w:val="000000"/>
          <w:sz w:val="20"/>
        </w:rPr>
        <w:t>”</w:t>
      </w:r>
      <w:r>
        <w:rPr>
          <w:rFonts w:ascii="Times New Roman" w:hAnsi="Times New Roman"/>
          <w:color w:val="000000"/>
          <w:sz w:val="22"/>
        </w:rPr>
        <w:t>). Capitalized words and other terms used but not otherwise defined herein are used with the same meanings as defined in the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Please:</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Issue a check payable to Borrower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or</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Wire Funds to Borrower’s account [IF FILED PUBLICLY, ACCOUNT INFO REDACTED FOR SECURITY PURPOSES]</w:t>
      </w:r>
    </w:p>
    <w:p>
      <w:pPr>
        <w:pStyle w:val="TextBody"/>
        <w:bidi w:val="0"/>
        <w:jc w:val="both"/>
        <w:rPr>
          <w:rFonts w:ascii="Times New Roman" w:hAnsi="Times New Roman"/>
          <w:sz w:val="20"/>
        </w:rPr>
      </w:pPr>
      <w:r>
        <w:rPr>
          <w:rFonts w:ascii="Times New Roman" w:hAnsi="Times New Roman"/>
          <w:color w:val="000000"/>
          <w:sz w:val="22"/>
        </w:rPr>
        <w:t>Bank:</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Address: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ABA Number:</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Account Number:</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Account Name:</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Contact Person:</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Phone Number</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To Verify Wire Info:</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Email address:</w:t>
      </w:r>
      <w:r>
        <w:rPr>
          <w:rFonts w:ascii="Times New Roman" w:hAnsi="Times New Roman"/>
          <w:color w:val="000000"/>
          <w:sz w:val="20"/>
        </w:rPr>
        <w:t xml:space="preserve"> </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Borrower represents that the conditions precedent to the Advance set forth in the Agreement are satisfied and shall be satisfied upon the making of such Advance, including but not limited to: (i) that no event that has had or could reasonably be expected to have a Material Adverse Effect has occurred and is continuing; (ii) the representations and warranties set forth in the Agreement are and shall be true and correct in all material respects on and as of the Advance Date with the same effect as though made on and as of such date, except to the extent such representations and warranties expressly relate to an earlier date; (iii) that Borrower is in compliance with all the terms and provisions set forth in each Loan Document on its part to be observed or performed; and (iv) that as of the Advance Date, no Default or Event of Default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Exhibit A-1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has occurred and is continuing under the Loan Documents. Borrower understands and acknowledges that Agent has the right to review the financial information supporting this representation and, based upon such review, the Lender may decline to fund the requested Advance if the conditions specified in the Agreement have not been satisfied at such time.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Borrower hereby represents that Borrower’s corporate status and locations set forth on Exhibit B to the Loan Agreement have not changed since the date of the Agreement (or if applicable, the date of the last update to Exhibit B delivered by Borrower) or, if the table in the Attachment to this Advance Request is completed, are as set forth in the Attachment to this Advance Request.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Borrower hereby represents that the information set forth in the Attachment hereto is correct.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Borrower agrees to notify Agent promptly before the funding of the Loan if any of the matters which have been represented above shall not be true and correct on the Advance Date and if Agent has received no such notice before the Advance Date then the statements set forth above shall be deemed to have been made and shall be deemed to be true and correct as of the Advance Date.</w:t>
      </w:r>
    </w:p>
    <w:p>
      <w:pPr>
        <w:pStyle w:val="TextBody"/>
        <w:bidi w:val="0"/>
        <w:spacing w:before="0" w:after="240"/>
        <w:jc w:val="both"/>
        <w:rPr>
          <w:rFonts w:ascii="Times New Roman" w:hAnsi="Times New Roman"/>
          <w:sz w:val="20"/>
        </w:rPr>
      </w:pPr>
      <w:r>
        <w:rPr>
          <w:rFonts w:ascii="Times New Roman" w:hAnsi="Times New Roman"/>
          <w:color w:val="000000"/>
          <w:sz w:val="22"/>
        </w:rPr>
        <w:t>Executed as of [</w:t>
      </w:r>
      <w:r>
        <w:rPr>
          <w:rFonts w:ascii="Times New Roman" w:hAnsi="Times New Roman"/>
          <w:color w:val="000000"/>
          <w:sz w:val="20"/>
        </w:rPr>
        <w:t xml:space="preserve"> </w:t>
      </w:r>
      <w:r>
        <w:rPr>
          <w:rFonts w:ascii="Times New Roman" w:hAnsi="Times New Roman"/>
          <w:color w:val="000000"/>
          <w:sz w:val="22"/>
        </w:rPr>
        <w:t>], 20[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BORROWER:</w:t>
      </w:r>
    </w:p>
    <w:p>
      <w:pPr>
        <w:pStyle w:val="TextBody"/>
        <w:bidi w:val="0"/>
        <w:spacing w:before="0" w:after="240"/>
        <w:jc w:val="left"/>
        <w:rPr>
          <w:rFonts w:ascii="Times New Roman" w:hAnsi="Times New Roman"/>
          <w:sz w:val="20"/>
        </w:rPr>
      </w:pPr>
      <w:r>
        <w:rPr>
          <w:rFonts w:ascii="Times New Roman" w:hAnsi="Times New Roman"/>
          <w:b/>
          <w:color w:val="000000"/>
          <w:sz w:val="22"/>
        </w:rPr>
        <w:t>DISC MEDICINE, INC.</w:t>
      </w:r>
      <w:r>
        <w:rPr>
          <w:rFonts w:ascii="Times New Roman" w:hAnsi="Times New Roman"/>
          <w:color w:val="000000"/>
          <w:sz w:val="22"/>
        </w:rPr>
        <w:t>, as Borrower Agent</w:t>
      </w:r>
    </w:p>
    <w:p>
      <w:pPr>
        <w:pStyle w:val="TextBody"/>
        <w:bidi w:val="0"/>
        <w:spacing w:before="0" w:after="240"/>
        <w:jc w:val="left"/>
        <w:rPr>
          <w:rFonts w:ascii="Times New Roman" w:hAnsi="Times New Roman"/>
          <w:sz w:val="20"/>
        </w:rPr>
      </w:pPr>
      <w:r>
        <w:rPr>
          <w:rFonts w:ascii="Times New Roman" w:hAnsi="Times New Roman"/>
          <w:color w:val="000000"/>
          <w:sz w:val="22"/>
        </w:rPr>
        <w:t>Signature: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Print Name: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Title:</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Exhibit A-2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22"/>
        </w:rPr>
        <w:t>ATTACHMENT TO ADVANCE REQUEST</w:t>
      </w:r>
      <w:r>
        <w:rPr>
          <w:rFonts w:ascii="Times New Roman" w:hAnsi="Times New Roman"/>
          <w:b/>
          <w:color w:val="000000"/>
          <w:sz w:val="15"/>
        </w:rPr>
        <w:t>2</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Dated: _______________</w:t>
      </w:r>
    </w:p>
    <w:tbl>
      <w:tblPr>
        <w:tblW w:w="10205" w:type="dxa"/>
        <w:jc w:val="left"/>
        <w:tblInd w:w="0" w:type="dxa"/>
        <w:tblLayout w:type="fixed"/>
        <w:tblCellMar>
          <w:top w:w="28" w:type="dxa"/>
          <w:left w:w="28" w:type="dxa"/>
          <w:bottom w:w="28" w:type="dxa"/>
          <w:right w:w="28" w:type="dxa"/>
        </w:tblCellMar>
      </w:tblPr>
      <w:tblGrid>
        <w:gridCol w:w="2404"/>
        <w:gridCol w:w="3877"/>
        <w:gridCol w:w="3924"/>
      </w:tblGrid>
      <w:tr>
        <w:trPr/>
        <w:tc>
          <w:tcPr>
            <w:tcW w:w="2404" w:type="dxa"/>
            <w:tcBorders/>
            <w:vAlign w:val="center"/>
          </w:tcPr>
          <w:p>
            <w:pPr>
              <w:pStyle w:val="TableContents"/>
              <w:bidi w:val="0"/>
              <w:spacing w:before="0" w:after="283"/>
              <w:jc w:val="left"/>
              <w:rPr>
                <w:sz w:val="4"/>
                <w:szCs w:val="4"/>
              </w:rPr>
            </w:pPr>
            <w:r>
              <w:rPr>
                <w:sz w:val="4"/>
                <w:szCs w:val="4"/>
              </w:rPr>
            </w:r>
          </w:p>
        </w:tc>
        <w:tc>
          <w:tcPr>
            <w:tcW w:w="3877" w:type="dxa"/>
            <w:tcBorders/>
            <w:vAlign w:val="center"/>
          </w:tcPr>
          <w:p>
            <w:pPr>
              <w:pStyle w:val="TableContents"/>
              <w:bidi w:val="0"/>
              <w:spacing w:before="0" w:after="283"/>
              <w:jc w:val="left"/>
              <w:rPr>
                <w:sz w:val="4"/>
                <w:szCs w:val="4"/>
              </w:rPr>
            </w:pPr>
            <w:r>
              <w:rPr>
                <w:sz w:val="4"/>
                <w:szCs w:val="4"/>
              </w:rPr>
            </w:r>
          </w:p>
        </w:tc>
        <w:tc>
          <w:tcPr>
            <w:tcW w:w="3924" w:type="dxa"/>
            <w:tcBorders/>
            <w:vAlign w:val="center"/>
          </w:tcPr>
          <w:p>
            <w:pPr>
              <w:pStyle w:val="TableContents"/>
              <w:bidi w:val="0"/>
              <w:spacing w:before="0" w:after="283"/>
              <w:jc w:val="left"/>
              <w:rPr>
                <w:sz w:val="4"/>
                <w:szCs w:val="4"/>
              </w:rPr>
            </w:pPr>
            <w:r>
              <w:rPr>
                <w:sz w:val="4"/>
                <w:szCs w:val="4"/>
              </w:rPr>
            </w:r>
          </w:p>
        </w:tc>
      </w:tr>
      <w:tr>
        <w:trPr/>
        <w:tc>
          <w:tcPr>
            <w:tcW w:w="2404"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Borrower:</w:t>
            </w:r>
          </w:p>
        </w:tc>
        <w:tc>
          <w:tcPr>
            <w:tcW w:w="3877"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Company</w:t>
            </w:r>
          </w:p>
        </w:tc>
        <w:tc>
          <w:tcPr>
            <w:tcW w:w="3924"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Disc Medicine Opco, Inc.</w:t>
            </w:r>
          </w:p>
        </w:tc>
      </w:tr>
      <w:tr>
        <w:trPr/>
        <w:tc>
          <w:tcPr>
            <w:tcW w:w="2404"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38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Disc Medicine, Inc.</w:t>
            </w:r>
          </w:p>
        </w:tc>
        <w:tc>
          <w:tcPr>
            <w:tcW w:w="392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Disc Medicine Opco, Inc.</w:t>
            </w:r>
          </w:p>
        </w:tc>
      </w:tr>
      <w:tr>
        <w:trPr/>
        <w:tc>
          <w:tcPr>
            <w:tcW w:w="2404"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Type of organization:</w:t>
            </w:r>
          </w:p>
        </w:tc>
        <w:tc>
          <w:tcPr>
            <w:tcW w:w="38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Corporation</w:t>
            </w:r>
          </w:p>
        </w:tc>
        <w:tc>
          <w:tcPr>
            <w:tcW w:w="392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Corporation</w:t>
            </w:r>
          </w:p>
        </w:tc>
      </w:tr>
      <w:tr>
        <w:trPr/>
        <w:tc>
          <w:tcPr>
            <w:tcW w:w="2404"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State of organization:</w:t>
            </w:r>
          </w:p>
        </w:tc>
        <w:tc>
          <w:tcPr>
            <w:tcW w:w="38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Delaware</w:t>
            </w:r>
          </w:p>
        </w:tc>
        <w:tc>
          <w:tcPr>
            <w:tcW w:w="392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Delaware</w:t>
            </w:r>
          </w:p>
        </w:tc>
      </w:tr>
      <w:tr>
        <w:trPr/>
        <w:tc>
          <w:tcPr>
            <w:tcW w:w="2404"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Organization file number:</w:t>
            </w:r>
          </w:p>
        </w:tc>
        <w:tc>
          <w:tcPr>
            <w:tcW w:w="38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3130802</w:t>
            </w:r>
          </w:p>
        </w:tc>
        <w:tc>
          <w:tcPr>
            <w:tcW w:w="392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6575325</w:t>
            </w:r>
          </w:p>
        </w:tc>
      </w:tr>
      <w:tr>
        <w:trPr/>
        <w:tc>
          <w:tcPr>
            <w:tcW w:w="2404"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Location of chief executive office:</w:t>
            </w:r>
          </w:p>
        </w:tc>
        <w:tc>
          <w:tcPr>
            <w:tcW w:w="38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321 Arsenal Street, Suite 101 Watertown, Middlesex, MA, 02472</w:t>
            </w:r>
          </w:p>
        </w:tc>
        <w:tc>
          <w:tcPr>
            <w:tcW w:w="392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321 Arsenal Street, Suite 101 Watertown, Middlesex, MA, 02472</w:t>
            </w:r>
          </w:p>
        </w:tc>
      </w:tr>
    </w:tbl>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Borrower hereby represents and warrants to Agent that the Advance Amount does not exceed the Maximum Term Loan Amount as follows:</w:t>
      </w:r>
    </w:p>
    <w:p>
      <w:pPr>
        <w:pStyle w:val="TextBody"/>
        <w:bidi w:val="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Advance Amount: $________________</w:t>
      </w:r>
    </w:p>
    <w:p>
      <w:pPr>
        <w:pStyle w:val="TextBody"/>
        <w:bidi w:val="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[Maximum Term Loan Amount: $________________</w:t>
      </w:r>
      <w:r>
        <w:rPr>
          <w:rFonts w:ascii="Times New Roman" w:hAnsi="Times New Roman"/>
          <w:color w:val="000000"/>
          <w:sz w:val="22"/>
          <w:u w:val="single"/>
        </w:rPr>
        <w:t>]</w:t>
      </w:r>
    </w:p>
    <w:p>
      <w:pPr>
        <w:pStyle w:val="TextBody"/>
        <w:bidi w:val="0"/>
        <w:spacing w:before="0" w:after="240"/>
        <w:jc w:val="both"/>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Is clause a. less than or equal to clause b.? Yes/Compliant _______ No/Non-Compliant _______]</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13"/>
        </w:rPr>
      </w:pPr>
      <w:r>
        <w:rPr>
          <w:rFonts w:ascii="Times New Roman" w:hAnsi="Times New Roman"/>
          <w:color w:val="000000"/>
          <w:sz w:val="13"/>
        </w:rPr>
        <w:t>_______________________________________</w:t>
      </w:r>
    </w:p>
    <w:p>
      <w:pPr>
        <w:pStyle w:val="TextBody"/>
        <w:bidi w:val="0"/>
        <w:jc w:val="left"/>
        <w:rPr>
          <w:rFonts w:ascii="Times New Roman" w:hAnsi="Times New Roman"/>
          <w:sz w:val="20"/>
        </w:rPr>
      </w:pPr>
      <w:r>
        <w:rPr>
          <w:rFonts w:ascii="Times New Roman" w:hAnsi="Times New Roman"/>
          <w:color w:val="000000"/>
          <w:sz w:val="15"/>
        </w:rPr>
        <w:t>2</w:t>
      </w:r>
      <w:r>
        <w:rPr>
          <w:rFonts w:ascii="Times New Roman" w:hAnsi="Times New Roman"/>
          <w:color w:val="000000"/>
          <w:sz w:val="20"/>
        </w:rPr>
        <w:t xml:space="preserve"> </w:t>
      </w:r>
      <w:r>
        <w:rPr>
          <w:rFonts w:ascii="Times New Roman" w:hAnsi="Times New Roman"/>
          <w:color w:val="000000"/>
          <w:sz w:val="22"/>
        </w:rPr>
        <w:t>Borrower to update this table with any changed information before submitting Advance Request.</w:t>
      </w:r>
    </w:p>
    <w:p>
      <w:pPr>
        <w:pStyle w:val="TextBody"/>
        <w:bidi w:val="0"/>
        <w:jc w:val="center"/>
        <w:rPr>
          <w:rFonts w:ascii="Times New Roman" w:hAnsi="Times New Roman"/>
          <w:color w:val="000000"/>
          <w:sz w:val="20"/>
        </w:rPr>
      </w:pPr>
      <w:r>
        <w:rPr>
          <w:rFonts w:ascii="Times New Roman" w:hAnsi="Times New Roman"/>
          <w:color w:val="000000"/>
          <w:sz w:val="20"/>
        </w:rPr>
        <w:t>Exhibit A-3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EXHIBIT B</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NAME, LOCATIONS, AND OTHER INFORMATION FOR BORROWER</w:t>
      </w:r>
    </w:p>
    <w:tbl>
      <w:tblPr>
        <w:tblW w:w="10205" w:type="dxa"/>
        <w:jc w:val="left"/>
        <w:tblInd w:w="0" w:type="dxa"/>
        <w:tblLayout w:type="fixed"/>
        <w:tblCellMar>
          <w:top w:w="28" w:type="dxa"/>
          <w:left w:w="28" w:type="dxa"/>
          <w:bottom w:w="28" w:type="dxa"/>
          <w:right w:w="28" w:type="dxa"/>
        </w:tblCellMar>
      </w:tblPr>
      <w:tblGrid>
        <w:gridCol w:w="3317"/>
        <w:gridCol w:w="4431"/>
        <w:gridCol w:w="2457"/>
      </w:tblGrid>
      <w:tr>
        <w:trPr/>
        <w:tc>
          <w:tcPr>
            <w:tcW w:w="3317" w:type="dxa"/>
            <w:tcBorders/>
            <w:vAlign w:val="center"/>
          </w:tcPr>
          <w:p>
            <w:pPr>
              <w:pStyle w:val="TableContents"/>
              <w:bidi w:val="0"/>
              <w:spacing w:before="0" w:after="283"/>
              <w:jc w:val="left"/>
              <w:rPr>
                <w:sz w:val="4"/>
                <w:szCs w:val="4"/>
              </w:rPr>
            </w:pPr>
            <w:r>
              <w:rPr>
                <w:sz w:val="4"/>
                <w:szCs w:val="4"/>
              </w:rPr>
            </w:r>
          </w:p>
        </w:tc>
        <w:tc>
          <w:tcPr>
            <w:tcW w:w="4431"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r>
      <w:tr>
        <w:trPr/>
        <w:tc>
          <w:tcPr>
            <w:tcW w:w="3317"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Borrower:</w:t>
            </w:r>
          </w:p>
        </w:tc>
        <w:tc>
          <w:tcPr>
            <w:tcW w:w="4431"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Company</w:t>
            </w:r>
          </w:p>
        </w:tc>
        <w:tc>
          <w:tcPr>
            <w:tcW w:w="2457"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Disc Medicine Opco, Inc.</w:t>
            </w:r>
          </w:p>
        </w:tc>
      </w:tr>
      <w:tr>
        <w:trPr/>
        <w:tc>
          <w:tcPr>
            <w:tcW w:w="3317"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44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Disc Medicine, Inc.</w:t>
            </w:r>
          </w:p>
        </w:tc>
        <w:tc>
          <w:tcPr>
            <w:tcW w:w="24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Disc Medicine Opco, Inc.</w:t>
            </w:r>
          </w:p>
        </w:tc>
      </w:tr>
      <w:tr>
        <w:trPr/>
        <w:tc>
          <w:tcPr>
            <w:tcW w:w="3317"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Type of organization:</w:t>
            </w:r>
          </w:p>
        </w:tc>
        <w:tc>
          <w:tcPr>
            <w:tcW w:w="44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Corporation</w:t>
            </w:r>
          </w:p>
        </w:tc>
        <w:tc>
          <w:tcPr>
            <w:tcW w:w="24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Corporation</w:t>
            </w:r>
          </w:p>
        </w:tc>
      </w:tr>
      <w:tr>
        <w:trPr/>
        <w:tc>
          <w:tcPr>
            <w:tcW w:w="3317"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State of organization:</w:t>
            </w:r>
          </w:p>
        </w:tc>
        <w:tc>
          <w:tcPr>
            <w:tcW w:w="44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Delaware</w:t>
            </w:r>
          </w:p>
        </w:tc>
        <w:tc>
          <w:tcPr>
            <w:tcW w:w="24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Delaware</w:t>
            </w:r>
          </w:p>
        </w:tc>
      </w:tr>
      <w:tr>
        <w:trPr/>
        <w:tc>
          <w:tcPr>
            <w:tcW w:w="3317"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Organization file number:</w:t>
            </w:r>
          </w:p>
        </w:tc>
        <w:tc>
          <w:tcPr>
            <w:tcW w:w="44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3130802</w:t>
            </w:r>
          </w:p>
        </w:tc>
        <w:tc>
          <w:tcPr>
            <w:tcW w:w="24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6575325</w:t>
            </w:r>
          </w:p>
        </w:tc>
      </w:tr>
      <w:tr>
        <w:trPr/>
        <w:tc>
          <w:tcPr>
            <w:tcW w:w="3317"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Tax identification number:</w:t>
            </w:r>
          </w:p>
        </w:tc>
        <w:tc>
          <w:tcPr>
            <w:tcW w:w="44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85-1612845</w:t>
            </w:r>
          </w:p>
        </w:tc>
        <w:tc>
          <w:tcPr>
            <w:tcW w:w="24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82-3220679</w:t>
            </w:r>
          </w:p>
        </w:tc>
      </w:tr>
      <w:tr>
        <w:trPr/>
        <w:tc>
          <w:tcPr>
            <w:tcW w:w="3317"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Location of chief executive office:</w:t>
            </w:r>
          </w:p>
        </w:tc>
        <w:tc>
          <w:tcPr>
            <w:tcW w:w="44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321 Arsenal Street, Suite 101 Watertown, Middlesex, MA, 02472</w:t>
            </w:r>
          </w:p>
        </w:tc>
        <w:tc>
          <w:tcPr>
            <w:tcW w:w="24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321 Arsenal Street, Suite 101 Watertown, Middlesex, MA, 02472</w:t>
            </w:r>
          </w:p>
        </w:tc>
      </w:tr>
      <w:tr>
        <w:trPr/>
        <w:tc>
          <w:tcPr>
            <w:tcW w:w="3317"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Last day of Borrower’s fiscal year:</w:t>
            </w:r>
          </w:p>
        </w:tc>
        <w:tc>
          <w:tcPr>
            <w:tcW w:w="44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December 31</w:t>
            </w:r>
          </w:p>
        </w:tc>
        <w:tc>
          <w:tcPr>
            <w:tcW w:w="24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December 31</w:t>
            </w:r>
          </w:p>
        </w:tc>
      </w:tr>
      <w:tr>
        <w:trPr/>
        <w:tc>
          <w:tcPr>
            <w:tcW w:w="3317"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Other legal name of Borrower during five (5) year period before Closing Date, including dates of use:</w:t>
            </w:r>
          </w:p>
        </w:tc>
        <w:tc>
          <w:tcPr>
            <w:tcW w:w="44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Hindsite Acquisition Corp. (6/25/2020 – 6/29/2020) FS Development Corp. (6/30/2020 – 2/4/2021) Gemini Therapeutics, Inc. (2/5/2021 – 12/29/2022)</w:t>
            </w:r>
          </w:p>
        </w:tc>
        <w:tc>
          <w:tcPr>
            <w:tcW w:w="24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Disc Medicine, Inc.</w:t>
            </w:r>
          </w:p>
        </w:tc>
      </w:tr>
      <w:tr>
        <w:trPr/>
        <w:tc>
          <w:tcPr>
            <w:tcW w:w="3317"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Other type of organization of Borrower during five (5) year period before Closing Date:</w:t>
            </w:r>
          </w:p>
        </w:tc>
        <w:tc>
          <w:tcPr>
            <w:tcW w:w="44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None</w:t>
            </w:r>
          </w:p>
        </w:tc>
        <w:tc>
          <w:tcPr>
            <w:tcW w:w="24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None</w:t>
            </w:r>
          </w:p>
        </w:tc>
      </w:tr>
      <w:tr>
        <w:trPr/>
        <w:tc>
          <w:tcPr>
            <w:tcW w:w="3317"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Other state of organization of Borrower during five (5) year period before Closing Date:</w:t>
            </w:r>
          </w:p>
        </w:tc>
        <w:tc>
          <w:tcPr>
            <w:tcW w:w="44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None</w:t>
            </w:r>
          </w:p>
        </w:tc>
        <w:tc>
          <w:tcPr>
            <w:tcW w:w="24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None</w:t>
            </w:r>
          </w:p>
        </w:tc>
      </w:tr>
      <w:tr>
        <w:trPr/>
        <w:tc>
          <w:tcPr>
            <w:tcW w:w="3317"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Other organization file number of Borrower during five (5) year period before Closing Date:</w:t>
            </w:r>
          </w:p>
        </w:tc>
        <w:tc>
          <w:tcPr>
            <w:tcW w:w="44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None</w:t>
            </w:r>
          </w:p>
        </w:tc>
        <w:tc>
          <w:tcPr>
            <w:tcW w:w="24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None</w:t>
            </w:r>
          </w:p>
        </w:tc>
      </w:tr>
    </w:tbl>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Exhibit B-1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EXHIBIT C</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[Reserved]</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Exhibit C-1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EXHIBIT D</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DEPOSIT ACCOUNTS AND SECURITIES ACCOUNTS</w:t>
      </w:r>
    </w:p>
    <w:tbl>
      <w:tblPr>
        <w:tblW w:w="10205" w:type="dxa"/>
        <w:jc w:val="left"/>
        <w:tblInd w:w="0" w:type="dxa"/>
        <w:tblLayout w:type="fixed"/>
        <w:tblCellMar>
          <w:top w:w="28" w:type="dxa"/>
          <w:left w:w="28" w:type="dxa"/>
          <w:bottom w:w="28" w:type="dxa"/>
          <w:right w:w="28" w:type="dxa"/>
        </w:tblCellMar>
      </w:tblPr>
      <w:tblGrid>
        <w:gridCol w:w="1096"/>
        <w:gridCol w:w="2240"/>
        <w:gridCol w:w="1025"/>
        <w:gridCol w:w="1307"/>
        <w:gridCol w:w="1949"/>
        <w:gridCol w:w="2588"/>
      </w:tblGrid>
      <w:tr>
        <w:trPr/>
        <w:tc>
          <w:tcPr>
            <w:tcW w:w="1096"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2588" w:type="dxa"/>
            <w:tcBorders/>
            <w:vAlign w:val="center"/>
          </w:tcPr>
          <w:p>
            <w:pPr>
              <w:pStyle w:val="TableContents"/>
              <w:bidi w:val="0"/>
              <w:spacing w:before="0" w:after="283"/>
              <w:jc w:val="left"/>
              <w:rPr>
                <w:sz w:val="4"/>
                <w:szCs w:val="4"/>
              </w:rPr>
            </w:pPr>
            <w:r>
              <w:rPr>
                <w:sz w:val="4"/>
                <w:szCs w:val="4"/>
              </w:rPr>
            </w:r>
          </w:p>
        </w:tc>
      </w:tr>
      <w:tr>
        <w:trPr/>
        <w:tc>
          <w:tcPr>
            <w:tcW w:w="109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Borrower</w:t>
            </w:r>
          </w:p>
        </w:tc>
        <w:tc>
          <w:tcPr>
            <w:tcW w:w="2240"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Type of Account (Deposit, Securities)</w:t>
            </w:r>
          </w:p>
        </w:tc>
        <w:tc>
          <w:tcPr>
            <w:tcW w:w="1025"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Purpose of</w:t>
              <w:br/>
              <w:t>Account</w:t>
            </w:r>
          </w:p>
        </w:tc>
        <w:tc>
          <w:tcPr>
            <w:tcW w:w="1307"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Account Number</w:t>
            </w:r>
          </w:p>
        </w:tc>
        <w:tc>
          <w:tcPr>
            <w:tcW w:w="1949"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Excluded Account? (Yes / No)</w:t>
            </w:r>
          </w:p>
        </w:tc>
        <w:tc>
          <w:tcPr>
            <w:tcW w:w="2588"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Name and Address of Financial Institution</w:t>
            </w:r>
          </w:p>
        </w:tc>
      </w:tr>
      <w:tr>
        <w:trPr/>
        <w:tc>
          <w:tcPr>
            <w:tcW w:w="109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Company</w:t>
            </w:r>
          </w:p>
        </w:tc>
        <w:tc>
          <w:tcPr>
            <w:tcW w:w="224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02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30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94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58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109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Company</w:t>
            </w:r>
          </w:p>
        </w:tc>
        <w:tc>
          <w:tcPr>
            <w:tcW w:w="224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02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30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94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58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109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Company</w:t>
            </w:r>
          </w:p>
        </w:tc>
        <w:tc>
          <w:tcPr>
            <w:tcW w:w="224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02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30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94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58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109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Company</w:t>
            </w:r>
          </w:p>
        </w:tc>
        <w:tc>
          <w:tcPr>
            <w:tcW w:w="224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02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30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94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58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109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Company</w:t>
            </w:r>
          </w:p>
        </w:tc>
        <w:tc>
          <w:tcPr>
            <w:tcW w:w="224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02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30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94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58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1096" w:type="dxa"/>
            <w:tcBorders>
              <w:left w:val="single" w:sz="4" w:space="0" w:color="000000"/>
              <w:bottom w:val="single" w:sz="4" w:space="0" w:color="000000"/>
              <w:right w:val="single" w:sz="4" w:space="0" w:color="000000"/>
            </w:tcBorders>
            <w:shd w:fill="E6E6FA" w:val="clear"/>
            <w:tcMar>
              <w:top w:w="0" w:type="dxa"/>
              <w:left w:w="115" w:type="dxa"/>
              <w:right w:w="115" w:type="dxa"/>
            </w:tcMar>
            <w:vAlign w:val="center"/>
          </w:tcPr>
          <w:p>
            <w:pPr>
              <w:pStyle w:val="TableContents"/>
              <w:bidi w:val="0"/>
              <w:spacing w:before="0" w:after="283"/>
              <w:jc w:val="left"/>
              <w:rPr>
                <w:rFonts w:ascii="Times New Roman" w:hAnsi="Times New Roman"/>
                <w:color w:val="0000FF"/>
                <w:sz w:val="22"/>
                <w:u w:val="single"/>
              </w:rPr>
            </w:pPr>
            <w:r>
              <w:rPr>
                <w:rFonts w:ascii="Times New Roman" w:hAnsi="Times New Roman"/>
                <w:color w:val="0000FF"/>
                <w:sz w:val="22"/>
                <w:u w:val="single"/>
              </w:rPr>
              <w:t>Company</w:t>
            </w:r>
          </w:p>
        </w:tc>
        <w:tc>
          <w:tcPr>
            <w:tcW w:w="2240"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025"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307"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949"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588"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109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Company</w:t>
            </w:r>
          </w:p>
        </w:tc>
        <w:tc>
          <w:tcPr>
            <w:tcW w:w="224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02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30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94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58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Exhibit D-1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22"/>
        <w:gridCol w:w="2611"/>
        <w:gridCol w:w="1573"/>
        <w:gridCol w:w="1422"/>
        <w:gridCol w:w="2377"/>
      </w:tblGrid>
      <w:tr>
        <w:trPr/>
        <w:tc>
          <w:tcPr>
            <w:tcW w:w="2222"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r>
      <w:tr>
        <w:trPr/>
        <w:tc>
          <w:tcPr>
            <w:tcW w:w="2222"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Subsidiary</w:t>
            </w:r>
          </w:p>
        </w:tc>
        <w:tc>
          <w:tcPr>
            <w:tcW w:w="2611"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Type of Account (Deposit, Securities)</w:t>
            </w:r>
          </w:p>
        </w:tc>
        <w:tc>
          <w:tcPr>
            <w:tcW w:w="1573"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Purpose of Account</w:t>
            </w:r>
          </w:p>
        </w:tc>
        <w:tc>
          <w:tcPr>
            <w:tcW w:w="1422"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Account Number</w:t>
            </w:r>
          </w:p>
        </w:tc>
        <w:tc>
          <w:tcPr>
            <w:tcW w:w="2377"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Name and Address of Financial</w:t>
              <w:br/>
              <w:t>Institution</w:t>
            </w:r>
          </w:p>
        </w:tc>
      </w:tr>
      <w:tr>
        <w:trPr/>
        <w:tc>
          <w:tcPr>
            <w:tcW w:w="2222" w:type="dxa"/>
            <w:tcBorders>
              <w:left w:val="single" w:sz="4" w:space="0" w:color="000000"/>
              <w:bottom w:val="single" w:sz="4" w:space="0" w:color="000000"/>
              <w:right w:val="single" w:sz="4" w:space="0" w:color="000000"/>
            </w:tcBorders>
            <w:shd w:fill="FFDEAD" w:val="clear"/>
            <w:tcMar>
              <w:top w:w="0" w:type="dxa"/>
              <w:left w:w="115" w:type="dxa"/>
              <w:right w:w="115" w:type="dxa"/>
            </w:tcMar>
            <w:vAlign w:val="center"/>
          </w:tcPr>
          <w:p>
            <w:pPr>
              <w:pStyle w:val="TableContents"/>
              <w:bidi w:val="0"/>
              <w:spacing w:before="0" w:after="283"/>
              <w:jc w:val="left"/>
              <w:rPr>
                <w:rFonts w:ascii="Times New Roman" w:hAnsi="Times New Roman"/>
                <w:strike/>
                <w:color w:val="FF0000"/>
                <w:sz w:val="22"/>
              </w:rPr>
            </w:pPr>
            <w:r>
              <w:rPr>
                <w:rFonts w:ascii="Times New Roman" w:hAnsi="Times New Roman"/>
                <w:strike/>
                <w:color w:val="FF0000"/>
                <w:sz w:val="22"/>
              </w:rPr>
              <w:t>Disc Medicine Securities Corp</w:t>
            </w:r>
          </w:p>
        </w:tc>
        <w:tc>
          <w:tcPr>
            <w:tcW w:w="2611" w:type="dxa"/>
            <w:tcBorders>
              <w:bottom w:val="single" w:sz="4" w:space="0" w:color="000000"/>
              <w:right w:val="single" w:sz="4" w:space="0" w:color="000000"/>
            </w:tcBorders>
            <w:shd w:fill="FFDEAD"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573" w:type="dxa"/>
            <w:tcBorders>
              <w:bottom w:val="single" w:sz="4" w:space="0" w:color="000000"/>
              <w:right w:val="single" w:sz="4" w:space="0" w:color="000000"/>
            </w:tcBorders>
            <w:shd w:fill="FFDEAD"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422" w:type="dxa"/>
            <w:tcBorders>
              <w:bottom w:val="single" w:sz="4" w:space="0" w:color="000000"/>
              <w:right w:val="single" w:sz="4" w:space="0" w:color="000000"/>
            </w:tcBorders>
            <w:shd w:fill="FFDEAD"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377" w:type="dxa"/>
            <w:tcBorders>
              <w:bottom w:val="single" w:sz="4" w:space="0" w:color="000000"/>
              <w:right w:val="single" w:sz="4" w:space="0" w:color="000000"/>
            </w:tcBorders>
            <w:shd w:fill="FFDEAD"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222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Disc Medicine Securities Corp</w:t>
            </w:r>
          </w:p>
        </w:tc>
        <w:tc>
          <w:tcPr>
            <w:tcW w:w="26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57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42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3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2222" w:type="dxa"/>
            <w:tcBorders>
              <w:left w:val="single" w:sz="4" w:space="0" w:color="000000"/>
              <w:bottom w:val="single" w:sz="4" w:space="0" w:color="000000"/>
              <w:right w:val="single" w:sz="4" w:space="0" w:color="000000"/>
            </w:tcBorders>
            <w:shd w:fill="FFDEAD" w:val="clear"/>
            <w:tcMar>
              <w:top w:w="0" w:type="dxa"/>
              <w:left w:w="115" w:type="dxa"/>
              <w:right w:w="115" w:type="dxa"/>
            </w:tcMar>
            <w:vAlign w:val="center"/>
          </w:tcPr>
          <w:p>
            <w:pPr>
              <w:pStyle w:val="TableContents"/>
              <w:bidi w:val="0"/>
              <w:spacing w:before="0" w:after="283"/>
              <w:jc w:val="left"/>
              <w:rPr>
                <w:rFonts w:ascii="Times New Roman" w:hAnsi="Times New Roman"/>
                <w:strike/>
                <w:color w:val="FF0000"/>
                <w:sz w:val="22"/>
              </w:rPr>
            </w:pPr>
            <w:r>
              <w:rPr>
                <w:rFonts w:ascii="Times New Roman" w:hAnsi="Times New Roman"/>
                <w:strike/>
                <w:color w:val="FF0000"/>
                <w:sz w:val="22"/>
              </w:rPr>
              <w:t>Disc Medicine Securities Corp</w:t>
            </w:r>
          </w:p>
        </w:tc>
        <w:tc>
          <w:tcPr>
            <w:tcW w:w="2611" w:type="dxa"/>
            <w:tcBorders>
              <w:bottom w:val="single" w:sz="4" w:space="0" w:color="000000"/>
              <w:right w:val="single" w:sz="4" w:space="0" w:color="000000"/>
            </w:tcBorders>
            <w:shd w:fill="FFDEAD"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573" w:type="dxa"/>
            <w:tcBorders>
              <w:bottom w:val="single" w:sz="4" w:space="0" w:color="000000"/>
              <w:right w:val="single" w:sz="4" w:space="0" w:color="000000"/>
            </w:tcBorders>
            <w:shd w:fill="FFDEAD"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422" w:type="dxa"/>
            <w:tcBorders>
              <w:bottom w:val="single" w:sz="4" w:space="0" w:color="000000"/>
              <w:right w:val="single" w:sz="4" w:space="0" w:color="000000"/>
            </w:tcBorders>
            <w:shd w:fill="FFDEAD"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377" w:type="dxa"/>
            <w:tcBorders>
              <w:bottom w:val="single" w:sz="4" w:space="0" w:color="000000"/>
              <w:right w:val="single" w:sz="4" w:space="0" w:color="000000"/>
            </w:tcBorders>
            <w:shd w:fill="FFDEAD"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222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Disc Medicine B.V.</w:t>
            </w:r>
          </w:p>
        </w:tc>
        <w:tc>
          <w:tcPr>
            <w:tcW w:w="26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57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42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3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2222" w:type="dxa"/>
            <w:tcBorders>
              <w:left w:val="single" w:sz="4" w:space="0" w:color="000000"/>
              <w:bottom w:val="single" w:sz="4" w:space="0" w:color="000000"/>
              <w:right w:val="single" w:sz="4" w:space="0" w:color="000000"/>
            </w:tcBorders>
            <w:shd w:fill="FFDEAD" w:val="clear"/>
            <w:tcMar>
              <w:top w:w="0" w:type="dxa"/>
              <w:left w:w="115" w:type="dxa"/>
              <w:right w:w="115" w:type="dxa"/>
            </w:tcMar>
            <w:vAlign w:val="center"/>
          </w:tcPr>
          <w:p>
            <w:pPr>
              <w:pStyle w:val="TableContents"/>
              <w:bidi w:val="0"/>
              <w:spacing w:before="0" w:after="283"/>
              <w:jc w:val="left"/>
              <w:rPr>
                <w:rFonts w:ascii="Times New Roman" w:hAnsi="Times New Roman"/>
                <w:strike/>
                <w:color w:val="FF0000"/>
                <w:sz w:val="22"/>
              </w:rPr>
            </w:pPr>
            <w:r>
              <w:rPr>
                <w:rFonts w:ascii="Times New Roman" w:hAnsi="Times New Roman"/>
                <w:strike/>
                <w:color w:val="FF0000"/>
                <w:sz w:val="22"/>
              </w:rPr>
              <w:t>Disc Medicine B.V.</w:t>
            </w:r>
          </w:p>
        </w:tc>
        <w:tc>
          <w:tcPr>
            <w:tcW w:w="2611" w:type="dxa"/>
            <w:tcBorders>
              <w:bottom w:val="single" w:sz="4" w:space="0" w:color="000000"/>
              <w:right w:val="single" w:sz="4" w:space="0" w:color="000000"/>
            </w:tcBorders>
            <w:shd w:fill="FFDEAD"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573" w:type="dxa"/>
            <w:tcBorders>
              <w:bottom w:val="single" w:sz="4" w:space="0" w:color="000000"/>
              <w:right w:val="single" w:sz="4" w:space="0" w:color="000000"/>
            </w:tcBorders>
            <w:shd w:fill="FFDEAD"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422" w:type="dxa"/>
            <w:tcBorders>
              <w:bottom w:val="single" w:sz="4" w:space="0" w:color="000000"/>
              <w:right w:val="single" w:sz="4" w:space="0" w:color="000000"/>
            </w:tcBorders>
            <w:shd w:fill="FFDEAD"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377" w:type="dxa"/>
            <w:tcBorders>
              <w:bottom w:val="single" w:sz="4" w:space="0" w:color="000000"/>
              <w:right w:val="single" w:sz="4" w:space="0" w:color="000000"/>
            </w:tcBorders>
            <w:shd w:fill="FFDEAD"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222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Disc Medicine Pty Ltd</w:t>
            </w:r>
          </w:p>
        </w:tc>
        <w:tc>
          <w:tcPr>
            <w:tcW w:w="26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57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42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3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2222" w:type="dxa"/>
            <w:tcBorders>
              <w:left w:val="single" w:sz="4" w:space="0" w:color="000000"/>
              <w:bottom w:val="single" w:sz="4" w:space="0" w:color="000000"/>
              <w:right w:val="single" w:sz="4" w:space="0" w:color="000000"/>
            </w:tcBorders>
            <w:shd w:fill="E6E6FA"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2611"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573"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422"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377"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2222" w:type="dxa"/>
            <w:tcBorders>
              <w:left w:val="single" w:sz="4" w:space="0" w:color="000000"/>
              <w:bottom w:val="single" w:sz="4" w:space="0" w:color="000000"/>
              <w:right w:val="single" w:sz="4" w:space="0" w:color="000000"/>
            </w:tcBorders>
            <w:shd w:fill="E6E6FA"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2611"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573"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422"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377"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Exhibit D-2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EXHIBIT E</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COMPLIANCE CERTIFICATE</w:t>
      </w:r>
    </w:p>
    <w:p>
      <w:pPr>
        <w:pStyle w:val="TextBody"/>
        <w:bidi w:val="0"/>
        <w:spacing w:before="0" w:after="240"/>
        <w:jc w:val="left"/>
        <w:rPr>
          <w:rFonts w:ascii="Times New Roman" w:hAnsi="Times New Roman"/>
          <w:sz w:val="20"/>
        </w:rPr>
      </w:pPr>
      <w:r>
        <w:rPr>
          <w:rFonts w:ascii="Times New Roman" w:hAnsi="Times New Roman"/>
          <w:color w:val="000000"/>
          <w:sz w:val="22"/>
        </w:rPr>
        <w:t>Hercules Capital, Inc. (as “</w:t>
      </w:r>
      <w:r>
        <w:rPr>
          <w:rFonts w:ascii="Times New Roman" w:hAnsi="Times New Roman"/>
          <w:color w:val="000000"/>
          <w:sz w:val="22"/>
          <w:u w:val="single"/>
        </w:rPr>
        <w:t>Agent</w:t>
      </w:r>
      <w:r>
        <w:rPr>
          <w:rFonts w:ascii="Times New Roman" w:hAnsi="Times New Roman"/>
          <w:color w:val="000000"/>
          <w:sz w:val="20"/>
        </w:rPr>
        <w:t>”</w:t>
      </w:r>
      <w:r>
        <w:rPr>
          <w:rFonts w:ascii="Times New Roman" w:hAnsi="Times New Roman"/>
          <w:color w:val="000000"/>
          <w:sz w:val="22"/>
        </w:rPr>
        <w:t>)</w:t>
        <w:br/>
        <w:t>1 North B Street, Suite 2000</w:t>
        <w:br/>
        <w:t>San Mateo, CA 94401</w:t>
      </w:r>
    </w:p>
    <w:p>
      <w:pPr>
        <w:pStyle w:val="TextBody"/>
        <w:bidi w:val="0"/>
        <w:spacing w:before="0" w:after="240"/>
        <w:jc w:val="both"/>
        <w:rPr>
          <w:rFonts w:ascii="Times New Roman" w:hAnsi="Times New Roman"/>
          <w:sz w:val="20"/>
        </w:rPr>
      </w:pPr>
      <w:r>
        <w:rPr>
          <w:rFonts w:ascii="Times New Roman" w:hAnsi="Times New Roman"/>
          <w:color w:val="000000"/>
          <w:sz w:val="22"/>
        </w:rPr>
        <w:t>Reference is made to that certain Loan and Security Agreement dated November 6, 2024 (the “</w:t>
      </w:r>
      <w:r>
        <w:rPr>
          <w:rFonts w:ascii="Times New Roman" w:hAnsi="Times New Roman"/>
          <w:color w:val="000000"/>
          <w:sz w:val="22"/>
          <w:u w:val="single"/>
        </w:rPr>
        <w:t>Loan Agreement</w:t>
      </w:r>
      <w:r>
        <w:rPr>
          <w:rFonts w:ascii="Times New Roman" w:hAnsi="Times New Roman"/>
          <w:color w:val="000000"/>
          <w:sz w:val="20"/>
        </w:rPr>
        <w:t>”</w:t>
      </w:r>
      <w:r>
        <w:rPr>
          <w:rFonts w:ascii="Times New Roman" w:hAnsi="Times New Roman"/>
          <w:color w:val="000000"/>
          <w:sz w:val="22"/>
        </w:rPr>
        <w:t>) by and among Hercules Capital, Inc. (the “</w:t>
      </w:r>
      <w:r>
        <w:rPr>
          <w:rFonts w:ascii="Times New Roman" w:hAnsi="Times New Roman"/>
          <w:color w:val="000000"/>
          <w:sz w:val="22"/>
          <w:u w:val="single"/>
        </w:rPr>
        <w:t>Agent</w:t>
      </w:r>
      <w:r>
        <w:rPr>
          <w:rFonts w:ascii="Times New Roman" w:hAnsi="Times New Roman"/>
          <w:color w:val="000000"/>
          <w:sz w:val="20"/>
        </w:rPr>
        <w:t>”</w:t>
      </w:r>
      <w:r>
        <w:rPr>
          <w:rFonts w:ascii="Times New Roman" w:hAnsi="Times New Roman"/>
          <w:color w:val="000000"/>
          <w:sz w:val="22"/>
        </w:rPr>
        <w:t>), the several banks and other financial institutions or entities from time to time party thereto (collectively, the “</w:t>
      </w:r>
      <w:r>
        <w:rPr>
          <w:rFonts w:ascii="Times New Roman" w:hAnsi="Times New Roman"/>
          <w:color w:val="000000"/>
          <w:sz w:val="22"/>
          <w:u w:val="single"/>
        </w:rPr>
        <w:t>Lender</w:t>
      </w:r>
      <w:r>
        <w:rPr>
          <w:rFonts w:ascii="Times New Roman" w:hAnsi="Times New Roman"/>
          <w:color w:val="000000"/>
          <w:sz w:val="20"/>
        </w:rPr>
        <w:t>”</w:t>
      </w:r>
      <w:r>
        <w:rPr>
          <w:rFonts w:ascii="Times New Roman" w:hAnsi="Times New Roman"/>
          <w:color w:val="000000"/>
          <w:sz w:val="22"/>
        </w:rPr>
        <w:t>), Disc Medicine, Inc., a Delaware corporation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its Subsidiaries from time to time party thereto (individually and collectively with Company hereinafter referred to as “</w:t>
      </w:r>
      <w:r>
        <w:rPr>
          <w:rFonts w:ascii="Times New Roman" w:hAnsi="Times New Roman"/>
          <w:color w:val="000000"/>
          <w:sz w:val="22"/>
          <w:u w:val="single"/>
        </w:rPr>
        <w:t>Borrower</w:t>
      </w:r>
      <w:r>
        <w:rPr>
          <w:rFonts w:ascii="Times New Roman" w:hAnsi="Times New Roman"/>
          <w:color w:val="000000"/>
          <w:sz w:val="20"/>
        </w:rPr>
        <w:t>”</w:t>
      </w:r>
      <w:r>
        <w:rPr>
          <w:rFonts w:ascii="Times New Roman" w:hAnsi="Times New Roman"/>
          <w:color w:val="000000"/>
          <w:sz w:val="22"/>
        </w:rPr>
        <w:t>). All capitalized terms not defined herein shall have the same meaning as defined in the Loan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undersigned is an officer of the Company, knowledgeable of all Company financial matters, and is authorized to provide certification of information regarding the Company; hereby certifies, in such capacity and not in any individual capacity, that:</w:t>
      </w:r>
    </w:p>
    <w:p>
      <w:pPr>
        <w:pStyle w:val="TextBody"/>
        <w:bidi w:val="0"/>
        <w:spacing w:before="0" w:after="240"/>
        <w:jc w:val="both"/>
        <w:rPr>
          <w:rFonts w:ascii="Times New Roman" w:hAnsi="Times New Roman"/>
          <w:sz w:val="20"/>
        </w:rPr>
      </w:pPr>
      <w:r>
        <w:rPr>
          <w:rFonts w:ascii="Times New Roman" w:hAnsi="Times New Roman"/>
          <w:color w:val="000000"/>
          <w:sz w:val="22"/>
        </w:rPr>
        <w:t>1.</w:t>
      </w:r>
      <w:r>
        <w:rPr>
          <w:rFonts w:ascii="Times New Roman" w:hAnsi="Times New Roman"/>
          <w:color w:val="000000"/>
          <w:sz w:val="20"/>
        </w:rPr>
        <w:t xml:space="preserve"> </w:t>
      </w:r>
      <w:r>
        <w:rPr>
          <w:rFonts w:ascii="Times New Roman" w:hAnsi="Times New Roman"/>
          <w:color w:val="000000"/>
          <w:sz w:val="22"/>
        </w:rPr>
        <w:t>no fact or condition exists that would (or would, with the passage of time, the giving or notice, or both) constitute a Default or an Event of Default;</w:t>
      </w:r>
    </w:p>
    <w:p>
      <w:pPr>
        <w:pStyle w:val="TextBody"/>
        <w:bidi w:val="0"/>
        <w:spacing w:before="0" w:after="240"/>
        <w:jc w:val="both"/>
        <w:rPr>
          <w:rFonts w:ascii="Times New Roman" w:hAnsi="Times New Roman"/>
          <w:sz w:val="20"/>
        </w:rPr>
      </w:pPr>
      <w:r>
        <w:rPr>
          <w:rFonts w:ascii="Times New Roman" w:hAnsi="Times New Roman"/>
          <w:color w:val="000000"/>
          <w:sz w:val="22"/>
        </w:rPr>
        <w:t>2.</w:t>
      </w:r>
      <w:r>
        <w:rPr>
          <w:rFonts w:ascii="Times New Roman" w:hAnsi="Times New Roman"/>
          <w:color w:val="000000"/>
          <w:sz w:val="20"/>
        </w:rPr>
        <w:t xml:space="preserve"> </w:t>
      </w:r>
      <w:r>
        <w:rPr>
          <w:rFonts w:ascii="Times New Roman" w:hAnsi="Times New Roman"/>
          <w:color w:val="000000"/>
          <w:sz w:val="22"/>
        </w:rPr>
        <w:t>all representations and warranties contained in the Loan Agreement are true and correct on and as of the date of this Compliance Certificate with the same effect as though made on and as of such date, except to the extent such representations and warranties expressly relate to an earlier date, after giving effect in all cases to any standard(s) of materiality contained in the Loan Agreement as to such representations and warranties.</w:t>
      </w:r>
    </w:p>
    <w:p>
      <w:pPr>
        <w:pStyle w:val="TextBody"/>
        <w:bidi w:val="0"/>
        <w:spacing w:before="0" w:after="240"/>
        <w:jc w:val="both"/>
        <w:rPr>
          <w:rFonts w:ascii="Times New Roman" w:hAnsi="Times New Roman"/>
          <w:sz w:val="20"/>
        </w:rPr>
      </w:pPr>
      <w:r>
        <w:rPr>
          <w:rFonts w:ascii="Times New Roman" w:hAnsi="Times New Roman"/>
          <w:color w:val="000000"/>
          <w:sz w:val="22"/>
        </w:rPr>
        <w:t>3.</w:t>
      </w:r>
      <w:r>
        <w:rPr>
          <w:rFonts w:ascii="Times New Roman" w:hAnsi="Times New Roman"/>
          <w:color w:val="000000"/>
          <w:sz w:val="20"/>
        </w:rPr>
        <w:t xml:space="preserve"> </w:t>
      </w:r>
      <w:r>
        <w:rPr>
          <w:rFonts w:ascii="Times New Roman" w:hAnsi="Times New Roman"/>
          <w:color w:val="000000"/>
          <w:sz w:val="22"/>
        </w:rPr>
        <w:t>Accompanied herewith are [</w:t>
      </w:r>
      <w:r>
        <w:rPr>
          <w:rFonts w:ascii="Times New Roman" w:hAnsi="Times New Roman"/>
          <w:i/>
          <w:color w:val="000000"/>
          <w:sz w:val="22"/>
        </w:rPr>
        <w:t>Select one:</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[monthly unaudited interim and year-to-date cash balance reports as of the end of the calendar month ended [_____], 20__, and listing of amounts held in each deposit and securities account of Borrower]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[quarterly unaudited [interim and year-to-date] financial statements as of the end of the calendar quarter ended [_____], 20__, including balance sheet and related statements of income and cash flows accompanied by a report detailing any material contingencies (including the commencement of any material litigation by or against Borrower) or any other occurrence that would reasonably be expected to have a Material Adverse Effect, certified by Company’s Chief Executive Officer or Chief Financial Officer to the effect that they have been prepared in accordance with GAAP, except (i) for the absence of footnotes, and (ii) that they are subject to normal year end adjustments.]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[audited financial statements as of the end of the fiscal year ended December 31, 20__ (prepared on a consolidated basis, if applicable), including balance sheet and related statements of income and cash flows, and setting forth in comparative form the corresponding figures for the preceding fiscal year, certified without qualification (other than any going concern qualification) by a firm of independent certified public accountants selected by Company and reasonably acceptable to Agent (it being understood that Ernst &amp; Young LLP is reasonably acceptable to Agent), accompanied by any final management report from such accountants.]</w:t>
      </w:r>
    </w:p>
    <w:p>
      <w:pPr>
        <w:pStyle w:val="TextBody"/>
        <w:bidi w:val="0"/>
        <w:jc w:val="center"/>
        <w:rPr>
          <w:rFonts w:ascii="Times New Roman" w:hAnsi="Times New Roman"/>
          <w:color w:val="000000"/>
          <w:sz w:val="20"/>
        </w:rPr>
      </w:pPr>
      <w:r>
        <w:rPr>
          <w:rFonts w:ascii="Times New Roman" w:hAnsi="Times New Roman"/>
          <w:color w:val="000000"/>
          <w:sz w:val="20"/>
        </w:rPr>
        <w:t>Exhibit E-1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4.</w:t>
      </w:r>
      <w:r>
        <w:rPr>
          <w:rFonts w:ascii="Times New Roman" w:hAnsi="Times New Roman"/>
          <w:color w:val="000000"/>
          <w:sz w:val="20"/>
        </w:rPr>
        <w:t xml:space="preserve"> </w:t>
      </w:r>
      <w:r>
        <w:rPr>
          <w:rFonts w:ascii="Times New Roman" w:hAnsi="Times New Roman"/>
          <w:color w:val="000000"/>
          <w:sz w:val="22"/>
        </w:rPr>
        <w:t xml:space="preserve">The information described in foregoing </w:t>
      </w:r>
      <w:r>
        <w:rPr>
          <w:rFonts w:ascii="Times New Roman" w:hAnsi="Times New Roman"/>
          <w:color w:val="000000"/>
          <w:sz w:val="22"/>
          <w:u w:val="single"/>
        </w:rPr>
        <w:t>paragraph 3</w:t>
      </w:r>
      <w:r>
        <w:rPr>
          <w:rFonts w:ascii="Times New Roman" w:hAnsi="Times New Roman"/>
          <w:color w:val="000000"/>
          <w:sz w:val="20"/>
        </w:rPr>
        <w:t xml:space="preserve"> </w:t>
      </w:r>
      <w:r>
        <w:rPr>
          <w:rFonts w:ascii="Times New Roman" w:hAnsi="Times New Roman"/>
          <w:color w:val="000000"/>
          <w:sz w:val="22"/>
        </w:rPr>
        <w:t>is prepared in accordance with GAAP (except for the absence of footnotes with respect to unaudited financial statement and subject to normal year end adjustments) and are consistent from one period to the next except as explained below.</w:t>
      </w:r>
    </w:p>
    <w:tbl>
      <w:tblPr>
        <w:tblW w:w="7923" w:type="dxa"/>
        <w:jc w:val="left"/>
        <w:tblInd w:w="0" w:type="dxa"/>
        <w:tblLayout w:type="fixed"/>
        <w:tblCellMar>
          <w:top w:w="28" w:type="dxa"/>
          <w:left w:w="28" w:type="dxa"/>
          <w:bottom w:w="28" w:type="dxa"/>
          <w:right w:w="28" w:type="dxa"/>
        </w:tblCellMar>
      </w:tblPr>
      <w:tblGrid>
        <w:gridCol w:w="3046"/>
        <w:gridCol w:w="2431"/>
        <w:gridCol w:w="2446"/>
      </w:tblGrid>
      <w:tr>
        <w:trPr/>
        <w:tc>
          <w:tcPr>
            <w:tcW w:w="304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r>
      <w:tr>
        <w:trPr/>
        <w:tc>
          <w:tcPr>
            <w:tcW w:w="304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REPORTING REQUIREMENT</w:t>
            </w:r>
          </w:p>
        </w:tc>
        <w:tc>
          <w:tcPr>
            <w:tcW w:w="2431"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REQUIRED</w:t>
            </w:r>
          </w:p>
        </w:tc>
        <w:tc>
          <w:tcPr>
            <w:tcW w:w="244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CHECK IF ATTACHED</w:t>
            </w:r>
          </w:p>
        </w:tc>
      </w:tr>
      <w:tr>
        <w:trPr/>
        <w:tc>
          <w:tcPr>
            <w:tcW w:w="304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Interim Financial Statements</w:t>
            </w:r>
          </w:p>
        </w:tc>
        <w:tc>
          <w:tcPr>
            <w:tcW w:w="24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Monthly within 30 days</w:t>
            </w:r>
          </w:p>
        </w:tc>
        <w:tc>
          <w:tcPr>
            <w:tcW w:w="24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40"/>
              <w:jc w:val="left"/>
              <w:rPr/>
            </w:pPr>
            <w:r>
              <w:rPr/>
              <w:t> </w:t>
            </w:r>
          </w:p>
        </w:tc>
      </w:tr>
      <w:tr>
        <w:trPr/>
        <w:tc>
          <w:tcPr>
            <w:tcW w:w="304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Interim Financial Statements</w:t>
            </w:r>
          </w:p>
        </w:tc>
        <w:tc>
          <w:tcPr>
            <w:tcW w:w="24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Quarterly within 45 days</w:t>
            </w:r>
          </w:p>
        </w:tc>
        <w:tc>
          <w:tcPr>
            <w:tcW w:w="24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40"/>
              <w:jc w:val="left"/>
              <w:rPr/>
            </w:pPr>
            <w:r>
              <w:rPr/>
              <w:t> </w:t>
            </w:r>
          </w:p>
        </w:tc>
      </w:tr>
      <w:tr>
        <w:trPr/>
        <w:tc>
          <w:tcPr>
            <w:tcW w:w="304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Audited Financial Statements</w:t>
            </w:r>
          </w:p>
        </w:tc>
        <w:tc>
          <w:tcPr>
            <w:tcW w:w="24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FYE within 90 days</w:t>
            </w:r>
          </w:p>
        </w:tc>
        <w:tc>
          <w:tcPr>
            <w:tcW w:w="24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40"/>
              <w:jc w:val="left"/>
              <w:rPr/>
            </w:pPr>
            <w:r>
              <w:rPr/>
              <w:t> </w:t>
            </w:r>
          </w:p>
        </w:tc>
      </w:tr>
    </w:tbl>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5.</w:t>
      </w:r>
      <w:r>
        <w:rPr>
          <w:rFonts w:ascii="Times New Roman" w:hAnsi="Times New Roman"/>
          <w:color w:val="000000"/>
          <w:sz w:val="20"/>
        </w:rPr>
        <w:t xml:space="preserve"> </w:t>
      </w:r>
      <w:r>
        <w:rPr>
          <w:rFonts w:ascii="Times New Roman" w:hAnsi="Times New Roman"/>
          <w:color w:val="000000"/>
          <w:sz w:val="22"/>
        </w:rPr>
        <w:t xml:space="preserve">Attached hereto as </w:t>
      </w:r>
      <w:r>
        <w:rPr>
          <w:rFonts w:ascii="Times New Roman" w:hAnsi="Times New Roman"/>
          <w:color w:val="000000"/>
          <w:sz w:val="22"/>
          <w:u w:val="single"/>
        </w:rPr>
        <w:t>Annex 1</w:t>
      </w:r>
      <w:r>
        <w:rPr>
          <w:rFonts w:ascii="Times New Roman" w:hAnsi="Times New Roman"/>
          <w:color w:val="000000"/>
          <w:sz w:val="20"/>
        </w:rPr>
        <w:t xml:space="preserve"> </w:t>
      </w:r>
      <w:r>
        <w:rPr>
          <w:rFonts w:ascii="Times New Roman" w:hAnsi="Times New Roman"/>
          <w:color w:val="000000"/>
          <w:sz w:val="22"/>
        </w:rPr>
        <w:t xml:space="preserve">are calculations demonstrating compliance with </w:t>
      </w:r>
      <w:r>
        <w:rPr>
          <w:rFonts w:ascii="Times New Roman" w:hAnsi="Times New Roman"/>
          <w:color w:val="000000"/>
          <w:sz w:val="22"/>
          <w:u w:val="single"/>
        </w:rPr>
        <w:t xml:space="preserve">Section 7.22 </w:t>
      </w:r>
      <w:r>
        <w:rPr>
          <w:rFonts w:ascii="Times New Roman" w:hAnsi="Times New Roman"/>
          <w:color w:val="000000"/>
          <w:sz w:val="22"/>
        </w:rPr>
        <w:t>of the Loan Agreement.</w:t>
      </w:r>
    </w:p>
    <w:p>
      <w:pPr>
        <w:pStyle w:val="TextBody"/>
        <w:bidi w:val="0"/>
        <w:spacing w:before="0" w:after="240"/>
        <w:jc w:val="both"/>
        <w:rPr>
          <w:rFonts w:ascii="Times New Roman" w:hAnsi="Times New Roman"/>
          <w:sz w:val="20"/>
        </w:rPr>
      </w:pPr>
      <w:r>
        <w:rPr>
          <w:rFonts w:ascii="Times New Roman" w:hAnsi="Times New Roman"/>
          <w:color w:val="000000"/>
          <w:sz w:val="22"/>
        </w:rPr>
        <w:t>6.</w:t>
      </w:r>
      <w:r>
        <w:rPr>
          <w:rFonts w:ascii="Times New Roman" w:hAnsi="Times New Roman"/>
          <w:color w:val="000000"/>
          <w:sz w:val="20"/>
        </w:rPr>
        <w:t xml:space="preserve"> </w:t>
      </w:r>
      <w:r>
        <w:rPr>
          <w:rFonts w:ascii="Times New Roman" w:hAnsi="Times New Roman"/>
          <w:color w:val="000000"/>
          <w:sz w:val="22"/>
          <w:u w:val="single"/>
        </w:rPr>
        <w:t>Annex 2</w:t>
      </w:r>
      <w:r>
        <w:rPr>
          <w:rFonts w:ascii="Times New Roman" w:hAnsi="Times New Roman"/>
          <w:color w:val="000000"/>
          <w:sz w:val="20"/>
        </w:rPr>
        <w:t xml:space="preserve"> </w:t>
      </w:r>
      <w:r>
        <w:rPr>
          <w:rFonts w:ascii="Times New Roman" w:hAnsi="Times New Roman"/>
          <w:color w:val="000000"/>
          <w:sz w:val="22"/>
        </w:rPr>
        <w:t>sets forth a description of (a) any claim(s) made to any Borrower in writing (since the most recently delivered Compliance Certificate) that any material part of the Current Company IP violates the rights of any third party and (b) any Specified Dispute(s) alleged or threatened in writing since the most recently delivered Compliance Certificate, in each case challenging the legality, validity, enforceability or ownership of any Current Company IP, in each case that would have a material adverse effect on the Products.</w:t>
      </w:r>
    </w:p>
    <w:p>
      <w:pPr>
        <w:pStyle w:val="TextBody"/>
        <w:bidi w:val="0"/>
        <w:spacing w:before="0" w:after="240"/>
        <w:jc w:val="both"/>
        <w:rPr>
          <w:rFonts w:ascii="Times New Roman" w:hAnsi="Times New Roman"/>
          <w:sz w:val="20"/>
        </w:rPr>
      </w:pPr>
      <w:r>
        <w:rPr>
          <w:rFonts w:ascii="Times New Roman" w:hAnsi="Times New Roman"/>
          <w:color w:val="000000"/>
          <w:sz w:val="22"/>
        </w:rPr>
        <w:t>7.</w:t>
      </w:r>
      <w:r>
        <w:rPr>
          <w:rFonts w:ascii="Times New Roman" w:hAnsi="Times New Roman"/>
          <w:color w:val="000000"/>
          <w:sz w:val="20"/>
        </w:rPr>
        <w:t xml:space="preserve"> </w:t>
      </w:r>
      <w:r>
        <w:rPr>
          <w:rFonts w:ascii="Times New Roman" w:hAnsi="Times New Roman"/>
          <w:color w:val="000000"/>
          <w:sz w:val="22"/>
        </w:rPr>
        <w:t xml:space="preserve">Attached hereto as </w:t>
      </w:r>
      <w:r>
        <w:rPr>
          <w:rFonts w:ascii="Times New Roman" w:hAnsi="Times New Roman"/>
          <w:color w:val="000000"/>
          <w:sz w:val="22"/>
          <w:u w:val="single"/>
        </w:rPr>
        <w:t>Annex 3</w:t>
      </w:r>
      <w:r>
        <w:rPr>
          <w:rFonts w:ascii="Times New Roman" w:hAnsi="Times New Roman"/>
          <w:color w:val="000000"/>
          <w:sz w:val="20"/>
        </w:rPr>
        <w:t xml:space="preserve"> </w:t>
      </w:r>
      <w:r>
        <w:rPr>
          <w:rFonts w:ascii="Times New Roman" w:hAnsi="Times New Roman"/>
          <w:color w:val="000000"/>
          <w:sz w:val="22"/>
        </w:rPr>
        <w:t xml:space="preserve">are calculations demonstrating compliance with the second sentence of </w:t>
      </w:r>
      <w:r>
        <w:rPr>
          <w:rFonts w:ascii="Times New Roman" w:hAnsi="Times New Roman"/>
          <w:color w:val="000000"/>
          <w:sz w:val="22"/>
          <w:u w:val="single"/>
        </w:rPr>
        <w:t>Section 7.12</w:t>
      </w:r>
      <w:r>
        <w:rPr>
          <w:rFonts w:ascii="Times New Roman" w:hAnsi="Times New Roman"/>
          <w:color w:val="000000"/>
          <w:sz w:val="20"/>
        </w:rPr>
        <w:t xml:space="preserve"> </w:t>
      </w:r>
      <w:r>
        <w:rPr>
          <w:rFonts w:ascii="Times New Roman" w:hAnsi="Times New Roman"/>
          <w:color w:val="000000"/>
          <w:sz w:val="22"/>
        </w:rPr>
        <w:t>of the Loan Agreement.</w:t>
      </w:r>
    </w:p>
    <w:p>
      <w:pPr>
        <w:pStyle w:val="TextBody"/>
        <w:bidi w:val="0"/>
        <w:spacing w:before="0" w:after="240"/>
        <w:jc w:val="both"/>
        <w:rPr>
          <w:rFonts w:ascii="Times New Roman" w:hAnsi="Times New Roman"/>
          <w:sz w:val="20"/>
        </w:rPr>
      </w:pPr>
      <w:r>
        <w:rPr>
          <w:rFonts w:ascii="Times New Roman" w:hAnsi="Times New Roman"/>
          <w:color w:val="000000"/>
          <w:sz w:val="22"/>
        </w:rPr>
        <w:t>8.</w:t>
      </w:r>
      <w:r>
        <w:rPr>
          <w:rFonts w:ascii="Times New Roman" w:hAnsi="Times New Roman"/>
          <w:color w:val="000000"/>
          <w:sz w:val="20"/>
        </w:rPr>
        <w:t xml:space="preserve"> </w:t>
      </w:r>
      <w:r>
        <w:rPr>
          <w:rFonts w:ascii="Times New Roman" w:hAnsi="Times New Roman"/>
          <w:color w:val="000000"/>
          <w:sz w:val="22"/>
        </w:rPr>
        <w:t xml:space="preserve">Attached hereto as </w:t>
      </w:r>
      <w:r>
        <w:rPr>
          <w:rFonts w:ascii="Times New Roman" w:hAnsi="Times New Roman"/>
          <w:color w:val="000000"/>
          <w:sz w:val="22"/>
          <w:u w:val="single"/>
        </w:rPr>
        <w:t>Annex 4</w:t>
      </w:r>
      <w:r>
        <w:rPr>
          <w:rFonts w:ascii="Times New Roman" w:hAnsi="Times New Roman"/>
          <w:color w:val="000000"/>
          <w:sz w:val="20"/>
        </w:rPr>
        <w:t xml:space="preserve"> </w:t>
      </w:r>
      <w:r>
        <w:rPr>
          <w:rFonts w:ascii="Times New Roman" w:hAnsi="Times New Roman"/>
          <w:color w:val="000000"/>
          <w:sz w:val="22"/>
        </w:rPr>
        <w:t xml:space="preserve">are calculations demonstrating compliance with </w:t>
      </w:r>
      <w:r>
        <w:rPr>
          <w:rFonts w:ascii="Times New Roman" w:hAnsi="Times New Roman"/>
          <w:color w:val="000000"/>
          <w:sz w:val="22"/>
          <w:u w:val="single"/>
        </w:rPr>
        <w:t xml:space="preserve">Section 7.14 </w:t>
      </w:r>
      <w:r>
        <w:rPr>
          <w:rFonts w:ascii="Times New Roman" w:hAnsi="Times New Roman"/>
          <w:color w:val="000000"/>
          <w:sz w:val="22"/>
        </w:rPr>
        <w:t>of the Loan Agreement.</w:t>
      </w:r>
    </w:p>
    <w:p>
      <w:pPr>
        <w:pStyle w:val="TextBody"/>
        <w:bidi w:val="0"/>
        <w:spacing w:before="0" w:after="240"/>
        <w:jc w:val="both"/>
        <w:rPr>
          <w:rFonts w:ascii="Times New Roman" w:hAnsi="Times New Roman"/>
          <w:sz w:val="20"/>
        </w:rPr>
      </w:pPr>
      <w:r>
        <w:rPr>
          <w:rFonts w:ascii="Times New Roman" w:hAnsi="Times New Roman"/>
          <w:color w:val="000000"/>
          <w:sz w:val="22"/>
        </w:rPr>
        <w:t>9.</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Choose one:</w:t>
      </w:r>
      <w:r>
        <w:rPr>
          <w:rFonts w:ascii="Times New Roman" w:hAnsi="Times New Roman"/>
          <w:color w:val="000000"/>
          <w:sz w:val="22"/>
        </w:rPr>
        <w:t xml:space="preserve">] [With regard to insurance policies required to be maintained in accordance with </w:t>
      </w:r>
      <w:r>
        <w:rPr>
          <w:rFonts w:ascii="Times New Roman" w:hAnsi="Times New Roman"/>
          <w:color w:val="000000"/>
          <w:sz w:val="22"/>
          <w:u w:val="single"/>
        </w:rPr>
        <w:t>Section 6.1</w:t>
      </w:r>
      <w:r>
        <w:rPr>
          <w:rFonts w:ascii="Times New Roman" w:hAnsi="Times New Roman"/>
          <w:color w:val="000000"/>
          <w:sz w:val="20"/>
        </w:rPr>
        <w:t xml:space="preserve"> </w:t>
      </w:r>
      <w:r>
        <w:rPr>
          <w:rFonts w:ascii="Times New Roman" w:hAnsi="Times New Roman"/>
          <w:color w:val="000000"/>
          <w:sz w:val="22"/>
        </w:rPr>
        <w:t>of the Loan Agreement (“</w:t>
      </w:r>
      <w:r>
        <w:rPr>
          <w:rFonts w:ascii="Times New Roman" w:hAnsi="Times New Roman"/>
          <w:color w:val="000000"/>
          <w:sz w:val="22"/>
          <w:u w:val="single"/>
        </w:rPr>
        <w:t>Required Policies</w:t>
      </w:r>
      <w:r>
        <w:rPr>
          <w:rFonts w:ascii="Times New Roman" w:hAnsi="Times New Roman"/>
          <w:color w:val="000000"/>
          <w:sz w:val="20"/>
        </w:rPr>
        <w:t>”</w:t>
      </w:r>
      <w:r>
        <w:rPr>
          <w:rFonts w:ascii="Times New Roman" w:hAnsi="Times New Roman"/>
          <w:color w:val="000000"/>
          <w:sz w:val="22"/>
        </w:rPr>
        <w:t>), transmitted herewith are (a) insurance renewal statements regarding Required Policies, (b) amendments to Required Policies and/or (c) copies of new Required Policies] [Since delivery of the previous Compliance Certificate, neither Borrower nor any of its Subsidiaries has entered into or amended any insurance policy required pursuant to Section 6.1 of the Loan Agreement].</w:t>
      </w:r>
    </w:p>
    <w:p>
      <w:pPr>
        <w:pStyle w:val="TextBody"/>
        <w:bidi w:val="0"/>
        <w:spacing w:before="0" w:after="240"/>
        <w:jc w:val="both"/>
        <w:rPr>
          <w:rFonts w:ascii="Times New Roman" w:hAnsi="Times New Roman"/>
          <w:sz w:val="20"/>
        </w:rPr>
      </w:pPr>
      <w:r>
        <w:rPr>
          <w:rFonts w:ascii="Times New Roman" w:hAnsi="Times New Roman"/>
          <w:color w:val="000000"/>
          <w:sz w:val="22"/>
        </w:rPr>
        <w:t>10.</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Choose one:</w:t>
      </w:r>
      <w:r>
        <w:rPr>
          <w:rFonts w:ascii="Times New Roman" w:hAnsi="Times New Roman"/>
          <w:color w:val="000000"/>
          <w:sz w:val="22"/>
        </w:rPr>
        <w:t xml:space="preserve">] [Part A of </w:t>
      </w:r>
      <w:r>
        <w:rPr>
          <w:rFonts w:ascii="Times New Roman" w:hAnsi="Times New Roman"/>
          <w:color w:val="000000"/>
          <w:sz w:val="22"/>
          <w:u w:val="single"/>
        </w:rPr>
        <w:t>Schedule 5.14</w:t>
      </w:r>
      <w:r>
        <w:rPr>
          <w:rFonts w:ascii="Times New Roman" w:hAnsi="Times New Roman"/>
          <w:color w:val="000000"/>
          <w:sz w:val="20"/>
        </w:rPr>
        <w:t xml:space="preserve"> </w:t>
      </w:r>
      <w:r>
        <w:rPr>
          <w:rFonts w:ascii="Times New Roman" w:hAnsi="Times New Roman"/>
          <w:color w:val="000000"/>
          <w:sz w:val="22"/>
        </w:rPr>
        <w:t xml:space="preserve">to the Loan Agreement continues to be a current] [Attached hereto as </w:t>
      </w:r>
      <w:r>
        <w:rPr>
          <w:rFonts w:ascii="Times New Roman" w:hAnsi="Times New Roman"/>
          <w:color w:val="000000"/>
          <w:sz w:val="22"/>
          <w:u w:val="single"/>
        </w:rPr>
        <w:t>Annex 5</w:t>
      </w:r>
      <w:r>
        <w:rPr>
          <w:rFonts w:ascii="Times New Roman" w:hAnsi="Times New Roman"/>
          <w:color w:val="000000"/>
          <w:sz w:val="20"/>
        </w:rPr>
        <w:t xml:space="preserve"> </w:t>
      </w:r>
      <w:r>
        <w:rPr>
          <w:rFonts w:ascii="Times New Roman" w:hAnsi="Times New Roman"/>
          <w:color w:val="000000"/>
          <w:sz w:val="22"/>
        </w:rPr>
        <w:t xml:space="preserve">is an updated] part A of </w:t>
      </w:r>
      <w:r>
        <w:rPr>
          <w:rFonts w:ascii="Times New Roman" w:hAnsi="Times New Roman"/>
          <w:color w:val="000000"/>
          <w:sz w:val="22"/>
          <w:u w:val="single"/>
        </w:rPr>
        <w:t>Schedule 5.14</w:t>
      </w:r>
      <w:r>
        <w:rPr>
          <w:rFonts w:ascii="Times New Roman" w:hAnsi="Times New Roman"/>
          <w:color w:val="000000"/>
          <w:sz w:val="20"/>
        </w:rPr>
        <w:t xml:space="preserve"> </w:t>
      </w:r>
      <w:r>
        <w:rPr>
          <w:rFonts w:ascii="Times New Roman" w:hAnsi="Times New Roman"/>
          <w:color w:val="000000"/>
          <w:sz w:val="22"/>
        </w:rPr>
        <w:t>to the Loan Agreement, which sets forth is a true, correct and complete list of each Subsidiary.</w:t>
      </w:r>
    </w:p>
    <w:p>
      <w:pPr>
        <w:pStyle w:val="TextBody"/>
        <w:bidi w:val="0"/>
        <w:spacing w:before="0" w:after="240"/>
        <w:jc w:val="both"/>
        <w:rPr>
          <w:rFonts w:ascii="Times New Roman" w:hAnsi="Times New Roman"/>
          <w:sz w:val="20"/>
        </w:rPr>
      </w:pPr>
      <w:r>
        <w:rPr>
          <w:rFonts w:ascii="Times New Roman" w:hAnsi="Times New Roman"/>
          <w:color w:val="000000"/>
          <w:sz w:val="22"/>
        </w:rPr>
        <w:t>11.</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Choose one:</w:t>
      </w:r>
      <w:r>
        <w:rPr>
          <w:rFonts w:ascii="Times New Roman" w:hAnsi="Times New Roman"/>
          <w:color w:val="000000"/>
          <w:sz w:val="22"/>
        </w:rPr>
        <w:t>] [</w:t>
      </w:r>
      <w:r>
        <w:rPr>
          <w:rFonts w:ascii="Times New Roman" w:hAnsi="Times New Roman"/>
          <w:color w:val="000000"/>
          <w:sz w:val="22"/>
          <w:u w:val="single"/>
        </w:rPr>
        <w:t>Exhibit B</w:t>
      </w:r>
      <w:r>
        <w:rPr>
          <w:rFonts w:ascii="Times New Roman" w:hAnsi="Times New Roman"/>
          <w:color w:val="000000"/>
          <w:sz w:val="20"/>
        </w:rPr>
        <w:t xml:space="preserve"> </w:t>
      </w:r>
      <w:r>
        <w:rPr>
          <w:rFonts w:ascii="Times New Roman" w:hAnsi="Times New Roman"/>
          <w:color w:val="000000"/>
          <w:sz w:val="22"/>
        </w:rPr>
        <w:t xml:space="preserve">to the Loan Agreement continues to be a current] [Attached hereto as </w:t>
      </w:r>
      <w:r>
        <w:rPr>
          <w:rFonts w:ascii="Times New Roman" w:hAnsi="Times New Roman"/>
          <w:color w:val="000000"/>
          <w:sz w:val="22"/>
          <w:u w:val="single"/>
        </w:rPr>
        <w:t>Annex [6]</w:t>
      </w:r>
      <w:r>
        <w:rPr>
          <w:rFonts w:ascii="Times New Roman" w:hAnsi="Times New Roman"/>
          <w:color w:val="000000"/>
          <w:sz w:val="20"/>
        </w:rPr>
        <w:t xml:space="preserve"> </w:t>
      </w:r>
      <w:r>
        <w:rPr>
          <w:rFonts w:ascii="Times New Roman" w:hAnsi="Times New Roman"/>
          <w:color w:val="000000"/>
          <w:sz w:val="22"/>
        </w:rPr>
        <w:t xml:space="preserve">is an updated] </w:t>
      </w:r>
      <w:r>
        <w:rPr>
          <w:rFonts w:ascii="Times New Roman" w:hAnsi="Times New Roman"/>
          <w:color w:val="000000"/>
          <w:sz w:val="22"/>
          <w:u w:val="single"/>
        </w:rPr>
        <w:t>Exhibit B</w:t>
      </w:r>
      <w:r>
        <w:rPr>
          <w:rFonts w:ascii="Times New Roman" w:hAnsi="Times New Roman"/>
          <w:color w:val="000000"/>
          <w:sz w:val="20"/>
        </w:rPr>
        <w:t xml:space="preserve"> </w:t>
      </w:r>
      <w:r>
        <w:rPr>
          <w:rFonts w:ascii="Times New Roman" w:hAnsi="Times New Roman"/>
          <w:color w:val="000000"/>
          <w:sz w:val="22"/>
        </w:rPr>
        <w:t>to the Loan Agreement, which correctly sets forth Borrower’s present name, former names (if any) during the five year period before the Closing Date, location of chief executive office, place of formation, Tax identification number, and organizational identification number, if applicable.</w:t>
      </w:r>
    </w:p>
    <w:p>
      <w:pPr>
        <w:pStyle w:val="TextBody"/>
        <w:bidi w:val="0"/>
        <w:spacing w:before="0" w:after="240"/>
        <w:jc w:val="both"/>
        <w:rPr>
          <w:rFonts w:ascii="Times New Roman" w:hAnsi="Times New Roman"/>
          <w:sz w:val="20"/>
        </w:rPr>
      </w:pPr>
      <w:r>
        <w:rPr>
          <w:rFonts w:ascii="Times New Roman" w:hAnsi="Times New Roman"/>
          <w:color w:val="000000"/>
          <w:sz w:val="22"/>
        </w:rPr>
        <w:t>12.</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Choose one:</w:t>
      </w:r>
      <w:r>
        <w:rPr>
          <w:rFonts w:ascii="Times New Roman" w:hAnsi="Times New Roman"/>
          <w:color w:val="000000"/>
          <w:sz w:val="22"/>
        </w:rPr>
        <w:t xml:space="preserve">] </w:t>
      </w:r>
      <w:r>
        <w:rPr>
          <w:rFonts w:ascii="Times New Roman" w:hAnsi="Times New Roman"/>
          <w:color w:val="000000"/>
          <w:sz w:val="22"/>
          <w:u w:val="single"/>
        </w:rPr>
        <w:t>[Exhibit D</w:t>
      </w:r>
      <w:r>
        <w:rPr>
          <w:rFonts w:ascii="Times New Roman" w:hAnsi="Times New Roman"/>
          <w:color w:val="000000"/>
          <w:sz w:val="20"/>
        </w:rPr>
        <w:t xml:space="preserve"> </w:t>
      </w:r>
      <w:r>
        <w:rPr>
          <w:rFonts w:ascii="Times New Roman" w:hAnsi="Times New Roman"/>
          <w:color w:val="000000"/>
          <w:sz w:val="22"/>
        </w:rPr>
        <w:t xml:space="preserve">to the Loan Agreement continues to be a current] [Attached hereto as </w:t>
      </w:r>
      <w:r>
        <w:rPr>
          <w:rFonts w:ascii="Times New Roman" w:hAnsi="Times New Roman"/>
          <w:color w:val="000000"/>
          <w:sz w:val="22"/>
          <w:u w:val="single"/>
        </w:rPr>
        <w:t>Annex [7]</w:t>
      </w:r>
      <w:r>
        <w:rPr>
          <w:rFonts w:ascii="Times New Roman" w:hAnsi="Times New Roman"/>
          <w:color w:val="000000"/>
          <w:sz w:val="20"/>
        </w:rPr>
        <w:t xml:space="preserve"> </w:t>
      </w:r>
      <w:r>
        <w:rPr>
          <w:rFonts w:ascii="Times New Roman" w:hAnsi="Times New Roman"/>
          <w:color w:val="000000"/>
          <w:sz w:val="22"/>
        </w:rPr>
        <w:t xml:space="preserve">is an updated] </w:t>
      </w:r>
      <w:r>
        <w:rPr>
          <w:rFonts w:ascii="Times New Roman" w:hAnsi="Times New Roman"/>
          <w:color w:val="000000"/>
          <w:sz w:val="22"/>
          <w:u w:val="single"/>
        </w:rPr>
        <w:t>Exhibit D</w:t>
      </w:r>
      <w:r>
        <w:rPr>
          <w:rFonts w:ascii="Times New Roman" w:hAnsi="Times New Roman"/>
          <w:color w:val="000000"/>
          <w:sz w:val="20"/>
        </w:rPr>
        <w:t xml:space="preserve"> </w:t>
      </w:r>
      <w:r>
        <w:rPr>
          <w:rFonts w:ascii="Times New Roman" w:hAnsi="Times New Roman"/>
          <w:color w:val="000000"/>
          <w:sz w:val="22"/>
        </w:rPr>
        <w:t>to the Loan Agreement, which sets forth a true, correct and complete list of (a) all banks and other financial institutions at which Borrower or any Subsidiary maintains Deposit Accounts and (b) all institutions at which Borrower or any Subsidiary maintains an account holding Investment Property, and such exhibit correctly identifies the name and address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Exhibit E-2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of each bank or other institution, the name in which the account is held, a description of the purpose of the account, and the complete account number therefor.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Very truly yours,</w:t>
      </w:r>
    </w:p>
    <w:p>
      <w:pPr>
        <w:pStyle w:val="TextBody"/>
        <w:bidi w:val="0"/>
        <w:spacing w:before="0" w:after="240"/>
        <w:jc w:val="left"/>
        <w:rPr>
          <w:rFonts w:ascii="Times New Roman" w:hAnsi="Times New Roman"/>
          <w:sz w:val="20"/>
        </w:rPr>
      </w:pPr>
      <w:r>
        <w:rPr>
          <w:rFonts w:ascii="Times New Roman" w:hAnsi="Times New Roman"/>
          <w:b/>
          <w:color w:val="000000"/>
          <w:sz w:val="22"/>
        </w:rPr>
        <w:t>DISC MEDICINE, INC.</w:t>
      </w:r>
      <w:r>
        <w:rPr>
          <w:rFonts w:ascii="Times New Roman" w:hAnsi="Times New Roman"/>
          <w:color w:val="000000"/>
          <w:sz w:val="22"/>
        </w:rPr>
        <w:t>, as Borrower Agent</w:t>
      </w:r>
    </w:p>
    <w:p>
      <w:pPr>
        <w:pStyle w:val="TextBody"/>
        <w:bidi w:val="0"/>
        <w:jc w:val="left"/>
        <w:rPr>
          <w:rFonts w:ascii="Times New Roman" w:hAnsi="Times New Roman"/>
          <w:color w:val="000000"/>
          <w:sz w:val="22"/>
        </w:rPr>
      </w:pPr>
      <w:r>
        <w:rPr>
          <w:rFonts w:ascii="Times New Roman" w:hAnsi="Times New Roman"/>
          <w:color w:val="000000"/>
          <w:sz w:val="22"/>
        </w:rPr>
        <w:t xml:space="preserve">By </w:t>
      </w:r>
    </w:p>
    <w:p>
      <w:pPr>
        <w:pStyle w:val="TextBody"/>
        <w:bidi w:val="0"/>
        <w:jc w:val="left"/>
        <w:rPr>
          <w:rFonts w:ascii="Times New Roman" w:hAnsi="Times New Roman"/>
          <w:color w:val="000000"/>
          <w:sz w:val="22"/>
        </w:rPr>
      </w:pPr>
      <w:r>
        <w:rPr>
          <w:rFonts w:ascii="Times New Roman" w:hAnsi="Times New Roman"/>
          <w:color w:val="000000"/>
          <w:sz w:val="22"/>
        </w:rPr>
        <w:t>Name: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Title:</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Exhibit E-3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ANNEX 1</w:t>
        <w:br/>
        <w:t>to Compliance Certificate</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CALCULATIONS OF COMPLIANCE WITH SECTION 7.22</w:t>
      </w:r>
    </w:p>
    <w:p>
      <w:pPr>
        <w:pStyle w:val="TextBody"/>
        <w:bidi w:val="0"/>
        <w:spacing w:before="0" w:after="240"/>
        <w:jc w:val="both"/>
        <w:rPr>
          <w:rFonts w:ascii="Times New Roman" w:hAnsi="Times New Roman"/>
          <w:sz w:val="20"/>
        </w:rPr>
      </w:pPr>
      <w:r>
        <w:rPr>
          <w:rFonts w:ascii="Times New Roman" w:hAnsi="Times New Roman"/>
          <w:color w:val="000000"/>
          <w:sz w:val="22"/>
        </w:rPr>
        <w:t>1.</w:t>
      </w:r>
      <w:r>
        <w:rPr>
          <w:rFonts w:ascii="Times New Roman" w:hAnsi="Times New Roman"/>
          <w:color w:val="000000"/>
          <w:sz w:val="20"/>
        </w:rPr>
        <w:t xml:space="preserve"> </w:t>
      </w:r>
      <w:r>
        <w:rPr>
          <w:rFonts w:ascii="Times New Roman" w:hAnsi="Times New Roman"/>
          <w:color w:val="000000"/>
          <w:sz w:val="22"/>
        </w:rPr>
        <w:t>Is Borrower’s Market Capitalization greater than or equal to One Billion Dollars ($1,000,000,000)?</w:t>
      </w:r>
    </w:p>
    <w:p>
      <w:pPr>
        <w:pStyle w:val="TextBody"/>
        <w:bidi w:val="0"/>
        <w:spacing w:before="0" w:after="240"/>
        <w:jc w:val="right"/>
        <w:rPr>
          <w:rFonts w:ascii="Times New Roman" w:hAnsi="Times New Roman"/>
          <w:color w:val="000000"/>
          <w:sz w:val="22"/>
        </w:rPr>
      </w:pPr>
      <w:r>
        <w:rPr>
          <w:rFonts w:ascii="Times New Roman" w:hAnsi="Times New Roman"/>
          <w:color w:val="000000"/>
          <w:sz w:val="22"/>
        </w:rPr>
        <w:t>____ Yes (only complete worksheet below relating to compliance with 7.22(a)(ii))</w:t>
      </w:r>
    </w:p>
    <w:p>
      <w:pPr>
        <w:pStyle w:val="TextBody"/>
        <w:bidi w:val="0"/>
        <w:spacing w:before="0" w:after="240"/>
        <w:jc w:val="right"/>
        <w:rPr>
          <w:rFonts w:ascii="Times New Roman" w:hAnsi="Times New Roman"/>
          <w:color w:val="000000"/>
          <w:sz w:val="22"/>
        </w:rPr>
      </w:pPr>
      <w:r>
        <w:rPr>
          <w:rFonts w:ascii="Times New Roman" w:hAnsi="Times New Roman"/>
          <w:color w:val="000000"/>
          <w:sz w:val="22"/>
        </w:rPr>
        <w:t>____ No (complete both worksheets below)</w:t>
      </w:r>
    </w:p>
    <w:tbl>
      <w:tblPr>
        <w:tblW w:w="10205" w:type="dxa"/>
        <w:jc w:val="left"/>
        <w:tblInd w:w="0" w:type="dxa"/>
        <w:tblLayout w:type="fixed"/>
        <w:tblCellMar>
          <w:top w:w="28" w:type="dxa"/>
          <w:left w:w="28" w:type="dxa"/>
          <w:bottom w:w="28" w:type="dxa"/>
          <w:right w:w="28" w:type="dxa"/>
        </w:tblCellMar>
      </w:tblPr>
      <w:tblGrid>
        <w:gridCol w:w="749"/>
        <w:gridCol w:w="5514"/>
        <w:gridCol w:w="785"/>
        <w:gridCol w:w="3157"/>
      </w:tblGrid>
      <w:tr>
        <w:trPr/>
        <w:tc>
          <w:tcPr>
            <w:tcW w:w="749" w:type="dxa"/>
            <w:tcBorders/>
            <w:vAlign w:val="center"/>
          </w:tcPr>
          <w:p>
            <w:pPr>
              <w:pStyle w:val="TableContents"/>
              <w:bidi w:val="0"/>
              <w:spacing w:before="0" w:after="283"/>
              <w:jc w:val="left"/>
              <w:rPr>
                <w:sz w:val="4"/>
                <w:szCs w:val="4"/>
              </w:rPr>
            </w:pPr>
            <w:r>
              <w:rPr>
                <w:sz w:val="4"/>
                <w:szCs w:val="4"/>
              </w:rPr>
            </w:r>
          </w:p>
        </w:tc>
        <w:tc>
          <w:tcPr>
            <w:tcW w:w="551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157" w:type="dxa"/>
            <w:tcBorders/>
            <w:vAlign w:val="center"/>
          </w:tcPr>
          <w:p>
            <w:pPr>
              <w:pStyle w:val="TableContents"/>
              <w:bidi w:val="0"/>
              <w:spacing w:before="0" w:after="283"/>
              <w:jc w:val="left"/>
              <w:rPr>
                <w:sz w:val="4"/>
                <w:szCs w:val="4"/>
              </w:rPr>
            </w:pPr>
            <w:r>
              <w:rPr>
                <w:sz w:val="4"/>
                <w:szCs w:val="4"/>
              </w:rPr>
            </w:r>
          </w:p>
        </w:tc>
      </w:tr>
      <w:tr>
        <w:trPr/>
        <w:tc>
          <w:tcPr>
            <w:tcW w:w="74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7.22(a)(i)</w:t>
            </w:r>
          </w:p>
        </w:tc>
        <w:tc>
          <w:tcPr>
            <w:tcW w:w="5514"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Has the Initial Test Date occurred?</w:t>
            </w:r>
          </w:p>
        </w:tc>
        <w:tc>
          <w:tcPr>
            <w:tcW w:w="785"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[Yes] [No]</w:t>
            </w:r>
          </w:p>
        </w:tc>
        <w:tc>
          <w:tcPr>
            <w:tcW w:w="3157"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If no, do not complete any further portion of this 7.22(a)(i) worksheet.</w:t>
            </w:r>
          </w:p>
        </w:tc>
      </w:tr>
      <w:tr>
        <w:trPr/>
        <w:tc>
          <w:tcPr>
            <w:tcW w:w="74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w:t>
            </w:r>
          </w:p>
        </w:tc>
        <w:tc>
          <w:tcPr>
            <w:tcW w:w="551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If yes, amount of Qualified Cash maintained by Borrower:</w:t>
            </w:r>
          </w:p>
        </w:tc>
        <w:tc>
          <w:tcPr>
            <w:tcW w:w="78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$_____</w:t>
            </w:r>
          </w:p>
        </w:tc>
        <w:tc>
          <w:tcPr>
            <w:tcW w:w="31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pPr>
            <w:r>
              <w:rPr/>
              <w:t> </w:t>
            </w:r>
          </w:p>
        </w:tc>
      </w:tr>
      <w:tr>
        <w:trPr/>
        <w:tc>
          <w:tcPr>
            <w:tcW w:w="74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w:t>
            </w:r>
          </w:p>
        </w:tc>
        <w:tc>
          <w:tcPr>
            <w:tcW w:w="551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Amount of aggregate Secured Obligations (including without limitation principal of added to Term Loan Advances pursuant to Section 2.2(</w:t>
            </w:r>
            <w:r>
              <w:rPr>
                <w:rFonts w:ascii="Times New Roman" w:hAnsi="Times New Roman"/>
                <w:strike/>
                <w:color w:val="FF0000"/>
                <w:sz w:val="22"/>
              </w:rPr>
              <w:t>h</w:t>
            </w:r>
            <w:r>
              <w:rPr>
                <w:rFonts w:ascii="Times New Roman" w:hAnsi="Times New Roman"/>
                <w:color w:val="0000FF"/>
                <w:sz w:val="22"/>
                <w:u w:val="single"/>
              </w:rPr>
              <w:t>i</w:t>
            </w:r>
            <w:r>
              <w:rPr>
                <w:rFonts w:ascii="Times New Roman" w:hAnsi="Times New Roman"/>
                <w:color w:val="000000"/>
                <w:sz w:val="22"/>
              </w:rPr>
              <w:t>)(ii)):</w:t>
            </w:r>
          </w:p>
        </w:tc>
        <w:tc>
          <w:tcPr>
            <w:tcW w:w="78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$_____</w:t>
            </w:r>
          </w:p>
        </w:tc>
        <w:tc>
          <w:tcPr>
            <w:tcW w:w="31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pPr>
            <w:r>
              <w:rPr/>
              <w:t> </w:t>
            </w:r>
          </w:p>
        </w:tc>
      </w:tr>
      <w:tr>
        <w:trPr/>
        <w:tc>
          <w:tcPr>
            <w:tcW w:w="749" w:type="dxa"/>
            <w:tcBorders>
              <w:left w:val="single" w:sz="4" w:space="0" w:color="000000"/>
              <w:bottom w:val="single" w:sz="4" w:space="0" w:color="000000"/>
              <w:right w:val="single" w:sz="4" w:space="0" w:color="000000"/>
            </w:tcBorders>
            <w:shd w:fill="FFDEAD" w:val="clear"/>
            <w:tcMar>
              <w:top w:w="0" w:type="dxa"/>
              <w:left w:w="115" w:type="dxa"/>
              <w:right w:w="115" w:type="dxa"/>
            </w:tcMar>
            <w:vAlign w:val="center"/>
          </w:tcPr>
          <w:p>
            <w:pPr>
              <w:pStyle w:val="TableContents"/>
              <w:bidi w:val="0"/>
              <w:spacing w:before="0" w:after="283"/>
              <w:jc w:val="left"/>
              <w:rPr>
                <w:rFonts w:ascii="Times New Roman" w:hAnsi="Times New Roman"/>
                <w:strike/>
                <w:color w:val="FF0000"/>
                <w:sz w:val="22"/>
              </w:rPr>
            </w:pPr>
            <w:r>
              <w:rPr>
                <w:rFonts w:ascii="Times New Roman" w:hAnsi="Times New Roman"/>
                <w:strike/>
                <w:color w:val="FF0000"/>
                <w:sz w:val="22"/>
              </w:rPr>
              <w:t>C</w:t>
            </w:r>
          </w:p>
        </w:tc>
        <w:tc>
          <w:tcPr>
            <w:tcW w:w="5514" w:type="dxa"/>
            <w:tcBorders>
              <w:bottom w:val="single" w:sz="4" w:space="0" w:color="000000"/>
              <w:right w:val="single" w:sz="4" w:space="0" w:color="000000"/>
            </w:tcBorders>
            <w:shd w:fill="FFDEAD" w:val="clear"/>
            <w:tcMar>
              <w:top w:w="0" w:type="dxa"/>
              <w:left w:w="0" w:type="dxa"/>
              <w:right w:w="115" w:type="dxa"/>
            </w:tcMar>
            <w:vAlign w:val="center"/>
          </w:tcPr>
          <w:p>
            <w:pPr>
              <w:pStyle w:val="TableContents"/>
              <w:bidi w:val="0"/>
              <w:spacing w:before="0" w:after="283"/>
              <w:jc w:val="left"/>
              <w:rPr>
                <w:rFonts w:ascii="Times New Roman" w:hAnsi="Times New Roman"/>
                <w:strike/>
                <w:color w:val="FF0000"/>
                <w:sz w:val="22"/>
              </w:rPr>
            </w:pPr>
            <w:r>
              <w:rPr>
                <w:rFonts w:ascii="Times New Roman" w:hAnsi="Times New Roman"/>
                <w:strike/>
                <w:color w:val="FF0000"/>
                <w:sz w:val="22"/>
              </w:rPr>
              <w:t>Has the EP Clinical Milestone been achieved?</w:t>
            </w:r>
          </w:p>
        </w:tc>
        <w:tc>
          <w:tcPr>
            <w:tcW w:w="785" w:type="dxa"/>
            <w:tcBorders>
              <w:bottom w:val="single" w:sz="4" w:space="0" w:color="000000"/>
              <w:right w:val="single" w:sz="4" w:space="0" w:color="000000"/>
            </w:tcBorders>
            <w:shd w:fill="FFDEAD" w:val="clear"/>
            <w:tcMar>
              <w:top w:w="0" w:type="dxa"/>
              <w:left w:w="0" w:type="dxa"/>
              <w:right w:w="115" w:type="dxa"/>
            </w:tcMar>
            <w:vAlign w:val="center"/>
          </w:tcPr>
          <w:p>
            <w:pPr>
              <w:pStyle w:val="TableContents"/>
              <w:bidi w:val="0"/>
              <w:spacing w:before="0" w:after="283"/>
              <w:jc w:val="left"/>
              <w:rPr>
                <w:rFonts w:ascii="Times New Roman" w:hAnsi="Times New Roman"/>
                <w:strike/>
                <w:color w:val="FF0000"/>
                <w:sz w:val="22"/>
              </w:rPr>
            </w:pPr>
            <w:r>
              <w:rPr>
                <w:rFonts w:ascii="Times New Roman" w:hAnsi="Times New Roman"/>
                <w:strike/>
                <w:color w:val="FF0000"/>
                <w:sz w:val="22"/>
              </w:rPr>
              <w:t>[Yes] [No]</w:t>
            </w:r>
          </w:p>
        </w:tc>
        <w:tc>
          <w:tcPr>
            <w:tcW w:w="3157" w:type="dxa"/>
            <w:tcBorders>
              <w:bottom w:val="single" w:sz="4" w:space="0" w:color="000000"/>
              <w:right w:val="single" w:sz="4" w:space="0" w:color="000000"/>
            </w:tcBorders>
            <w:shd w:fill="FFDEAD" w:val="clear"/>
            <w:tcMar>
              <w:top w:w="0" w:type="dxa"/>
              <w:left w:w="0" w:type="dxa"/>
              <w:right w:w="115" w:type="dxa"/>
            </w:tcMar>
            <w:vAlign w:val="center"/>
          </w:tcPr>
          <w:p>
            <w:pPr>
              <w:pStyle w:val="TableContents"/>
              <w:bidi w:val="0"/>
              <w:spacing w:before="0" w:after="283"/>
              <w:jc w:val="left"/>
              <w:rPr/>
            </w:pPr>
            <w:r>
              <w:rPr/>
              <w:t> </w:t>
            </w:r>
          </w:p>
        </w:tc>
      </w:tr>
      <w:tr>
        <w:trPr/>
        <w:tc>
          <w:tcPr>
            <w:tcW w:w="74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sz w:val="22"/>
              </w:rPr>
            </w:pPr>
            <w:r>
              <w:rPr>
                <w:rFonts w:ascii="Times New Roman" w:hAnsi="Times New Roman"/>
                <w:strike/>
                <w:color w:val="FF0000"/>
                <w:sz w:val="22"/>
              </w:rPr>
              <w:t>D</w:t>
            </w:r>
            <w:r>
              <w:rPr>
                <w:rFonts w:ascii="Times New Roman" w:hAnsi="Times New Roman"/>
                <w:color w:val="0000FF"/>
                <w:sz w:val="22"/>
                <w:u w:val="single"/>
              </w:rPr>
              <w:t>C</w:t>
            </w:r>
          </w:p>
        </w:tc>
        <w:tc>
          <w:tcPr>
            <w:tcW w:w="551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Has the Approval Milestone been achieved?</w:t>
            </w:r>
          </w:p>
        </w:tc>
        <w:tc>
          <w:tcPr>
            <w:tcW w:w="78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[Yes] [No]</w:t>
            </w:r>
          </w:p>
        </w:tc>
        <w:tc>
          <w:tcPr>
            <w:tcW w:w="31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pPr>
            <w:r>
              <w:rPr/>
              <w:t> </w:t>
            </w:r>
          </w:p>
        </w:tc>
      </w:tr>
      <w:tr>
        <w:trPr/>
        <w:tc>
          <w:tcPr>
            <w:tcW w:w="74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sz w:val="22"/>
              </w:rPr>
            </w:pPr>
            <w:r>
              <w:rPr>
                <w:rFonts w:ascii="Times New Roman" w:hAnsi="Times New Roman"/>
                <w:strike/>
                <w:color w:val="FF0000"/>
                <w:sz w:val="22"/>
              </w:rPr>
              <w:t>H</w:t>
            </w:r>
            <w:r>
              <w:rPr>
                <w:rFonts w:ascii="Times New Roman" w:hAnsi="Times New Roman"/>
                <w:color w:val="0000FF"/>
                <w:sz w:val="22"/>
                <w:u w:val="single"/>
              </w:rPr>
              <w:t>D</w:t>
            </w:r>
          </w:p>
        </w:tc>
        <w:tc>
          <w:tcPr>
            <w:tcW w:w="551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Applicable Percentage (choose from below)</w:t>
            </w:r>
          </w:p>
        </w:tc>
        <w:tc>
          <w:tcPr>
            <w:tcW w:w="78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pPr>
            <w:r>
              <w:rPr/>
              <w:t> </w:t>
            </w:r>
          </w:p>
        </w:tc>
        <w:tc>
          <w:tcPr>
            <w:tcW w:w="31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pPr>
            <w:r>
              <w:rPr/>
              <w:t> </w:t>
            </w:r>
          </w:p>
        </w:tc>
      </w:tr>
      <w:tr>
        <w:trPr/>
        <w:tc>
          <w:tcPr>
            <w:tcW w:w="749" w:type="dxa"/>
            <w:tcBorders>
              <w:left w:val="single" w:sz="4" w:space="0" w:color="000000"/>
              <w:right w:val="single" w:sz="4" w:space="0" w:color="000000"/>
            </w:tcBorders>
            <w:shd w:fill="FFDEAD" w:val="clear"/>
            <w:tcMar>
              <w:top w:w="0" w:type="dxa"/>
              <w:left w:w="115" w:type="dxa"/>
              <w:bottom w:w="0" w:type="dxa"/>
              <w:right w:w="115" w:type="dxa"/>
            </w:tcMar>
            <w:vAlign w:val="center"/>
          </w:tcPr>
          <w:p>
            <w:pPr>
              <w:pStyle w:val="TableContents"/>
              <w:bidi w:val="0"/>
              <w:spacing w:before="0" w:after="283"/>
              <w:jc w:val="left"/>
              <w:rPr/>
            </w:pPr>
            <w:r>
              <w:rPr/>
              <w:t> </w:t>
            </w:r>
          </w:p>
        </w:tc>
        <w:tc>
          <w:tcPr>
            <w:tcW w:w="5514" w:type="dxa"/>
            <w:tcBorders>
              <w:bottom w:val="single" w:sz="4" w:space="0" w:color="000000"/>
              <w:right w:val="single" w:sz="4" w:space="0" w:color="000000"/>
            </w:tcBorders>
            <w:shd w:fill="FFDEAD" w:val="clear"/>
            <w:tcMar>
              <w:top w:w="0" w:type="dxa"/>
              <w:left w:w="0" w:type="dxa"/>
              <w:right w:w="115" w:type="dxa"/>
            </w:tcMar>
            <w:vAlign w:val="center"/>
          </w:tcPr>
          <w:p>
            <w:pPr>
              <w:pStyle w:val="TableContents"/>
              <w:bidi w:val="0"/>
              <w:spacing w:before="0" w:after="283"/>
              <w:jc w:val="left"/>
              <w:rPr>
                <w:rFonts w:ascii="Times New Roman" w:hAnsi="Times New Roman"/>
                <w:strike/>
                <w:color w:val="FF0000"/>
                <w:sz w:val="22"/>
              </w:rPr>
            </w:pPr>
            <w:r>
              <w:rPr>
                <w:rFonts w:ascii="Times New Roman" w:hAnsi="Times New Roman"/>
                <w:strike/>
                <w:color w:val="FF0000"/>
                <w:sz w:val="22"/>
              </w:rPr>
              <w:t>If answers in both rows C and D are No:</w:t>
            </w:r>
          </w:p>
        </w:tc>
        <w:tc>
          <w:tcPr>
            <w:tcW w:w="785" w:type="dxa"/>
            <w:tcBorders>
              <w:bottom w:val="single" w:sz="4" w:space="0" w:color="000000"/>
              <w:right w:val="single" w:sz="4" w:space="0" w:color="000000"/>
            </w:tcBorders>
            <w:shd w:fill="FFDEAD" w:val="clear"/>
            <w:tcMar>
              <w:top w:w="0" w:type="dxa"/>
              <w:left w:w="0" w:type="dxa"/>
              <w:right w:w="115" w:type="dxa"/>
            </w:tcMar>
            <w:vAlign w:val="center"/>
          </w:tcPr>
          <w:p>
            <w:pPr>
              <w:pStyle w:val="TableContents"/>
              <w:bidi w:val="0"/>
              <w:spacing w:before="0" w:after="283"/>
              <w:jc w:val="left"/>
              <w:rPr>
                <w:rFonts w:ascii="Times New Roman" w:hAnsi="Times New Roman"/>
                <w:strike/>
                <w:color w:val="FF0000"/>
                <w:sz w:val="22"/>
              </w:rPr>
            </w:pPr>
            <w:r>
              <w:rPr>
                <w:rFonts w:ascii="Times New Roman" w:hAnsi="Times New Roman"/>
                <w:strike/>
                <w:color w:val="FF0000"/>
                <w:sz w:val="22"/>
              </w:rPr>
              <w:t>40%</w:t>
            </w:r>
          </w:p>
        </w:tc>
        <w:tc>
          <w:tcPr>
            <w:tcW w:w="3157" w:type="dxa"/>
            <w:tcBorders>
              <w:bottom w:val="single" w:sz="4" w:space="0" w:color="000000"/>
              <w:right w:val="single" w:sz="4" w:space="0" w:color="000000"/>
            </w:tcBorders>
            <w:shd w:fill="FFDEAD" w:val="clear"/>
            <w:tcMar>
              <w:top w:w="0" w:type="dxa"/>
              <w:left w:w="0" w:type="dxa"/>
              <w:right w:w="115" w:type="dxa"/>
            </w:tcMar>
            <w:vAlign w:val="center"/>
          </w:tcPr>
          <w:p>
            <w:pPr>
              <w:pStyle w:val="TableContents"/>
              <w:bidi w:val="0"/>
              <w:spacing w:before="0" w:after="283"/>
              <w:jc w:val="left"/>
              <w:rPr/>
            </w:pPr>
            <w:r>
              <w:rPr/>
              <w:t> </w:t>
            </w:r>
          </w:p>
        </w:tc>
      </w:tr>
      <w:tr>
        <w:trPr/>
        <w:tc>
          <w:tcPr>
            <w:tcW w:w="749" w:type="dxa"/>
            <w:tcBorders>
              <w:left w:val="single" w:sz="4" w:space="0" w:color="000000"/>
              <w:right w:val="single" w:sz="4" w:space="0" w:color="000000"/>
            </w:tcBorders>
            <w:tcMar>
              <w:top w:w="0" w:type="dxa"/>
              <w:left w:w="115" w:type="dxa"/>
              <w:bottom w:w="0" w:type="dxa"/>
              <w:right w:w="115" w:type="dxa"/>
            </w:tcMar>
            <w:vAlign w:val="center"/>
          </w:tcPr>
          <w:p>
            <w:pPr>
              <w:pStyle w:val="TableContents"/>
              <w:bidi w:val="0"/>
              <w:spacing w:before="0" w:after="283"/>
              <w:jc w:val="left"/>
              <w:rPr/>
            </w:pPr>
            <w:r>
              <w:rPr/>
              <w:t> </w:t>
            </w:r>
          </w:p>
        </w:tc>
        <w:tc>
          <w:tcPr>
            <w:tcW w:w="551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 xml:space="preserve">If answer in row C is </w:t>
            </w:r>
            <w:r>
              <w:rPr>
                <w:rFonts w:ascii="Times New Roman" w:hAnsi="Times New Roman"/>
                <w:strike/>
                <w:color w:val="FF0000"/>
                <w:sz w:val="22"/>
              </w:rPr>
              <w:t>Yes but row D is</w:t>
            </w:r>
            <w:r>
              <w:rPr>
                <w:rFonts w:ascii="Times New Roman" w:hAnsi="Times New Roman"/>
                <w:color w:val="FF0000"/>
                <w:sz w:val="22"/>
              </w:rPr>
              <w:t xml:space="preserve"> </w:t>
            </w:r>
            <w:r>
              <w:rPr>
                <w:rFonts w:ascii="Times New Roman" w:hAnsi="Times New Roman"/>
                <w:color w:val="000000"/>
                <w:sz w:val="22"/>
              </w:rPr>
              <w:t>No:</w:t>
            </w:r>
          </w:p>
        </w:tc>
        <w:tc>
          <w:tcPr>
            <w:tcW w:w="78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30%</w:t>
            </w:r>
          </w:p>
        </w:tc>
        <w:tc>
          <w:tcPr>
            <w:tcW w:w="31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pPr>
            <w:r>
              <w:rPr/>
              <w:t> </w:t>
            </w:r>
          </w:p>
        </w:tc>
      </w:tr>
      <w:tr>
        <w:trPr/>
        <w:tc>
          <w:tcPr>
            <w:tcW w:w="74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pPr>
            <w:r>
              <w:rPr/>
              <w:t> </w:t>
            </w:r>
          </w:p>
        </w:tc>
        <w:tc>
          <w:tcPr>
            <w:tcW w:w="551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 xml:space="preserve">If answer in row </w:t>
            </w:r>
            <w:r>
              <w:rPr>
                <w:rFonts w:ascii="Times New Roman" w:hAnsi="Times New Roman"/>
                <w:strike/>
                <w:color w:val="FF0000"/>
                <w:sz w:val="22"/>
              </w:rPr>
              <w:t>D</w:t>
            </w:r>
            <w:r>
              <w:rPr>
                <w:rFonts w:ascii="Times New Roman" w:hAnsi="Times New Roman"/>
                <w:color w:val="0000FF"/>
                <w:sz w:val="22"/>
                <w:u w:val="single"/>
              </w:rPr>
              <w:t>C</w:t>
            </w:r>
            <w:r>
              <w:rPr>
                <w:rFonts w:ascii="Times New Roman" w:hAnsi="Times New Roman"/>
                <w:color w:val="0000FF"/>
                <w:sz w:val="22"/>
              </w:rPr>
              <w:t xml:space="preserve"> </w:t>
            </w:r>
            <w:r>
              <w:rPr>
                <w:rFonts w:ascii="Times New Roman" w:hAnsi="Times New Roman"/>
                <w:color w:val="000000"/>
                <w:sz w:val="22"/>
              </w:rPr>
              <w:t>is Yes:</w:t>
            </w:r>
          </w:p>
        </w:tc>
        <w:tc>
          <w:tcPr>
            <w:tcW w:w="78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25%</w:t>
            </w:r>
          </w:p>
        </w:tc>
        <w:tc>
          <w:tcPr>
            <w:tcW w:w="31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pPr>
            <w:r>
              <w:rPr/>
              <w:t> </w:t>
            </w:r>
          </w:p>
        </w:tc>
      </w:tr>
      <w:tr>
        <w:trPr/>
        <w:tc>
          <w:tcPr>
            <w:tcW w:w="74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sz w:val="22"/>
              </w:rPr>
            </w:pPr>
            <w:r>
              <w:rPr>
                <w:rFonts w:ascii="Times New Roman" w:hAnsi="Times New Roman"/>
                <w:strike/>
                <w:color w:val="FF0000"/>
                <w:sz w:val="22"/>
              </w:rPr>
              <w:t>I</w:t>
            </w:r>
            <w:r>
              <w:rPr>
                <w:rFonts w:ascii="Times New Roman" w:hAnsi="Times New Roman"/>
                <w:color w:val="0000FF"/>
                <w:sz w:val="22"/>
                <w:u w:val="single"/>
              </w:rPr>
              <w:t>E</w:t>
            </w:r>
          </w:p>
        </w:tc>
        <w:tc>
          <w:tcPr>
            <w:tcW w:w="551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 xml:space="preserve">Product of amount in row B multiplied by amount in row </w:t>
            </w:r>
            <w:r>
              <w:rPr>
                <w:rFonts w:ascii="Times New Roman" w:hAnsi="Times New Roman"/>
                <w:strike/>
                <w:color w:val="FF0000"/>
                <w:sz w:val="22"/>
              </w:rPr>
              <w:t>H</w:t>
            </w:r>
            <w:r>
              <w:rPr>
                <w:rFonts w:ascii="Times New Roman" w:hAnsi="Times New Roman"/>
                <w:color w:val="0000FF"/>
                <w:sz w:val="22"/>
                <w:u w:val="single"/>
              </w:rPr>
              <w:t>D</w:t>
            </w:r>
            <w:r>
              <w:rPr>
                <w:rFonts w:ascii="Times New Roman" w:hAnsi="Times New Roman"/>
                <w:color w:val="000000"/>
                <w:sz w:val="22"/>
              </w:rPr>
              <w:t>:</w:t>
            </w:r>
          </w:p>
        </w:tc>
        <w:tc>
          <w:tcPr>
            <w:tcW w:w="78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$_____</w:t>
            </w:r>
          </w:p>
        </w:tc>
        <w:tc>
          <w:tcPr>
            <w:tcW w:w="31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pPr>
            <w:r>
              <w:rPr/>
              <w:t> </w:t>
            </w:r>
          </w:p>
        </w:tc>
      </w:tr>
      <w:tr>
        <w:trPr/>
        <w:tc>
          <w:tcPr>
            <w:tcW w:w="74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sz w:val="22"/>
              </w:rPr>
            </w:pPr>
            <w:r>
              <w:rPr>
                <w:rFonts w:ascii="Times New Roman" w:hAnsi="Times New Roman"/>
                <w:strike/>
                <w:color w:val="FF0000"/>
                <w:sz w:val="22"/>
              </w:rPr>
              <w:t>J</w:t>
            </w:r>
            <w:r>
              <w:rPr>
                <w:rFonts w:ascii="Times New Roman" w:hAnsi="Times New Roman"/>
                <w:color w:val="0000FF"/>
                <w:sz w:val="22"/>
                <w:u w:val="single"/>
              </w:rPr>
              <w:t>F</w:t>
            </w:r>
          </w:p>
        </w:tc>
        <w:tc>
          <w:tcPr>
            <w:tcW w:w="551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 xml:space="preserve">Is the amount in row A equal to or greater than the amount in row </w:t>
            </w:r>
            <w:r>
              <w:rPr>
                <w:rFonts w:ascii="Times New Roman" w:hAnsi="Times New Roman"/>
                <w:strike/>
                <w:color w:val="FF0000"/>
                <w:sz w:val="22"/>
              </w:rPr>
              <w:t>I</w:t>
            </w:r>
            <w:r>
              <w:rPr>
                <w:rFonts w:ascii="Times New Roman" w:hAnsi="Times New Roman"/>
                <w:color w:val="0000FF"/>
                <w:sz w:val="22"/>
                <w:u w:val="single"/>
              </w:rPr>
              <w:t>E</w:t>
            </w:r>
            <w:r>
              <w:rPr>
                <w:rFonts w:ascii="Times New Roman" w:hAnsi="Times New Roman"/>
                <w:color w:val="000000"/>
                <w:sz w:val="22"/>
              </w:rPr>
              <w:t>?</w:t>
            </w:r>
          </w:p>
        </w:tc>
        <w:tc>
          <w:tcPr>
            <w:tcW w:w="78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[Yes] [No]</w:t>
            </w:r>
          </w:p>
        </w:tc>
        <w:tc>
          <w:tcPr>
            <w:tcW w:w="31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If yes, in compliance. If no, not in compliance.</w:t>
            </w:r>
          </w:p>
        </w:tc>
      </w:tr>
    </w:tbl>
    <w:p>
      <w:pPr>
        <w:pStyle w:val="TextBody"/>
        <w:bidi w:val="0"/>
        <w:spacing w:before="0" w:after="240"/>
        <w:jc w:val="left"/>
        <w:rPr/>
      </w:pPr>
      <w:r>
        <w:rPr/>
        <w:t> </w:t>
      </w:r>
    </w:p>
    <w:tbl>
      <w:tblPr>
        <w:tblW w:w="10205" w:type="dxa"/>
        <w:jc w:val="left"/>
        <w:tblInd w:w="0" w:type="dxa"/>
        <w:tblLayout w:type="fixed"/>
        <w:tblCellMar>
          <w:top w:w="28" w:type="dxa"/>
          <w:left w:w="28" w:type="dxa"/>
          <w:bottom w:w="28" w:type="dxa"/>
          <w:right w:w="28" w:type="dxa"/>
        </w:tblCellMar>
      </w:tblPr>
      <w:tblGrid>
        <w:gridCol w:w="810"/>
        <w:gridCol w:w="4895"/>
        <w:gridCol w:w="829"/>
        <w:gridCol w:w="3671"/>
      </w:tblGrid>
      <w:tr>
        <w:trPr/>
        <w:tc>
          <w:tcPr>
            <w:tcW w:w="810" w:type="dxa"/>
            <w:tcBorders/>
            <w:vAlign w:val="center"/>
          </w:tcPr>
          <w:p>
            <w:pPr>
              <w:pStyle w:val="TableContents"/>
              <w:bidi w:val="0"/>
              <w:spacing w:before="0" w:after="283"/>
              <w:jc w:val="left"/>
              <w:rPr>
                <w:sz w:val="4"/>
                <w:szCs w:val="4"/>
              </w:rPr>
            </w:pPr>
            <w:r>
              <w:rPr>
                <w:sz w:val="4"/>
                <w:szCs w:val="4"/>
              </w:rPr>
            </w:r>
          </w:p>
        </w:tc>
        <w:tc>
          <w:tcPr>
            <w:tcW w:w="489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3671" w:type="dxa"/>
            <w:tcBorders/>
            <w:vAlign w:val="center"/>
          </w:tcPr>
          <w:p>
            <w:pPr>
              <w:pStyle w:val="TableContents"/>
              <w:bidi w:val="0"/>
              <w:spacing w:before="0" w:after="283"/>
              <w:jc w:val="left"/>
              <w:rPr>
                <w:sz w:val="4"/>
                <w:szCs w:val="4"/>
              </w:rPr>
            </w:pPr>
            <w:r>
              <w:rPr>
                <w:sz w:val="4"/>
                <w:szCs w:val="4"/>
              </w:rPr>
            </w:r>
          </w:p>
        </w:tc>
      </w:tr>
      <w:tr>
        <w:trPr/>
        <w:tc>
          <w:tcPr>
            <w:tcW w:w="810"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7.22(a)(ii)</w:t>
            </w:r>
          </w:p>
        </w:tc>
        <w:tc>
          <w:tcPr>
            <w:tcW w:w="4895"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Has Borrower made a redemption or any other cash payment in respect of Permitted Convertible Debt?</w:t>
            </w:r>
          </w:p>
        </w:tc>
        <w:tc>
          <w:tcPr>
            <w:tcW w:w="829"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[Yes] [No]</w:t>
            </w:r>
          </w:p>
        </w:tc>
        <w:tc>
          <w:tcPr>
            <w:tcW w:w="3671"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If no, do not complete any further portion of this 7.22(a)(ii) worksheet.</w:t>
            </w:r>
          </w:p>
        </w:tc>
      </w:tr>
      <w:tr>
        <w:trPr/>
        <w:tc>
          <w:tcPr>
            <w:tcW w:w="81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w:t>
            </w:r>
          </w:p>
        </w:tc>
        <w:tc>
          <w:tcPr>
            <w:tcW w:w="489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If yes, amount of Qualified Cash maintained by Borrower:</w:t>
            </w:r>
          </w:p>
        </w:tc>
        <w:tc>
          <w:tcPr>
            <w:tcW w:w="82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$_____</w:t>
            </w:r>
          </w:p>
        </w:tc>
        <w:tc>
          <w:tcPr>
            <w:tcW w:w="36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pPr>
            <w:r>
              <w:rPr/>
              <w:t> </w:t>
            </w:r>
          </w:p>
        </w:tc>
      </w:tr>
      <w:tr>
        <w:trPr/>
        <w:tc>
          <w:tcPr>
            <w:tcW w:w="81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w:t>
            </w:r>
          </w:p>
        </w:tc>
        <w:tc>
          <w:tcPr>
            <w:tcW w:w="489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Aggregate outstanding amount of the Secured Obligations plus the Qualified Cash A/P Amount:</w:t>
            </w:r>
          </w:p>
        </w:tc>
        <w:tc>
          <w:tcPr>
            <w:tcW w:w="82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$_____</w:t>
            </w:r>
          </w:p>
        </w:tc>
        <w:tc>
          <w:tcPr>
            <w:tcW w:w="36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pPr>
            <w:r>
              <w:rPr/>
              <w:t> </w:t>
            </w:r>
          </w:p>
        </w:tc>
      </w:tr>
      <w:tr>
        <w:trPr/>
        <w:tc>
          <w:tcPr>
            <w:tcW w:w="81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w:t>
            </w:r>
          </w:p>
        </w:tc>
        <w:tc>
          <w:tcPr>
            <w:tcW w:w="489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Is the amount in row A at least 150% of the amount in row B?</w:t>
            </w:r>
          </w:p>
        </w:tc>
        <w:tc>
          <w:tcPr>
            <w:tcW w:w="82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[Yes] [No]</w:t>
            </w:r>
          </w:p>
        </w:tc>
        <w:tc>
          <w:tcPr>
            <w:tcW w:w="36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If yes, in compliance. If no, not in compliance.</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Exhibit E-4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ANNEX 2</w:t>
        <w:br/>
        <w:t>to Compliance Certificate</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CURRENT COMPANY IP</w:t>
      </w:r>
    </w:p>
    <w:p>
      <w:pPr>
        <w:pStyle w:val="TextBody"/>
        <w:bidi w:val="0"/>
        <w:spacing w:before="0" w:after="240"/>
        <w:jc w:val="both"/>
        <w:rPr>
          <w:rFonts w:ascii="Times New Roman" w:hAnsi="Times New Roman"/>
          <w:sz w:val="20"/>
        </w:rPr>
      </w:pPr>
      <w:r>
        <w:rPr>
          <w:rFonts w:ascii="Times New Roman" w:hAnsi="Times New Roman"/>
          <w:color w:val="000000"/>
          <w:sz w:val="22"/>
        </w:rPr>
        <w:t>1.</w:t>
      </w:r>
      <w:r>
        <w:rPr>
          <w:rFonts w:ascii="Times New Roman" w:hAnsi="Times New Roman"/>
          <w:color w:val="000000"/>
          <w:sz w:val="20"/>
        </w:rPr>
        <w:t xml:space="preserve"> </w:t>
      </w:r>
      <w:r>
        <w:rPr>
          <w:rFonts w:ascii="Times New Roman" w:hAnsi="Times New Roman"/>
          <w:color w:val="000000"/>
          <w:sz w:val="22"/>
        </w:rPr>
        <w:t>Since the most recently delivered Compliance Certificate, the following claim(s) have been made to Borrower in writing that material part(s) of the Current Company IP infringes or violates the rights of a third party:</w:t>
      </w:r>
    </w:p>
    <w:p>
      <w:pPr>
        <w:pStyle w:val="TextBody"/>
        <w:bidi w:val="0"/>
        <w:spacing w:before="0" w:after="240"/>
        <w:jc w:val="both"/>
        <w:rPr>
          <w:rFonts w:ascii="Times New Roman" w:hAnsi="Times New Roman"/>
          <w:sz w:val="20"/>
        </w:rPr>
      </w:pPr>
      <w:r>
        <w:rPr>
          <w:rFonts w:ascii="Times New Roman" w:hAnsi="Times New Roman"/>
          <w:color w:val="000000"/>
          <w:sz w:val="22"/>
        </w:rPr>
        <w:t>[ ]</w:t>
      </w:r>
      <w:r>
        <w:rPr>
          <w:rFonts w:ascii="Times New Roman" w:hAnsi="Times New Roman"/>
          <w:color w:val="000000"/>
          <w:sz w:val="15"/>
        </w:rPr>
        <w:t>3</w:t>
      </w:r>
    </w:p>
    <w:p>
      <w:pPr>
        <w:pStyle w:val="TextBody"/>
        <w:bidi w:val="0"/>
        <w:spacing w:before="0" w:after="240"/>
        <w:jc w:val="both"/>
        <w:rPr>
          <w:rFonts w:ascii="Times New Roman" w:hAnsi="Times New Roman"/>
          <w:sz w:val="20"/>
        </w:rPr>
      </w:pPr>
      <w:r>
        <w:rPr>
          <w:rFonts w:ascii="Times New Roman" w:hAnsi="Times New Roman"/>
          <w:color w:val="000000"/>
          <w:sz w:val="22"/>
        </w:rPr>
        <w:t>2.</w:t>
      </w:r>
      <w:r>
        <w:rPr>
          <w:rFonts w:ascii="Times New Roman" w:hAnsi="Times New Roman"/>
          <w:color w:val="000000"/>
          <w:sz w:val="20"/>
        </w:rPr>
        <w:t xml:space="preserve"> </w:t>
      </w:r>
      <w:r>
        <w:rPr>
          <w:rFonts w:ascii="Times New Roman" w:hAnsi="Times New Roman"/>
          <w:color w:val="000000"/>
          <w:sz w:val="22"/>
        </w:rPr>
        <w:t>Since the most recently delivered Compliance Certificate, the following Specified Dispute(s) have been alleged or threatened in writing to Borrower or any of its Subsidiaries:</w:t>
      </w:r>
    </w:p>
    <w:p>
      <w:pPr>
        <w:pStyle w:val="TextBody"/>
        <w:bidi w:val="0"/>
        <w:spacing w:before="0" w:after="240"/>
        <w:jc w:val="both"/>
        <w:rPr>
          <w:rFonts w:ascii="Times New Roman" w:hAnsi="Times New Roman"/>
          <w:sz w:val="20"/>
        </w:rPr>
      </w:pPr>
      <w:r>
        <w:rPr>
          <w:rFonts w:ascii="Times New Roman" w:hAnsi="Times New Roman"/>
          <w:color w:val="000000"/>
          <w:sz w:val="22"/>
        </w:rPr>
        <w:t>[ ]</w:t>
      </w:r>
      <w:r>
        <w:rPr>
          <w:rFonts w:ascii="Times New Roman" w:hAnsi="Times New Roman"/>
          <w:color w:val="000000"/>
          <w:sz w:val="15"/>
        </w:rPr>
        <w:t>4</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jc w:val="both"/>
        <w:rPr>
          <w:rFonts w:ascii="Times New Roman" w:hAnsi="Times New Roman"/>
          <w:color w:val="000000"/>
          <w:sz w:val="13"/>
        </w:rPr>
      </w:pPr>
      <w:r>
        <w:rPr>
          <w:rFonts w:ascii="Times New Roman" w:hAnsi="Times New Roman"/>
          <w:color w:val="000000"/>
          <w:sz w:val="13"/>
        </w:rPr>
        <w:t>_______________________________________</w:t>
      </w:r>
    </w:p>
    <w:p>
      <w:pPr>
        <w:pStyle w:val="TextBody"/>
        <w:bidi w:val="0"/>
        <w:jc w:val="both"/>
        <w:rPr>
          <w:rFonts w:ascii="Times New Roman" w:hAnsi="Times New Roman"/>
          <w:sz w:val="20"/>
        </w:rPr>
      </w:pPr>
      <w:r>
        <w:rPr>
          <w:rFonts w:ascii="Times New Roman" w:hAnsi="Times New Roman"/>
          <w:color w:val="000000"/>
          <w:sz w:val="13"/>
        </w:rPr>
        <w:t>3</w:t>
      </w:r>
      <w:r>
        <w:rPr>
          <w:rFonts w:ascii="Times New Roman" w:hAnsi="Times New Roman"/>
          <w:color w:val="000000"/>
          <w:sz w:val="20"/>
        </w:rPr>
        <w:t xml:space="preserve"> List any claim(s) have been made to any Borrower in writing that any material part of the Current Company IP violates the rights of any third party. If none, write “none.”</w:t>
      </w:r>
    </w:p>
    <w:p>
      <w:pPr>
        <w:pStyle w:val="TextBody"/>
        <w:bidi w:val="0"/>
        <w:jc w:val="left"/>
        <w:rPr>
          <w:rFonts w:ascii="Times New Roman" w:hAnsi="Times New Roman"/>
          <w:sz w:val="20"/>
        </w:rPr>
      </w:pPr>
      <w:r>
        <w:rPr>
          <w:rFonts w:ascii="Times New Roman" w:hAnsi="Times New Roman"/>
          <w:color w:val="000000"/>
          <w:sz w:val="15"/>
        </w:rPr>
        <w:t>4</w:t>
      </w:r>
      <w:r>
        <w:rPr>
          <w:rFonts w:ascii="Times New Roman" w:hAnsi="Times New Roman"/>
          <w:color w:val="000000"/>
          <w:sz w:val="20"/>
        </w:rPr>
        <w:t xml:space="preserve"> </w:t>
      </w:r>
      <w:r>
        <w:rPr>
          <w:rFonts w:ascii="Times New Roman" w:hAnsi="Times New Roman"/>
          <w:color w:val="000000"/>
          <w:sz w:val="22"/>
        </w:rPr>
        <w:t>List any Specified Dispute(s) have been alleged or threatened in writing, in each case challenging the legality, validity, enforceability or ownership of any Current Company IP, in each case that would have a material adverse effect on the Products. If none, write “none.”</w:t>
      </w:r>
    </w:p>
    <w:p>
      <w:pPr>
        <w:pStyle w:val="TextBody"/>
        <w:bidi w:val="0"/>
        <w:jc w:val="center"/>
        <w:rPr>
          <w:rFonts w:ascii="Times New Roman" w:hAnsi="Times New Roman"/>
          <w:color w:val="000000"/>
          <w:sz w:val="20"/>
        </w:rPr>
      </w:pPr>
      <w:r>
        <w:rPr>
          <w:rFonts w:ascii="Times New Roman" w:hAnsi="Times New Roman"/>
          <w:color w:val="000000"/>
          <w:sz w:val="20"/>
        </w:rPr>
        <w:t>Exhibit E-5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ANNEX 3</w:t>
        <w:br/>
        <w:t>to Compliance Certificate</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CALCULATIONS OF COMPLIANCE WITH SECTION 7.12</w:t>
      </w:r>
    </w:p>
    <w:p>
      <w:pPr>
        <w:pStyle w:val="TextBody"/>
        <w:bidi w:val="0"/>
        <w:spacing w:before="0" w:after="240"/>
        <w:jc w:val="both"/>
        <w:rPr>
          <w:rFonts w:ascii="Times New Roman" w:hAnsi="Times New Roman"/>
          <w:sz w:val="20"/>
        </w:rPr>
      </w:pPr>
      <w:r>
        <w:rPr>
          <w:rFonts w:ascii="Times New Roman" w:hAnsi="Times New Roman"/>
          <w:color w:val="000000"/>
          <w:sz w:val="22"/>
        </w:rPr>
        <w:t>1.</w:t>
      </w:r>
      <w:r>
        <w:rPr>
          <w:rFonts w:ascii="Times New Roman" w:hAnsi="Times New Roman"/>
          <w:color w:val="000000"/>
          <w:sz w:val="20"/>
        </w:rPr>
        <w:t xml:space="preserve"> </w:t>
      </w:r>
      <w:r>
        <w:rPr>
          <w:rFonts w:ascii="Times New Roman" w:hAnsi="Times New Roman"/>
          <w:color w:val="000000"/>
          <w:sz w:val="22"/>
        </w:rPr>
        <w:t>Does any single Excluded Subsidiary hold cash and cash equivalents greater than $2,000,000 in the aggregate?</w:t>
      </w:r>
    </w:p>
    <w:p>
      <w:pPr>
        <w:pStyle w:val="TextBody"/>
        <w:bidi w:val="0"/>
        <w:spacing w:before="0" w:after="240"/>
        <w:jc w:val="right"/>
        <w:rPr>
          <w:rFonts w:ascii="Times New Roman" w:hAnsi="Times New Roman"/>
          <w:color w:val="000000"/>
          <w:sz w:val="22"/>
        </w:rPr>
      </w:pPr>
      <w:r>
        <w:rPr>
          <w:rFonts w:ascii="Times New Roman" w:hAnsi="Times New Roman"/>
          <w:color w:val="000000"/>
          <w:sz w:val="22"/>
        </w:rPr>
        <w:t>____ Yes (not in compliance) ____ No (in compliance)</w:t>
      </w:r>
    </w:p>
    <w:p>
      <w:pPr>
        <w:pStyle w:val="TextBody"/>
        <w:bidi w:val="0"/>
        <w:spacing w:before="0" w:after="240"/>
        <w:jc w:val="both"/>
        <w:rPr>
          <w:rFonts w:ascii="Times New Roman" w:hAnsi="Times New Roman"/>
          <w:sz w:val="20"/>
        </w:rPr>
      </w:pPr>
      <w:r>
        <w:rPr>
          <w:rFonts w:ascii="Times New Roman" w:hAnsi="Times New Roman"/>
          <w:color w:val="000000"/>
          <w:sz w:val="22"/>
        </w:rPr>
        <w:t>2.</w:t>
      </w:r>
      <w:r>
        <w:rPr>
          <w:rFonts w:ascii="Times New Roman" w:hAnsi="Times New Roman"/>
          <w:color w:val="000000"/>
          <w:sz w:val="20"/>
        </w:rPr>
        <w:t xml:space="preserve"> </w:t>
      </w:r>
      <w:r>
        <w:rPr>
          <w:rFonts w:ascii="Times New Roman" w:hAnsi="Times New Roman"/>
          <w:color w:val="000000"/>
          <w:sz w:val="22"/>
        </w:rPr>
        <w:t>Is the aggregate amount of cash and cash equivalents held by all Excluded Subsidiaries less than or equal to $3,000,000?</w:t>
      </w:r>
    </w:p>
    <w:p>
      <w:pPr>
        <w:pStyle w:val="TextBody"/>
        <w:bidi w:val="0"/>
        <w:spacing w:before="0" w:after="720"/>
        <w:jc w:val="right"/>
        <w:rPr>
          <w:rFonts w:ascii="Times New Roman" w:hAnsi="Times New Roman"/>
          <w:color w:val="000000"/>
          <w:sz w:val="22"/>
        </w:rPr>
      </w:pPr>
      <w:r>
        <w:rPr>
          <w:rFonts w:ascii="Times New Roman" w:hAnsi="Times New Roman"/>
          <w:color w:val="000000"/>
          <w:sz w:val="22"/>
        </w:rPr>
        <w:t>____ Yes (not in compliance) ____ No (in compliance)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yes to any of the above: Please list such Subsidiaries and indicate whether a Joinder will be provided for such Subsidiary: [ ●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Exhibit E-6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ANNEX 4</w:t>
        <w:br/>
        <w:t>to Compliance Certificate</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MSC SUBSIDIARY AND MSC INVESTMENT CONDITIONS</w:t>
      </w:r>
    </w:p>
    <w:tbl>
      <w:tblPr>
        <w:tblW w:w="10205" w:type="dxa"/>
        <w:jc w:val="left"/>
        <w:tblInd w:w="0" w:type="dxa"/>
        <w:tblLayout w:type="fixed"/>
        <w:tblCellMar>
          <w:top w:w="28" w:type="dxa"/>
          <w:left w:w="28" w:type="dxa"/>
          <w:bottom w:w="28" w:type="dxa"/>
          <w:right w:w="28" w:type="dxa"/>
        </w:tblCellMar>
      </w:tblPr>
      <w:tblGrid>
        <w:gridCol w:w="7400"/>
        <w:gridCol w:w="2805"/>
      </w:tblGrid>
      <w:tr>
        <w:trPr/>
        <w:tc>
          <w:tcPr>
            <w:tcW w:w="7400" w:type="dxa"/>
            <w:tcBorders/>
            <w:vAlign w:val="center"/>
          </w:tcPr>
          <w:p>
            <w:pPr>
              <w:pStyle w:val="TableContents"/>
              <w:bidi w:val="0"/>
              <w:spacing w:before="0" w:after="283"/>
              <w:jc w:val="left"/>
              <w:rPr>
                <w:sz w:val="4"/>
                <w:szCs w:val="4"/>
              </w:rPr>
            </w:pPr>
            <w:r>
              <w:rPr>
                <w:sz w:val="4"/>
                <w:szCs w:val="4"/>
              </w:rPr>
            </w:r>
          </w:p>
        </w:tc>
        <w:tc>
          <w:tcPr>
            <w:tcW w:w="2805" w:type="dxa"/>
            <w:tcBorders/>
            <w:vAlign w:val="center"/>
          </w:tcPr>
          <w:p>
            <w:pPr>
              <w:pStyle w:val="TableContents"/>
              <w:bidi w:val="0"/>
              <w:spacing w:before="0" w:after="283"/>
              <w:jc w:val="left"/>
              <w:rPr>
                <w:sz w:val="4"/>
                <w:szCs w:val="4"/>
              </w:rPr>
            </w:pPr>
            <w:r>
              <w:rPr>
                <w:sz w:val="4"/>
                <w:szCs w:val="4"/>
              </w:rPr>
            </w:r>
          </w:p>
        </w:tc>
      </w:tr>
      <w:tr>
        <w:trPr/>
        <w:tc>
          <w:tcPr>
            <w:tcW w:w="7400"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Does the MSC Subsidiary have any assets or</w:t>
              <w:br/>
              <w:t>liabilities?</w:t>
            </w:r>
          </w:p>
        </w:tc>
        <w:tc>
          <w:tcPr>
            <w:tcW w:w="2805"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____ Yes</w:t>
            </w:r>
          </w:p>
        </w:tc>
      </w:tr>
      <w:tr>
        <w:trPr/>
        <w:tc>
          <w:tcPr>
            <w:tcW w:w="7400" w:type="dxa"/>
            <w:tcBorders/>
            <w:tcMar>
              <w:top w:w="0" w:type="dxa"/>
              <w:left w:w="0" w:type="dxa"/>
              <w:bottom w:w="0" w:type="dxa"/>
              <w:right w:w="0" w:type="dxa"/>
            </w:tcMar>
            <w:vAlign w:val="center"/>
          </w:tcPr>
          <w:p>
            <w:pPr>
              <w:pStyle w:val="TableContents"/>
              <w:bidi w:val="0"/>
              <w:spacing w:before="0" w:after="283"/>
              <w:jc w:val="left"/>
              <w:rPr/>
            </w:pPr>
            <w:r>
              <w:rPr/>
              <w:t> </w:t>
            </w:r>
          </w:p>
        </w:tc>
        <w:tc>
          <w:tcPr>
            <w:tcW w:w="2805"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____ No</w:t>
            </w:r>
          </w:p>
        </w:tc>
      </w:tr>
      <w:tr>
        <w:trPr/>
        <w:tc>
          <w:tcPr>
            <w:tcW w:w="7400"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Is the aggregate amount of the consolidated cash of Borrower and its Subsidiaries equal to or less than $150,000,000?</w:t>
            </w:r>
          </w:p>
        </w:tc>
        <w:tc>
          <w:tcPr>
            <w:tcW w:w="2805"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____ Yes (please complete below chart)</w:t>
            </w:r>
          </w:p>
        </w:tc>
      </w:tr>
      <w:tr>
        <w:trPr/>
        <w:tc>
          <w:tcPr>
            <w:tcW w:w="7400" w:type="dxa"/>
            <w:tcBorders/>
            <w:tcMar>
              <w:top w:w="0" w:type="dxa"/>
              <w:left w:w="0" w:type="dxa"/>
              <w:bottom w:w="0" w:type="dxa"/>
              <w:right w:w="0" w:type="dxa"/>
            </w:tcMar>
            <w:vAlign w:val="center"/>
          </w:tcPr>
          <w:p>
            <w:pPr>
              <w:pStyle w:val="TableContents"/>
              <w:bidi w:val="0"/>
              <w:spacing w:before="0" w:after="20"/>
              <w:jc w:val="left"/>
              <w:rPr/>
            </w:pPr>
            <w:r>
              <w:rPr/>
              <w:t> </w:t>
            </w:r>
          </w:p>
        </w:tc>
        <w:tc>
          <w:tcPr>
            <w:tcW w:w="2805"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2"/>
              </w:rPr>
            </w:pPr>
            <w:r>
              <w:rPr>
                <w:rFonts w:ascii="Times New Roman" w:hAnsi="Times New Roman"/>
                <w:color w:val="000000"/>
                <w:sz w:val="22"/>
              </w:rPr>
              <w:t>____ No</w:t>
            </w:r>
          </w:p>
        </w:tc>
      </w:tr>
    </w:tbl>
    <w:p>
      <w:pPr>
        <w:pStyle w:val="TextBody"/>
        <w:bidi w:val="0"/>
        <w:spacing w:before="0" w:after="24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MSC INVESTMENT CONDITIONS</w:t>
      </w:r>
    </w:p>
    <w:tbl>
      <w:tblPr>
        <w:tblW w:w="10205" w:type="dxa"/>
        <w:jc w:val="left"/>
        <w:tblInd w:w="0" w:type="dxa"/>
        <w:tblLayout w:type="fixed"/>
        <w:tblCellMar>
          <w:top w:w="28" w:type="dxa"/>
          <w:left w:w="28" w:type="dxa"/>
          <w:bottom w:w="28" w:type="dxa"/>
          <w:right w:w="28" w:type="dxa"/>
        </w:tblCellMar>
      </w:tblPr>
      <w:tblGrid>
        <w:gridCol w:w="8205"/>
        <w:gridCol w:w="2000"/>
      </w:tblGrid>
      <w:tr>
        <w:trPr/>
        <w:tc>
          <w:tcPr>
            <w:tcW w:w="8205"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r>
      <w:tr>
        <w:trPr/>
        <w:tc>
          <w:tcPr>
            <w:tcW w:w="8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 Aggregate amount of Borrower’s cash and cash equivalents held in accounts subject to an Account Control Agreement:</w:t>
            </w:r>
          </w:p>
        </w:tc>
        <w:tc>
          <w:tcPr>
            <w:tcW w:w="20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 ]</w:t>
            </w:r>
          </w:p>
        </w:tc>
      </w:tr>
      <w:tr>
        <w:trPr/>
        <w:tc>
          <w:tcPr>
            <w:tcW w:w="8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 Aggregate amount of outstanding Secured Obligations (including any Prepayment Charge and End of Term Charge if outstanding Term Loan Advances were prepaid at this time):</w:t>
            </w:r>
          </w:p>
        </w:tc>
        <w:tc>
          <w:tcPr>
            <w:tcW w:w="20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 ]</w:t>
            </w:r>
          </w:p>
        </w:tc>
      </w:tr>
      <w:tr>
        <w:trPr/>
        <w:tc>
          <w:tcPr>
            <w:tcW w:w="8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(3) Aggregate amount of the consolidated Cash of Borrower and its Subsidiaries (other than Cash held in Excluded Accounts):</w:t>
            </w:r>
          </w:p>
        </w:tc>
        <w:tc>
          <w:tcPr>
            <w:tcW w:w="20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 ]</w:t>
            </w:r>
          </w:p>
        </w:tc>
      </w:tr>
      <w:tr>
        <w:trPr/>
        <w:tc>
          <w:tcPr>
            <w:tcW w:w="8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(4) Amount of the lesser of line (2) and line (3):</w:t>
            </w:r>
          </w:p>
        </w:tc>
        <w:tc>
          <w:tcPr>
            <w:tcW w:w="20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 ]</w:t>
            </w:r>
          </w:p>
        </w:tc>
      </w:tr>
      <w:tr>
        <w:trPr/>
        <w:tc>
          <w:tcPr>
            <w:tcW w:w="8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Is line (1) equal to or greater than line (4)?</w:t>
            </w:r>
          </w:p>
        </w:tc>
        <w:tc>
          <w:tcPr>
            <w:tcW w:w="20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____ Yes (in compliance)</w:t>
            </w:r>
          </w:p>
        </w:tc>
      </w:tr>
      <w:tr>
        <w:trPr/>
        <w:tc>
          <w:tcPr>
            <w:tcW w:w="8205" w:type="dxa"/>
            <w:tcBorders/>
            <w:tcMar>
              <w:top w:w="0" w:type="dxa"/>
              <w:left w:w="0" w:type="dxa"/>
              <w:bottom w:w="0" w:type="dxa"/>
              <w:right w:w="0" w:type="dxa"/>
            </w:tcMar>
            <w:vAlign w:val="center"/>
          </w:tcPr>
          <w:p>
            <w:pPr>
              <w:pStyle w:val="TableContents"/>
              <w:bidi w:val="0"/>
              <w:spacing w:before="0" w:after="20"/>
              <w:jc w:val="left"/>
              <w:rPr/>
            </w:pPr>
            <w:r>
              <w:rPr/>
              <w:t> </w:t>
            </w:r>
          </w:p>
        </w:tc>
        <w:tc>
          <w:tcPr>
            <w:tcW w:w="2000"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2"/>
              </w:rPr>
            </w:pPr>
            <w:r>
              <w:rPr>
                <w:rFonts w:ascii="Times New Roman" w:hAnsi="Times New Roman"/>
                <w:color w:val="000000"/>
                <w:sz w:val="22"/>
              </w:rPr>
              <w:t>____ No ( not in compliance)]</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Exhibit E-7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15"/>
        </w:rPr>
        <w:t>5</w:t>
      </w:r>
      <w:r>
        <w:rPr>
          <w:rFonts w:ascii="Times New Roman" w:hAnsi="Times New Roman"/>
          <w:b/>
          <w:color w:val="000000"/>
          <w:sz w:val="22"/>
        </w:rPr>
        <w:t>[ANNEX 5</w:t>
        <w:br/>
        <w:t>to Compliance Certificate</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Part A - Subsidiaries</w:t>
      </w:r>
    </w:p>
    <w:p>
      <w:pPr>
        <w:pStyle w:val="TextBody"/>
        <w:bidi w:val="0"/>
        <w:jc w:val="left"/>
        <w:rPr>
          <w:rFonts w:ascii="Times New Roman" w:hAnsi="Times New Roman"/>
          <w:color w:val="000000"/>
          <w:sz w:val="22"/>
        </w:rPr>
      </w:pPr>
      <w:r>
        <w:rPr>
          <w:rFonts w:ascii="Times New Roman" w:hAnsi="Times New Roman"/>
          <w:color w:val="000000"/>
          <w:sz w:val="22"/>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br/>
      </w:r>
      <w:r>
        <w:rPr>
          <w:rFonts w:ascii="Times New Roman" w:hAnsi="Times New Roman"/>
          <w:color w:val="000000"/>
          <w:sz w:val="20"/>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jc w:val="both"/>
        <w:rPr>
          <w:rFonts w:ascii="Times New Roman" w:hAnsi="Times New Roman"/>
          <w:color w:val="000000"/>
          <w:sz w:val="13"/>
        </w:rPr>
      </w:pPr>
      <w:r>
        <w:rPr>
          <w:rFonts w:ascii="Times New Roman" w:hAnsi="Times New Roman"/>
          <w:color w:val="000000"/>
          <w:sz w:val="13"/>
        </w:rPr>
        <w:t>_______________________________________</w:t>
      </w:r>
    </w:p>
    <w:p>
      <w:pPr>
        <w:pStyle w:val="TextBody"/>
        <w:bidi w:val="0"/>
        <w:jc w:val="left"/>
        <w:rPr>
          <w:rFonts w:ascii="Times New Roman" w:hAnsi="Times New Roman"/>
          <w:sz w:val="20"/>
        </w:rPr>
      </w:pPr>
      <w:r>
        <w:rPr>
          <w:rFonts w:ascii="Times New Roman" w:hAnsi="Times New Roman"/>
          <w:color w:val="000000"/>
          <w:sz w:val="15"/>
        </w:rPr>
        <w:t>5</w:t>
      </w:r>
      <w:r>
        <w:rPr>
          <w:rFonts w:ascii="Times New Roman" w:hAnsi="Times New Roman"/>
          <w:color w:val="000000"/>
          <w:sz w:val="20"/>
        </w:rPr>
        <w:t xml:space="preserve"> </w:t>
      </w:r>
      <w:r>
        <w:rPr>
          <w:rFonts w:ascii="Times New Roman" w:hAnsi="Times New Roman"/>
          <w:color w:val="000000"/>
          <w:sz w:val="22"/>
        </w:rPr>
        <w:t>Attach this Annex [5] only if Part A (</w:t>
      </w:r>
      <w:r>
        <w:rPr>
          <w:rFonts w:ascii="Times New Roman" w:hAnsi="Times New Roman"/>
          <w:i/>
          <w:color w:val="000000"/>
          <w:sz w:val="22"/>
        </w:rPr>
        <w:t>list of Subsidiaries</w:t>
      </w:r>
      <w:r>
        <w:rPr>
          <w:rFonts w:ascii="Times New Roman" w:hAnsi="Times New Roman"/>
          <w:color w:val="000000"/>
          <w:sz w:val="22"/>
        </w:rPr>
        <w:t>) of Schedule 5.14 to the Loan Agreement needs to be updated since the most recently-delivered Schedule 5.14.</w:t>
      </w:r>
    </w:p>
    <w:p>
      <w:pPr>
        <w:pStyle w:val="TextBody"/>
        <w:bidi w:val="0"/>
        <w:jc w:val="center"/>
        <w:rPr>
          <w:rFonts w:ascii="Times New Roman" w:hAnsi="Times New Roman"/>
          <w:color w:val="000000"/>
          <w:sz w:val="20"/>
        </w:rPr>
      </w:pPr>
      <w:r>
        <w:rPr>
          <w:rFonts w:ascii="Times New Roman" w:hAnsi="Times New Roman"/>
          <w:color w:val="000000"/>
          <w:sz w:val="20"/>
        </w:rPr>
        <w:t>Exhibit E-8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15"/>
        </w:rPr>
        <w:t>6</w:t>
      </w:r>
      <w:r>
        <w:rPr>
          <w:rFonts w:ascii="Times New Roman" w:hAnsi="Times New Roman"/>
          <w:b/>
          <w:color w:val="000000"/>
          <w:sz w:val="22"/>
        </w:rPr>
        <w:t>[ANNEX [6]</w:t>
        <w:br/>
        <w:t>to Compliance Certificate</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EXHIBIT B</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NAME, LOCATIONS, AND OTHER INFORMATION FOR BORROWER</w:t>
      </w:r>
    </w:p>
    <w:tbl>
      <w:tblPr>
        <w:tblW w:w="10205" w:type="dxa"/>
        <w:jc w:val="left"/>
        <w:tblInd w:w="0" w:type="dxa"/>
        <w:tblLayout w:type="fixed"/>
        <w:tblCellMar>
          <w:top w:w="28" w:type="dxa"/>
          <w:left w:w="28" w:type="dxa"/>
          <w:bottom w:w="28" w:type="dxa"/>
          <w:right w:w="28" w:type="dxa"/>
        </w:tblCellMar>
      </w:tblPr>
      <w:tblGrid>
        <w:gridCol w:w="3317"/>
        <w:gridCol w:w="4431"/>
        <w:gridCol w:w="2457"/>
      </w:tblGrid>
      <w:tr>
        <w:trPr/>
        <w:tc>
          <w:tcPr>
            <w:tcW w:w="3317" w:type="dxa"/>
            <w:tcBorders/>
            <w:vAlign w:val="center"/>
          </w:tcPr>
          <w:p>
            <w:pPr>
              <w:pStyle w:val="TableContents"/>
              <w:bidi w:val="0"/>
              <w:spacing w:before="0" w:after="283"/>
              <w:jc w:val="left"/>
              <w:rPr>
                <w:sz w:val="4"/>
                <w:szCs w:val="4"/>
              </w:rPr>
            </w:pPr>
            <w:r>
              <w:rPr>
                <w:sz w:val="4"/>
                <w:szCs w:val="4"/>
              </w:rPr>
            </w:r>
          </w:p>
        </w:tc>
        <w:tc>
          <w:tcPr>
            <w:tcW w:w="4431"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r>
      <w:tr>
        <w:trPr/>
        <w:tc>
          <w:tcPr>
            <w:tcW w:w="3317"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Borrower:</w:t>
            </w:r>
          </w:p>
        </w:tc>
        <w:tc>
          <w:tcPr>
            <w:tcW w:w="4431"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Company</w:t>
            </w:r>
          </w:p>
        </w:tc>
        <w:tc>
          <w:tcPr>
            <w:tcW w:w="2457"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Disc Medicine Opco, Inc.</w:t>
            </w:r>
          </w:p>
        </w:tc>
      </w:tr>
      <w:tr>
        <w:trPr/>
        <w:tc>
          <w:tcPr>
            <w:tcW w:w="3317"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44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Disc Medicine, Inc.</w:t>
            </w:r>
          </w:p>
        </w:tc>
        <w:tc>
          <w:tcPr>
            <w:tcW w:w="24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Disc Medicine Opco, Inc.</w:t>
            </w:r>
          </w:p>
        </w:tc>
      </w:tr>
      <w:tr>
        <w:trPr/>
        <w:tc>
          <w:tcPr>
            <w:tcW w:w="3317"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Type of organization:</w:t>
            </w:r>
          </w:p>
        </w:tc>
        <w:tc>
          <w:tcPr>
            <w:tcW w:w="44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Corporation</w:t>
            </w:r>
          </w:p>
        </w:tc>
        <w:tc>
          <w:tcPr>
            <w:tcW w:w="24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Corporation</w:t>
            </w:r>
          </w:p>
        </w:tc>
      </w:tr>
      <w:tr>
        <w:trPr/>
        <w:tc>
          <w:tcPr>
            <w:tcW w:w="3317"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State of organization:</w:t>
            </w:r>
          </w:p>
        </w:tc>
        <w:tc>
          <w:tcPr>
            <w:tcW w:w="44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Delaware</w:t>
            </w:r>
          </w:p>
        </w:tc>
        <w:tc>
          <w:tcPr>
            <w:tcW w:w="24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Delaware</w:t>
            </w:r>
          </w:p>
        </w:tc>
      </w:tr>
      <w:tr>
        <w:trPr/>
        <w:tc>
          <w:tcPr>
            <w:tcW w:w="3317"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Organization file number:</w:t>
            </w:r>
          </w:p>
        </w:tc>
        <w:tc>
          <w:tcPr>
            <w:tcW w:w="44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3130802</w:t>
            </w:r>
          </w:p>
        </w:tc>
        <w:tc>
          <w:tcPr>
            <w:tcW w:w="24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6575325</w:t>
            </w:r>
          </w:p>
        </w:tc>
      </w:tr>
      <w:tr>
        <w:trPr/>
        <w:tc>
          <w:tcPr>
            <w:tcW w:w="3317"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Tax identification number:</w:t>
            </w:r>
          </w:p>
        </w:tc>
        <w:tc>
          <w:tcPr>
            <w:tcW w:w="44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85-1612845</w:t>
            </w:r>
          </w:p>
        </w:tc>
        <w:tc>
          <w:tcPr>
            <w:tcW w:w="24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82-3220679</w:t>
            </w:r>
          </w:p>
        </w:tc>
      </w:tr>
      <w:tr>
        <w:trPr/>
        <w:tc>
          <w:tcPr>
            <w:tcW w:w="3317"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Location of chief executive office:</w:t>
            </w:r>
          </w:p>
        </w:tc>
        <w:tc>
          <w:tcPr>
            <w:tcW w:w="44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321 Arsenal Street, Suite 101 Watertown, Middlesex, MA, 02472</w:t>
            </w:r>
          </w:p>
        </w:tc>
        <w:tc>
          <w:tcPr>
            <w:tcW w:w="24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321 Arsenal Street, Suite 101 Watertown, Middlesex, MA, 02472</w:t>
            </w:r>
          </w:p>
        </w:tc>
      </w:tr>
      <w:tr>
        <w:trPr/>
        <w:tc>
          <w:tcPr>
            <w:tcW w:w="3317"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Last day of Borrower’s fiscal year:</w:t>
            </w:r>
          </w:p>
        </w:tc>
        <w:tc>
          <w:tcPr>
            <w:tcW w:w="44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December 31</w:t>
            </w:r>
          </w:p>
        </w:tc>
        <w:tc>
          <w:tcPr>
            <w:tcW w:w="24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December 31</w:t>
            </w:r>
          </w:p>
        </w:tc>
      </w:tr>
      <w:tr>
        <w:trPr/>
        <w:tc>
          <w:tcPr>
            <w:tcW w:w="3317"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Other legal name of Borrower during five (5) year period before Closing Date, including dates of use:</w:t>
            </w:r>
          </w:p>
        </w:tc>
        <w:tc>
          <w:tcPr>
            <w:tcW w:w="44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Hindsite Acquisition Corp. (6/25/2020 – 6/29/2020) FS Development Corp. (6/30/2020 – 2/4/2021) Gemini Therapeutics, Inc. (2/5/2021 – 12/29/2022)</w:t>
            </w:r>
          </w:p>
        </w:tc>
        <w:tc>
          <w:tcPr>
            <w:tcW w:w="24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Disc Medicine, Inc.</w:t>
            </w:r>
          </w:p>
        </w:tc>
      </w:tr>
      <w:tr>
        <w:trPr/>
        <w:tc>
          <w:tcPr>
            <w:tcW w:w="3317"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Other type of organization of Borrower during five (5) year period before Closing Date:</w:t>
            </w:r>
          </w:p>
        </w:tc>
        <w:tc>
          <w:tcPr>
            <w:tcW w:w="44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None</w:t>
            </w:r>
          </w:p>
        </w:tc>
        <w:tc>
          <w:tcPr>
            <w:tcW w:w="24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None</w:t>
            </w:r>
          </w:p>
        </w:tc>
      </w:tr>
      <w:tr>
        <w:trPr/>
        <w:tc>
          <w:tcPr>
            <w:tcW w:w="3317"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Other state of organization of Borrower during five (5) year period before Closing Date:</w:t>
            </w:r>
          </w:p>
        </w:tc>
        <w:tc>
          <w:tcPr>
            <w:tcW w:w="44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None</w:t>
            </w:r>
          </w:p>
        </w:tc>
        <w:tc>
          <w:tcPr>
            <w:tcW w:w="24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None</w:t>
            </w:r>
          </w:p>
        </w:tc>
      </w:tr>
      <w:tr>
        <w:trPr/>
        <w:tc>
          <w:tcPr>
            <w:tcW w:w="3317"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Other organization file number of Borrower during five (5) year period before Closing Date:</w:t>
            </w:r>
          </w:p>
        </w:tc>
        <w:tc>
          <w:tcPr>
            <w:tcW w:w="44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None</w:t>
            </w:r>
          </w:p>
        </w:tc>
        <w:tc>
          <w:tcPr>
            <w:tcW w:w="245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None</w:t>
            </w:r>
          </w:p>
        </w:tc>
      </w:tr>
    </w:tbl>
    <w:p>
      <w:pPr>
        <w:pStyle w:val="TextBody"/>
        <w:bidi w:val="0"/>
        <w:jc w:val="left"/>
        <w:rPr>
          <w:rFonts w:ascii="Times New Roman" w:hAnsi="Times New Roman"/>
          <w:color w:val="000000"/>
          <w:sz w:val="22"/>
        </w:rPr>
      </w:pPr>
      <w:r>
        <w:rPr>
          <w:rFonts w:ascii="Times New Roman" w:hAnsi="Times New Roman"/>
          <w:color w:val="000000"/>
          <w:sz w:val="22"/>
        </w:rPr>
        <w:t>]</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jc w:val="both"/>
        <w:rPr>
          <w:rFonts w:ascii="Times New Roman" w:hAnsi="Times New Roman"/>
          <w:color w:val="000000"/>
          <w:sz w:val="13"/>
        </w:rPr>
      </w:pPr>
      <w:r>
        <w:rPr>
          <w:rFonts w:ascii="Times New Roman" w:hAnsi="Times New Roman"/>
          <w:color w:val="000000"/>
          <w:sz w:val="13"/>
        </w:rPr>
        <w:t>_______________________________________</w:t>
      </w:r>
    </w:p>
    <w:p>
      <w:pPr>
        <w:pStyle w:val="TextBody"/>
        <w:bidi w:val="0"/>
        <w:jc w:val="left"/>
        <w:rPr>
          <w:rFonts w:ascii="Times New Roman" w:hAnsi="Times New Roman"/>
          <w:sz w:val="20"/>
        </w:rPr>
      </w:pPr>
      <w:r>
        <w:rPr>
          <w:rFonts w:ascii="Times New Roman" w:hAnsi="Times New Roman"/>
          <w:color w:val="000000"/>
          <w:sz w:val="15"/>
        </w:rPr>
        <w:t>6</w:t>
      </w:r>
      <w:r>
        <w:rPr>
          <w:rFonts w:ascii="Times New Roman" w:hAnsi="Times New Roman"/>
          <w:color w:val="000000"/>
          <w:sz w:val="20"/>
        </w:rPr>
        <w:t xml:space="preserve"> </w:t>
      </w:r>
      <w:r>
        <w:rPr>
          <w:rFonts w:ascii="Times New Roman" w:hAnsi="Times New Roman"/>
          <w:color w:val="000000"/>
          <w:sz w:val="22"/>
        </w:rPr>
        <w:t>Attach this Annex [6] only if Exhibit B to the Loan Agreement needs to be updated since the most recently-delivered Exhibit B.</w:t>
      </w:r>
    </w:p>
    <w:p>
      <w:pPr>
        <w:pStyle w:val="TextBody"/>
        <w:bidi w:val="0"/>
        <w:jc w:val="center"/>
        <w:rPr>
          <w:rFonts w:ascii="Times New Roman" w:hAnsi="Times New Roman"/>
          <w:color w:val="000000"/>
          <w:sz w:val="20"/>
        </w:rPr>
      </w:pPr>
      <w:r>
        <w:rPr>
          <w:rFonts w:ascii="Times New Roman" w:hAnsi="Times New Roman"/>
          <w:color w:val="000000"/>
          <w:sz w:val="20"/>
        </w:rPr>
        <w:t>Exhibit E-9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15"/>
        </w:rPr>
        <w:t>7</w:t>
      </w:r>
      <w:r>
        <w:rPr>
          <w:rFonts w:ascii="Times New Roman" w:hAnsi="Times New Roman"/>
          <w:b/>
          <w:color w:val="000000"/>
          <w:sz w:val="22"/>
        </w:rPr>
        <w:t>[ ANNEX [7]</w:t>
        <w:br/>
        <w:t>to Compliance Certificate</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EXHIBIT D</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DEPOSIT ACCOUNTS AND SECURITIES ACCOUNTS</w:t>
      </w:r>
    </w:p>
    <w:tbl>
      <w:tblPr>
        <w:tblW w:w="10205" w:type="dxa"/>
        <w:jc w:val="left"/>
        <w:tblInd w:w="0" w:type="dxa"/>
        <w:tblLayout w:type="fixed"/>
        <w:tblCellMar>
          <w:top w:w="28" w:type="dxa"/>
          <w:left w:w="28" w:type="dxa"/>
          <w:bottom w:w="28" w:type="dxa"/>
          <w:right w:w="28" w:type="dxa"/>
        </w:tblCellMar>
      </w:tblPr>
      <w:tblGrid>
        <w:gridCol w:w="1096"/>
        <w:gridCol w:w="2128"/>
        <w:gridCol w:w="1379"/>
        <w:gridCol w:w="1273"/>
        <w:gridCol w:w="1869"/>
        <w:gridCol w:w="2460"/>
      </w:tblGrid>
      <w:tr>
        <w:trPr/>
        <w:tc>
          <w:tcPr>
            <w:tcW w:w="1096"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r>
      <w:tr>
        <w:trPr/>
        <w:tc>
          <w:tcPr>
            <w:tcW w:w="109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Borrower</w:t>
            </w:r>
          </w:p>
        </w:tc>
        <w:tc>
          <w:tcPr>
            <w:tcW w:w="2128"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Type of Account (Deposit, Securities)</w:t>
            </w:r>
          </w:p>
        </w:tc>
        <w:tc>
          <w:tcPr>
            <w:tcW w:w="1379"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Purpose of Account</w:t>
            </w:r>
          </w:p>
        </w:tc>
        <w:tc>
          <w:tcPr>
            <w:tcW w:w="1273"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Account Number</w:t>
            </w:r>
          </w:p>
        </w:tc>
        <w:tc>
          <w:tcPr>
            <w:tcW w:w="1869"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Excluded Account? (Yes / No)</w:t>
            </w:r>
          </w:p>
        </w:tc>
        <w:tc>
          <w:tcPr>
            <w:tcW w:w="2460"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Name and Address of Financial Institution</w:t>
            </w:r>
          </w:p>
        </w:tc>
      </w:tr>
      <w:tr>
        <w:trPr/>
        <w:tc>
          <w:tcPr>
            <w:tcW w:w="109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Company</w:t>
            </w:r>
          </w:p>
        </w:tc>
        <w:tc>
          <w:tcPr>
            <w:tcW w:w="212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37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7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86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46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109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Company</w:t>
            </w:r>
          </w:p>
        </w:tc>
        <w:tc>
          <w:tcPr>
            <w:tcW w:w="212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37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7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86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46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109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Company</w:t>
            </w:r>
          </w:p>
        </w:tc>
        <w:tc>
          <w:tcPr>
            <w:tcW w:w="212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37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7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86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46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109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Company</w:t>
            </w:r>
          </w:p>
        </w:tc>
        <w:tc>
          <w:tcPr>
            <w:tcW w:w="212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37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7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86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46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109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Company</w:t>
            </w:r>
          </w:p>
        </w:tc>
        <w:tc>
          <w:tcPr>
            <w:tcW w:w="212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37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7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86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46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1096" w:type="dxa"/>
            <w:tcBorders>
              <w:left w:val="single" w:sz="4" w:space="0" w:color="000000"/>
              <w:bottom w:val="single" w:sz="4" w:space="0" w:color="000000"/>
              <w:right w:val="single" w:sz="4" w:space="0" w:color="000000"/>
            </w:tcBorders>
            <w:shd w:fill="E6E6FA" w:val="clear"/>
            <w:tcMar>
              <w:top w:w="0" w:type="dxa"/>
              <w:left w:w="115" w:type="dxa"/>
              <w:right w:w="115" w:type="dxa"/>
            </w:tcMar>
            <w:vAlign w:val="center"/>
          </w:tcPr>
          <w:p>
            <w:pPr>
              <w:pStyle w:val="TableContents"/>
              <w:bidi w:val="0"/>
              <w:spacing w:before="0" w:after="283"/>
              <w:jc w:val="left"/>
              <w:rPr>
                <w:rFonts w:ascii="Times New Roman" w:hAnsi="Times New Roman"/>
                <w:color w:val="0000FF"/>
                <w:sz w:val="22"/>
                <w:u w:val="single"/>
              </w:rPr>
            </w:pPr>
            <w:r>
              <w:rPr>
                <w:rFonts w:ascii="Times New Roman" w:hAnsi="Times New Roman"/>
                <w:color w:val="0000FF"/>
                <w:sz w:val="22"/>
                <w:u w:val="single"/>
              </w:rPr>
              <w:t>Company</w:t>
            </w:r>
          </w:p>
        </w:tc>
        <w:tc>
          <w:tcPr>
            <w:tcW w:w="2128"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379"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73"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869"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460"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109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Company</w:t>
            </w:r>
          </w:p>
        </w:tc>
        <w:tc>
          <w:tcPr>
            <w:tcW w:w="212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37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7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86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46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3"/>
        </w:rPr>
        <w:t>_______________________________________</w:t>
      </w:r>
      <w:r>
        <w:rPr>
          <w:rFonts w:ascii="Times New Roman" w:hAnsi="Times New Roman"/>
          <w:color w:val="000000"/>
          <w:sz w:val="22"/>
        </w:rPr>
        <w:br/>
      </w:r>
      <w:r>
        <w:rPr>
          <w:rFonts w:ascii="Times New Roman" w:hAnsi="Times New Roman"/>
          <w:color w:val="000000"/>
          <w:sz w:val="15"/>
        </w:rPr>
        <w:t xml:space="preserve">7 </w:t>
      </w:r>
      <w:r>
        <w:rPr>
          <w:rFonts w:ascii="Times New Roman" w:hAnsi="Times New Roman"/>
          <w:color w:val="000000"/>
          <w:sz w:val="22"/>
        </w:rPr>
        <w:t>Attach this Annex [7] only if Exhibit D to the Loan Agreement needs to be updated since the most recently-delivered Exhibit D.</w:t>
      </w:r>
    </w:p>
    <w:p>
      <w:pPr>
        <w:pStyle w:val="TextBody"/>
        <w:bidi w:val="0"/>
        <w:jc w:val="center"/>
        <w:rPr>
          <w:rFonts w:ascii="Times New Roman" w:hAnsi="Times New Roman"/>
          <w:color w:val="000000"/>
          <w:sz w:val="20"/>
        </w:rPr>
      </w:pPr>
      <w:r>
        <w:rPr>
          <w:rFonts w:ascii="Times New Roman" w:hAnsi="Times New Roman"/>
          <w:color w:val="000000"/>
          <w:sz w:val="20"/>
        </w:rPr>
        <w:t>Exhibit E-10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04"/>
        <w:gridCol w:w="2431"/>
        <w:gridCol w:w="1501"/>
        <w:gridCol w:w="1366"/>
        <w:gridCol w:w="2803"/>
      </w:tblGrid>
      <w:tr>
        <w:trPr/>
        <w:tc>
          <w:tcPr>
            <w:tcW w:w="2104"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803" w:type="dxa"/>
            <w:tcBorders/>
            <w:vAlign w:val="center"/>
          </w:tcPr>
          <w:p>
            <w:pPr>
              <w:pStyle w:val="TableContents"/>
              <w:bidi w:val="0"/>
              <w:spacing w:before="0" w:after="283"/>
              <w:jc w:val="left"/>
              <w:rPr>
                <w:sz w:val="4"/>
                <w:szCs w:val="4"/>
              </w:rPr>
            </w:pPr>
            <w:r>
              <w:rPr>
                <w:sz w:val="4"/>
                <w:szCs w:val="4"/>
              </w:rPr>
            </w:r>
          </w:p>
        </w:tc>
      </w:tr>
      <w:tr>
        <w:trPr/>
        <w:tc>
          <w:tcPr>
            <w:tcW w:w="2104"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Subsidiary</w:t>
            </w:r>
          </w:p>
        </w:tc>
        <w:tc>
          <w:tcPr>
            <w:tcW w:w="2431"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Type of Account (Deposit, Securities)</w:t>
            </w:r>
          </w:p>
        </w:tc>
        <w:tc>
          <w:tcPr>
            <w:tcW w:w="1501"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Purpose of Account</w:t>
            </w:r>
          </w:p>
        </w:tc>
        <w:tc>
          <w:tcPr>
            <w:tcW w:w="136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Account Number</w:t>
            </w:r>
          </w:p>
        </w:tc>
        <w:tc>
          <w:tcPr>
            <w:tcW w:w="2803"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Name and Address of Financial Institution</w:t>
            </w:r>
          </w:p>
        </w:tc>
      </w:tr>
      <w:tr>
        <w:trPr/>
        <w:tc>
          <w:tcPr>
            <w:tcW w:w="2104" w:type="dxa"/>
            <w:tcBorders>
              <w:left w:val="single" w:sz="4" w:space="0" w:color="000000"/>
              <w:bottom w:val="single" w:sz="4" w:space="0" w:color="000000"/>
              <w:right w:val="single" w:sz="4" w:space="0" w:color="000000"/>
            </w:tcBorders>
            <w:shd w:fill="FFDEAD" w:val="clear"/>
            <w:tcMar>
              <w:top w:w="0" w:type="dxa"/>
              <w:left w:w="115" w:type="dxa"/>
              <w:right w:w="115" w:type="dxa"/>
            </w:tcMar>
            <w:vAlign w:val="center"/>
          </w:tcPr>
          <w:p>
            <w:pPr>
              <w:pStyle w:val="TableContents"/>
              <w:bidi w:val="0"/>
              <w:spacing w:before="0" w:after="283"/>
              <w:jc w:val="left"/>
              <w:rPr>
                <w:rFonts w:ascii="Times New Roman" w:hAnsi="Times New Roman"/>
                <w:sz w:val="22"/>
              </w:rPr>
            </w:pPr>
            <w:r>
              <w:rPr>
                <w:rFonts w:ascii="Times New Roman" w:hAnsi="Times New Roman"/>
                <w:strike/>
                <w:color w:val="FF0000"/>
                <w:sz w:val="22"/>
              </w:rPr>
              <w:t>Disc Medicine</w:t>
            </w:r>
            <w:r>
              <w:rPr>
                <w:rFonts w:ascii="Times New Roman" w:hAnsi="Times New Roman"/>
                <w:color w:val="FF0000"/>
                <w:sz w:val="22"/>
              </w:rPr>
              <w:t xml:space="preserve"> </w:t>
            </w:r>
            <w:r>
              <w:rPr>
                <w:rFonts w:ascii="Times New Roman" w:hAnsi="Times New Roman"/>
                <w:strike/>
                <w:color w:val="FF0000"/>
                <w:sz w:val="22"/>
              </w:rPr>
              <w:t>Securities Corp</w:t>
            </w:r>
          </w:p>
        </w:tc>
        <w:tc>
          <w:tcPr>
            <w:tcW w:w="2431" w:type="dxa"/>
            <w:tcBorders>
              <w:bottom w:val="single" w:sz="4" w:space="0" w:color="000000"/>
              <w:right w:val="single" w:sz="4" w:space="0" w:color="000000"/>
            </w:tcBorders>
            <w:shd w:fill="FFDEAD"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501" w:type="dxa"/>
            <w:tcBorders>
              <w:bottom w:val="single" w:sz="4" w:space="0" w:color="000000"/>
              <w:right w:val="single" w:sz="4" w:space="0" w:color="000000"/>
            </w:tcBorders>
            <w:shd w:fill="FFDEAD"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366" w:type="dxa"/>
            <w:tcBorders>
              <w:bottom w:val="single" w:sz="4" w:space="0" w:color="000000"/>
              <w:right w:val="single" w:sz="4" w:space="0" w:color="000000"/>
            </w:tcBorders>
            <w:shd w:fill="FFDEAD"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803" w:type="dxa"/>
            <w:tcBorders>
              <w:bottom w:val="single" w:sz="4" w:space="0" w:color="000000"/>
              <w:right w:val="single" w:sz="4" w:space="0" w:color="000000"/>
            </w:tcBorders>
            <w:shd w:fill="FFDEAD"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2104"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Disc Medicine Securities Corp</w:t>
            </w:r>
          </w:p>
        </w:tc>
        <w:tc>
          <w:tcPr>
            <w:tcW w:w="24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5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36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80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2104" w:type="dxa"/>
            <w:tcBorders>
              <w:left w:val="single" w:sz="4" w:space="0" w:color="000000"/>
              <w:bottom w:val="single" w:sz="4" w:space="0" w:color="000000"/>
              <w:right w:val="single" w:sz="4" w:space="0" w:color="000000"/>
            </w:tcBorders>
            <w:shd w:fill="FFDEAD" w:val="clear"/>
            <w:tcMar>
              <w:top w:w="0" w:type="dxa"/>
              <w:left w:w="115" w:type="dxa"/>
              <w:right w:w="115" w:type="dxa"/>
            </w:tcMar>
            <w:vAlign w:val="center"/>
          </w:tcPr>
          <w:p>
            <w:pPr>
              <w:pStyle w:val="TableContents"/>
              <w:bidi w:val="0"/>
              <w:spacing w:before="0" w:after="283"/>
              <w:jc w:val="left"/>
              <w:rPr>
                <w:rFonts w:ascii="Times New Roman" w:hAnsi="Times New Roman"/>
                <w:sz w:val="22"/>
              </w:rPr>
            </w:pPr>
            <w:r>
              <w:rPr>
                <w:rFonts w:ascii="Times New Roman" w:hAnsi="Times New Roman"/>
                <w:strike/>
                <w:color w:val="FF0000"/>
                <w:sz w:val="22"/>
              </w:rPr>
              <w:t>Disc Medicine</w:t>
            </w:r>
            <w:r>
              <w:rPr>
                <w:rFonts w:ascii="Times New Roman" w:hAnsi="Times New Roman"/>
                <w:color w:val="FF0000"/>
                <w:sz w:val="22"/>
              </w:rPr>
              <w:t xml:space="preserve"> </w:t>
            </w:r>
            <w:r>
              <w:rPr>
                <w:rFonts w:ascii="Times New Roman" w:hAnsi="Times New Roman"/>
                <w:strike/>
                <w:color w:val="FF0000"/>
                <w:sz w:val="22"/>
              </w:rPr>
              <w:t>Securities Corp</w:t>
            </w:r>
          </w:p>
        </w:tc>
        <w:tc>
          <w:tcPr>
            <w:tcW w:w="2431" w:type="dxa"/>
            <w:tcBorders>
              <w:bottom w:val="single" w:sz="4" w:space="0" w:color="000000"/>
              <w:right w:val="single" w:sz="4" w:space="0" w:color="000000"/>
            </w:tcBorders>
            <w:shd w:fill="FFDEAD"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501" w:type="dxa"/>
            <w:tcBorders>
              <w:bottom w:val="single" w:sz="4" w:space="0" w:color="000000"/>
              <w:right w:val="single" w:sz="4" w:space="0" w:color="000000"/>
            </w:tcBorders>
            <w:shd w:fill="FFDEAD"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366" w:type="dxa"/>
            <w:tcBorders>
              <w:bottom w:val="single" w:sz="4" w:space="0" w:color="000000"/>
              <w:right w:val="single" w:sz="4" w:space="0" w:color="000000"/>
            </w:tcBorders>
            <w:shd w:fill="FFDEAD"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803" w:type="dxa"/>
            <w:tcBorders>
              <w:bottom w:val="single" w:sz="4" w:space="0" w:color="000000"/>
              <w:right w:val="single" w:sz="4" w:space="0" w:color="000000"/>
            </w:tcBorders>
            <w:shd w:fill="FFDEAD"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2104"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Disc Medicine B.V.</w:t>
            </w:r>
          </w:p>
        </w:tc>
        <w:tc>
          <w:tcPr>
            <w:tcW w:w="24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5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36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80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2104" w:type="dxa"/>
            <w:tcBorders>
              <w:left w:val="single" w:sz="4" w:space="0" w:color="000000"/>
              <w:bottom w:val="single" w:sz="4" w:space="0" w:color="000000"/>
              <w:right w:val="single" w:sz="4" w:space="0" w:color="000000"/>
            </w:tcBorders>
            <w:shd w:fill="FFDEAD" w:val="clear"/>
            <w:tcMar>
              <w:top w:w="0" w:type="dxa"/>
              <w:left w:w="115" w:type="dxa"/>
              <w:right w:w="115" w:type="dxa"/>
            </w:tcMar>
            <w:vAlign w:val="center"/>
          </w:tcPr>
          <w:p>
            <w:pPr>
              <w:pStyle w:val="TableContents"/>
              <w:bidi w:val="0"/>
              <w:spacing w:before="0" w:after="283"/>
              <w:jc w:val="left"/>
              <w:rPr>
                <w:rFonts w:ascii="Times New Roman" w:hAnsi="Times New Roman"/>
                <w:sz w:val="22"/>
              </w:rPr>
            </w:pPr>
            <w:r>
              <w:rPr>
                <w:rFonts w:ascii="Times New Roman" w:hAnsi="Times New Roman"/>
                <w:strike/>
                <w:color w:val="FF0000"/>
                <w:sz w:val="22"/>
              </w:rPr>
              <w:t>Disc Medicine</w:t>
            </w:r>
            <w:r>
              <w:rPr>
                <w:rFonts w:ascii="Times New Roman" w:hAnsi="Times New Roman"/>
                <w:color w:val="FF0000"/>
                <w:sz w:val="22"/>
              </w:rPr>
              <w:t xml:space="preserve"> </w:t>
            </w:r>
            <w:r>
              <w:rPr>
                <w:rFonts w:ascii="Times New Roman" w:hAnsi="Times New Roman"/>
                <w:strike/>
                <w:color w:val="FF0000"/>
                <w:sz w:val="22"/>
              </w:rPr>
              <w:t>B.V.</w:t>
            </w:r>
          </w:p>
        </w:tc>
        <w:tc>
          <w:tcPr>
            <w:tcW w:w="2431" w:type="dxa"/>
            <w:tcBorders>
              <w:bottom w:val="single" w:sz="4" w:space="0" w:color="000000"/>
              <w:right w:val="single" w:sz="4" w:space="0" w:color="000000"/>
            </w:tcBorders>
            <w:shd w:fill="FFDEAD"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501" w:type="dxa"/>
            <w:tcBorders>
              <w:bottom w:val="single" w:sz="4" w:space="0" w:color="000000"/>
              <w:right w:val="single" w:sz="4" w:space="0" w:color="000000"/>
            </w:tcBorders>
            <w:shd w:fill="FFDEAD"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366" w:type="dxa"/>
            <w:tcBorders>
              <w:bottom w:val="single" w:sz="4" w:space="0" w:color="000000"/>
              <w:right w:val="single" w:sz="4" w:space="0" w:color="000000"/>
            </w:tcBorders>
            <w:shd w:fill="FFDEAD"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803" w:type="dxa"/>
            <w:tcBorders>
              <w:bottom w:val="single" w:sz="4" w:space="0" w:color="000000"/>
              <w:right w:val="single" w:sz="4" w:space="0" w:color="000000"/>
            </w:tcBorders>
            <w:shd w:fill="FFDEAD"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2104"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Disc Medicine Pty Ltd</w:t>
            </w:r>
          </w:p>
        </w:tc>
        <w:tc>
          <w:tcPr>
            <w:tcW w:w="24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50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36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80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2104" w:type="dxa"/>
            <w:tcBorders>
              <w:left w:val="single" w:sz="4" w:space="0" w:color="000000"/>
              <w:bottom w:val="single" w:sz="4" w:space="0" w:color="000000"/>
              <w:right w:val="single" w:sz="4" w:space="0" w:color="000000"/>
            </w:tcBorders>
            <w:shd w:fill="E6E6FA"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2431"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501"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366"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803"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2104" w:type="dxa"/>
            <w:tcBorders>
              <w:left w:val="single" w:sz="4" w:space="0" w:color="000000"/>
              <w:bottom w:val="single" w:sz="4" w:space="0" w:color="000000"/>
              <w:right w:val="single" w:sz="4" w:space="0" w:color="000000"/>
            </w:tcBorders>
            <w:shd w:fill="E6E6FA" w:val="clear"/>
            <w:tcMar>
              <w:top w:w="0" w:type="dxa"/>
              <w:left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2431"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501"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366"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2803"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Exhibit E-11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EXHIBIT F</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FORM OF JOINDER AGREEMENT</w:t>
      </w:r>
    </w:p>
    <w:p>
      <w:pPr>
        <w:pStyle w:val="TextBody"/>
        <w:bidi w:val="0"/>
        <w:spacing w:before="0" w:after="240"/>
        <w:jc w:val="both"/>
        <w:rPr>
          <w:rFonts w:ascii="Times New Roman" w:hAnsi="Times New Roman"/>
          <w:sz w:val="20"/>
        </w:rPr>
      </w:pPr>
      <w:r>
        <w:rPr>
          <w:rFonts w:ascii="Times New Roman" w:hAnsi="Times New Roman"/>
          <w:color w:val="000000"/>
          <w:sz w:val="22"/>
        </w:rPr>
        <w:t>This Joinder Agreement (the “</w:t>
      </w:r>
      <w:r>
        <w:rPr>
          <w:rFonts w:ascii="Times New Roman" w:hAnsi="Times New Roman"/>
          <w:color w:val="000000"/>
          <w:sz w:val="22"/>
          <w:u w:val="single"/>
        </w:rPr>
        <w:t>Joinder Agreement</w:t>
      </w:r>
      <w:r>
        <w:rPr>
          <w:rFonts w:ascii="Times New Roman" w:hAnsi="Times New Roman"/>
          <w:color w:val="000000"/>
          <w:sz w:val="20"/>
        </w:rPr>
        <w:t>”</w:t>
      </w:r>
      <w:r>
        <w:rPr>
          <w:rFonts w:ascii="Times New Roman" w:hAnsi="Times New Roman"/>
          <w:color w:val="000000"/>
          <w:sz w:val="22"/>
        </w:rPr>
        <w:t>) is made and dated as of [ ], 20[ ], and is entered into by and between ____________________, a _____________ [corporation] (“</w:t>
      </w:r>
      <w:r>
        <w:rPr>
          <w:rFonts w:ascii="Times New Roman" w:hAnsi="Times New Roman"/>
          <w:color w:val="000000"/>
          <w:sz w:val="22"/>
          <w:u w:val="single"/>
        </w:rPr>
        <w:t>Subsidiary</w:t>
      </w:r>
      <w:r>
        <w:rPr>
          <w:rFonts w:ascii="Times New Roman" w:hAnsi="Times New Roman"/>
          <w:color w:val="000000"/>
          <w:sz w:val="20"/>
        </w:rPr>
        <w:t>”</w:t>
      </w:r>
      <w:r>
        <w:rPr>
          <w:rFonts w:ascii="Times New Roman" w:hAnsi="Times New Roman"/>
          <w:color w:val="000000"/>
          <w:sz w:val="22"/>
        </w:rPr>
        <w:t>), and HERCULES CAPITAL, INC., a Maryland corporation (as “</w:t>
      </w:r>
      <w:r>
        <w:rPr>
          <w:rFonts w:ascii="Times New Roman" w:hAnsi="Times New Roman"/>
          <w:color w:val="000000"/>
          <w:sz w:val="22"/>
          <w:u w:val="single"/>
        </w:rPr>
        <w:t>Agent</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RECITALS</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Subsidiary’s Affiliate, Disc Medicine, Inc., a Delaware corporation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has entered into that certain Loan and Security Agreement dated [____], 2024 with the several banks and other financial institutions or entities from time to time party thereto as lender (collectively, the “</w:t>
      </w:r>
      <w:r>
        <w:rPr>
          <w:rFonts w:ascii="Times New Roman" w:hAnsi="Times New Roman"/>
          <w:color w:val="000000"/>
          <w:sz w:val="22"/>
          <w:u w:val="single"/>
        </w:rPr>
        <w:t>Lenders</w:t>
      </w:r>
      <w:r>
        <w:rPr>
          <w:rFonts w:ascii="Times New Roman" w:hAnsi="Times New Roman"/>
          <w:color w:val="000000"/>
          <w:sz w:val="20"/>
        </w:rPr>
        <w:t>”</w:t>
      </w:r>
      <w:r>
        <w:rPr>
          <w:rFonts w:ascii="Times New Roman" w:hAnsi="Times New Roman"/>
          <w:color w:val="000000"/>
          <w:sz w:val="22"/>
        </w:rPr>
        <w:t>), each other Subsidiary of Company party thereto (individually and collectively with Company hereinafter referred to as “</w:t>
      </w:r>
      <w:r>
        <w:rPr>
          <w:rFonts w:ascii="Times New Roman" w:hAnsi="Times New Roman"/>
          <w:color w:val="000000"/>
          <w:sz w:val="22"/>
          <w:u w:val="single"/>
        </w:rPr>
        <w:t>Borrower</w:t>
      </w:r>
      <w:r>
        <w:rPr>
          <w:rFonts w:ascii="Times New Roman" w:hAnsi="Times New Roman"/>
          <w:color w:val="000000"/>
          <w:sz w:val="20"/>
        </w:rPr>
        <w:t>”</w:t>
      </w:r>
      <w:r>
        <w:rPr>
          <w:rFonts w:ascii="Times New Roman" w:hAnsi="Times New Roman"/>
          <w:color w:val="000000"/>
          <w:sz w:val="22"/>
        </w:rPr>
        <w:t>), and the Agent, as such agreement may be amended (the “</w:t>
      </w:r>
      <w:r>
        <w:rPr>
          <w:rFonts w:ascii="Times New Roman" w:hAnsi="Times New Roman"/>
          <w:color w:val="000000"/>
          <w:sz w:val="22"/>
          <w:u w:val="single"/>
        </w:rPr>
        <w:t>Loan Agreement</w:t>
      </w:r>
      <w:r>
        <w:rPr>
          <w:rFonts w:ascii="Times New Roman" w:hAnsi="Times New Roman"/>
          <w:color w:val="000000"/>
          <w:sz w:val="20"/>
        </w:rPr>
        <w:t>”</w:t>
      </w:r>
      <w:r>
        <w:rPr>
          <w:rFonts w:ascii="Times New Roman" w:hAnsi="Times New Roman"/>
          <w:color w:val="000000"/>
          <w:sz w:val="22"/>
        </w:rPr>
        <w:t>), together with the other agreements executed and delivered in connection therewith;</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Subsidiary acknowledges and agrees that it will benefit both directly and indirectly from Company’s execution of the Loan Agreement and the other agreements executed and delivered in connection therewith;</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NOW THEREFORE, Subsidiary and Agent agree as follows:</w:t>
      </w:r>
    </w:p>
    <w:p>
      <w:pPr>
        <w:pStyle w:val="TextBody"/>
        <w:bidi w:val="0"/>
        <w:spacing w:before="0" w:after="240"/>
        <w:jc w:val="both"/>
        <w:rPr>
          <w:rFonts w:ascii="Times New Roman" w:hAnsi="Times New Roman"/>
          <w:sz w:val="20"/>
        </w:rPr>
      </w:pPr>
      <w:r>
        <w:rPr>
          <w:rFonts w:ascii="Times New Roman" w:hAnsi="Times New Roman"/>
          <w:color w:val="000000"/>
          <w:sz w:val="22"/>
        </w:rPr>
        <w:t>1.</w:t>
      </w:r>
      <w:r>
        <w:rPr>
          <w:rFonts w:ascii="Times New Roman" w:hAnsi="Times New Roman"/>
          <w:color w:val="000000"/>
          <w:sz w:val="20"/>
        </w:rPr>
        <w:t xml:space="preserve"> </w:t>
      </w:r>
      <w:r>
        <w:rPr>
          <w:rFonts w:ascii="Times New Roman" w:hAnsi="Times New Roman"/>
          <w:color w:val="000000"/>
          <w:sz w:val="22"/>
        </w:rPr>
        <w:t>The recitals set forth above are incorporated into and made part of this Joinder Agreement. Capitalized terms not defined herein shall have the meaning provided in the Loan Agreement.</w:t>
      </w:r>
    </w:p>
    <w:p>
      <w:pPr>
        <w:pStyle w:val="TextBody"/>
        <w:bidi w:val="0"/>
        <w:spacing w:before="0" w:after="240"/>
        <w:jc w:val="both"/>
        <w:rPr>
          <w:rFonts w:ascii="Times New Roman" w:hAnsi="Times New Roman"/>
          <w:sz w:val="20"/>
        </w:rPr>
      </w:pPr>
      <w:r>
        <w:rPr>
          <w:rFonts w:ascii="Times New Roman" w:hAnsi="Times New Roman"/>
          <w:color w:val="000000"/>
          <w:sz w:val="22"/>
        </w:rPr>
        <w:t>2.</w:t>
      </w:r>
      <w:r>
        <w:rPr>
          <w:rFonts w:ascii="Times New Roman" w:hAnsi="Times New Roman"/>
          <w:color w:val="000000"/>
          <w:sz w:val="20"/>
        </w:rPr>
        <w:t xml:space="preserve"> </w:t>
      </w:r>
      <w:r>
        <w:rPr>
          <w:rFonts w:ascii="Times New Roman" w:hAnsi="Times New Roman"/>
          <w:color w:val="000000"/>
          <w:sz w:val="22"/>
        </w:rPr>
        <w:t>By signing this Joinder Agreement, Subsidiary shall be bound by the terms and conditions of the Loan Agreement the same as if it were a Borrower (as defined in the Loan Agreement) under the Loan Agreement, mutatis mutandis, provided however, that (a) with respect to (i) Section 5.1 of the Loan Agreement, Subsidiary represents that it is an entity duly organized, legally existing and in good standing under the laws of [ ], (b) neither Agent nor the Lenders shall have any duties, responsibilities or obligations to Subsidiary arising under or related to the Loan Agreement or the other Loan Documents, (c) that if Subsidiary is covered by Company’s insurance, Subsidiary shall not be required to maintain separate insurance or comply with the provisions of Sections 6.1 and 6.2 of the Loan Agreement, and (d) that as long as Company satisfies the requirements of Section 7.1 of the Loan Agreement, Subsidiary shall not have to provide Agent separate Financial Statements. To the extent that Agent or the Lenders has any duties, responsibilities or obligations arising under or related to the Loan Agreement or the other Loan Documents, those duties, responsibilities or obligations shall flow only to Company and not to Subsidiary or any other Person or entity. By way of example (and not an exclusive list): (i) Agent’s providing notice to Company in accordance with the Loan Agreement or as otherwise agreed among Company, Agent and the Lenders shall be deemed provided to Subsidiary; (ii) a Lender’s providing an Advance to Company shall be deemed an Advance to Subsidiary; and (iii) Subsidiary shall have no right to request an Advance or make any other demand on the Lenders.</w:t>
      </w:r>
    </w:p>
    <w:p>
      <w:pPr>
        <w:pStyle w:val="TextBody"/>
        <w:bidi w:val="0"/>
        <w:jc w:val="center"/>
        <w:rPr>
          <w:rFonts w:ascii="Times New Roman" w:hAnsi="Times New Roman"/>
          <w:color w:val="000000"/>
          <w:sz w:val="20"/>
        </w:rPr>
      </w:pPr>
      <w:r>
        <w:rPr>
          <w:rFonts w:ascii="Times New Roman" w:hAnsi="Times New Roman"/>
          <w:color w:val="000000"/>
          <w:sz w:val="20"/>
        </w:rPr>
        <w:t>Exhibit 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3.</w:t>
      </w:r>
      <w:r>
        <w:rPr>
          <w:rFonts w:ascii="Times New Roman" w:hAnsi="Times New Roman"/>
          <w:color w:val="000000"/>
          <w:sz w:val="20"/>
        </w:rPr>
        <w:t xml:space="preserve"> </w:t>
      </w:r>
      <w:r>
        <w:rPr>
          <w:rFonts w:ascii="Times New Roman" w:hAnsi="Times New Roman"/>
          <w:color w:val="000000"/>
          <w:sz w:val="22"/>
        </w:rPr>
        <w:t>[Subsidiary agrees not to certificate its equity securities without Agent’s prior written consent, which consent may be conditioned on the delivery of such equity securities to Agent in order to perfect Agent’s security interest in such equity securities.]</w:t>
      </w:r>
      <w:r>
        <w:rPr>
          <w:rFonts w:ascii="Times New Roman" w:hAnsi="Times New Roman"/>
          <w:color w:val="000000"/>
          <w:sz w:val="15"/>
        </w:rPr>
        <w:t>8</w:t>
      </w:r>
    </w:p>
    <w:p>
      <w:pPr>
        <w:pStyle w:val="TextBody"/>
        <w:bidi w:val="0"/>
        <w:spacing w:before="0" w:after="240"/>
        <w:jc w:val="both"/>
        <w:rPr>
          <w:rFonts w:ascii="Times New Roman" w:hAnsi="Times New Roman"/>
          <w:sz w:val="20"/>
        </w:rPr>
      </w:pPr>
      <w:r>
        <w:rPr>
          <w:rFonts w:ascii="Times New Roman" w:hAnsi="Times New Roman"/>
          <w:color w:val="000000"/>
          <w:sz w:val="22"/>
        </w:rPr>
        <w:t>4.</w:t>
      </w:r>
      <w:r>
        <w:rPr>
          <w:rFonts w:ascii="Times New Roman" w:hAnsi="Times New Roman"/>
          <w:color w:val="000000"/>
          <w:sz w:val="20"/>
        </w:rPr>
        <w:t xml:space="preserve"> </w:t>
      </w:r>
      <w:r>
        <w:rPr>
          <w:rFonts w:ascii="Times New Roman" w:hAnsi="Times New Roman"/>
          <w:color w:val="000000"/>
          <w:sz w:val="22"/>
        </w:rPr>
        <w:t>Subsidiary acknowledges that it benefits, both directly and indirectly, from the Loan Agreement, and hereby waives, for itself and on behalf on any and all successors in interest (including without limitation any assignee for the benefit of creditors, receiver, bankruptcy trustee or itself as debtor-in-possession under any bankruptcy proceeding) to the fullest extent provided by law, any and all claims, rights or defenses to the enforcement of this Joinder Agreement on the basis that (a) it failed to receive adequate consideration for the execution and delivery of this Joinder Agreement or (b) its obligations under this Joinder Agreement are avoidable as a fraudulent conveyance.</w:t>
      </w:r>
    </w:p>
    <w:p>
      <w:pPr>
        <w:pStyle w:val="TextBody"/>
        <w:bidi w:val="0"/>
        <w:spacing w:before="0" w:after="240"/>
        <w:jc w:val="both"/>
        <w:rPr>
          <w:rFonts w:ascii="Times New Roman" w:hAnsi="Times New Roman"/>
          <w:sz w:val="20"/>
        </w:rPr>
      </w:pPr>
      <w:r>
        <w:rPr>
          <w:rFonts w:ascii="Times New Roman" w:hAnsi="Times New Roman"/>
          <w:color w:val="000000"/>
          <w:sz w:val="22"/>
        </w:rPr>
        <w:t>5.</w:t>
      </w:r>
      <w:r>
        <w:rPr>
          <w:rFonts w:ascii="Times New Roman" w:hAnsi="Times New Roman"/>
          <w:color w:val="000000"/>
          <w:sz w:val="20"/>
        </w:rPr>
        <w:t xml:space="preserve"> </w:t>
      </w:r>
      <w:r>
        <w:rPr>
          <w:rFonts w:ascii="Times New Roman" w:hAnsi="Times New Roman"/>
          <w:color w:val="000000"/>
          <w:sz w:val="22"/>
        </w:rPr>
        <w:t>As security for the prompt, complete and indefeasible payment when due (whether on the payment dates or otherwise) of all the Secured Obligations, Subsidiary grants to Agent a security interest in all of Subsidiary’s right, title, and interest in and to the Collateral.</w:t>
      </w:r>
    </w:p>
    <w:p>
      <w:pPr>
        <w:pStyle w:val="TextBody"/>
        <w:bidi w:val="0"/>
        <w:spacing w:before="0" w:after="240"/>
        <w:jc w:val="both"/>
        <w:rPr>
          <w:rFonts w:ascii="Times New Roman" w:hAnsi="Times New Roman"/>
          <w:sz w:val="20"/>
        </w:rPr>
      </w:pPr>
      <w:r>
        <w:rPr>
          <w:rFonts w:ascii="Times New Roman" w:hAnsi="Times New Roman"/>
          <w:color w:val="000000"/>
          <w:sz w:val="22"/>
        </w:rPr>
        <w:t>6.</w:t>
      </w:r>
      <w:r>
        <w:rPr>
          <w:rFonts w:ascii="Times New Roman" w:hAnsi="Times New Roman"/>
          <w:color w:val="000000"/>
          <w:sz w:val="20"/>
        </w:rPr>
        <w:t xml:space="preserve"> </w:t>
      </w:r>
      <w:r>
        <w:rPr>
          <w:rFonts w:ascii="Times New Roman" w:hAnsi="Times New Roman"/>
          <w:color w:val="000000"/>
          <w:sz w:val="22"/>
        </w:rPr>
        <w:t>This Joinder Agreement shall be governed by, and construed and enforced in accordance with, the laws of the State of California, excluding conflict of laws principles that would cause the application of laws of any other jurisdiction.</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[REMAINDER OF PAGE INTENTIONALLY LEFT BLANK]</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[SIGNATURE PAGE TO JOINDER AGREEMENT]</w:t>
      </w:r>
    </w:p>
    <w:p>
      <w:pPr>
        <w:pStyle w:val="TextBody"/>
        <w:bidi w:val="0"/>
        <w:jc w:val="both"/>
        <w:rPr>
          <w:rFonts w:ascii="Times New Roman" w:hAnsi="Times New Roman"/>
          <w:color w:val="000000"/>
          <w:sz w:val="22"/>
        </w:rPr>
      </w:pPr>
      <w:r>
        <w:rPr>
          <w:rFonts w:ascii="Times New Roman" w:hAnsi="Times New Roman"/>
          <w:color w:val="000000"/>
          <w:sz w:val="22"/>
        </w:rPr>
        <w:t>SUBSIDIARY:</w:t>
      </w:r>
    </w:p>
    <w:p>
      <w:pPr>
        <w:pStyle w:val="TextBody"/>
        <w:bidi w:val="0"/>
        <w:jc w:val="both"/>
        <w:rPr>
          <w:rFonts w:ascii="Times New Roman" w:hAnsi="Times New Roman"/>
          <w:color w:val="000000"/>
          <w:sz w:val="22"/>
        </w:rPr>
      </w:pPr>
      <w:r>
        <w:rPr>
          <w:rFonts w:ascii="Times New Roman" w:hAnsi="Times New Roman"/>
          <w:color w:val="000000"/>
          <w:sz w:val="22"/>
        </w:rPr>
        <w:t xml:space="preserve">By: </w:t>
      </w:r>
    </w:p>
    <w:p>
      <w:pPr>
        <w:pStyle w:val="TextBody"/>
        <w:bidi w:val="0"/>
        <w:jc w:val="both"/>
        <w:rPr>
          <w:rFonts w:ascii="Times New Roman" w:hAnsi="Times New Roman"/>
          <w:color w:val="000000"/>
          <w:sz w:val="22"/>
        </w:rPr>
      </w:pPr>
      <w:r>
        <w:rPr>
          <w:rFonts w:ascii="Times New Roman" w:hAnsi="Times New Roman"/>
          <w:color w:val="000000"/>
          <w:sz w:val="22"/>
        </w:rPr>
        <w:t xml:space="preserve">Name: </w:t>
      </w:r>
    </w:p>
    <w:p>
      <w:pPr>
        <w:pStyle w:val="TextBody"/>
        <w:bidi w:val="0"/>
        <w:jc w:val="both"/>
        <w:rPr>
          <w:rFonts w:ascii="Times New Roman" w:hAnsi="Times New Roman"/>
          <w:color w:val="000000"/>
          <w:sz w:val="22"/>
        </w:rPr>
      </w:pPr>
      <w:r>
        <w:rPr>
          <w:rFonts w:ascii="Times New Roman" w:hAnsi="Times New Roman"/>
          <w:color w:val="000000"/>
          <w:sz w:val="22"/>
        </w:rPr>
        <w:t xml:space="preserve">Title: </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Address:</w:t>
      </w:r>
    </w:p>
    <w:p>
      <w:pPr>
        <w:pStyle w:val="TextBody"/>
        <w:bidi w:val="0"/>
        <w:jc w:val="both"/>
        <w:rPr>
          <w:rFonts w:ascii="Times New Roman" w:hAnsi="Times New Roman"/>
          <w:color w:val="000000"/>
          <w:sz w:val="22"/>
        </w:rPr>
      </w:pPr>
      <w:r>
        <w:rPr>
          <w:rFonts w:ascii="Times New Roman" w:hAnsi="Times New Roman"/>
          <w:color w:val="000000"/>
          <w:sz w:val="22"/>
        </w:rPr>
        <w:t>Telephone: __________</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email: __________</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AGENT: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HERCULES CAPITAL, INC.</w:t>
      </w:r>
    </w:p>
    <w:p>
      <w:pPr>
        <w:pStyle w:val="TextBody"/>
        <w:bidi w:val="0"/>
        <w:jc w:val="both"/>
        <w:rPr>
          <w:rFonts w:ascii="Times New Roman" w:hAnsi="Times New Roman"/>
          <w:color w:val="000000"/>
          <w:sz w:val="22"/>
        </w:rPr>
      </w:pPr>
      <w:r>
        <w:rPr>
          <w:rFonts w:ascii="Times New Roman" w:hAnsi="Times New Roman"/>
          <w:color w:val="000000"/>
          <w:sz w:val="22"/>
        </w:rPr>
        <w:t xml:space="preserve">By: </w:t>
      </w:r>
    </w:p>
    <w:p>
      <w:pPr>
        <w:pStyle w:val="TextBody"/>
        <w:bidi w:val="0"/>
        <w:jc w:val="both"/>
        <w:rPr>
          <w:rFonts w:ascii="Times New Roman" w:hAnsi="Times New Roman"/>
          <w:color w:val="000000"/>
          <w:sz w:val="22"/>
        </w:rPr>
      </w:pPr>
      <w:r>
        <w:rPr>
          <w:rFonts w:ascii="Times New Roman" w:hAnsi="Times New Roman"/>
          <w:color w:val="000000"/>
          <w:sz w:val="22"/>
        </w:rPr>
        <w:t xml:space="preserve">Name: </w:t>
      </w:r>
    </w:p>
    <w:p>
      <w:pPr>
        <w:pStyle w:val="TextBody"/>
        <w:bidi w:val="0"/>
        <w:jc w:val="both"/>
        <w:rPr>
          <w:rFonts w:ascii="Times New Roman" w:hAnsi="Times New Roman"/>
          <w:color w:val="000000"/>
          <w:sz w:val="22"/>
        </w:rPr>
      </w:pPr>
      <w:r>
        <w:rPr>
          <w:rFonts w:ascii="Times New Roman" w:hAnsi="Times New Roman"/>
          <w:color w:val="000000"/>
          <w:sz w:val="22"/>
        </w:rPr>
        <w:t xml:space="preserve">Title: </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Address:</w:t>
      </w:r>
    </w:p>
    <w:p>
      <w:pPr>
        <w:pStyle w:val="TextBody"/>
        <w:bidi w:val="0"/>
        <w:jc w:val="left"/>
        <w:rPr>
          <w:rFonts w:ascii="Times New Roman" w:hAnsi="Times New Roman"/>
          <w:color w:val="000000"/>
          <w:sz w:val="22"/>
        </w:rPr>
      </w:pPr>
      <w:r>
        <w:rPr>
          <w:rFonts w:ascii="Times New Roman" w:hAnsi="Times New Roman"/>
          <w:color w:val="000000"/>
          <w:sz w:val="22"/>
        </w:rPr>
        <w:t>1 North B Street, Suite 2000</w:t>
        <w:br/>
        <w:t>San Mateo, CA 94401</w:t>
        <w:br/>
        <w:t>email: [***]</w:t>
        <w:br/>
        <w:t>Telephone: [***]</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color w:val="000000"/>
          <w:sz w:val="13"/>
        </w:rPr>
        <w:t>_______________________________________</w:t>
      </w:r>
    </w:p>
    <w:p>
      <w:pPr>
        <w:pStyle w:val="TextBody"/>
        <w:bidi w:val="0"/>
        <w:jc w:val="both"/>
        <w:rPr>
          <w:rFonts w:ascii="Times New Roman" w:hAnsi="Times New Roman"/>
          <w:sz w:val="20"/>
        </w:rPr>
      </w:pPr>
      <w:r>
        <w:rPr>
          <w:rFonts w:ascii="Times New Roman" w:hAnsi="Times New Roman"/>
          <w:color w:val="000000"/>
          <w:sz w:val="13"/>
        </w:rPr>
        <w:t>8</w:t>
      </w:r>
      <w:r>
        <w:rPr>
          <w:rFonts w:ascii="Times New Roman" w:hAnsi="Times New Roman"/>
          <w:color w:val="000000"/>
          <w:sz w:val="20"/>
        </w:rPr>
        <w:t xml:space="preserve"> Only include if Subsidiary’s equity interests are not certificated as of the joinder date.</w:t>
      </w:r>
    </w:p>
    <w:p>
      <w:pPr>
        <w:pStyle w:val="TextBody"/>
        <w:bidi w:val="0"/>
        <w:jc w:val="center"/>
        <w:rPr>
          <w:rFonts w:ascii="Times New Roman" w:hAnsi="Times New Roman"/>
          <w:color w:val="000000"/>
          <w:sz w:val="20"/>
        </w:rPr>
      </w:pPr>
      <w:r>
        <w:rPr>
          <w:rFonts w:ascii="Times New Roman" w:hAnsi="Times New Roman"/>
          <w:color w:val="000000"/>
          <w:sz w:val="20"/>
        </w:rPr>
        <w:t>Exhibit F-2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EXHIBIT G</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ACH DEBIT AUTHORIZATION AGREEMENT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Hercules Capital, Inc.</w:t>
        <w:br/>
        <w:t>Hercules SBIC V, L.P.</w:t>
        <w:br/>
        <w:t>1 North B Street, Suite 2000</w:t>
        <w:br/>
        <w:t>San Mateo, CA 94401</w:t>
      </w:r>
    </w:p>
    <w:p>
      <w:pPr>
        <w:pStyle w:val="TextBody"/>
        <w:bidi w:val="0"/>
        <w:spacing w:before="0" w:after="240"/>
        <w:jc w:val="both"/>
        <w:rPr>
          <w:rFonts w:ascii="Times New Roman" w:hAnsi="Times New Roman"/>
          <w:sz w:val="20"/>
        </w:rPr>
      </w:pPr>
      <w:r>
        <w:rPr>
          <w:rFonts w:ascii="Times New Roman" w:hAnsi="Times New Roman"/>
          <w:color w:val="000000"/>
          <w:sz w:val="22"/>
        </w:rPr>
        <w:t>Re: Loan and Security Agreement dated November 6, 2024 (the “</w:t>
      </w:r>
      <w:r>
        <w:rPr>
          <w:rFonts w:ascii="Times New Roman" w:hAnsi="Times New Roman"/>
          <w:color w:val="000000"/>
          <w:sz w:val="22"/>
          <w:u w:val="single"/>
        </w:rPr>
        <w:t>Agreement”</w:t>
      </w:r>
      <w:r>
        <w:rPr>
          <w:rFonts w:ascii="Times New Roman" w:hAnsi="Times New Roman"/>
          <w:color w:val="000000"/>
          <w:sz w:val="22"/>
        </w:rPr>
        <w:t>) by and among Disc Medicine, Inc., a Delaware corporation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its Subsidiaries from time to time party thereto (individually and collectively with Company hereinafter referred to as “</w:t>
      </w:r>
      <w:r>
        <w:rPr>
          <w:rFonts w:ascii="Times New Roman" w:hAnsi="Times New Roman"/>
          <w:color w:val="000000"/>
          <w:sz w:val="22"/>
          <w:u w:val="single"/>
        </w:rPr>
        <w:t>Borrower</w:t>
      </w:r>
      <w:r>
        <w:rPr>
          <w:rFonts w:ascii="Times New Roman" w:hAnsi="Times New Roman"/>
          <w:color w:val="000000"/>
          <w:sz w:val="20"/>
        </w:rPr>
        <w:t>”</w:t>
      </w:r>
      <w:r>
        <w:rPr>
          <w:rFonts w:ascii="Times New Roman" w:hAnsi="Times New Roman"/>
          <w:color w:val="000000"/>
          <w:sz w:val="22"/>
        </w:rPr>
        <w:t>), Hercules Capital, Inc., as administrative agent and collateral agent (“</w:t>
      </w:r>
      <w:r>
        <w:rPr>
          <w:rFonts w:ascii="Times New Roman" w:hAnsi="Times New Roman"/>
          <w:color w:val="000000"/>
          <w:sz w:val="22"/>
          <w:u w:val="single"/>
        </w:rPr>
        <w:t>Agent</w:t>
      </w:r>
      <w:r>
        <w:rPr>
          <w:rFonts w:ascii="Times New Roman" w:hAnsi="Times New Roman"/>
          <w:color w:val="000000"/>
          <w:sz w:val="20"/>
        </w:rPr>
        <w:t>”</w:t>
      </w:r>
      <w:r>
        <w:rPr>
          <w:rFonts w:ascii="Times New Roman" w:hAnsi="Times New Roman"/>
          <w:color w:val="000000"/>
          <w:sz w:val="22"/>
        </w:rPr>
        <w:t>) and the lenders party thereto (collectively, the “</w:t>
      </w:r>
      <w:r>
        <w:rPr>
          <w:rFonts w:ascii="Times New Roman" w:hAnsi="Times New Roman"/>
          <w:color w:val="000000"/>
          <w:sz w:val="22"/>
          <w:u w:val="single"/>
        </w:rPr>
        <w:t>Lenders</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connection with the above referenced Agreement, Borrower hereby authorizes Agent or Lenders to initiate debit entries for (i) the periodic payments due under the Agreement and (ii) out-of-pocket legal fees and costs incurred by Agent or the Lenders pursuant to Section 11.12 of the Agreement to Borrower’s account indicated below. Borrower authorizes the depository institution named below to debit to such account.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FILED PUBLICLY, ACCOUNT INFO REDACTED FOR SECURITY PURPOSES]</w:t>
      </w:r>
    </w:p>
    <w:tbl>
      <w:tblPr>
        <w:tblW w:w="5087" w:type="dxa"/>
        <w:jc w:val="left"/>
        <w:tblInd w:w="0" w:type="dxa"/>
        <w:tblLayout w:type="fixed"/>
        <w:tblCellMar>
          <w:top w:w="28" w:type="dxa"/>
          <w:left w:w="28" w:type="dxa"/>
          <w:bottom w:w="28" w:type="dxa"/>
          <w:right w:w="28" w:type="dxa"/>
        </w:tblCellMar>
      </w:tblPr>
      <w:tblGrid>
        <w:gridCol w:w="2626"/>
        <w:gridCol w:w="2461"/>
      </w:tblGrid>
      <w:tr>
        <w:trPr/>
        <w:tc>
          <w:tcPr>
            <w:tcW w:w="262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262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DEPOSITORY NAME</w:t>
            </w:r>
          </w:p>
        </w:tc>
        <w:tc>
          <w:tcPr>
            <w:tcW w:w="2461"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BRANCH</w:t>
            </w:r>
          </w:p>
        </w:tc>
      </w:tr>
      <w:tr>
        <w:trPr/>
        <w:tc>
          <w:tcPr>
            <w:tcW w:w="262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CITY</w:t>
            </w:r>
          </w:p>
        </w:tc>
        <w:tc>
          <w:tcPr>
            <w:tcW w:w="24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STATE AND ZIP CODE</w:t>
            </w:r>
          </w:p>
        </w:tc>
      </w:tr>
      <w:tr>
        <w:trPr/>
        <w:tc>
          <w:tcPr>
            <w:tcW w:w="262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TRANSIT/ABA NUMBER</w:t>
            </w:r>
          </w:p>
        </w:tc>
        <w:tc>
          <w:tcPr>
            <w:tcW w:w="24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ACCOUNT NUMBER</w:t>
            </w:r>
          </w:p>
        </w:tc>
      </w:tr>
    </w:tbl>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authority will remain in full force and effect so long as any amounts are due under the Agreement.</w:t>
      </w:r>
    </w:p>
    <w:p>
      <w:pPr>
        <w:pStyle w:val="TextBody"/>
        <w:bidi w:val="0"/>
        <w:spacing w:before="0" w:after="240"/>
        <w:jc w:val="left"/>
        <w:rPr>
          <w:rFonts w:ascii="Times New Roman" w:hAnsi="Times New Roman"/>
          <w:sz w:val="20"/>
        </w:rPr>
      </w:pPr>
      <w:r>
        <w:rPr>
          <w:rFonts w:ascii="Times New Roman" w:hAnsi="Times New Roman"/>
          <w:b/>
          <w:color w:val="000000"/>
          <w:sz w:val="22"/>
        </w:rPr>
        <w:t>DISC MEDICINE, INC.</w:t>
      </w:r>
      <w:r>
        <w:rPr>
          <w:rFonts w:ascii="Times New Roman" w:hAnsi="Times New Roman"/>
          <w:color w:val="000000"/>
          <w:sz w:val="22"/>
        </w:rPr>
        <w:t>, as Borrower Agent</w:t>
      </w:r>
    </w:p>
    <w:p>
      <w:pPr>
        <w:pStyle w:val="TextBody"/>
        <w:bidi w:val="0"/>
        <w:spacing w:before="0" w:after="240"/>
        <w:jc w:val="left"/>
        <w:rPr>
          <w:rFonts w:ascii="Times New Roman" w:hAnsi="Times New Roman"/>
          <w:sz w:val="20"/>
        </w:rPr>
      </w:pPr>
      <w:r>
        <w:rPr>
          <w:rFonts w:ascii="Times New Roman" w:hAnsi="Times New Roman"/>
          <w:color w:val="000000"/>
          <w:sz w:val="22"/>
        </w:rPr>
        <w:t>Signature: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Print Name: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Title:</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Exhibit G-1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EXHIBIT H-1</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FORM OF U.S. TAX COMPLIANCE CERTIFICATE</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(For Foreign Lenders That Are Not Partnerships For U.S. Federal Income Tax Purposes)</w:t>
      </w:r>
    </w:p>
    <w:p>
      <w:pPr>
        <w:pStyle w:val="TextBody"/>
        <w:bidi w:val="0"/>
        <w:spacing w:before="0" w:after="240"/>
        <w:jc w:val="both"/>
        <w:rPr>
          <w:rFonts w:ascii="Times New Roman" w:hAnsi="Times New Roman"/>
          <w:sz w:val="20"/>
        </w:rPr>
      </w:pPr>
      <w:r>
        <w:rPr>
          <w:rFonts w:ascii="Times New Roman" w:hAnsi="Times New Roman"/>
          <w:color w:val="000000"/>
          <w:sz w:val="22"/>
        </w:rPr>
        <w:t>Reference is hereby made to the Loan and Security Agreement dated as of November 6, 2024 (as amended, supplemented or otherwise modified from time to time, the “</w:t>
      </w:r>
      <w:r>
        <w:rPr>
          <w:rFonts w:ascii="Times New Roman" w:hAnsi="Times New Roman"/>
          <w:color w:val="000000"/>
          <w:sz w:val="22"/>
          <w:u w:val="single"/>
        </w:rPr>
        <w:t>Loan Agreement</w:t>
      </w:r>
      <w:r>
        <w:rPr>
          <w:rFonts w:ascii="Times New Roman" w:hAnsi="Times New Roman"/>
          <w:color w:val="000000"/>
          <w:sz w:val="20"/>
        </w:rPr>
        <w:t>”</w:t>
      </w:r>
      <w:r>
        <w:rPr>
          <w:rFonts w:ascii="Times New Roman" w:hAnsi="Times New Roman"/>
          <w:color w:val="000000"/>
          <w:sz w:val="22"/>
        </w:rPr>
        <w:t>) by and among Disc Medicine, Inc., a Delaware corporation, and each other Person that has delivered a Joinder Agreement pursuant to Section 7.13 from time to time party to the Loan Agreement (together with Company, individually or collectively, as the context may require, “</w:t>
      </w:r>
      <w:r>
        <w:rPr>
          <w:rFonts w:ascii="Times New Roman" w:hAnsi="Times New Roman"/>
          <w:color w:val="000000"/>
          <w:sz w:val="22"/>
          <w:u w:val="single"/>
        </w:rPr>
        <w:t>Borrower</w:t>
      </w:r>
      <w:r>
        <w:rPr>
          <w:rFonts w:ascii="Times New Roman" w:hAnsi="Times New Roman"/>
          <w:color w:val="000000"/>
          <w:sz w:val="20"/>
        </w:rPr>
        <w:t>”</w:t>
      </w:r>
      <w:r>
        <w:rPr>
          <w:rFonts w:ascii="Times New Roman" w:hAnsi="Times New Roman"/>
          <w:color w:val="000000"/>
          <w:sz w:val="22"/>
        </w:rPr>
        <w:t>), the several banks and other financial institutions or entities from time to time parties thereto (collectively, referred to as the “</w:t>
      </w:r>
      <w:r>
        <w:rPr>
          <w:rFonts w:ascii="Times New Roman" w:hAnsi="Times New Roman"/>
          <w:color w:val="000000"/>
          <w:sz w:val="22"/>
          <w:u w:val="single"/>
        </w:rPr>
        <w:t>Lenders</w:t>
      </w:r>
      <w:r>
        <w:rPr>
          <w:rFonts w:ascii="Times New Roman" w:hAnsi="Times New Roman"/>
          <w:color w:val="000000"/>
          <w:sz w:val="20"/>
        </w:rPr>
        <w:t>”</w:t>
      </w:r>
      <w:r>
        <w:rPr>
          <w:rFonts w:ascii="Times New Roman" w:hAnsi="Times New Roman"/>
          <w:color w:val="000000"/>
          <w:sz w:val="22"/>
        </w:rPr>
        <w:t>), and HERCULES CAPITAL, INC., a Maryland corporation, in its capacity as administrative agent and collateral agent for itself and the Lenders (in such capacity, the “</w:t>
      </w:r>
      <w:r>
        <w:rPr>
          <w:rFonts w:ascii="Times New Roman" w:hAnsi="Times New Roman"/>
          <w:color w:val="000000"/>
          <w:sz w:val="22"/>
          <w:u w:val="single"/>
        </w:rPr>
        <w:t>Agent</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Pursuant to the provisions of Addendum 1 of the Loan Agreement, the undersigned hereby certifies that (i) it is the sole record and beneficial owner of the Loan(s) (as well as any promissory note(s) evidencing such Loan(s)) in respect of which it is providing this certificate, (ii) it is not a “bank” within the meaning of Section 881(c)(3)(A) of the Code, (iii) it is not a “ten percent shareholder” of Borrower within the meaning of Section 871(h)(3)(B) of the Code and (iv) it is not a “controlled foreign corporation” related to Borrower as described in Section 881(c)(3)(C) of the Code.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undersigned has furnished the Agent and Borrower with a certificate of its non-U.S. Person status on IRS Form W-8BEN or IRS Form W-8BEN-E. By executing this certificate, the undersigned agrees that (1) if the information provided in this certificate changes, the undersigned shall promptly so inform Borrower and the Agent, and (2) the undersigned shall have at all times furnished Borrower and the Agent with a properly completed and currently effective certificate in either the calendar year in which each payment is to be made to the undersigned, or in either of the two calendar years preceding such payments.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Unless otherwise defined herein, terms defined in the Loan Agreement and used herein shall have the meanings given to them in the Loan Agreement.</w:t>
      </w:r>
    </w:p>
    <w:p>
      <w:pPr>
        <w:pStyle w:val="TextBody"/>
        <w:bidi w:val="0"/>
        <w:spacing w:before="0" w:after="480"/>
        <w:jc w:val="both"/>
        <w:rPr>
          <w:rFonts w:ascii="Times New Roman" w:hAnsi="Times New Roman"/>
          <w:sz w:val="20"/>
        </w:rPr>
      </w:pPr>
      <w:r>
        <w:rPr>
          <w:rFonts w:ascii="Times New Roman" w:hAnsi="Times New Roman"/>
          <w:color w:val="000000"/>
          <w:sz w:val="22"/>
        </w:rPr>
        <w:t>Date: ___________, 20___</w:t>
      </w:r>
      <w:r>
        <w:rPr>
          <w:rFonts w:ascii="Times New Roman" w:hAnsi="Times New Roman"/>
          <w:color w:val="000000"/>
          <w:sz w:val="20"/>
        </w:rPr>
        <w:t xml:space="preserve"> </w:t>
      </w:r>
      <w:r>
        <w:rPr>
          <w:rFonts w:ascii="Times New Roman" w:hAnsi="Times New Roman"/>
          <w:color w:val="000000"/>
          <w:sz w:val="22"/>
        </w:rPr>
        <w:t>[NAME OF LENDER]</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Name: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Title:</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Exhibit H-1-1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EXHIBIT H-2</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FORM OF U.S. TAX COMPLIANCE CERTIFICATE</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(For Foreign Participants That Are Not Partnerships For U.S. Federal Income Tax Purposes)</w:t>
      </w:r>
    </w:p>
    <w:p>
      <w:pPr>
        <w:pStyle w:val="TextBody"/>
        <w:bidi w:val="0"/>
        <w:spacing w:before="0" w:after="240"/>
        <w:jc w:val="both"/>
        <w:rPr>
          <w:rFonts w:ascii="Times New Roman" w:hAnsi="Times New Roman"/>
          <w:sz w:val="20"/>
        </w:rPr>
      </w:pPr>
      <w:r>
        <w:rPr>
          <w:rFonts w:ascii="Times New Roman" w:hAnsi="Times New Roman"/>
          <w:color w:val="000000"/>
          <w:sz w:val="22"/>
        </w:rPr>
        <w:t>Reference is hereby made to the Loan and Security Agreement dated as of November 6, 2024 (as amended, supplemented or otherwise modified from time to time, the “</w:t>
      </w:r>
      <w:r>
        <w:rPr>
          <w:rFonts w:ascii="Times New Roman" w:hAnsi="Times New Roman"/>
          <w:color w:val="000000"/>
          <w:sz w:val="22"/>
          <w:u w:val="single"/>
        </w:rPr>
        <w:t>Loan Agreement</w:t>
      </w:r>
      <w:r>
        <w:rPr>
          <w:rFonts w:ascii="Times New Roman" w:hAnsi="Times New Roman"/>
          <w:color w:val="000000"/>
          <w:sz w:val="20"/>
        </w:rPr>
        <w:t>”</w:t>
      </w:r>
      <w:r>
        <w:rPr>
          <w:rFonts w:ascii="Times New Roman" w:hAnsi="Times New Roman"/>
          <w:color w:val="000000"/>
          <w:sz w:val="22"/>
        </w:rPr>
        <w:t>) by and among Disc Medicine, Inc., a Delaware corporation, and each other Person that has delivered a Joinder Agreement pursuant to Section 7.13 from time to time party to the Loan Agreement (together with Company, individually or collectively, as the context may require, “</w:t>
      </w:r>
      <w:r>
        <w:rPr>
          <w:rFonts w:ascii="Times New Roman" w:hAnsi="Times New Roman"/>
          <w:color w:val="000000"/>
          <w:sz w:val="22"/>
          <w:u w:val="single"/>
        </w:rPr>
        <w:t>Borrower</w:t>
      </w:r>
      <w:r>
        <w:rPr>
          <w:rFonts w:ascii="Times New Roman" w:hAnsi="Times New Roman"/>
          <w:color w:val="000000"/>
          <w:sz w:val="20"/>
        </w:rPr>
        <w:t>”</w:t>
      </w:r>
      <w:r>
        <w:rPr>
          <w:rFonts w:ascii="Times New Roman" w:hAnsi="Times New Roman"/>
          <w:color w:val="000000"/>
          <w:sz w:val="22"/>
        </w:rPr>
        <w:t>), the several banks and other financial institutions or entities from time to time parties thereto (collectively, referred to as the “</w:t>
      </w:r>
      <w:r>
        <w:rPr>
          <w:rFonts w:ascii="Times New Roman" w:hAnsi="Times New Roman"/>
          <w:color w:val="000000"/>
          <w:sz w:val="22"/>
          <w:u w:val="single"/>
        </w:rPr>
        <w:t>Lenders</w:t>
      </w:r>
      <w:r>
        <w:rPr>
          <w:rFonts w:ascii="Times New Roman" w:hAnsi="Times New Roman"/>
          <w:color w:val="000000"/>
          <w:sz w:val="20"/>
        </w:rPr>
        <w:t>”</w:t>
      </w:r>
      <w:r>
        <w:rPr>
          <w:rFonts w:ascii="Times New Roman" w:hAnsi="Times New Roman"/>
          <w:color w:val="000000"/>
          <w:sz w:val="22"/>
        </w:rPr>
        <w:t>), and HERCULES CAPITAL, INC., a Maryland corporation, in its capacity as administrative agent and collateral agent for itself and the Lenders (in such capacity, the “</w:t>
      </w:r>
      <w:r>
        <w:rPr>
          <w:rFonts w:ascii="Times New Roman" w:hAnsi="Times New Roman"/>
          <w:color w:val="000000"/>
          <w:sz w:val="22"/>
          <w:u w:val="single"/>
        </w:rPr>
        <w:t>Agent</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Pursuant to the provisions of Addendum 1 of the Loan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Borrower within the meaning of Section 871(h)(3)(B) of the Code and (iv) it is not a “controlled foreign corporation” related to Borrower as described in Section 881(c)(3)(C) of the Code.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undersigned has furnished its participating Lender with a certificate of its non-U.S. Person status on IRS Form W-8BEN or IRS Form W-8BEN-E. By executing this certificate, the undersigned agrees that (1) if the information provided in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Unless otherwise defined herein, terms defined in the Loan Agreement and used herein shall have the meanings given to them in the Loan Agreement.</w:t>
      </w:r>
    </w:p>
    <w:p>
      <w:pPr>
        <w:pStyle w:val="TextBody"/>
        <w:bidi w:val="0"/>
        <w:spacing w:before="0" w:after="480"/>
        <w:jc w:val="both"/>
        <w:rPr>
          <w:rFonts w:ascii="Times New Roman" w:hAnsi="Times New Roman"/>
          <w:sz w:val="20"/>
        </w:rPr>
      </w:pPr>
      <w:r>
        <w:rPr>
          <w:rFonts w:ascii="Times New Roman" w:hAnsi="Times New Roman"/>
          <w:color w:val="000000"/>
          <w:sz w:val="22"/>
        </w:rPr>
        <w:t>Date: ___________, 20___</w:t>
      </w:r>
      <w:r>
        <w:rPr>
          <w:rFonts w:ascii="Times New Roman" w:hAnsi="Times New Roman"/>
          <w:color w:val="000000"/>
          <w:sz w:val="20"/>
        </w:rPr>
        <w:t xml:space="preserve"> </w:t>
      </w:r>
      <w:r>
        <w:rPr>
          <w:rFonts w:ascii="Times New Roman" w:hAnsi="Times New Roman"/>
          <w:color w:val="000000"/>
          <w:sz w:val="22"/>
        </w:rPr>
        <w:t>[NAME OF LENDER]</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Name: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Title:</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Exhibit H-1-2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EXHIBIT H-3</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FORM OF U.S. TAX COMPLIANCE CERTIFICATE</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(For Foreign Participants That Are Partnerships For U.S. Federal Income Tax Purposes)</w:t>
      </w:r>
    </w:p>
    <w:p>
      <w:pPr>
        <w:pStyle w:val="TextBody"/>
        <w:bidi w:val="0"/>
        <w:spacing w:before="0" w:after="240"/>
        <w:jc w:val="both"/>
        <w:rPr>
          <w:rFonts w:ascii="Times New Roman" w:hAnsi="Times New Roman"/>
          <w:sz w:val="20"/>
        </w:rPr>
      </w:pPr>
      <w:r>
        <w:rPr>
          <w:rFonts w:ascii="Times New Roman" w:hAnsi="Times New Roman"/>
          <w:color w:val="000000"/>
          <w:sz w:val="22"/>
        </w:rPr>
        <w:t>Reference is hereby made to the Loan and Security Agreement dated as of November 6, 2024 (as amended, supplemented or otherwise modified from time to time, the “</w:t>
      </w:r>
      <w:r>
        <w:rPr>
          <w:rFonts w:ascii="Times New Roman" w:hAnsi="Times New Roman"/>
          <w:color w:val="000000"/>
          <w:sz w:val="22"/>
          <w:u w:val="single"/>
        </w:rPr>
        <w:t>Loan Agreement</w:t>
      </w:r>
      <w:r>
        <w:rPr>
          <w:rFonts w:ascii="Times New Roman" w:hAnsi="Times New Roman"/>
          <w:color w:val="000000"/>
          <w:sz w:val="20"/>
        </w:rPr>
        <w:t>”</w:t>
      </w:r>
      <w:r>
        <w:rPr>
          <w:rFonts w:ascii="Times New Roman" w:hAnsi="Times New Roman"/>
          <w:color w:val="000000"/>
          <w:sz w:val="22"/>
        </w:rPr>
        <w:t>) by and among Disc Medicine, Inc., a Delaware corporation, and each other Person that has delivered a Joinder Agreement pursuant to Section 7.13 from time to time party to the Loan Agreement (together with Company, individually or collectively, as the context may require, “</w:t>
      </w:r>
      <w:r>
        <w:rPr>
          <w:rFonts w:ascii="Times New Roman" w:hAnsi="Times New Roman"/>
          <w:color w:val="000000"/>
          <w:sz w:val="22"/>
          <w:u w:val="single"/>
        </w:rPr>
        <w:t>Borrower</w:t>
      </w:r>
      <w:r>
        <w:rPr>
          <w:rFonts w:ascii="Times New Roman" w:hAnsi="Times New Roman"/>
          <w:color w:val="000000"/>
          <w:sz w:val="20"/>
        </w:rPr>
        <w:t>”</w:t>
      </w:r>
      <w:r>
        <w:rPr>
          <w:rFonts w:ascii="Times New Roman" w:hAnsi="Times New Roman"/>
          <w:color w:val="000000"/>
          <w:sz w:val="22"/>
        </w:rPr>
        <w:t>), the several banks and other financial institutions or entities from time to time parties thereto (collectively, referred to as the “</w:t>
      </w:r>
      <w:r>
        <w:rPr>
          <w:rFonts w:ascii="Times New Roman" w:hAnsi="Times New Roman"/>
          <w:color w:val="000000"/>
          <w:sz w:val="22"/>
          <w:u w:val="single"/>
        </w:rPr>
        <w:t>Lenders</w:t>
      </w:r>
      <w:r>
        <w:rPr>
          <w:rFonts w:ascii="Times New Roman" w:hAnsi="Times New Roman"/>
          <w:color w:val="000000"/>
          <w:sz w:val="20"/>
        </w:rPr>
        <w:t>”</w:t>
      </w:r>
      <w:r>
        <w:rPr>
          <w:rFonts w:ascii="Times New Roman" w:hAnsi="Times New Roman"/>
          <w:color w:val="000000"/>
          <w:sz w:val="22"/>
        </w:rPr>
        <w:t>), and HERCULES CAPITAL, INC., a Maryland corporation, in its capacity as administrative agent and collateral agent for itself and the Lenders (in such capacity, the “</w:t>
      </w:r>
      <w:r>
        <w:rPr>
          <w:rFonts w:ascii="Times New Roman" w:hAnsi="Times New Roman"/>
          <w:color w:val="000000"/>
          <w:sz w:val="22"/>
          <w:u w:val="single"/>
        </w:rPr>
        <w:t>Agent</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Pursuant to the provisions of Addendum 1 of the Loan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Borrower within the meaning of Section 871(h)(3)(B) of the Code and (v) none of its direct or indirect partners/members is a “controlled foreign corporation” related to Borrower as described in Section 881(c)(3)(C) of the Code.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undersigned has furnished its participating Lender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in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Unless otherwise defined herein, terms defined in the Loan Agreement and used herein shall have the meanings given to them in the Loan Agreement.</w:t>
      </w:r>
    </w:p>
    <w:p>
      <w:pPr>
        <w:pStyle w:val="TextBody"/>
        <w:bidi w:val="0"/>
        <w:spacing w:before="0" w:after="480"/>
        <w:jc w:val="both"/>
        <w:rPr>
          <w:rFonts w:ascii="Times New Roman" w:hAnsi="Times New Roman"/>
          <w:sz w:val="20"/>
        </w:rPr>
      </w:pPr>
      <w:r>
        <w:rPr>
          <w:rFonts w:ascii="Times New Roman" w:hAnsi="Times New Roman"/>
          <w:color w:val="000000"/>
          <w:sz w:val="22"/>
        </w:rPr>
        <w:t>Date: ___________, 20___</w:t>
      </w:r>
      <w:r>
        <w:rPr>
          <w:rFonts w:ascii="Times New Roman" w:hAnsi="Times New Roman"/>
          <w:color w:val="000000"/>
          <w:sz w:val="20"/>
        </w:rPr>
        <w:t xml:space="preserve"> </w:t>
      </w:r>
      <w:r>
        <w:rPr>
          <w:rFonts w:ascii="Times New Roman" w:hAnsi="Times New Roman"/>
          <w:color w:val="000000"/>
          <w:sz w:val="22"/>
        </w:rPr>
        <w:t>[NAME OF PARTICIPANT]</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Name: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Title:</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r>
    </w:p>
    <w:p>
      <w:pPr>
        <w:pStyle w:val="TextBody"/>
        <w:bidi w:val="0"/>
        <w:spacing w:before="0" w:after="240"/>
        <w:jc w:val="center"/>
        <w:rPr/>
      </w:pPr>
      <w:r>
        <w:rPr/>
        <w:t> </w:t>
      </w:r>
    </w:p>
    <w:p>
      <w:pPr>
        <w:pStyle w:val="TextBody"/>
        <w:bidi w:val="0"/>
        <w:spacing w:before="0" w:after="24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Exhibit H-1-3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EXHIBIT H-4</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FORM OF U.S. TAX COMPLIANCE CERTIFICATE</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(For Foreign Lenders That Are Partnerships For U.S. Federal Income Tax Purposes)</w:t>
      </w:r>
    </w:p>
    <w:p>
      <w:pPr>
        <w:pStyle w:val="TextBody"/>
        <w:bidi w:val="0"/>
        <w:spacing w:before="0" w:after="240"/>
        <w:jc w:val="both"/>
        <w:rPr>
          <w:rFonts w:ascii="Times New Roman" w:hAnsi="Times New Roman"/>
          <w:sz w:val="20"/>
        </w:rPr>
      </w:pPr>
      <w:r>
        <w:rPr>
          <w:rFonts w:ascii="Times New Roman" w:hAnsi="Times New Roman"/>
          <w:color w:val="000000"/>
          <w:sz w:val="22"/>
        </w:rPr>
        <w:t>Reference is hereby made to the Loan and Security Agreement dated as of November 6, 2024 (as amended, supplemented or otherwise modified from time to time, the “</w:t>
      </w:r>
      <w:r>
        <w:rPr>
          <w:rFonts w:ascii="Times New Roman" w:hAnsi="Times New Roman"/>
          <w:color w:val="000000"/>
          <w:sz w:val="22"/>
          <w:u w:val="single"/>
        </w:rPr>
        <w:t>Loan Agreement</w:t>
      </w:r>
      <w:r>
        <w:rPr>
          <w:rFonts w:ascii="Times New Roman" w:hAnsi="Times New Roman"/>
          <w:color w:val="000000"/>
          <w:sz w:val="20"/>
        </w:rPr>
        <w:t>”</w:t>
      </w:r>
      <w:r>
        <w:rPr>
          <w:rFonts w:ascii="Times New Roman" w:hAnsi="Times New Roman"/>
          <w:color w:val="000000"/>
          <w:sz w:val="22"/>
        </w:rPr>
        <w:t>) by and among Disc Medicine, Inc., a Delaware corporation, and each other Person that has delivered a Joinder Agreement pursuant to Section 7.13 from time to time party to the Loan Agreement (together with Company, individually or collectively, as the context may require, “</w:t>
      </w:r>
      <w:r>
        <w:rPr>
          <w:rFonts w:ascii="Times New Roman" w:hAnsi="Times New Roman"/>
          <w:color w:val="000000"/>
          <w:sz w:val="22"/>
          <w:u w:val="single"/>
        </w:rPr>
        <w:t>Borrower</w:t>
      </w:r>
      <w:r>
        <w:rPr>
          <w:rFonts w:ascii="Times New Roman" w:hAnsi="Times New Roman"/>
          <w:color w:val="000000"/>
          <w:sz w:val="20"/>
        </w:rPr>
        <w:t>”</w:t>
      </w:r>
      <w:r>
        <w:rPr>
          <w:rFonts w:ascii="Times New Roman" w:hAnsi="Times New Roman"/>
          <w:color w:val="000000"/>
          <w:sz w:val="22"/>
        </w:rPr>
        <w:t>), the several banks and other financial institutions or entities from time to time parties thereto (collectively, referred to as the “</w:t>
      </w:r>
      <w:r>
        <w:rPr>
          <w:rFonts w:ascii="Times New Roman" w:hAnsi="Times New Roman"/>
          <w:color w:val="000000"/>
          <w:sz w:val="22"/>
          <w:u w:val="single"/>
        </w:rPr>
        <w:t>Lenders</w:t>
      </w:r>
      <w:r>
        <w:rPr>
          <w:rFonts w:ascii="Times New Roman" w:hAnsi="Times New Roman"/>
          <w:color w:val="000000"/>
          <w:sz w:val="20"/>
        </w:rPr>
        <w:t>”</w:t>
      </w:r>
      <w:r>
        <w:rPr>
          <w:rFonts w:ascii="Times New Roman" w:hAnsi="Times New Roman"/>
          <w:color w:val="000000"/>
          <w:sz w:val="22"/>
        </w:rPr>
        <w:t>), and HERCULES CAPITAL, INC., a Maryland corporation, in its capacity as administrative agent and collateral agent for itself and the Lenders (in such capacity, the “</w:t>
      </w:r>
      <w:r>
        <w:rPr>
          <w:rFonts w:ascii="Times New Roman" w:hAnsi="Times New Roman"/>
          <w:color w:val="000000"/>
          <w:sz w:val="22"/>
          <w:u w:val="single"/>
        </w:rPr>
        <w:t>Agent</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Pursuant to the provisions of Addendum 1 of the Loan Agreement, the undersigned hereby certifies that (i) it is the sole record owner of the Loan(s) (as well as any promissory note(s) evidencing such Loan(s)) in respect of which it is providing this certificate, (ii) its direct or indirect partners/members are the sole beneficial owners of such Loan(s) (as well as any promissory note(s) evidencing such Loan(s)), (iii) with respect to the extension of credit pursuant to this Loan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Borrower within the meaning of Section 871(h)(3)(B) of the Code and (v) none of its direct or indirect partners/members is a “controlled foreign corporation” related to Borrower as described in Section 881(c)(3)(C) of the Code.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undersigned has furnished the Agent and Borrower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in this certificate changes, the undersigned shall promptly so inform Borrower and the Agent, and (2) the undersigned shall have at all times furnished Borrower and the Agent with a properly completed and currently effective certificate in either the calendar year in which each payment is to be made to the undersigned, or in either of the two calendar years preceding such payments.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Unless otherwise defined herein, terms defined in the Loan Agreement and used herein shall have the meanings given to them in the Loan Agreement.</w:t>
      </w:r>
    </w:p>
    <w:p>
      <w:pPr>
        <w:pStyle w:val="TextBody"/>
        <w:bidi w:val="0"/>
        <w:spacing w:before="0" w:after="480"/>
        <w:jc w:val="both"/>
        <w:rPr>
          <w:rFonts w:ascii="Times New Roman" w:hAnsi="Times New Roman"/>
          <w:sz w:val="20"/>
        </w:rPr>
      </w:pPr>
      <w:r>
        <w:rPr>
          <w:rFonts w:ascii="Times New Roman" w:hAnsi="Times New Roman"/>
          <w:color w:val="000000"/>
          <w:sz w:val="22"/>
        </w:rPr>
        <w:t>Date: ___________, 20___</w:t>
      </w:r>
      <w:r>
        <w:rPr>
          <w:rFonts w:ascii="Times New Roman" w:hAnsi="Times New Roman"/>
          <w:color w:val="000000"/>
          <w:sz w:val="20"/>
        </w:rPr>
        <w:t xml:space="preserve"> </w:t>
      </w:r>
      <w:r>
        <w:rPr>
          <w:rFonts w:ascii="Times New Roman" w:hAnsi="Times New Roman"/>
          <w:color w:val="000000"/>
          <w:sz w:val="22"/>
        </w:rPr>
        <w:t>[NAME OF LENDER]</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Name: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Title:</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Exhibit H-1-4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SCHEDULE 1.1</w:t>
      </w:r>
    </w:p>
    <w:p>
      <w:pPr>
        <w:pStyle w:val="TextBody"/>
        <w:bidi w:val="0"/>
        <w:spacing w:before="0" w:after="600"/>
        <w:jc w:val="center"/>
        <w:rPr>
          <w:rFonts w:ascii="Times New Roman" w:hAnsi="Times New Roman"/>
          <w:b/>
          <w:color w:val="000000"/>
          <w:sz w:val="22"/>
        </w:rPr>
      </w:pPr>
      <w:r>
        <w:rPr>
          <w:rFonts w:ascii="Times New Roman" w:hAnsi="Times New Roman"/>
          <w:b/>
          <w:color w:val="000000"/>
          <w:sz w:val="22"/>
        </w:rPr>
        <w:t>COMMITMENTS</w:t>
      </w:r>
    </w:p>
    <w:tbl>
      <w:tblPr>
        <w:tblW w:w="11859" w:type="dxa"/>
        <w:jc w:val="left"/>
        <w:tblInd w:w="0" w:type="dxa"/>
        <w:tblLayout w:type="fixed"/>
        <w:tblCellMar>
          <w:top w:w="28" w:type="dxa"/>
          <w:left w:w="28" w:type="dxa"/>
          <w:bottom w:w="28" w:type="dxa"/>
          <w:right w:w="28" w:type="dxa"/>
        </w:tblCellMar>
      </w:tblPr>
      <w:tblGrid>
        <w:gridCol w:w="1186"/>
        <w:gridCol w:w="1246"/>
        <w:gridCol w:w="1246"/>
        <w:gridCol w:w="1246"/>
        <w:gridCol w:w="1246"/>
        <w:gridCol w:w="1246"/>
        <w:gridCol w:w="1246"/>
        <w:gridCol w:w="1246"/>
        <w:gridCol w:w="1951"/>
      </w:tblGrid>
      <w:tr>
        <w:trPr/>
        <w:tc>
          <w:tcPr>
            <w:tcW w:w="118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118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LENDERS</w:t>
            </w:r>
          </w:p>
        </w:tc>
        <w:tc>
          <w:tcPr>
            <w:tcW w:w="124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TRANCHE 1-A</w:t>
            </w:r>
          </w:p>
        </w:tc>
        <w:tc>
          <w:tcPr>
            <w:tcW w:w="124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TRANCHE 1-B</w:t>
            </w:r>
          </w:p>
        </w:tc>
        <w:tc>
          <w:tcPr>
            <w:tcW w:w="1246" w:type="dxa"/>
            <w:tcBorders>
              <w:top w:val="single" w:sz="4" w:space="0" w:color="000000"/>
              <w:bottom w:val="single" w:sz="4" w:space="0" w:color="000000"/>
              <w:right w:val="single" w:sz="4" w:space="0" w:color="000000"/>
            </w:tcBorders>
            <w:shd w:fill="E6E6FA" w:val="clear"/>
            <w:tcMar>
              <w:left w:w="0" w:type="dxa"/>
              <w:right w:w="115" w:type="dxa"/>
            </w:tcMar>
            <w:vAlign w:val="center"/>
          </w:tcPr>
          <w:p>
            <w:pPr>
              <w:pStyle w:val="TableContents"/>
              <w:bidi w:val="0"/>
              <w:spacing w:before="0" w:after="283"/>
              <w:jc w:val="center"/>
              <w:rPr>
                <w:rFonts w:ascii="Times New Roman" w:hAnsi="Times New Roman"/>
                <w:b/>
                <w:color w:val="0000FF"/>
                <w:sz w:val="22"/>
                <w:u w:val="single"/>
              </w:rPr>
            </w:pPr>
            <w:r>
              <w:rPr>
                <w:rFonts w:ascii="Times New Roman" w:hAnsi="Times New Roman"/>
                <w:b/>
                <w:color w:val="0000FF"/>
                <w:sz w:val="22"/>
                <w:u w:val="single"/>
              </w:rPr>
              <w:t>TRANCHE 1-C</w:t>
            </w:r>
          </w:p>
        </w:tc>
        <w:tc>
          <w:tcPr>
            <w:tcW w:w="124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sz w:val="22"/>
              </w:rPr>
            </w:pPr>
            <w:r>
              <w:rPr>
                <w:rFonts w:ascii="Times New Roman" w:hAnsi="Times New Roman"/>
                <w:b/>
                <w:color w:val="000000"/>
                <w:sz w:val="22"/>
              </w:rPr>
              <w:t>TRANCHE 1-</w:t>
            </w:r>
            <w:r>
              <w:rPr>
                <w:rFonts w:ascii="Times New Roman" w:hAnsi="Times New Roman"/>
                <w:b/>
                <w:strike/>
                <w:color w:val="FF0000"/>
                <w:sz w:val="22"/>
              </w:rPr>
              <w:t>C</w:t>
            </w:r>
            <w:r>
              <w:rPr>
                <w:rFonts w:ascii="Times New Roman" w:hAnsi="Times New Roman"/>
                <w:b/>
                <w:color w:val="0000FF"/>
                <w:sz w:val="22"/>
                <w:u w:val="single"/>
              </w:rPr>
              <w:t>D</w:t>
            </w:r>
          </w:p>
        </w:tc>
        <w:tc>
          <w:tcPr>
            <w:tcW w:w="124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TRANCHE 2</w:t>
            </w:r>
          </w:p>
        </w:tc>
        <w:tc>
          <w:tcPr>
            <w:tcW w:w="124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TRANCHE 3</w:t>
            </w:r>
          </w:p>
        </w:tc>
        <w:tc>
          <w:tcPr>
            <w:tcW w:w="124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TRANCHE 4</w:t>
            </w:r>
          </w:p>
        </w:tc>
        <w:tc>
          <w:tcPr>
            <w:tcW w:w="1951"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TOTAL COMMITMENTS</w:t>
            </w:r>
          </w:p>
        </w:tc>
      </w:tr>
      <w:tr>
        <w:trPr/>
        <w:tc>
          <w:tcPr>
            <w:tcW w:w="118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Hercules Capital, Inc.</w:t>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9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118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Hercules Capital IV, L.P.</w:t>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9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118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Hercules SBIC V, L.P.</w:t>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9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118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center"/>
              <w:rPr>
                <w:rFonts w:ascii="Times New Roman" w:hAnsi="Times New Roman"/>
                <w:sz w:val="22"/>
              </w:rPr>
            </w:pPr>
            <w:r>
              <w:rPr>
                <w:rFonts w:ascii="Times New Roman" w:hAnsi="Times New Roman"/>
                <w:color w:val="000000"/>
                <w:sz w:val="22"/>
              </w:rPr>
              <w:t xml:space="preserve">Hercules </w:t>
            </w:r>
            <w:r>
              <w:rPr>
                <w:rFonts w:ascii="Times New Roman" w:hAnsi="Times New Roman"/>
                <w:color w:val="FF0000"/>
                <w:sz w:val="22"/>
              </w:rPr>
              <w:t xml:space="preserve">Capital </w:t>
            </w:r>
            <w:r>
              <w:rPr>
                <w:rFonts w:ascii="Times New Roman" w:hAnsi="Times New Roman"/>
                <w:color w:val="000000"/>
                <w:sz w:val="22"/>
              </w:rPr>
              <w:t>Private Credit Fund 1 L.P.</w:t>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9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1186" w:type="dxa"/>
            <w:tcBorders>
              <w:left w:val="single" w:sz="4" w:space="0" w:color="000000"/>
              <w:bottom w:val="single" w:sz="4" w:space="0" w:color="000000"/>
              <w:right w:val="single" w:sz="4" w:space="0" w:color="000000"/>
            </w:tcBorders>
            <w:shd w:fill="E6E6FA" w:val="clear"/>
            <w:tcMar>
              <w:top w:w="0" w:type="dxa"/>
              <w:left w:w="115" w:type="dxa"/>
              <w:right w:w="115" w:type="dxa"/>
            </w:tcMar>
            <w:vAlign w:val="center"/>
          </w:tcPr>
          <w:p>
            <w:pPr>
              <w:pStyle w:val="TableContents"/>
              <w:bidi w:val="0"/>
              <w:spacing w:before="0" w:after="283"/>
              <w:jc w:val="center"/>
              <w:rPr>
                <w:rFonts w:ascii="Times New Roman" w:hAnsi="Times New Roman"/>
                <w:sz w:val="22"/>
              </w:rPr>
            </w:pPr>
            <w:r>
              <w:rPr>
                <w:rFonts w:ascii="Times New Roman" w:hAnsi="Times New Roman"/>
                <w:color w:val="0000FF"/>
                <w:sz w:val="22"/>
              </w:rPr>
              <w:t xml:space="preserve">Hercules Private </w:t>
            </w:r>
            <w:r>
              <w:rPr>
                <w:rFonts w:ascii="Times New Roman" w:hAnsi="Times New Roman"/>
                <w:color w:val="0000FF"/>
                <w:sz w:val="22"/>
                <w:u w:val="single"/>
              </w:rPr>
              <w:t>Fund One LLC</w:t>
            </w:r>
          </w:p>
        </w:tc>
        <w:tc>
          <w:tcPr>
            <w:tcW w:w="1246"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951"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118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Hercules Private Global Venture Growth Fund I L.P.</w:t>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9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1186" w:type="dxa"/>
            <w:tcBorders>
              <w:left w:val="single" w:sz="4" w:space="0" w:color="000000"/>
              <w:bottom w:val="single" w:sz="4" w:space="0" w:color="000000"/>
              <w:right w:val="single" w:sz="4" w:space="0" w:color="000000"/>
            </w:tcBorders>
            <w:shd w:fill="E6E6FA" w:val="clear"/>
            <w:tcMar>
              <w:top w:w="0" w:type="dxa"/>
              <w:left w:w="115" w:type="dxa"/>
              <w:right w:w="115" w:type="dxa"/>
            </w:tcMar>
            <w:vAlign w:val="center"/>
          </w:tcPr>
          <w:p>
            <w:pPr>
              <w:pStyle w:val="TableContents"/>
              <w:bidi w:val="0"/>
              <w:spacing w:before="0" w:after="283"/>
              <w:jc w:val="center"/>
              <w:rPr>
                <w:rFonts w:ascii="Times New Roman" w:hAnsi="Times New Roman"/>
                <w:sz w:val="22"/>
              </w:rPr>
            </w:pPr>
            <w:r>
              <w:rPr>
                <w:rFonts w:ascii="Times New Roman" w:hAnsi="Times New Roman"/>
                <w:color w:val="0000FF"/>
                <w:sz w:val="22"/>
              </w:rPr>
              <w:t xml:space="preserve">Hercules Growth Lending Fund IV </w:t>
            </w:r>
            <w:r>
              <w:rPr>
                <w:rFonts w:ascii="Times New Roman" w:hAnsi="Times New Roman"/>
                <w:color w:val="0000FF"/>
                <w:sz w:val="22"/>
                <w:u w:val="single"/>
              </w:rPr>
              <w:t>LP</w:t>
            </w:r>
          </w:p>
        </w:tc>
        <w:tc>
          <w:tcPr>
            <w:tcW w:w="1246"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951"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1186" w:type="dxa"/>
            <w:tcBorders>
              <w:left w:val="single" w:sz="4" w:space="0" w:color="000000"/>
              <w:bottom w:val="single" w:sz="4" w:space="0" w:color="000000"/>
              <w:right w:val="single" w:sz="4" w:space="0" w:color="000000"/>
            </w:tcBorders>
            <w:shd w:fill="E6E6FA" w:val="clear"/>
            <w:tcMar>
              <w:top w:w="0" w:type="dxa"/>
              <w:left w:w="115" w:type="dxa"/>
              <w:right w:w="115" w:type="dxa"/>
            </w:tcMar>
            <w:vAlign w:val="center"/>
          </w:tcPr>
          <w:p>
            <w:pPr>
              <w:pStyle w:val="TableContents"/>
              <w:bidi w:val="0"/>
              <w:spacing w:before="0" w:after="283"/>
              <w:jc w:val="center"/>
              <w:rPr>
                <w:rFonts w:ascii="Times New Roman" w:hAnsi="Times New Roman"/>
                <w:sz w:val="22"/>
              </w:rPr>
            </w:pPr>
            <w:r>
              <w:rPr>
                <w:rFonts w:ascii="Times New Roman" w:hAnsi="Times New Roman"/>
                <w:color w:val="0000FF"/>
                <w:sz w:val="22"/>
              </w:rPr>
              <w:t>Hercules</w:t>
            </w:r>
            <w:r>
              <w:rPr>
                <w:rFonts w:ascii="Times New Roman" w:hAnsi="Times New Roman"/>
                <w:color w:val="0000FF"/>
                <w:sz w:val="22"/>
                <w:u w:val="single"/>
              </w:rPr>
              <w:t xml:space="preserve"> </w:t>
            </w:r>
            <w:r>
              <w:rPr>
                <w:rFonts w:ascii="Times New Roman" w:hAnsi="Times New Roman"/>
                <w:color w:val="0000FF"/>
                <w:sz w:val="22"/>
              </w:rPr>
              <w:t xml:space="preserve">Evergreen Fund </w:t>
            </w:r>
            <w:r>
              <w:rPr>
                <w:rFonts w:ascii="Times New Roman" w:hAnsi="Times New Roman"/>
                <w:color w:val="0000FF"/>
                <w:sz w:val="22"/>
                <w:u w:val="single"/>
              </w:rPr>
              <w:t>LP</w:t>
            </w:r>
          </w:p>
        </w:tc>
        <w:tc>
          <w:tcPr>
            <w:tcW w:w="1246"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951"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r>
        <w:trPr/>
        <w:tc>
          <w:tcPr>
            <w:tcW w:w="118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Total</w:t>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shd w:fill="E6E6FA" w:val="clear"/>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2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95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bl>
    <w:p>
      <w:pPr>
        <w:pStyle w:val="TextBody"/>
        <w:bidi w:val="0"/>
        <w:spacing w:before="480" w:after="283"/>
        <w:jc w:val="center"/>
        <w:rPr>
          <w:rFonts w:ascii="Times New Roman" w:hAnsi="Times New Roman"/>
          <w:color w:val="000000"/>
          <w:sz w:val="22"/>
        </w:rPr>
      </w:pPr>
      <w:r>
        <w:rPr>
          <w:rFonts w:ascii="Times New Roman" w:hAnsi="Times New Roman"/>
          <w:color w:val="000000"/>
          <w:sz w:val="22"/>
        </w:rPr>
        <w:t>*Funding of Tranche 4 is conditioned on approval by Lender’s investment committee in its sole and unfettered discretion.</w:t>
      </w:r>
    </w:p>
    <w:p>
      <w:pPr>
        <w:pStyle w:val="TextBody"/>
        <w:bidi w:val="0"/>
        <w:jc w:val="center"/>
        <w:rPr>
          <w:rFonts w:ascii="Times New Roman" w:hAnsi="Times New Roman"/>
          <w:color w:val="000000"/>
          <w:sz w:val="20"/>
        </w:rPr>
      </w:pPr>
      <w:r>
        <w:rPr>
          <w:rFonts w:ascii="Times New Roman" w:hAnsi="Times New Roman"/>
          <w:color w:val="000000"/>
          <w:sz w:val="20"/>
        </w:rPr>
        <w:t>Schedule 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SCHEDULE 1A</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Existing Permitted Indebtedness</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SCHEDULE 1B</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Existing Permitted Investments</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SCHEDULE 1C</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Existing Permitted Liens</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SCHEDULE 5.3</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Consents, Etc.</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SCHEDULE 5.8</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Tax Matters</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SCHEDULE 5.9</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Current Company IP Claims</w:t>
      </w:r>
    </w:p>
    <w:p>
      <w:pPr>
        <w:pStyle w:val="TextBody"/>
        <w:bidi w:val="0"/>
        <w:jc w:val="center"/>
        <w:rPr>
          <w:rFonts w:ascii="Times New Roman" w:hAnsi="Times New Roman"/>
          <w:color w:val="000000"/>
          <w:sz w:val="22"/>
        </w:rPr>
      </w:pPr>
      <w:r>
        <w:rPr>
          <w:rFonts w:ascii="Times New Roman" w:hAnsi="Times New Roman"/>
          <w:color w:val="000000"/>
          <w:sz w:val="22"/>
        </w:rPr>
        <w:t>[***]</w:t>
      </w:r>
    </w:p>
    <w:p>
      <w:pPr>
        <w:pStyle w:val="TextBody"/>
        <w:bidi w:val="0"/>
        <w:spacing w:before="0" w:after="240"/>
        <w:jc w:val="center"/>
        <w:rPr/>
      </w:pPr>
      <w:r>
        <w:rPr/>
        <w:t> </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SCHEDULE 5.10(a)</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Current Company IP</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SCHEDULE 5.10(f)</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Circumstances to Invalidate or Render Unenforceable Current Company IP or Ownership</w:t>
        <w:br/>
        <w:t>or Entitlement to License and Exploit Current Company IP</w:t>
      </w:r>
    </w:p>
    <w:p>
      <w:pPr>
        <w:pStyle w:val="TextBody"/>
        <w:bidi w:val="0"/>
        <w:spacing w:before="0" w:after="480"/>
        <w:jc w:val="center"/>
        <w:rPr>
          <w:rFonts w:ascii="Times New Roman" w:hAnsi="Times New Roman"/>
          <w:color w:val="000000"/>
          <w:sz w:val="22"/>
        </w:rPr>
      </w:pPr>
      <w:r>
        <w:rPr>
          <w:rFonts w:ascii="Times New Roman" w:hAnsi="Times New Roman"/>
          <w:color w:val="000000"/>
          <w:sz w:val="22"/>
        </w:rPr>
        <w:t>[***]</w:t>
      </w:r>
    </w:p>
    <w:p>
      <w:pPr>
        <w:pStyle w:val="TextBody"/>
        <w:bidi w:val="0"/>
        <w:jc w:val="center"/>
        <w:rPr>
          <w:rFonts w:ascii="Times New Roman" w:hAnsi="Times New Roman"/>
          <w:color w:val="000000"/>
          <w:sz w:val="20"/>
        </w:rPr>
      </w:pPr>
      <w:r>
        <w:rPr>
          <w:rFonts w:ascii="Times New Roman" w:hAnsi="Times New Roman"/>
          <w:color w:val="000000"/>
          <w:sz w:val="20"/>
        </w:rPr>
        <w:t>Schedules-2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SCHEDULE 5.10(g)</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Specified Disputes</w:t>
      </w:r>
    </w:p>
    <w:p>
      <w:pPr>
        <w:pStyle w:val="TextBody"/>
        <w:bidi w:val="0"/>
        <w:spacing w:before="0" w:after="480"/>
        <w:jc w:val="center"/>
        <w:rPr>
          <w:rFonts w:ascii="Times New Roman" w:hAnsi="Times New Roman"/>
          <w:color w:val="000000"/>
          <w:sz w:val="22"/>
        </w:rPr>
      </w:pPr>
      <w:r>
        <w:rPr>
          <w:rFonts w:ascii="Times New Roman" w:hAnsi="Times New Roman"/>
          <w:color w:val="000000"/>
          <w:sz w:val="22"/>
        </w:rPr>
        <w:t>[***]</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SCHEDULE 5.10(i)</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Claims Regarding Current Company IP</w:t>
      </w:r>
    </w:p>
    <w:p>
      <w:pPr>
        <w:pStyle w:val="TextBody"/>
        <w:bidi w:val="0"/>
        <w:spacing w:before="0" w:after="480"/>
        <w:jc w:val="center"/>
        <w:rPr>
          <w:rFonts w:ascii="Times New Roman" w:hAnsi="Times New Roman"/>
          <w:color w:val="000000"/>
          <w:sz w:val="22"/>
        </w:rPr>
      </w:pPr>
      <w:r>
        <w:rPr>
          <w:rFonts w:ascii="Times New Roman" w:hAnsi="Times New Roman"/>
          <w:color w:val="000000"/>
          <w:sz w:val="22"/>
        </w:rPr>
        <w:t>[***]</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SCHEDULE 5.10(j)</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Infringement or Violation of Third Party IP</w:t>
      </w:r>
    </w:p>
    <w:p>
      <w:pPr>
        <w:pStyle w:val="TextBody"/>
        <w:bidi w:val="0"/>
        <w:spacing w:before="0" w:after="480"/>
        <w:jc w:val="center"/>
        <w:rPr>
          <w:rFonts w:ascii="Times New Roman" w:hAnsi="Times New Roman"/>
          <w:color w:val="000000"/>
          <w:sz w:val="22"/>
        </w:rPr>
      </w:pPr>
      <w:r>
        <w:rPr>
          <w:rFonts w:ascii="Times New Roman" w:hAnsi="Times New Roman"/>
          <w:color w:val="000000"/>
          <w:sz w:val="22"/>
        </w:rPr>
        <w:t>[***]</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SCHEDULE 5.10(k)</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Certain Settlements, Covenants Not to Sue, Consents, Judgments, Orders</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SCHEDULE 5.10(l)</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Infringement, Violation, Misappropriation of Current Company IP</w:t>
      </w:r>
    </w:p>
    <w:p>
      <w:pPr>
        <w:pStyle w:val="TextBody"/>
        <w:bidi w:val="0"/>
        <w:spacing w:before="0" w:after="480"/>
        <w:jc w:val="center"/>
        <w:rPr>
          <w:rFonts w:ascii="Times New Roman" w:hAnsi="Times New Roman"/>
          <w:color w:val="000000"/>
          <w:sz w:val="22"/>
        </w:rPr>
      </w:pPr>
      <w:r>
        <w:rPr>
          <w:rFonts w:ascii="Times New Roman" w:hAnsi="Times New Roman"/>
          <w:color w:val="000000"/>
          <w:sz w:val="22"/>
        </w:rPr>
        <w:t>[***]</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SCHEDULE 5.10(o)</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Lack of Rights to Current Company IP</w:t>
      </w:r>
    </w:p>
    <w:p>
      <w:pPr>
        <w:pStyle w:val="TextBody"/>
        <w:bidi w:val="0"/>
        <w:spacing w:before="0" w:after="480"/>
        <w:jc w:val="center"/>
        <w:rPr>
          <w:rFonts w:ascii="Times New Roman" w:hAnsi="Times New Roman"/>
          <w:color w:val="000000"/>
          <w:sz w:val="22"/>
        </w:rPr>
      </w:pPr>
      <w:r>
        <w:rPr>
          <w:rFonts w:ascii="Times New Roman" w:hAnsi="Times New Roman"/>
          <w:color w:val="000000"/>
          <w:sz w:val="22"/>
        </w:rPr>
        <w:t>[***]</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SCHEDULE 5.11</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Borrower Products</w:t>
      </w:r>
    </w:p>
    <w:p>
      <w:pPr>
        <w:pStyle w:val="TextBody"/>
        <w:bidi w:val="0"/>
        <w:spacing w:before="0" w:after="480"/>
        <w:jc w:val="center"/>
        <w:rPr>
          <w:rFonts w:ascii="Times New Roman" w:hAnsi="Times New Roman"/>
          <w:color w:val="000000"/>
          <w:sz w:val="22"/>
        </w:rPr>
      </w:pPr>
      <w:r>
        <w:rPr>
          <w:rFonts w:ascii="Times New Roman" w:hAnsi="Times New Roman"/>
          <w:color w:val="000000"/>
          <w:sz w:val="22"/>
        </w:rPr>
        <w:t>[***]</w:t>
      </w:r>
    </w:p>
    <w:p>
      <w:pPr>
        <w:pStyle w:val="TextBody"/>
        <w:bidi w:val="0"/>
        <w:jc w:val="center"/>
        <w:rPr>
          <w:rFonts w:ascii="Times New Roman" w:hAnsi="Times New Roman"/>
          <w:color w:val="000000"/>
          <w:sz w:val="20"/>
        </w:rPr>
      </w:pPr>
      <w:r>
        <w:rPr>
          <w:rFonts w:ascii="Times New Roman" w:hAnsi="Times New Roman"/>
          <w:color w:val="000000"/>
          <w:sz w:val="20"/>
        </w:rPr>
        <w:t>Schedules-3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SCHEDULE 5.14</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Part A - Subsidiaries</w:t>
      </w:r>
    </w:p>
    <w:p>
      <w:pPr>
        <w:pStyle w:val="TextBody"/>
        <w:bidi w:val="0"/>
        <w:jc w:val="center"/>
        <w:rPr>
          <w:rFonts w:ascii="Times New Roman" w:hAnsi="Times New Roman"/>
          <w:color w:val="000000"/>
          <w:sz w:val="22"/>
        </w:rPr>
      </w:pPr>
      <w:r>
        <w:rPr>
          <w:rFonts w:ascii="Times New Roman" w:hAnsi="Times New Roman"/>
          <w:color w:val="000000"/>
          <w:sz w:val="22"/>
        </w:rPr>
        <w:t>[***]</w:t>
      </w:r>
    </w:p>
    <w:p>
      <w:pPr>
        <w:pStyle w:val="TextBody"/>
        <w:bidi w:val="0"/>
        <w:jc w:val="center"/>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Part B - Capitalization</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w:t>
      </w:r>
    </w:p>
    <w:p>
      <w:pPr>
        <w:pStyle w:val="TextBody"/>
        <w:bidi w:val="0"/>
        <w:jc w:val="center"/>
        <w:rPr>
          <w:rFonts w:ascii="Times New Roman" w:hAnsi="Times New Roman"/>
          <w:color w:val="000000"/>
          <w:sz w:val="20"/>
        </w:rPr>
      </w:pPr>
      <w:r>
        <w:rPr>
          <w:rFonts w:ascii="Times New Roman" w:hAnsi="Times New Roman"/>
          <w:color w:val="000000"/>
          <w:sz w:val="20"/>
        </w:rPr>
        <w:t>Schedules-4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5" w:name="iron-ex31_1.htm"/>
      <w:bookmarkStart w:id="26" w:name="ksironex31_1"/>
      <w:bookmarkEnd w:id="25"/>
      <w:bookmarkEnd w:id="26"/>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PRINCIPAL EXECUTIVE OFFICER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RULE 13</w:t>
      </w:r>
      <w:r>
        <w:rPr>
          <w:rFonts w:ascii="Times New Roman" w:hAnsi="Times New Roman"/>
          <w:b/>
          <w:color w:val="000000"/>
          <w:sz w:val="15"/>
        </w:rPr>
        <w:t>A</w:t>
      </w:r>
      <w:r>
        <w:rPr>
          <w:rFonts w:ascii="Times New Roman" w:hAnsi="Times New Roman"/>
          <w:b/>
          <w:color w:val="000000"/>
          <w:sz w:val="20"/>
        </w:rPr>
        <w:t>-14(</w:t>
      </w:r>
      <w:r>
        <w:rPr>
          <w:rFonts w:ascii="Times New Roman" w:hAnsi="Times New Roman"/>
          <w:b/>
          <w:color w:val="000000"/>
          <w:sz w:val="15"/>
        </w:rPr>
        <w:t>A</w:t>
      </w:r>
      <w:r>
        <w:rPr>
          <w:rFonts w:ascii="Times New Roman" w:hAnsi="Times New Roman"/>
          <w:b/>
          <w:color w:val="000000"/>
          <w:sz w:val="20"/>
        </w:rPr>
        <w:t>) / RULE 15</w:t>
      </w:r>
      <w:r>
        <w:rPr>
          <w:rFonts w:ascii="Times New Roman" w:hAnsi="Times New Roman"/>
          <w:b/>
          <w:color w:val="000000"/>
          <w:sz w:val="15"/>
        </w:rPr>
        <w:t>D</w:t>
      </w:r>
      <w:r>
        <w:rPr>
          <w:rFonts w:ascii="Times New Roman" w:hAnsi="Times New Roman"/>
          <w:b/>
          <w:color w:val="000000"/>
          <w:sz w:val="20"/>
        </w:rPr>
        <w:t>-14(</w:t>
      </w:r>
      <w:r>
        <w:rPr>
          <w:rFonts w:ascii="Times New Roman" w:hAnsi="Times New Roman"/>
          <w:b/>
          <w:color w:val="000000"/>
          <w:sz w:val="15"/>
        </w:rPr>
        <w:t>A</w:t>
      </w:r>
      <w:r>
        <w:rPr>
          <w:rFonts w:ascii="Times New Roman" w:hAnsi="Times New Roman"/>
          <w:b/>
          <w:color w:val="000000"/>
          <w:sz w:val="20"/>
        </w:rPr>
        <w:t>) OF THE SECURITIES EXCHANGE ACT OF 1934, AS AMENDED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 John Quisel, J.D., Ph.D., certify that: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 have reviewed this Quarterly Report on Form 10-Q of Disc Medicine, Inc.;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July 30, 2026</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Quisel</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Quisel, J.D., Ph.D.</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bookmarkStart w:id="27" w:name="iron-ex31_2.htm"/>
      <w:bookmarkStart w:id="28" w:name="ksironex31_2"/>
      <w:bookmarkEnd w:id="27"/>
      <w:bookmarkEnd w:id="28"/>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PRINCIPAL FINANCIAL OFFICER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RULE 13</w:t>
      </w:r>
      <w:r>
        <w:rPr>
          <w:rFonts w:ascii="Times New Roman" w:hAnsi="Times New Roman"/>
          <w:b/>
          <w:color w:val="000000"/>
          <w:sz w:val="15"/>
        </w:rPr>
        <w:t>A</w:t>
      </w:r>
      <w:r>
        <w:rPr>
          <w:rFonts w:ascii="Times New Roman" w:hAnsi="Times New Roman"/>
          <w:b/>
          <w:color w:val="000000"/>
          <w:sz w:val="20"/>
        </w:rPr>
        <w:t>-14(</w:t>
      </w:r>
      <w:r>
        <w:rPr>
          <w:rFonts w:ascii="Times New Roman" w:hAnsi="Times New Roman"/>
          <w:b/>
          <w:color w:val="000000"/>
          <w:sz w:val="15"/>
        </w:rPr>
        <w:t>A</w:t>
      </w:r>
      <w:r>
        <w:rPr>
          <w:rFonts w:ascii="Times New Roman" w:hAnsi="Times New Roman"/>
          <w:b/>
          <w:color w:val="000000"/>
          <w:sz w:val="20"/>
        </w:rPr>
        <w:t>) / RULE 15</w:t>
      </w:r>
      <w:r>
        <w:rPr>
          <w:rFonts w:ascii="Times New Roman" w:hAnsi="Times New Roman"/>
          <w:b/>
          <w:color w:val="000000"/>
          <w:sz w:val="15"/>
        </w:rPr>
        <w:t>D</w:t>
      </w:r>
      <w:r>
        <w:rPr>
          <w:rFonts w:ascii="Times New Roman" w:hAnsi="Times New Roman"/>
          <w:b/>
          <w:color w:val="000000"/>
          <w:sz w:val="20"/>
        </w:rPr>
        <w:t>-14(</w:t>
      </w:r>
      <w:r>
        <w:rPr>
          <w:rFonts w:ascii="Times New Roman" w:hAnsi="Times New Roman"/>
          <w:b/>
          <w:color w:val="000000"/>
          <w:sz w:val="15"/>
        </w:rPr>
        <w:t>A</w:t>
      </w:r>
      <w:r>
        <w:rPr>
          <w:rFonts w:ascii="Times New Roman" w:hAnsi="Times New Roman"/>
          <w:b/>
          <w:color w:val="000000"/>
          <w:sz w:val="20"/>
        </w:rPr>
        <w:t>) OF THE SECURITIES EXCHANGE ACT OF 1934, AS AMENDED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 Jean Franchi, certify that: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 have reviewed this Quarterly Report on Form 10-Q of Disc Medicine, Inc.;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July 30, 2026</w:t>
      </w:r>
    </w:p>
    <w:tbl>
      <w:tblPr>
        <w:tblW w:w="3781" w:type="dxa"/>
        <w:jc w:val="left"/>
        <w:tblInd w:w="0" w:type="dxa"/>
        <w:tblLayout w:type="fixed"/>
        <w:tblCellMar>
          <w:top w:w="28" w:type="dxa"/>
          <w:left w:w="28" w:type="dxa"/>
          <w:bottom w:w="28" w:type="dxa"/>
          <w:right w:w="28" w:type="dxa"/>
        </w:tblCellMar>
      </w:tblPr>
      <w:tblGrid>
        <w:gridCol w:w="3781"/>
      </w:tblGrid>
      <w:tr>
        <w:trPr/>
        <w:tc>
          <w:tcPr>
            <w:tcW w:w="3781" w:type="dxa"/>
            <w:tcBorders/>
            <w:vAlign w:val="center"/>
          </w:tcPr>
          <w:p>
            <w:pPr>
              <w:pStyle w:val="TableContents"/>
              <w:bidi w:val="0"/>
              <w:spacing w:before="0" w:after="283"/>
              <w:jc w:val="left"/>
              <w:rPr>
                <w:sz w:val="4"/>
                <w:szCs w:val="4"/>
              </w:rPr>
            </w:pPr>
            <w:r>
              <w:rPr>
                <w:sz w:val="4"/>
                <w:szCs w:val="4"/>
              </w:rPr>
            </w:r>
          </w:p>
        </w:tc>
      </w:tr>
      <w:tr>
        <w:trPr/>
        <w:tc>
          <w:tcPr>
            <w:tcW w:w="37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Jean Franchi</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Jean Franchi</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9" w:name="iron-ex32_1.htm"/>
      <w:bookmarkStart w:id="30" w:name="ksironex32_1"/>
      <w:bookmarkEnd w:id="29"/>
      <w:bookmarkEnd w:id="30"/>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CERTIFICATIONS OF PRINCIPAL EXECUTIVE OFFICER AND PRINCIPAL</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FINANCIAL OFFICER PURSUANT TO 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connection with this Quarterly Report on Form 10-Q of Disc Medicine, Inc. (the “Company”) for the quarter ended June 30, 2026 as filed with the Securities and Exchange Commission on the date hereof (the “Report”), each of the undersigned officers hereby certifies, pursuant to 18 U.S.C. Section 1350, as adopted pursuant to Section 906 of the Sarbanes-Oxley Act of 2002, that to the best of his or her knowledge: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Dated: July 30, 2026</w:t>
      </w:r>
    </w:p>
    <w:p>
      <w:pPr>
        <w:pStyle w:val="TextBody"/>
        <w:bidi w:val="0"/>
        <w:jc w:val="both"/>
        <w:rPr/>
      </w:pPr>
      <w:r>
        <w:rPr/>
        <w:t> </w:t>
      </w:r>
    </w:p>
    <w:tbl>
      <w:tblPr>
        <w:tblW w:w="3781" w:type="dxa"/>
        <w:jc w:val="left"/>
        <w:tblInd w:w="0" w:type="dxa"/>
        <w:tblLayout w:type="fixed"/>
        <w:tblCellMar>
          <w:top w:w="28" w:type="dxa"/>
          <w:left w:w="28" w:type="dxa"/>
          <w:bottom w:w="28" w:type="dxa"/>
          <w:right w:w="28" w:type="dxa"/>
        </w:tblCellMar>
      </w:tblPr>
      <w:tblGrid>
        <w:gridCol w:w="3781"/>
      </w:tblGrid>
      <w:tr>
        <w:trPr/>
        <w:tc>
          <w:tcPr>
            <w:tcW w:w="3781" w:type="dxa"/>
            <w:tcBorders/>
            <w:vAlign w:val="center"/>
          </w:tcPr>
          <w:p>
            <w:pPr>
              <w:pStyle w:val="TableContents"/>
              <w:bidi w:val="0"/>
              <w:spacing w:before="0" w:after="283"/>
              <w:jc w:val="left"/>
              <w:rPr>
                <w:sz w:val="4"/>
                <w:szCs w:val="4"/>
              </w:rPr>
            </w:pPr>
            <w:r>
              <w:rPr>
                <w:sz w:val="4"/>
                <w:szCs w:val="4"/>
              </w:rPr>
            </w:r>
          </w:p>
        </w:tc>
      </w:tr>
      <w:tr>
        <w:trPr/>
        <w:tc>
          <w:tcPr>
            <w:tcW w:w="37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Quisel</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Quisel, J.D., Ph.D.</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37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Jean Franchi</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Jean Franchi</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6736/000121390021008478/ea135023ex3-1_gemini.htm" TargetMode="External"/><Relationship Id="rId3" Type="http://schemas.openxmlformats.org/officeDocument/2006/relationships/hyperlink" Target="https://www.sec.gov/Archives/edgar/data/1816736/000114036122047453/brhc10045896_ex3-1.htm" TargetMode="External"/><Relationship Id="rId4" Type="http://schemas.openxmlformats.org/officeDocument/2006/relationships/hyperlink" Target="https://www.sec.gov/Archives/edgar/data/1816736/000114036122047453/brhc10045896_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117284</Words>
  <Characters>643534</Characters>
  <CharactersWithSpaces>759729</CharactersWithSpaces>
  <Paragraphs>7697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