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57786d8k.htm"/>
      <w:bookmarkStart w:id="1" w:name="ksd45778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19,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Disc Medicine,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7125" w:type="dxa"/>
        <w:jc w:val="left"/>
        <w:tblInd w:w="0" w:type="dxa"/>
        <w:tblLayout w:type="fixed"/>
        <w:tblCellMar>
          <w:top w:w="0" w:type="dxa"/>
          <w:left w:w="0" w:type="dxa"/>
          <w:bottom w:w="0" w:type="dxa"/>
          <w:right w:w="0" w:type="dxa"/>
        </w:tblCellMar>
      </w:tblPr>
      <w:tblGrid>
        <w:gridCol w:w="4070"/>
        <w:gridCol w:w="60"/>
        <w:gridCol w:w="1055"/>
        <w:gridCol w:w="60"/>
        <w:gridCol w:w="188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001-39438</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85-1612845</w:t>
            </w:r>
          </w:p>
        </w:tc>
      </w:tr>
      <w:tr>
        <w:trPr/>
        <w:tc>
          <w:tcPr>
            <w:tcW w:w="407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321 Arsenal Street, Suite 101</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Watertown, Massachusetts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02472</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(617) 674-9274</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sz w:val="20"/>
          <w:u w:val="single"/>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755" w:type="dxa"/>
        <w:jc w:val="left"/>
        <w:tblInd w:w="0" w:type="dxa"/>
        <w:tblLayout w:type="fixed"/>
        <w:tblCellMar>
          <w:top w:w="0" w:type="dxa"/>
          <w:left w:w="0" w:type="dxa"/>
          <w:bottom w:w="0" w:type="dxa"/>
          <w:right w:w="0" w:type="dxa"/>
        </w:tblCellMar>
      </w:tblPr>
      <w:tblGrid>
        <w:gridCol w:w="4265"/>
        <w:gridCol w:w="60"/>
        <w:gridCol w:w="740"/>
        <w:gridCol w:w="60"/>
        <w:gridCol w:w="263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IRON</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20, 2026, Disc Medicine, Inc. (the “Company”) entered into an Underwriting Agreement (the “Underwriting Agreement”) with Jefferies LLC, Leerink Partners LLC, Morgan Stanley &amp; Co. LLC and Cantor Fitzgerald &amp; Co., as representatives of the several underwriters listed on Schedule I thereto (the “Underwriters”), related to an underwritten public offering (the “Offering”) by the Company of 6,000,000 shares (the “Firm Shares”) of common stock of the Company, par value $0.0001 per share (the “Common Stock”) at a price to the public of $75.00 per share. In addition, the Company granted the Underwriters an option exercisable for 30 days from the date of the Underwriting Agreement to purchase, at the public offering price less underwriting discounts and commissions, up to an additional 900,000 shares of Common Stock. All of the Firm Shares in the Offering were sold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to the Company from the Offering are expected to be approximately $422.4 million, or approximately $485.9 million if the Underwriters exercise in full their option to purchase additional shares of Common Stock, in each case, after deducting the underwriting discounts and commissions and estimated offering expenses. The Company expects that its cash, cash equivalents and marketable securities, together with the estimated net proceeds from the Offering, will be sufficient to fund its current operating and capital expenditure plans and its debt service obligations into 2030 without taking into account any potential net cash inflows from bitopertin or any other marketed product, if approved during such period. The Offering closed on October 22,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 made certain customary representations, warranties and covenants concerning the Company and the registration statement in the Underwriting Agreement and also agreed to indemnify the Underwriters against certain liabilities, including liabilities under the Securities Act of 1933, as amended (the “Securities Act”). The Offering is being made pursuant to the Company’s automatic shelf registration statement on Form S-3 (File No. 333-281359), filed with the Securities and Exchange Commission (the “Commission”) on August 8, 2024, as supplemented by a final prospectus supplement dated October 20, 2026, filed on October 21, 2026. This Current Report on Form 8-K does not constitute an offer to sell or a solicitation of an offer to buy any of the shares of Common Stock.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certain terms of the Underwriting Agreement and the transactions contemplated thereby does not purport to be complete and is subject to, and qualified in its entirety by, the full text of the Underwriting Agreement, which is attached as Exhibit 1.1 hereto and is incorporated by reference herein. A copy of the opinion of Goodwin Procter LLP, relating to the legality of the shares of Common Stock is filed as Exhibit 5.1 hereto and is incorporated by reference herein. </w:t>
      </w:r>
    </w:p>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20, 2026, the Company announced that its preliminary unaudited cash, cash equivalents and marketable securities as of September 30, 2026 were approximately $682.8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not yet completed its quarter-end financial close process for the quarter ended September 30, 2026. This estimate of the Company’s cash, cash equivalents and marketable securities as of September 30, 2026 is preliminary, has not been audited and is subject to change upon completion of the Company’s financial statement closing procedures. Additional information and disclosure would be required for a more complete understanding of the Company’s financial position and results of operations as of September 30, 2026. The Company’s independent registered public accounting firm has not audited, reviewed or performed any procedures with respect to this preliminary result and, accordingly, does not express an opinion or any other form of assurance about it. The information presented herein should not be considered a substitute for the financial information the Company files with the Commission in its quarterly report on Form 10-Q for the quarter ended September 30, 2026. The Company has no intention or obligation to update preliminary estimates of its cash, cash equivalents and marketable securities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Item 2.02 of this Current Report on Form 8-K is intended to be furnished and shall not be deemed to be “filed” for the purposes of Section 18 of the Securities Exchange Act of 1934, as amended (the “Exchange Act”), or otherwise subject to the liabilities of that section, nor shall it be deemed incorporated by reference in any filing under the Securities Act or the Exchange Act, except as expressly provided by specific reference in such filing.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19, 2026, the Company issued a press release announcing the commencement of the Offering. On October 20, 2026, the Company issued a press release announcing that it had priced the Offering. Copies of these press releases are attached hereto as Exhibit 99.1 and Exhibit 99.2, respectively, and are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Private Securities Litigation Reform Act of 1995, including, but not limited to, express or implied statements regarding the net proceeds to the Company from the Offering and the Company’s anticipated cash runway. The use of words such as, but not limited to, “believe,” “expect,” “estimate,” “project,” “intend,” “future,” “potential,” “continue,” “may,” “might,” “plan,” “will,” “should,” “seek,” “anticipate,” or “could” or the negative of these terms and other similar words or expressions are intended to identify forward-looking statements. Forward-looking statements are neither historical facts nor assurances of future performance. Instead, they are based on the Company’s current beliefs, expectations and assumptions regarding the future of the Company’s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uncertainties related to the adequacy of the Company’s capital to support its future operations and its ability to successfully initiate and complete clinical trials; the nature, strategy and focus of the Company; the difficulty in predicting the time and cost of development of the Company’s product candidates; the Company’s plans to research, develop and commercialize its current and future product candidates; the timing of initiation of the Company’s planned preclinical studies and clinical trials; the timing of the availability of data from the Company’s clinical trials; the Company’s ability to identify additional product candidates with significant commercial potential and to expand its pipeline in hematological diseases; the timing and anticipated results of the Company’s preclinical studies and clinical trials and the risk that the results of the Company’s preclinical studies and clinical trials may not be predictive of future results in connection with future studies or clinical trials and may not support further development and marketing approval; the content and timing of decisions made by the U.S. Food and Drug Administration and other regulatory authorities; and the other risks and uncertainties described in the Company’s filings with the Commission, including in the “Risk Factors” section of the Company’s Quarterly Report on Form 10-Q for the quarterly period ended June 30, 2026. Any forward-looking statement speaks only as of the date on which it was made. None of the Company, nor its affiliates, advisors or representatives, undertake any obligation to publicly update or revise any forward-looking statement, whether as a result of new information, future events or otherwise, except as required by law. </w:t>
      </w:r>
      <w:r>
        <w:br w:type="page"/>
      </w:r>
    </w:p>
    <w:p>
      <w:pPr>
        <w:pStyle w:val="HorizontalLine"/>
        <w:bidi w:val="0"/>
        <w:jc w:val="left"/>
        <w:rPr/>
      </w:pPr>
      <w:r>
        <w:rPr/>
      </w:r>
    </w:p>
    <w:tbl>
      <w:tblPr>
        <w:tblW w:w="1795" w:type="dxa"/>
        <w:jc w:val="left"/>
        <w:tblInd w:w="0" w:type="dxa"/>
        <w:tblLayout w:type="fixed"/>
        <w:tblCellMar>
          <w:top w:w="0" w:type="dxa"/>
          <w:left w:w="0" w:type="dxa"/>
          <w:bottom w:w="0" w:type="dxa"/>
          <w:right w:w="0" w:type="dxa"/>
        </w:tblCellMar>
      </w:tblPr>
      <w:tblGrid>
        <w:gridCol w:w="965"/>
        <w:gridCol w:w="830"/>
      </w:tblGrid>
      <w:tr>
        <w:trPr/>
        <w:tc>
          <w:tcPr>
            <w:tcW w:w="965" w:type="dxa"/>
            <w:tcBorders/>
            <w:vAlign w:val="center"/>
          </w:tcPr>
          <w:p>
            <w:pPr>
              <w:pStyle w:val="TableContents"/>
              <w:bidi w:val="0"/>
              <w:spacing w:before="0" w:after="283"/>
              <w:jc w:val="left"/>
              <w:rPr>
                <w:b/>
              </w:rPr>
            </w:pPr>
            <w:r>
              <w:rPr>
                <w:b/>
              </w:rPr>
              <w:t>Item 9.01</w:t>
            </w:r>
          </w:p>
        </w:tc>
        <w:tc>
          <w:tcPr>
            <w:tcW w:w="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center"/>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457786dex11.htm">
              <w:r>
                <w:rPr>
                  <w:rStyle w:val="InternetLink"/>
                </w:rPr>
                <w:t xml:space="preserve">Underwriting Agreement, dated as of October 20, 2026, by and among the Company and Jefferies LLC, Leerink Partners LLC, Morgan Stanley &amp; Co. LLC and Cantor Fitzgerald &amp; Co., as representatives of the several underwriters listed on Schedule I thereto.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457786dex51.htm">
              <w:r>
                <w:rPr>
                  <w:rStyle w:val="InternetLink"/>
                </w:rPr>
                <w:t xml:space="preserve">Opinion of Goodwin Procter LLP regarding the issue of Common Stock.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457786dex51.htm">
              <w:r>
                <w:rPr>
                  <w:rStyle w:val="InternetLink"/>
                </w:rPr>
                <w:t xml:space="preserve">Consent of Goodwin Procter LLP (included in Exhibit 5.1).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457786dex991.htm">
              <w:r>
                <w:rPr>
                  <w:rStyle w:val="InternetLink"/>
                </w:rPr>
                <w:t xml:space="preserve">Press release announcing the Offering, dated October 19,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457786dex992.htm">
              <w:r>
                <w:rPr>
                  <w:rStyle w:val="InternetLink"/>
                </w:rPr>
                <w:t xml:space="preserve">Press release announcing the pricing of the Offering, dated October 20,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468" w:type="dxa"/>
        <w:jc w:val="left"/>
        <w:tblInd w:w="0" w:type="dxa"/>
        <w:tblLayout w:type="fixed"/>
        <w:tblCellMar>
          <w:top w:w="0" w:type="dxa"/>
          <w:left w:w="0" w:type="dxa"/>
          <w:bottom w:w="0" w:type="dxa"/>
          <w:right w:w="0" w:type="dxa"/>
        </w:tblCellMar>
      </w:tblPr>
      <w:tblGrid>
        <w:gridCol w:w="2270"/>
        <w:gridCol w:w="60"/>
        <w:gridCol w:w="23"/>
        <w:gridCol w:w="60"/>
        <w:gridCol w:w="650"/>
        <w:gridCol w:w="60"/>
        <w:gridCol w:w="234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5" w:type="dxa"/>
            <w:gridSpan w:val="3"/>
            <w:tcBorders/>
            <w:vAlign w:val="center"/>
          </w:tcPr>
          <w:p>
            <w:pPr>
              <w:pStyle w:val="TableContents"/>
              <w:bidi w:val="0"/>
              <w:spacing w:before="0" w:after="283"/>
              <w:jc w:val="left"/>
              <w:rPr/>
            </w:pPr>
            <w:r>
              <w:rPr/>
              <w:t>DISC MEDICINE,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22,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Quisel</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John Quisel, J.D., Ph.D.</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457786dex11.htm"/>
      <w:bookmarkStart w:id="3" w:name="ksd457786dex11"/>
      <w:bookmarkEnd w:id="2"/>
      <w:bookmarkEnd w:id="3"/>
      <w:r>
        <w:rPr>
          <w:rFonts w:ascii="Times New Roman" w:hAnsi="Times New Roman"/>
          <w:b/>
          <w:sz w:val="20"/>
        </w:rPr>
        <w:t xml:space="preserve">Exhibit 1.1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October 20, 2026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53 State Street, 40th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02109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29th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c/o Cantor Fitzgerald &amp; Co. </w:t>
      </w:r>
    </w:p>
    <w:p>
      <w:pPr>
        <w:pStyle w:val="TextBody"/>
        <w:bidi w:val="0"/>
        <w:spacing w:before="0" w:after="0"/>
        <w:jc w:val="left"/>
        <w:rPr>
          <w:rFonts w:ascii="Times New Roman" w:hAnsi="Times New Roman"/>
          <w:sz w:val="20"/>
        </w:rPr>
      </w:pPr>
      <w:r>
        <w:rPr>
          <w:rFonts w:ascii="Times New Roman" w:hAnsi="Times New Roman"/>
          <w:sz w:val="20"/>
        </w:rPr>
        <w:t xml:space="preserve">110 East 59th Street, 6th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Disc Medicine, Inc., a Delaware corporation (the “</w:t>
      </w:r>
      <w:r>
        <w:rPr>
          <w:rFonts w:ascii="Times New Roman" w:hAnsi="Times New Roman"/>
          <w:b/>
          <w:sz w:val="20"/>
        </w:rPr>
        <w:t>Company</w:t>
      </w:r>
      <w:r>
        <w:rPr>
          <w:rFonts w:ascii="Times New Roman" w:hAnsi="Times New Roman"/>
          <w:sz w:val="20"/>
        </w:rPr>
        <w:t>”), proposes to issue and sell to the several Underwriters named in Schedule I hereto (the “</w:t>
      </w:r>
      <w:r>
        <w:rPr>
          <w:rFonts w:ascii="Times New Roman" w:hAnsi="Times New Roman"/>
          <w:b/>
          <w:sz w:val="20"/>
        </w:rPr>
        <w:t>Underwriters</w:t>
      </w:r>
      <w:r>
        <w:rPr>
          <w:rFonts w:ascii="Times New Roman" w:hAnsi="Times New Roman"/>
          <w:sz w:val="20"/>
        </w:rPr>
        <w:t>”) 6,000,000 shares of its common stock, par value $0.0001 per share (the “</w:t>
      </w:r>
      <w:r>
        <w:rPr>
          <w:rFonts w:ascii="Times New Roman" w:hAnsi="Times New Roman"/>
          <w:b/>
          <w:sz w:val="20"/>
        </w:rPr>
        <w:t>Firm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also proposes to issue and sell to the Underwriters not more than an additional 900,000 shares of its common stock, par value $0.0001 per share (the “</w:t>
      </w:r>
      <w:r>
        <w:rPr>
          <w:rFonts w:ascii="Times New Roman" w:hAnsi="Times New Roman"/>
          <w:b/>
          <w:sz w:val="20"/>
        </w:rPr>
        <w:t>Additional Shares</w:t>
      </w:r>
      <w:r>
        <w:rPr>
          <w:rFonts w:ascii="Times New Roman" w:hAnsi="Times New Roman"/>
          <w:sz w:val="20"/>
        </w:rPr>
        <w:t>”), if and to the extent that Jefferies LLC, Leerink Partners LLC, Morgan Stanley &amp; Co. LLC and Cantor Fitzgerald &amp; Co. (together, the “</w:t>
      </w:r>
      <w:r>
        <w:rPr>
          <w:rFonts w:ascii="Times New Roman" w:hAnsi="Times New Roman"/>
          <w:b/>
          <w:sz w:val="20"/>
        </w:rPr>
        <w:t>Representatives</w:t>
      </w:r>
      <w:r>
        <w:rPr>
          <w:rFonts w:ascii="Times New Roman" w:hAnsi="Times New Roman"/>
          <w:sz w:val="20"/>
        </w:rPr>
        <w:t>”), as representatives of the offering,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Times New Roman" w:hAnsi="Times New Roman"/>
          <w:b/>
          <w:sz w:val="20"/>
        </w:rPr>
        <w:t>Shares</w:t>
      </w:r>
      <w:r>
        <w:rPr>
          <w:rFonts w:ascii="Times New Roman" w:hAnsi="Times New Roman"/>
          <w:sz w:val="20"/>
        </w:rPr>
        <w:t>.” The shares of common stock, par value $0.0001 per share, of the Company to be outstanding after giving effect to the sales contemplated hereby are hereinafter referred to as the “</w:t>
      </w:r>
      <w:r>
        <w:rPr>
          <w:rFonts w:ascii="Times New Roman" w:hAnsi="Times New Roman"/>
          <w:b/>
          <w:sz w:val="20"/>
        </w:rPr>
        <w:t>Common Stock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has filed with the Securities and Exchange Commission (the “</w:t>
      </w:r>
      <w:r>
        <w:rPr>
          <w:rFonts w:ascii="Times New Roman" w:hAnsi="Times New Roman"/>
          <w:b/>
          <w:sz w:val="20"/>
        </w:rPr>
        <w:t>Commission</w:t>
      </w:r>
      <w:r>
        <w:rPr>
          <w:rFonts w:ascii="Times New Roman" w:hAnsi="Times New Roman"/>
          <w:sz w:val="20"/>
        </w:rPr>
        <w:t>”) a registration statement, including a prospectus, on Form S-3 (File No. 333-281359), relating to the various securities (the “</w:t>
      </w:r>
      <w:r>
        <w:rPr>
          <w:rFonts w:ascii="Times New Roman" w:hAnsi="Times New Roman"/>
          <w:b/>
          <w:sz w:val="20"/>
        </w:rPr>
        <w:t>Shelf Securities</w:t>
      </w:r>
      <w:r>
        <w:rPr>
          <w:rFonts w:ascii="Times New Roman" w:hAnsi="Times New Roman"/>
          <w:sz w:val="20"/>
        </w:rPr>
        <w:t>”), including the Shares, to be issued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(the “</w:t>
      </w:r>
      <w:r>
        <w:rPr>
          <w:rFonts w:ascii="Times New Roman" w:hAnsi="Times New Roman"/>
          <w:b/>
          <w:sz w:val="20"/>
        </w:rPr>
        <w:t>Securities Act</w:t>
      </w:r>
      <w:r>
        <w:rPr>
          <w:rFonts w:ascii="Times New Roman" w:hAnsi="Times New Roman"/>
          <w:sz w:val="20"/>
        </w:rPr>
        <w:t>”), is hereinafter referred to as the “</w:t>
      </w:r>
      <w:r>
        <w:rPr>
          <w:rFonts w:ascii="Times New Roman" w:hAnsi="Times New Roman"/>
          <w:b/>
          <w:sz w:val="20"/>
        </w:rPr>
        <w:t>Registration Statement</w:t>
      </w:r>
      <w:r>
        <w:rPr>
          <w:rFonts w:ascii="Times New Roman" w:hAnsi="Times New Roman"/>
          <w:sz w:val="20"/>
        </w:rPr>
        <w:t>,” and the related prospectus covering the Shelf Securities dated August 8, 2024 is hereinafter referred to as the “</w:t>
      </w:r>
      <w:r>
        <w:rPr>
          <w:rFonts w:ascii="Times New Roman" w:hAnsi="Times New Roman"/>
          <w:b/>
          <w:sz w:val="20"/>
        </w:rPr>
        <w:t>Basic Prospectus</w:t>
      </w:r>
      <w:r>
        <w:rPr>
          <w:rFonts w:ascii="Times New Roman" w:hAnsi="Times New Roman"/>
          <w:sz w:val="20"/>
        </w:rPr>
        <w:t>.” The Basic Prospectus, as supplemented by the prospectus supplement specifically relating to the Shares in the form first used to confirm sales of the Shares (or in the form first made available to the Underwriters by the Company to meet requests of purchasers pursuant to Rule 173 under the Securities Act) is hereinafter referred to as the “</w:t>
      </w:r>
      <w:r>
        <w:rPr>
          <w:rFonts w:ascii="Times New Roman" w:hAnsi="Times New Roman"/>
          <w:b/>
          <w:sz w:val="20"/>
        </w:rPr>
        <w:t>Prospectus</w:t>
      </w:r>
      <w:r>
        <w:rPr>
          <w:rFonts w:ascii="Times New Roman" w:hAnsi="Times New Roman"/>
          <w:sz w:val="20"/>
        </w:rPr>
        <w:t>,” and the term “</w:t>
      </w:r>
      <w:r>
        <w:rPr>
          <w:rFonts w:ascii="Times New Roman" w:hAnsi="Times New Roman"/>
          <w:b/>
          <w:sz w:val="20"/>
        </w:rPr>
        <w:t>preliminary prospectus</w:t>
      </w:r>
      <w:r>
        <w:rPr>
          <w:rFonts w:ascii="Times New Roman" w:hAnsi="Times New Roman"/>
          <w:sz w:val="20"/>
        </w:rPr>
        <w:t xml:space="preserve">” means any preliminary form of the Prospectus. </w:t>
      </w:r>
    </w:p>
    <w:p>
      <w:pPr>
        <w:pStyle w:val="TextBody"/>
        <w:bidi w:val="0"/>
        <w:spacing w:before="240" w:after="0"/>
        <w:jc w:val="left"/>
        <w:rPr>
          <w:rFonts w:ascii="Times New Roman" w:hAnsi="Times New Roman"/>
          <w:sz w:val="20"/>
        </w:rPr>
      </w:pPr>
      <w:r>
        <w:rPr>
          <w:rFonts w:ascii="Times New Roman" w:hAnsi="Times New Roman"/>
          <w:sz w:val="20"/>
        </w:rPr>
        <w:t>For purposes of this Agreement, “</w:t>
      </w:r>
      <w:r>
        <w:rPr>
          <w:rFonts w:ascii="Times New Roman" w:hAnsi="Times New Roman"/>
          <w:b/>
          <w:sz w:val="20"/>
        </w:rPr>
        <w:t>free writing prospectus</w:t>
      </w:r>
      <w:r>
        <w:rPr>
          <w:rFonts w:ascii="Times New Roman" w:hAnsi="Times New Roman"/>
          <w:sz w:val="20"/>
        </w:rPr>
        <w:t>” has the meaning set forth in Rule 405 under the Securities Act, “</w:t>
      </w:r>
      <w:r>
        <w:rPr>
          <w:rFonts w:ascii="Times New Roman" w:hAnsi="Times New Roman"/>
          <w:b/>
          <w:sz w:val="20"/>
        </w:rPr>
        <w:t>Time of Sale Prospectus</w:t>
      </w:r>
      <w:r>
        <w:rPr>
          <w:rFonts w:ascii="Times New Roman" w:hAnsi="Times New Roman"/>
          <w:sz w:val="20"/>
        </w:rPr>
        <w:t>” means the Basic Prospectus as supplemented by the documents and pricing information set forth in Schedule II hereto, and “</w:t>
      </w:r>
      <w:r>
        <w:rPr>
          <w:rFonts w:ascii="Times New Roman" w:hAnsi="Times New Roman"/>
          <w:b/>
          <w:sz w:val="20"/>
        </w:rPr>
        <w:t>broadly available road show</w:t>
      </w:r>
      <w:r>
        <w:rPr>
          <w:rFonts w:ascii="Times New Roman" w:hAnsi="Times New Roman"/>
          <w:sz w:val="20"/>
        </w:rPr>
        <w:t>” means a “</w:t>
      </w:r>
      <w:r>
        <w:rPr>
          <w:rFonts w:ascii="Times New Roman" w:hAnsi="Times New Roman"/>
          <w:b/>
          <w:sz w:val="20"/>
        </w:rPr>
        <w:t>bona fide electronic road show</w:t>
      </w:r>
      <w:r>
        <w:rPr>
          <w:rFonts w:ascii="Times New Roman" w:hAnsi="Times New Roman"/>
          <w:sz w:val="20"/>
        </w:rPr>
        <w:t>” as defined in Rule 433(h)(5) under the Securities Act that has been made available without restriction to any person. As used herein, the terms “</w:t>
      </w:r>
      <w:r>
        <w:rPr>
          <w:rFonts w:ascii="Times New Roman" w:hAnsi="Times New Roman"/>
          <w:b/>
          <w:sz w:val="20"/>
        </w:rPr>
        <w:t>Registration Statement</w:t>
      </w:r>
      <w:r>
        <w:rPr>
          <w:rFonts w:ascii="Times New Roman" w:hAnsi="Times New Roman"/>
          <w:sz w:val="20"/>
        </w:rPr>
        <w:t>,” “</w:t>
      </w:r>
      <w:r>
        <w:rPr>
          <w:rFonts w:ascii="Times New Roman" w:hAnsi="Times New Roman"/>
          <w:b/>
          <w:sz w:val="20"/>
        </w:rPr>
        <w:t>Basic Prospectus</w:t>
      </w:r>
      <w:r>
        <w:rPr>
          <w:rFonts w:ascii="Times New Roman" w:hAnsi="Times New Roman"/>
          <w:sz w:val="20"/>
        </w:rPr>
        <w:t>,” “</w:t>
      </w:r>
      <w:r>
        <w:rPr>
          <w:rFonts w:ascii="Times New Roman" w:hAnsi="Times New Roman"/>
          <w:b/>
          <w:sz w:val="20"/>
        </w:rPr>
        <w:t>preliminary prospectus</w:t>
      </w:r>
      <w:r>
        <w:rPr>
          <w:rFonts w:ascii="Times New Roman" w:hAnsi="Times New Roman"/>
          <w:sz w:val="20"/>
        </w:rPr>
        <w:t>,” “</w:t>
      </w:r>
      <w:r>
        <w:rPr>
          <w:rFonts w:ascii="Times New Roman" w:hAnsi="Times New Roman"/>
          <w:b/>
          <w:sz w:val="20"/>
        </w:rPr>
        <w:t>Time of Sale Prospectus</w:t>
      </w:r>
      <w:r>
        <w:rPr>
          <w:rFonts w:ascii="Times New Roman" w:hAnsi="Times New Roman"/>
          <w:sz w:val="20"/>
        </w:rPr>
        <w:t>” and “</w:t>
      </w:r>
      <w:r>
        <w:rPr>
          <w:rFonts w:ascii="Times New Roman" w:hAnsi="Times New Roman"/>
          <w:b/>
          <w:sz w:val="20"/>
        </w:rPr>
        <w:t>Prospectus</w:t>
      </w:r>
      <w:r>
        <w:rPr>
          <w:rFonts w:ascii="Times New Roman" w:hAnsi="Times New Roman"/>
          <w:sz w:val="20"/>
        </w:rPr>
        <w:t>” shall include the documents, if any, incorporated by reference therein as of the date hereof. The terms “</w:t>
      </w:r>
      <w:r>
        <w:rPr>
          <w:rFonts w:ascii="Times New Roman" w:hAnsi="Times New Roman"/>
          <w:b/>
          <w:sz w:val="20"/>
        </w:rPr>
        <w:t>supplement,</w:t>
      </w:r>
      <w:r>
        <w:rPr>
          <w:rFonts w:ascii="Times New Roman" w:hAnsi="Times New Roman"/>
          <w:sz w:val="20"/>
        </w:rPr>
        <w:t>” “</w:t>
      </w:r>
      <w:r>
        <w:rPr>
          <w:rFonts w:ascii="Times New Roman" w:hAnsi="Times New Roman"/>
          <w:b/>
          <w:sz w:val="20"/>
        </w:rPr>
        <w:t>amendment</w:t>
      </w:r>
      <w:r>
        <w:rPr>
          <w:rFonts w:ascii="Times New Roman" w:hAnsi="Times New Roman"/>
          <w:sz w:val="20"/>
        </w:rPr>
        <w:t>” and “</w:t>
      </w:r>
      <w:r>
        <w:rPr>
          <w:rFonts w:ascii="Times New Roman" w:hAnsi="Times New Roman"/>
          <w:b/>
          <w:sz w:val="20"/>
        </w:rPr>
        <w:t>amend</w:t>
      </w:r>
      <w:r>
        <w:rPr>
          <w:rFonts w:ascii="Times New Roman" w:hAnsi="Times New Roman"/>
          <w:sz w:val="20"/>
        </w:rPr>
        <w:t>” as used herein with respect to the Registration Statement, the Basic Prospectus, the Time of Sale Prospectus or the Prospectus shall include all documents subsequently filed by the Company with the Commission pursuant to the Securities Exchange Act of 1934, as amended (the “</w:t>
      </w:r>
      <w:r>
        <w:rPr>
          <w:rFonts w:ascii="Times New Roman" w:hAnsi="Times New Roman"/>
          <w:b/>
          <w:sz w:val="20"/>
        </w:rPr>
        <w:t>Exchange Act</w:t>
      </w:r>
      <w:r>
        <w:rPr>
          <w:rFonts w:ascii="Times New Roman" w:hAnsi="Times New Roman"/>
          <w:sz w:val="20"/>
        </w:rPr>
        <w:t xml:space="preserve">”), that are deemed to be incorporated by reference therein.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Representations and Warranties of the Company</w:t>
      </w:r>
      <w:r>
        <w:rPr>
          <w:rFonts w:ascii="Times New Roman" w:hAnsi="Times New Roman"/>
          <w:sz w:val="20"/>
        </w:rPr>
        <w:t xml:space="preserve">. The Company represents and warrants to and agrees with each of the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has become effective; no stop order suspending the effectiveness of the Registration Statement is in effect, and no proceedings for such purpose or pursuant to Section 8A under the Securities Act are pending before or, to the knowledge of the Company, threatened by the Commission. At the time the Registration Statement was effective and at the time the Company’s most recent annual report on Form 10-K was filed with the Commission, if later, the Company was, or will be, a “well known seasoned issuer” as defined in Rule 405 under the Securities Act and met or will meet the then applicable requirements for the use of Form S-3 under the Securities Act, including, but not limited to, General Instruction I.B.1 of Form S-3. The Registration Statement is an “automatic shelf registration statement,” as defined in Rule 405 under the Securities Act, and became effective upon filing. The Company has not received from the Commission any notice pursuant to Rule 401(g)(2) under the Securities Act objecting to the Company’s use of the automatic shelf registration form. The Company is not a shell company (as defined in Rule 405) and has not been a shell company for at least 12 calendar months previously.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and (vi)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or on behalf of such Underwriter through the Representatives expressly for use therein, it being understood and agreed upon that the only such information in the Prospectus furnished on behalf of each Underwriter is the concession figure appearing in the third paragraph under the caption “Underwriting,” the information regarding stabilizing transactions contained in the fourteenth paragraph under the caption “Underwriting” and the information regarding selling restrictions contained in the eighteenth and nineteenth paragraphs under the caption “Underwriting” (the “</w:t>
      </w:r>
      <w:r>
        <w:rPr>
          <w:rFonts w:ascii="Times New Roman" w:hAnsi="Times New Roman"/>
          <w:b/>
          <w:sz w:val="20"/>
        </w:rPr>
        <w:t>Underwriter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Representatives’ prior consent, prepare, use or refer to, any free writing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(e) From the time of initial confidential submission of the Company’s Registration Statement on Form S-1 (File No. 333-240098) to the Commission through December 31, 2024, the Company was an “emerging growth company,” as defined in Section 2(a) of the Securities Act (an “</w:t>
      </w:r>
      <w:r>
        <w:rPr>
          <w:rFonts w:ascii="Times New Roman" w:hAnsi="Times New Roman"/>
          <w:b/>
          <w:sz w:val="20"/>
        </w:rPr>
        <w:t>Emerging Growth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The interactive data in eXtensible Business Reporting Language included or incorporated by reference in the Registration Statement, Time of Sale Prospectus and the Prospectus fairly presents the information called for in all material respects and has been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(g) The Company is subject to and in compliance in all material respects with the reporting requirements of Section 13 or Section 15(d) of the Exchange Act. The Common Stock is registered pursuant to Section 12(b) of the Exchange Act and is listed on the Nasdaq Global Market (“</w:t>
      </w:r>
      <w:r>
        <w:rPr>
          <w:rFonts w:ascii="Times New Roman" w:hAnsi="Times New Roman"/>
          <w:b/>
          <w:sz w:val="20"/>
        </w:rPr>
        <w:t>Nasdaq</w:t>
      </w:r>
      <w:r>
        <w:rPr>
          <w:rFonts w:ascii="Times New Roman" w:hAnsi="Times New Roman"/>
          <w:sz w:val="20"/>
        </w:rPr>
        <w:t xml:space="preserve">”),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Shares. </w:t>
      </w:r>
    </w:p>
    <w:p>
      <w:pPr>
        <w:pStyle w:val="TextBody"/>
        <w:bidi w:val="0"/>
        <w:spacing w:before="120" w:after="0"/>
        <w:jc w:val="left"/>
        <w:rPr>
          <w:rFonts w:ascii="Times New Roman" w:hAnsi="Times New Roman"/>
          <w:sz w:val="20"/>
        </w:rPr>
      </w:pPr>
      <w:r>
        <w:rPr>
          <w:rFonts w:ascii="Times New Roman" w:hAnsi="Times New Roman"/>
          <w:sz w:val="20"/>
        </w:rPr>
        <w:t xml:space="preserve">(h) No person (as such term is defined in Rule 1-02 of Regulation S-X promulgated under the Securities Act) has the right to act as an underwriter or as a financial advisor to the Company in connection with the offer and sale of the Shares hereunder, whether as a result of the filing or effectiveness of the Registration Statement or the sale of the Shares as contemplated hereby or otherwise. Except for the Underwriters, there is no broker, finder or other party that is entitled to receive from the Company or any of its Subsidiaries (as defined below) any brokerage or finder’s fee or other fee or commission as a result of any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has been duly incorporated, is validly existing as a corporation in good standing under the laws of the jurisdiction of its incorporation, has the corporate power and authority to own, lease and operate its property and to conduct its business as described in each of the Registration Statement, the Time of Sale Prospectus and the Prospectus and to enter into and perform its obligations under this Agreement. The Company is duly qualified to transact business and is in good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standing in each jurisdiction in which the conduct of its business or its ownership or leasing of property requires such qualification, except to the extent that the failure to be so qualified or be in good standing would not reasonably be expected to, singly or in the aggregate, have a material adverse effect on the condition (financial or otherwise), earnings, results of operations, business, properties, operations, assets, liabilities or prospects of the Company and its Subsidiaries, taken as a whole, whether or not arising from transactions in the ordinary course of business (a “</w:t>
      </w:r>
      <w:r>
        <w:rPr>
          <w:rFonts w:ascii="Times New Roman" w:hAnsi="Times New Roman"/>
          <w:b/>
          <w:sz w:val="20"/>
        </w:rPr>
        <w:t>Material Adverse Effect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(j) Each of the Company’s “subsidiaries” (for purposes of this Agreement, as defined in Rule 405 under the Securities Act) (each, a “</w:t>
      </w:r>
      <w:r>
        <w:rPr>
          <w:rFonts w:ascii="Times New Roman" w:hAnsi="Times New Roman"/>
          <w:b/>
          <w:sz w:val="20"/>
        </w:rPr>
        <w:t>Subsidiary</w:t>
      </w:r>
      <w:r>
        <w:rPr>
          <w:rFonts w:ascii="Times New Roman" w:hAnsi="Times New Roman"/>
          <w:sz w:val="20"/>
        </w:rPr>
        <w:t>” and, collectively, the “</w:t>
      </w:r>
      <w:r>
        <w:rPr>
          <w:rFonts w:ascii="Times New Roman" w:hAnsi="Times New Roman"/>
          <w:b/>
          <w:sz w:val="20"/>
        </w:rPr>
        <w:t>Subsidiaries</w:t>
      </w:r>
      <w:r>
        <w:rPr>
          <w:rFonts w:ascii="Times New Roman" w:hAnsi="Times New Roman"/>
          <w:sz w:val="20"/>
        </w:rPr>
        <w:t xml:space="preserve">”) has been duly incorporated, organized or formed and is validly existing in good standing (where such concept exists) under the laws of the jurisdiction of its incorporation or organization and has full power and authority to acquire, own, lease and operate its properties, and to conduct its business as described in the Registration Statement, the Time of Sale Prospectus and the Prospectus. Each Subsidiary is duly qualified to transact business and is in good standing (where such concept exists) under the laws of each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All of the issued and outstanding share capital or other equity or ownership interests of each Subsidiary has been duly authorized and validly issued, is fully paid and nonassessable, has been issued in compliance with federal state and securities laws and is owned by the Company, directly or through other wholly-owned Subsidiaries, free and clear of any security interest, mortgage, pledge, lien, encumbrance or adverse claim, other than a security interest held by Hercules Capital, Inc. as described in the Registration Statement, the Time of Sale Prospectus and the Prospectus. Except for Disc Medicine Opco, Inc., a Delaware corporation, Disc Medicine B.V., a Netherlands private limited company, Disc Medicine Securities Corp., a Massachusetts corporation, Disc Medicine Pty Ltd, an Australian proprietary limited company, Kurome Therapeutics, Inc., a Delaware corporation and KuromeTx Australia Pty Ltd, an Australian proprietary limited company, the Company does not own or control, directly or indirectly, any corporation, association or other entity. Only Disc Medicine Opco, Inc. and Disc Medicine Securities Corp. each constitutes a “significant subsidiary” within the meaning of Rule 1-02 of Regulation S-X.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 </w:t>
      </w:r>
    </w:p>
    <w:p>
      <w:pPr>
        <w:pStyle w:val="TextBody"/>
        <w:bidi w:val="0"/>
        <w:spacing w:before="120" w:after="0"/>
        <w:jc w:val="left"/>
        <w:rPr>
          <w:rFonts w:ascii="Times New Roman" w:hAnsi="Times New Roman"/>
          <w:sz w:val="20"/>
        </w:rPr>
      </w:pPr>
      <w:r>
        <w:rPr>
          <w:rFonts w:ascii="Times New Roman" w:hAnsi="Times New Roman"/>
          <w:sz w:val="20"/>
        </w:rPr>
        <w:t xml:space="preserve">(k) The authorized capital stock of the Company conforms as to legal matters to the description thereof contained in each of the Registration Statement, the Time of Sale Prospectus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 The Common Stock conforms in all material respects to the description thereof contained in the Registration Statement, the Time of Sale Prospectus and the Prospectus, including under the heading “Description of Capital Stock.” All of the issued and outstanding share capital or other equity or ownership interest of the Company (including the Common Stock)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shares of capital stock of the Company were issued in violation of any preemptive rights, rights of first refusal or other similar rights to subscribe for or purchase securities of the Company. The descriptions of the Company’s equity incentive plan, stock option plans and other stock plans or arrangements described in the Prospectus and in effect as of the date hereof (collectively, the “</w:t>
      </w:r>
      <w:r>
        <w:rPr>
          <w:rFonts w:ascii="Times New Roman" w:hAnsi="Times New Roman"/>
          <w:b/>
          <w:sz w:val="20"/>
        </w:rPr>
        <w:t>Stock Plans</w:t>
      </w:r>
      <w:r>
        <w:rPr>
          <w:rFonts w:ascii="Times New Roman" w:hAnsi="Times New Roman"/>
          <w:sz w:val="20"/>
        </w:rPr>
        <w:t xml:space="preserve">”) and the options or other rights granted thereunder, set forth in the Registration Statement and the Prospectus accurately and fairly present the information required to be shown with respect to such Stock Plans and the options or other rights granted thereunder. </w:t>
      </w:r>
    </w:p>
    <w:p>
      <w:pPr>
        <w:pStyle w:val="TextBody"/>
        <w:bidi w:val="0"/>
        <w:spacing w:before="120" w:after="0"/>
        <w:jc w:val="left"/>
        <w:rPr>
          <w:rFonts w:ascii="Times New Roman" w:hAnsi="Times New Roman"/>
          <w:sz w:val="20"/>
        </w:rPr>
      </w:pPr>
      <w:r>
        <w:rPr>
          <w:rFonts w:ascii="Times New Roman" w:hAnsi="Times New Roman"/>
          <w:sz w:val="20"/>
        </w:rPr>
        <w:t xml:space="preserve">(m) The Shares have been duly authorized and, when issued, delivered and paid for in accordance with the terms of this Agreement, will be validly issued, fully paid and non-assessable, and the issuance of the Shares will not be subject to any preemptive or similar rights that have not been validly waived.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(n) The Company is not, and after giving effect to the offering and sale of the Shares and the application of the proceeds thereof as described in each of the Registration Statement, the Time of Sale Prospectus and the Prospectus will not be, required to register as an “investment company” as such term is defined in the Investment Company Act of 1940, as amended. </w:t>
      </w:r>
    </w:p>
    <w:p>
      <w:pPr>
        <w:pStyle w:val="TextBody"/>
        <w:bidi w:val="0"/>
        <w:spacing w:before="120" w:after="0"/>
        <w:jc w:val="left"/>
        <w:rPr>
          <w:rFonts w:ascii="Times New Roman" w:hAnsi="Times New Roman"/>
          <w:sz w:val="20"/>
        </w:rPr>
      </w:pPr>
      <w:r>
        <w:rPr>
          <w:rFonts w:ascii="Times New Roman" w:hAnsi="Times New Roman"/>
          <w:sz w:val="20"/>
        </w:rPr>
        <w:t xml:space="preserve">(o) The execution and delivery by the Company of, and the performance by the Company of its obligations under, this Agreement will not contravene any provision of (i) applicable law, (ii) the certificate of incorporation or by laws of the Company, (iii) any agreement or other instrument binding upon the Company or its Subsidiaries that is material to the Company and its Subsidiaries, taken as a whole, or (iv) any judgment, order or decree of any governmental body, agency or court having jurisdiction over the Company or its Subsidiaries, except that, in the case of clause (i) and (iii), as would not, individually or in the aggregate, reasonably be expected to have a Material Adverse Effect on the Company or on the power and ability of the Company to perform its obligations under this Agreement,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in connection with the offer and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(p) There has not occurred any Material Adverse Effect, or any development involving a prospective Material Adverse Effect, in the condition, financial or otherwise, or in the earnings, business or operations of the Company and its subsidiaries, taken as a whole, from that set forth in the Time of Sale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as have been validly waived or complied with in connection with the issuance and sale of the Shares contemplated hereby. </w:t>
      </w:r>
    </w:p>
    <w:p>
      <w:pPr>
        <w:pStyle w:val="TextBody"/>
        <w:bidi w:val="0"/>
        <w:spacing w:before="120" w:after="0"/>
        <w:jc w:val="left"/>
        <w:rPr>
          <w:rFonts w:ascii="Times New Roman" w:hAnsi="Times New Roman"/>
          <w:sz w:val="20"/>
        </w:rPr>
      </w:pPr>
      <w:r>
        <w:rPr>
          <w:rFonts w:ascii="Times New Roman" w:hAnsi="Times New Roman"/>
          <w:sz w:val="20"/>
        </w:rPr>
        <w:t>(r) The consolidated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 w:hAnsi="Times New Roman"/>
          <w:b/>
          <w:sz w:val="20"/>
        </w:rPr>
        <w:t>U.S. GAAP</w:t>
      </w:r>
      <w:r>
        <w:rPr>
          <w:rFonts w:ascii="Times New Roman" w:hAnsi="Times New Roman"/>
          <w:sz w:val="20"/>
        </w:rPr>
        <w:t>”)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comply with the requirements of Regulation S-X of the Securities Act, including, without limitation, Article 11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There are no financial statements (historical or pro forma) that are required to be included or incorporated by reference in the Registration Statement, the Time of Sale Prospectus or the Prospectus that are not included or incorporated by reference therein as required. The Company and the Subsidiaries do not have any material liabilities or obligations, direct or contingent (including any off-balance sheet obligations), not disclosed in the Registration Statement, the Time of Sale Prospectus and the Prospectus. All disclosures contained in the Registration Statement, the Time of Sale Prospectus or the Prospectus that contain “non-GAAP financial measures” (as such term is defined by the rules and regulations of the Commission) comply, in all material respects, with Regulation G under the Exchange Act and Item 10 of Regulation S-K under the Securities Act, to the extent applicable. 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 and the Company has obtained the written consent to the use of such data from such sources to the extent required. To the Company’s knowledge, no person who has been suspended or barred from being associated with a registered public accounting firm, or who has failed to comply with any sanction pursuant to Rule 5300 promulgated by the Public Company Accounting Oversight Board (“</w:t>
      </w:r>
      <w:r>
        <w:rPr>
          <w:rFonts w:ascii="Times New Roman" w:hAnsi="Times New Roman"/>
          <w:b/>
          <w:sz w:val="20"/>
        </w:rPr>
        <w:t>PCAOB</w:t>
      </w:r>
      <w:r>
        <w:rPr>
          <w:rFonts w:ascii="Times New Roman" w:hAnsi="Times New Roman"/>
          <w:sz w:val="20"/>
        </w:rPr>
        <w:t xml:space="preserve">”), has participated in or otherwise aided the preparation of, or audited, the financial statements, supporting schedules or other financial data filed with the Commission as a part of the Registration Statement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reasonably be expected to, singly or in the aggregate, have a Material Adverse Effect on the Company and its subsidiaries, taken as a whole,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 documents that are required to be described in the Registration Statement, the Time of Sale Prospectus or the Prospectus or to be filed as exhibits to the Registration Statement that are not described in all material respects or filed as required. </w:t>
      </w:r>
    </w:p>
    <w:p>
      <w:pPr>
        <w:pStyle w:val="TextBody"/>
        <w:bidi w:val="0"/>
        <w:spacing w:before="120" w:after="0"/>
        <w:jc w:val="left"/>
        <w:rPr>
          <w:rFonts w:ascii="Times New Roman" w:hAnsi="Times New Roman"/>
          <w:sz w:val="20"/>
        </w:rPr>
      </w:pPr>
      <w:r>
        <w:rPr>
          <w:rFonts w:ascii="Times New Roman" w:hAnsi="Times New Roman"/>
          <w:sz w:val="20"/>
        </w:rPr>
        <w:t xml:space="preserve">(t) Ernst &amp; Young LLP,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PCAOB. Ernst &amp; Young LLP has not been engaged by the Company to perform any “prohibited activities” or provided to the Company any “non-audit services” (as defined in Section 10A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(u) 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Shares. </w:t>
      </w:r>
    </w:p>
    <w:p>
      <w:pPr>
        <w:pStyle w:val="TextBody"/>
        <w:bidi w:val="0"/>
        <w:spacing w:before="120" w:after="0"/>
        <w:jc w:val="left"/>
        <w:rPr>
          <w:rFonts w:ascii="Times New Roman" w:hAnsi="Times New Roman"/>
          <w:sz w:val="20"/>
        </w:rPr>
      </w:pPr>
      <w:r>
        <w:rPr>
          <w:rFonts w:ascii="Times New Roman" w:hAnsi="Times New Roman"/>
          <w:sz w:val="20"/>
        </w:rPr>
        <w:t xml:space="preserve">(v)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The Company and its Subsidiaries are insured by insurers of recognized financial responsibility against such losses and risks and in such amounts as are prudent and customary in the businesses in which they are engaged; neither the Company nor its Subsidiaries has been refused any insurance coverage sought or applied for; and neither the Company nor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singly or in the aggregate,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(x)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in any material respect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in any material respect with the use made and proposed to be made of such property and buildings by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(y) The Company and its Subsidiaries possess and are operating in material compliance with all certificates, authorizations and permits issued by the appropriate federal, state or foreign regulatory authorities necessary to conduct their respective businesses as described in the Registration Statement, the Time of Sale Prospectus and the Prospectus, and neither the Company nor its Subsidiaries has received any written notice of proceedings relating to the revocation or modification of, or material non-compliance with, any such material certificate, authorization or permit which, singly or in the aggregate, if the subject of an unfavorable decision, ruling or finding, would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(z)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disclosed in the Registration Statement, the Time of Sale Prospectus and the Prospectus, since the end of the Company’s most recent audited fiscal year, (i) there has been (x) no material weakness in the Company’s internal control over financial reporting (whether or not remediated) and (y) no change in the Company’s internal control over financial reporting that has materially affected, or is reasonably likely to materially affect, the Company’s internal control over financial reporting; and (ii) the interactive data in the eXtensible Business Reporting Language included or incorporated by reference in the Registration Statement, the Time of Sale Prospectus and the Prospectus fairly presents the information called for in all respects and has been prepared in accordance with the Commission’s rules and guidelines applicable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 Neither the Company, nor any of its Subsidiaries, nor to the knowledge of the Company, any of its or their respective directors, officers or controlling persons has taken, directly or indirectly, without giving effect to any actions taken by the Underwriters, (i) any action designed to or that might constitute or reasonably be expected to cause or result in, under the Exchange Act or otherwise, stabilization or manipulation of the price of any security of the Company to facilitate the sale or resale of the Shares or (ii) any action designed to or that might constitute or reasonably be expected to cause or result in a violation of Regulation M under the Exchange Act. </w:t>
      </w:r>
    </w:p>
    <w:p>
      <w:pPr>
        <w:pStyle w:val="TextBody"/>
        <w:bidi w:val="0"/>
        <w:spacing w:before="120" w:after="0"/>
        <w:jc w:val="left"/>
        <w:rPr>
          <w:rFonts w:ascii="Times New Roman" w:hAnsi="Times New Roman"/>
          <w:sz w:val="20"/>
        </w:rPr>
      </w:pPr>
      <w:r>
        <w:rPr>
          <w:rFonts w:ascii="Times New Roman" w:hAnsi="Times New Roman"/>
          <w:sz w:val="20"/>
        </w:rPr>
        <w:t>(bb) The Company and its Subsidiary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(cc) There are no costs or liabilities associated with Environmental Laws (including, without limitation, any capital or operating expenditures required for clean 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(dd) None of the following events has occurred or exists: (i) a failure to fulfill the obligations, if any, under the minimum funding standards of Section 302 of the United States Employee Retirement Income Security Act of 1974, as amended (“</w:t>
      </w:r>
      <w:r>
        <w:rPr>
          <w:rFonts w:ascii="Times New Roman" w:hAnsi="Times New Roman"/>
          <w:b/>
          <w:sz w:val="20"/>
        </w:rPr>
        <w:t>ERISA</w:t>
      </w:r>
      <w:r>
        <w:rPr>
          <w:rFonts w:ascii="Times New Roman" w:hAnsi="Times New Roman"/>
          <w:sz w:val="20"/>
        </w:rPr>
        <w:t xml:space="preserve">”), and the regulations and published interpretations thereunder with respect to a Plan that is required to be funded, determined without regard to any waiver of such obligations or extension of any amortization period that would reasonably be expected to have a Material Adverse Effect;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its Subsidiaries that would reasonably be expected to have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Material Adverse Effect; (iii) any breach of any contractual obligation, or any violation of law or applicable qualification standards, with respect to the employment or compensation of employees by the Company or its Subsidiaries that would reasonably be expected to have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would reasonably be expected to have a Material Adverse Effect; or (iv) the filing of a claim by one or more employees or former employees of the Company or any of its Subsidiaries related to their employment that would reasonably be expected to have a Material Adverse Effect. For purposes of this paragraph, the term “</w:t>
      </w:r>
      <w:r>
        <w:rPr>
          <w:rFonts w:ascii="Times New Roman" w:hAnsi="Times New Roman"/>
          <w:b/>
          <w:sz w:val="20"/>
        </w:rPr>
        <w:t>Plan</w:t>
      </w:r>
      <w:r>
        <w:rPr>
          <w:rFonts w:ascii="Times New Roman" w:hAnsi="Times New Roman"/>
          <w:sz w:val="20"/>
        </w:rPr>
        <w:t xml:space="preserve">” means a plan (within the meaning of Section 3(3) of ERISA) subject to Title IV of ERISA with respect to which the Company or any of its Subsidiaries may have any liability. </w:t>
      </w:r>
    </w:p>
    <w:p>
      <w:pPr>
        <w:pStyle w:val="TextBody"/>
        <w:bidi w:val="0"/>
        <w:spacing w:before="120" w:after="0"/>
        <w:jc w:val="left"/>
        <w:rPr>
          <w:rFonts w:ascii="Times New Roman" w:hAnsi="Times New Roman"/>
          <w:sz w:val="20"/>
        </w:rPr>
      </w:pPr>
      <w:r>
        <w:rPr>
          <w:rFonts w:ascii="Times New Roman" w:hAnsi="Times New Roman"/>
          <w:sz w:val="20"/>
        </w:rPr>
        <w:t>(ee) The Company has taken all necessary actions to ensure that it is in compliance with all applicable provisions of the Sarbanes-Oxley Act of 2002 and the rules and regulations promulgated in connection therewith (the “</w:t>
      </w:r>
      <w:r>
        <w:rPr>
          <w:rFonts w:ascii="Times New Roman" w:hAnsi="Times New Roman"/>
          <w:b/>
          <w:sz w:val="20"/>
        </w:rPr>
        <w:t>Sarbanes-Oxley Act</w:t>
      </w:r>
      <w:r>
        <w:rPr>
          <w:rFonts w:ascii="Times New Roman" w:hAnsi="Times New Roman"/>
          <w:sz w:val="20"/>
        </w:rPr>
        <w:t xml:space="preserve">”) that are currently in effect and with which the Company is required to comply. There is and has been no material failure on the part of the Company or, to the knowledge of the Company, any of the Company’s directors or officers, in their capacities as such, to comply with any applicable provision of the Sarbanes-Oxley Act,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(ff) (i)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hAnsi="Times New Roman"/>
          <w:b/>
          <w:sz w:val="20"/>
        </w:rPr>
        <w:t>Government Official</w:t>
      </w:r>
      <w:r>
        <w:rPr>
          <w:rFonts w:ascii="Times New Roman" w:hAnsi="Times New Roman"/>
          <w:sz w:val="20"/>
        </w:rPr>
        <w:t xml:space="preserve">”) in order to influence official action, or to any person in violation of any applicable anti-corruption laws; (ii)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(gg) The operations of the Company and each of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hAnsi="Times New Roman"/>
          <w:b/>
          <w:sz w:val="20"/>
        </w:rPr>
        <w:t>Anti-Money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Anti-Money Laundering Laws is pending or, to the best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(hh) (i) None of the Company, any of its subsidiaries, or any director, officer, or employee thereof, or, to the Company’s knowledge, any agent, affiliate or representative of the Company or any of its subsidiaries, is an individual or entity (“</w:t>
      </w:r>
      <w:r>
        <w:rPr>
          <w:rFonts w:ascii="Times New Roman" w:hAnsi="Times New Roman"/>
          <w:b/>
          <w:sz w:val="20"/>
        </w:rPr>
        <w:t>Person</w:t>
      </w:r>
      <w:r>
        <w:rPr>
          <w:rFonts w:ascii="Times New Roman" w:hAnsi="Times New Roman"/>
          <w:sz w:val="20"/>
        </w:rPr>
        <w:t xml:space="preserve">”) that is, or is owned or, where relevant under applicable Sanctions controlled by, one or more Persons that are: </w:t>
      </w:r>
    </w:p>
    <w:p>
      <w:pPr>
        <w:pStyle w:val="TextBody"/>
        <w:bidi w:val="0"/>
        <w:spacing w:before="120" w:after="0"/>
        <w:jc w:val="left"/>
        <w:rPr>
          <w:rFonts w:ascii="Times New Roman" w:hAnsi="Times New Roman"/>
          <w:sz w:val="20"/>
        </w:rPr>
      </w:pPr>
      <w:r>
        <w:rPr>
          <w:rFonts w:ascii="Times New Roman" w:hAnsi="Times New Roman"/>
          <w:sz w:val="20"/>
        </w:rPr>
        <w:t>(A) the subject of any sanctions administered or enforced by the United States Government (including the U.S. Department of the Treasury’s Office of Foreign Assets Control and the U.S. Department of State), the United Nations Security Council, the European Union, His Majesty’s Treasury, or other relevant sanctions authority (collectively, “</w:t>
      </w:r>
      <w:r>
        <w:rPr>
          <w:rFonts w:ascii="Times New Roman" w:hAnsi="Times New Roman"/>
          <w:b/>
          <w:sz w:val="20"/>
        </w:rPr>
        <w:t>Sanctions</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(B) located, organized or resident in a country or territory that is the subject of Sanctions (including, without limitation, Crimea, the so-called Donetsk People’s Republic, the so-called Luhansk People’s Republic, the non-government controlled areas of Zaporizhzhia and Kherson regions of Ukraine, Cuba, Iran and North Korea).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will not, directly or indirectly, use the proceeds of the offering, or lend, contribute or otherwise make available such proceeds to any subsidiary, joint venture partner or other Person: </w:t>
      </w:r>
    </w:p>
    <w:p>
      <w:pPr>
        <w:pStyle w:val="TextBody"/>
        <w:bidi w:val="0"/>
        <w:spacing w:before="120" w:after="0"/>
        <w:jc w:val="left"/>
        <w:rPr>
          <w:rFonts w:ascii="Times New Roman" w:hAnsi="Times New Roman"/>
          <w:sz w:val="20"/>
        </w:rPr>
      </w:pPr>
      <w:r>
        <w:rPr>
          <w:rFonts w:ascii="Times New Roman" w:hAnsi="Times New Roman"/>
          <w:sz w:val="20"/>
        </w:rPr>
        <w:t xml:space="preserve">(A) to fund or facilitate any activities or business of or with any Person or in any country or territory that, at the time of such funding or facilitation, is, or whose government is, the subject of Sanctions, except to the extent permitted for a Person required to comply with Sanctions; </w:t>
      </w:r>
    </w:p>
    <w:p>
      <w:pPr>
        <w:pStyle w:val="TextBody"/>
        <w:bidi w:val="0"/>
        <w:spacing w:before="120" w:after="0"/>
        <w:jc w:val="left"/>
        <w:rPr>
          <w:rFonts w:ascii="Times New Roman" w:hAnsi="Times New Roman"/>
          <w:sz w:val="20"/>
        </w:rPr>
      </w:pPr>
      <w:r>
        <w:rPr>
          <w:rFonts w:ascii="Times New Roman" w:hAnsi="Times New Roman"/>
          <w:sz w:val="20"/>
        </w:rPr>
        <w:t xml:space="preserve">(B) to knowingly fund or facilitate any money laundering or terrorist financing activities;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any other manner that will reasonably cause or result in a violation of any applicable anti-corruption laws, Anti-Money Laundering Laws or Sanctions by any Person (including any Person participating in the offering, whether as underwriter, advisor, investor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 except to the extent permitted under applicable Sanctions. </w:t>
      </w:r>
    </w:p>
    <w:p>
      <w:pPr>
        <w:pStyle w:val="TextBody"/>
        <w:bidi w:val="0"/>
        <w:spacing w:before="120" w:after="0"/>
        <w:jc w:val="left"/>
        <w:rPr>
          <w:rFonts w:ascii="Times New Roman" w:hAnsi="Times New Roman"/>
          <w:sz w:val="20"/>
        </w:rPr>
      </w:pPr>
      <w:r>
        <w:rPr>
          <w:rFonts w:ascii="Times New Roman" w:hAnsi="Times New Roman"/>
          <w:sz w:val="20"/>
        </w:rPr>
        <w:t>(ii) (i) The Company and its Subsidiaries own or have a license to all patents, inventions, copyrights, know how (including trade secrets and other unpatented and/or unpatentable proprietary or confidential information, systems or procedures), trademarks, service marks and trade names (collectively, “</w:t>
      </w:r>
      <w:r>
        <w:rPr>
          <w:rFonts w:ascii="Times New Roman" w:hAnsi="Times New Roman"/>
          <w:b/>
          <w:sz w:val="20"/>
        </w:rPr>
        <w:t>Intellectual Property Rights</w:t>
      </w:r>
      <w:r>
        <w:rPr>
          <w:rFonts w:ascii="Times New Roman" w:hAnsi="Times New Roman"/>
          <w:sz w:val="20"/>
        </w:rPr>
        <w:t xml:space="preserve">”) used in or reasonably necessary to the conduct of their businesses; (ii) to the Company’s knowledge, the Intellectual Property Rights owned by the Company and its Subsidiaries and the Intellectual Property Rights licensed to the Company and its Subsidiaries, are valid, subsisting and enforceable, and there is no pending or, to the knowledge of the Company or any of its Subsidiaries,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singly or in the aggregate, if the subject of an unfavorable decision, ruling or finding, would have a Material Adverse Effect on the Company and its Subsidiaries, taken as a whole; (iv) to the Company’s knowledge, no third party is infringing, misappropriating or otherwise violating, or has infringed, misappropriated or otherwise violated, any Intellectual Property Rights owned by the Company; (v) to the Company’s knowledge, the Company’s or any of its Subsidiaries’ products do not infringe or have not infringed any Intellectual Property Rights of a third party; to the Company’s knowledge, neither the Company nor any of its Subsidiaries misappropriates or otherwise violates, or has misappropriated or otherwise violated, any Intellectual Property Rights of a third party; (vi) all employees or contractors engaged in the development of Intellectual Property Rights on behalf of the Company or its Subsidiaries have executed or have an obligation to execute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all information intended to be maintained as a trade secret. </w:t>
      </w:r>
    </w:p>
    <w:p>
      <w:pPr>
        <w:pStyle w:val="TextBody"/>
        <w:bidi w:val="0"/>
        <w:spacing w:before="120" w:after="0"/>
        <w:jc w:val="left"/>
        <w:rPr>
          <w:rFonts w:ascii="Times New Roman" w:hAnsi="Times New Roman"/>
          <w:sz w:val="20"/>
        </w:rPr>
      </w:pPr>
      <w:r>
        <w:rPr>
          <w:rFonts w:ascii="Times New Roman" w:hAnsi="Times New Roman"/>
          <w:sz w:val="20"/>
        </w:rPr>
        <w:t>(jj)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hAnsi="Times New Roman"/>
          <w:b/>
          <w:sz w:val="20"/>
        </w:rPr>
        <w:t>Open Source Software</w:t>
      </w:r>
      <w:r>
        <w:rPr>
          <w:rFonts w:ascii="Times New Roman" w:hAnsi="Times New Roman"/>
          <w:sz w:val="20"/>
        </w:rPr>
        <w:t xml:space="preserve">”) in compliance with all license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 </w:t>
      </w:r>
    </w:p>
    <w:p>
      <w:pPr>
        <w:pStyle w:val="TextBody"/>
        <w:bidi w:val="0"/>
        <w:spacing w:before="120" w:after="0"/>
        <w:jc w:val="left"/>
        <w:rPr>
          <w:rFonts w:ascii="Times New Roman" w:hAnsi="Times New Roman"/>
          <w:sz w:val="20"/>
        </w:rPr>
      </w:pPr>
      <w:r>
        <w:rPr>
          <w:rFonts w:ascii="Times New Roman" w:hAnsi="Times New Roman"/>
          <w:sz w:val="20"/>
        </w:rPr>
        <w:t>(kk) (i) The Company and its Subsidiaries have complied and are presently in compliance in all material respects with their respective published privacy policies, contractual obligations, and applicable laws relating to the collection, use, transfer, import, export, storage, protection, disposal and disclosure by the Company or its Subsidiaries of personal, personally identifiable, or household regulated data (“</w:t>
      </w:r>
      <w:r>
        <w:rPr>
          <w:rFonts w:ascii="Times New Roman" w:hAnsi="Times New Roman"/>
          <w:b/>
          <w:sz w:val="20"/>
        </w:rPr>
        <w:t>Data Security Obligations,</w:t>
      </w:r>
      <w:r>
        <w:rPr>
          <w:rFonts w:ascii="Times New Roman" w:hAnsi="Times New Roman"/>
          <w:sz w:val="20"/>
        </w:rPr>
        <w:t>” and such data, “</w:t>
      </w:r>
      <w:r>
        <w:rPr>
          <w:rFonts w:ascii="Times New Roman" w:hAnsi="Times New Roman"/>
          <w:b/>
          <w:sz w:val="20"/>
        </w:rPr>
        <w:t>Data</w:t>
      </w:r>
      <w:r>
        <w:rPr>
          <w:rFonts w:ascii="Times New Roman" w:hAnsi="Times New Roman"/>
          <w:sz w:val="20"/>
        </w:rPr>
        <w:t xml:space="preserve">”); (ii) the Company has not received any notification of or complaint regarding any material non-compliance with any Data Security Obligation; and (iii) there is no action, suit or proceeding by or before any court or governmental agency, authority or body pending or, to the Company’s knowledge, threatened alleging non-compliance with any Data Security Obligation. </w:t>
      </w:r>
    </w:p>
    <w:p>
      <w:pPr>
        <w:pStyle w:val="TextBody"/>
        <w:bidi w:val="0"/>
        <w:spacing w:before="120" w:after="0"/>
        <w:jc w:val="left"/>
        <w:rPr>
          <w:rFonts w:ascii="Times New Roman" w:hAnsi="Times New Roman"/>
          <w:sz w:val="20"/>
        </w:rPr>
      </w:pPr>
      <w:r>
        <w:rPr>
          <w:rFonts w:ascii="Times New Roman" w:hAnsi="Times New Roman"/>
          <w:sz w:val="20"/>
        </w:rPr>
        <w:t>(ll) The Company and its Subsidiaries have taken all reasonable technical and organizational measures designed to protect the information technology systems and Data under the Company’s and any of its Subsidiaries’ control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hAnsi="Times New Roman"/>
          <w:b/>
          <w:sz w:val="20"/>
        </w:rPr>
        <w:t>Breach</w:t>
      </w:r>
      <w:r>
        <w:rPr>
          <w:rFonts w:ascii="Times New Roman" w:hAnsi="Times New Roman"/>
          <w:sz w:val="20"/>
        </w:rPr>
        <w:t xml:space="preserve">”). To the Company’s knowledge, there has been no such Breach, and the Company and its Subsidiaries have not been notified of and have no knowledge of any event or condition that would reasonably be expected to result in, any such Breach. </w:t>
      </w:r>
    </w:p>
    <w:p>
      <w:pPr>
        <w:pStyle w:val="TextBody"/>
        <w:bidi w:val="0"/>
        <w:spacing w:before="120" w:after="0"/>
        <w:jc w:val="left"/>
        <w:rPr>
          <w:rFonts w:ascii="Times New Roman" w:hAnsi="Times New Roman"/>
          <w:sz w:val="20"/>
        </w:rPr>
      </w:pPr>
      <w:r>
        <w:rPr>
          <w:rFonts w:ascii="Times New Roman" w:hAnsi="Times New Roman"/>
          <w:sz w:val="20"/>
        </w:rPr>
        <w:t>(mm) The preclinical studies and tests and clinical trials conducted by or on behalf of the Company that are described in the Registration Statement, the Time of Sale Prospectus and the Prospectus (the “</w:t>
      </w:r>
      <w:r>
        <w:rPr>
          <w:rFonts w:ascii="Times New Roman" w:hAnsi="Times New Roman"/>
          <w:b/>
          <w:sz w:val="20"/>
        </w:rPr>
        <w:t>Company Studies and Trials</w:t>
      </w:r>
      <w:r>
        <w:rPr>
          <w:rFonts w:ascii="Times New Roman" w:hAnsi="Times New Roman"/>
          <w:sz w:val="20"/>
        </w:rPr>
        <w:t xml:space="preserve">”) were and, if still pending, are being, conducted in all material respects in accordance with applicable laws, including, without limitation, the Federal Food, Drug, and Cosmetic Act (21 U.S.C. §§ 301 et seq.) and the rules and regulations promulgated thereunder; the descriptions of the results of the Company Studies and Trials contained in the Registration Statement, the Time of Sale Prospectus and the Prospectus are accurate in all material respects; the Company has no knowledge of any other studies or trials not described in the Registration Statement, the Time of Sale Prospectus and the Prospectus, the results of which are inconsistent with or reasonably call into question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results described or referred to in such documents when viewed in the context in which such results are described and the stage of development; and the Company has not received any written notices, correspondence or other written communication from the U.S. Food and Drug Administration (the “</w:t>
      </w:r>
      <w:r>
        <w:rPr>
          <w:rFonts w:ascii="Times New Roman" w:hAnsi="Times New Roman"/>
          <w:b/>
          <w:sz w:val="20"/>
        </w:rPr>
        <w:t>FDA</w:t>
      </w:r>
      <w:r>
        <w:rPr>
          <w:rFonts w:ascii="Times New Roman" w:hAnsi="Times New Roman"/>
          <w:sz w:val="20"/>
        </w:rPr>
        <w:t xml:space="preserve">”) or any foreign, state or local governmental body exercising comparable authority requiring the termination, suspension or material modification of any Company Studies and Trials, where such termination, suspension or material modification would reasonably be expected to have a Material Adverse Effect and, to the Company’s knowledge, there are no reasonable grounds for the same. To the Company’s knowledge, none of the Company Studies and Trials involved any investigator who has been disqualified as a clinical investigator by the FDA. To the Company’s knowledge, the manufacturing facilities and operations of its suppliers are operated in compliance in all material respects with all applicable statutes, rules, regulations and policies of the FDA and comparable regulatory agencies outside of the United States to which the Company is subject. </w:t>
      </w:r>
    </w:p>
    <w:p>
      <w:pPr>
        <w:pStyle w:val="TextBody"/>
        <w:bidi w:val="0"/>
        <w:spacing w:before="120" w:after="0"/>
        <w:jc w:val="left"/>
        <w:rPr>
          <w:rFonts w:ascii="Times New Roman" w:hAnsi="Times New Roman"/>
          <w:sz w:val="20"/>
        </w:rPr>
      </w:pPr>
      <w:r>
        <w:rPr>
          <w:rFonts w:ascii="Times New Roman" w:hAnsi="Times New Roman"/>
          <w:sz w:val="20"/>
        </w:rPr>
        <w:t>(nn) Except as described in the Registration Statement, the Time of Sale Prospectus and the Prospectus, as applicable, the Company (i) is and at all times has been in material compliance with all local, state, federal, national and supranational statutes, rules and regulations applicable to the ownership, testing, development, manufacture, packaging, processing, use, storage, import, export or disposal of any product manufactured or distributed by the Company, including, without limitation, the Federal Food, Drug and Cosmetic Act (21 U.S.C. § 301 et seq.), and the federal Anti-kickback Statute (42 U.S.C. § 1320a-7b(b)), the regulations promulgated pursuant to such laws, and any successor government programs, and comparable state laws (collectively, the “</w:t>
      </w:r>
      <w:r>
        <w:rPr>
          <w:rFonts w:ascii="Times New Roman" w:hAnsi="Times New Roman"/>
          <w:b/>
          <w:sz w:val="20"/>
        </w:rPr>
        <w:t>Applicable Laws</w:t>
      </w:r>
      <w:r>
        <w:rPr>
          <w:rFonts w:ascii="Times New Roman" w:hAnsi="Times New Roman"/>
          <w:sz w:val="20"/>
        </w:rPr>
        <w:t>”), except for such non-compliance as would not, individually or in the aggregate, have a Material Adverse Effect; (ii) has not received any written notice from any court or arbitrator or governmental or regulatory authority alleging or asserting non-compliance with any Applicable Laws or any licenses, exemptions, certificates, approvals, clearances, authorizations, permits and registrations required by any such Applicable Laws (“</w:t>
      </w:r>
      <w:r>
        <w:rPr>
          <w:rFonts w:ascii="Times New Roman" w:hAnsi="Times New Roman"/>
          <w:b/>
          <w:sz w:val="20"/>
        </w:rPr>
        <w:t>Authorizations</w:t>
      </w:r>
      <w:r>
        <w:rPr>
          <w:rFonts w:ascii="Times New Roman" w:hAnsi="Times New Roman"/>
          <w:sz w:val="20"/>
        </w:rPr>
        <w:t xml:space="preserve">”), except for such non-compliance as would not, individually or in the aggregate, have a Material Adverse Effect; (iii) possesses all material Authorizations and such Authorizations are valid and in full force and effect and is not in violation of any term of any such Authorizations, except for such violations as would not, individually or in the aggregate, have a Material Adverse Effect; (iv) has not received written notice of any claim, action, suit, proceeding, hearing, enforcement, investigation, arbitration or other action from any court or arbitrator or governmental or regulatory authority alleging that any product operation or activity is in violation of any Applicable Laws or Authorizations nor, to the Company’s knowledge, is any such claim, action, suit, proceeding, hearing, enforcement, investigation, arbitration or other action threatened, except such as would not, individually or in the aggregate, have a Material Adverse Effect; (v) has not received written notice that any court or arbitrator or governmental or regulatory authority has taken, is taking or intends to take action to materially limit, suspend, materially modify or revoke any Authorizations nor, to the Company’s knowledge, is any such limitation, suspension, modification or revocation threatened, except such as would not, individually or in the aggregate, have a Material Adverse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 (vi) has filed, obtained, maintained or submitted all material reports, documents, forms, notices, applications, records and claims as required by any Applicable Laws or Authorizations and that all such reports, documents, forms, notices, applications, records and claims, and to the Company’s knowledge, were complete and accurate on the date filed in all material respects (or were corrected or supplemented by a subsequent submission); and (vii) to the Company’s knowledge, is not a party to any corporate integrity agreements, monitoring agreements, consent decrees, settlement orders, or similar agreements with or imposed by any governmental or regulatory authority. </w:t>
      </w:r>
    </w:p>
    <w:p>
      <w:pPr>
        <w:pStyle w:val="TextBody"/>
        <w:bidi w:val="0"/>
        <w:spacing w:before="120" w:after="0"/>
        <w:jc w:val="left"/>
        <w:rPr>
          <w:rFonts w:ascii="Times New Roman" w:hAnsi="Times New Roman"/>
          <w:sz w:val="20"/>
        </w:rPr>
      </w:pPr>
      <w:r>
        <w:rPr>
          <w:rFonts w:ascii="Times New Roman" w:hAnsi="Times New Roman"/>
          <w:sz w:val="20"/>
        </w:rPr>
        <w:t>(oo) The Company is not required to register as a “broker” or “dealer” in accordance with the provisions of the Exchange Act and does not, directly or indirectly through one or more intermediaries, control or have any other association with (within the meaning of Article I of the By-laws of the Financial Industry Regulatory Authority, Inc. (“</w:t>
      </w:r>
      <w:r>
        <w:rPr>
          <w:rFonts w:ascii="Times New Roman" w:hAnsi="Times New Roman"/>
          <w:b/>
          <w:sz w:val="20"/>
        </w:rPr>
        <w:t>FINRA</w:t>
      </w:r>
      <w:r>
        <w:rPr>
          <w:rFonts w:ascii="Times New Roman" w:hAnsi="Times New Roman"/>
          <w:sz w:val="20"/>
        </w:rPr>
        <w:t xml:space="preserve">”)) any member firm of FINRA. To the Company’s knowledge, no relationship, direct or indirect, exists between or among the Company, on the one hand, and the directors, officers or shareholders of the Company, on the other hand, which is required by the rules of FINRA to be described in the Registration Statement, the Time of Sale Prospectus and the Prospectus, which is not so described. All of the information (including, but not limited to, information regarding affiliations, security ownership and trading activity) provided to the Representatives or their counsel by the Company in connection with the filing to be made and other supplemental information to be provided to FINRA pursuant to FINRA Rule 5110 in connection with the transactions contemplated by this Agreement is true, complete and correct. </w:t>
      </w:r>
    </w:p>
    <w:p>
      <w:pPr>
        <w:pStyle w:val="TextBody"/>
        <w:bidi w:val="0"/>
        <w:spacing w:before="120" w:after="0"/>
        <w:jc w:val="left"/>
        <w:rPr>
          <w:rFonts w:ascii="Times New Roman" w:hAnsi="Times New Roman"/>
          <w:sz w:val="20"/>
        </w:rPr>
      </w:pPr>
      <w:r>
        <w:rPr>
          <w:rFonts w:ascii="Times New Roman" w:hAnsi="Times New Roman"/>
          <w:sz w:val="20"/>
        </w:rPr>
        <w:t xml:space="preserve">(pp) Neither the issuance, sale and delivery of the Shares nor the application of the proceeds thereof by the Company as described in the Registration Statement, the Time of Sale Prospectus and the Prospectus will violate Regulation T, U or X of the Board of Governors of the Federal Reserve System or any other regulation of such Board of Governors. </w:t>
      </w:r>
    </w:p>
    <w:p>
      <w:pPr>
        <w:pStyle w:val="TextBody"/>
        <w:bidi w:val="0"/>
        <w:spacing w:before="120" w:after="0"/>
        <w:jc w:val="left"/>
        <w:rPr>
          <w:rFonts w:ascii="Times New Roman" w:hAnsi="Times New Roman"/>
          <w:sz w:val="20"/>
        </w:rPr>
      </w:pPr>
      <w:r>
        <w:rPr>
          <w:rFonts w:ascii="Times New Roman" w:hAnsi="Times New Roman"/>
          <w:sz w:val="20"/>
        </w:rPr>
        <w:t xml:space="preserve">(qq) Each of the independent directors (or independent director nominees, once appointed, if applicable) named in the Registration Statement, the Time of Sale Prospectus and Prospectus satisfies the independence standards established by Nasdaq and, with respect to members of the Company’s audit committee, the enhanced independence standards contained in Rule 10A-3(b)(1) promulgated by the Commission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(rr) 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(ss) There are no relationships, direct or indirect, or related party transactions involving the Company or any of its Subsidiaries or any other person (including any director, officer, stockholder, customer or supplier of the Company or any of its Subsidiaries) required to be described in the Registration Statement, the Time of Sale Prospectus or the Prospectus that have not been described as required. 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 </w:t>
      </w:r>
    </w:p>
    <w:p>
      <w:pPr>
        <w:pStyle w:val="TextBody"/>
        <w:bidi w:val="0"/>
        <w:spacing w:before="120" w:after="0"/>
        <w:jc w:val="left"/>
        <w:rPr>
          <w:rFonts w:ascii="Times New Roman" w:hAnsi="Times New Roman"/>
          <w:sz w:val="20"/>
        </w:rPr>
      </w:pPr>
      <w:r>
        <w:rPr>
          <w:rFonts w:ascii="Times New Roman" w:hAnsi="Times New Roman"/>
          <w:sz w:val="20"/>
        </w:rPr>
        <w:t xml:space="preserve">(tt) The Company is not in or subject to a bankruptcy or insolvency proceeding in any jurisdiction. </w:t>
      </w:r>
    </w:p>
    <w:p>
      <w:pPr>
        <w:pStyle w:val="TextBody"/>
        <w:bidi w:val="0"/>
        <w:spacing w:before="120" w:after="0"/>
        <w:jc w:val="left"/>
        <w:rPr>
          <w:rFonts w:ascii="Times New Roman" w:hAnsi="Times New Roman"/>
          <w:sz w:val="20"/>
        </w:rPr>
      </w:pPr>
      <w:r>
        <w:rPr>
          <w:rFonts w:ascii="Times New Roman" w:hAnsi="Times New Roman"/>
          <w:sz w:val="20"/>
        </w:rPr>
        <w:t xml:space="preserve">(uu) All United States federal income tax returns of the Company and its Subsidiaries required by law to be filed have been filed or extensions thereof have been requested, and all taxes shown by such returns or otherwise assessed, which are due and payable, have been paid, except assessments that are being contested in good faith and as to which adequate reserves have been provided under U.S. GAAP. The Company has no knowledge of any material tax deficiency which has been or is likely to be threatened or asserted against the Company or its Subsidiaries. Each of the Company and its Subsidiaries has filed all foreign, state, provincial, local or other tax returns that are required to have been filed pursuant to applicable foreign, state, provincial, local or other law except insofar as the failure to file such returns would not, individually or in the aggregate, reasonably be expected to result in a Material Adverse Effect, and paid all taxes due pursuant to such returns or pursuant to any assessment received by the Company and its Subsidiaries, except for such taxes, if any, as are being contested in good faith and as to which adequate reserves have been provided and except for such taxes or assessments the nonpayment of which would not, individually or in the aggregate, reasonably be expected to result in a Material Adverse Effect. The charges, accruals and reserves on the books of the Company and its Subsidiaries in respect of any income or other tax liability for any years not finally determined are adequate to meet any assessments or re-assessments for additional tax for any years not finally determined, except to the extent of any inadequacy that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(vv) The Company has paid the registration fee for this offering pursuant to Rule 456(b)(1) of the Act or will pay such fee within the time period required by such rule (without giving effect to the proviso therein) and in any event prior to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(ww) The Company (i) has not alone engaged in any Testing-the-Waters Communication with any person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w:t>
      </w:r>
      <w:r>
        <w:rPr>
          <w:rFonts w:ascii="Times New Roman" w:hAnsi="Times New Roman"/>
          <w:b/>
          <w:sz w:val="20"/>
        </w:rPr>
        <w:t>Testing-the-Waters Communication</w:t>
      </w:r>
      <w:r>
        <w:rPr>
          <w:rFonts w:ascii="Times New Roman" w:hAnsi="Times New Roman"/>
          <w:sz w:val="20"/>
        </w:rPr>
        <w:t xml:space="preserve">” means any communication with potential investors undertaken in reliance on Section 5(d) or Rule 163B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(xx) As of the time of each sale of the Shares in connection with the offering when the Prospectus is not yet available to prospective purchasers, none of (i) the Time of Sale Prospectus (ii) any free writing prospectus, when considered together with the Time of Sale Prospectus, and (iii)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(yy)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w:t>
      </w:r>
      <w:r>
        <w:rPr>
          <w:rFonts w:ascii="Times New Roman" w:hAnsi="Times New Roman"/>
          <w:b/>
          <w:sz w:val="20"/>
        </w:rPr>
        <w:t>Covered Activity</w:t>
      </w:r>
      <w:r>
        <w:rPr>
          <w:rFonts w:ascii="Times New Roman" w:hAnsi="Times New Roman"/>
          <w:sz w:val="20"/>
        </w:rPr>
        <w:t xml:space="preserve">”).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 </w:t>
      </w:r>
    </w:p>
    <w:p>
      <w:pPr>
        <w:pStyle w:val="TextBody"/>
        <w:bidi w:val="0"/>
        <w:spacing w:before="120" w:after="0"/>
        <w:jc w:val="left"/>
        <w:rPr>
          <w:rFonts w:ascii="Times New Roman" w:hAnsi="Times New Roman"/>
          <w:sz w:val="20"/>
        </w:rPr>
      </w:pPr>
      <w:r>
        <w:rPr>
          <w:rFonts w:ascii="Times New Roman" w:hAnsi="Times New Roman"/>
          <w:sz w:val="20"/>
        </w:rPr>
        <w:t xml:space="preserve">(zz) Neither the Company nor any of its subsidiaries is the subject of any pending or threatened enforcement action, administrative proceeding, denial order, debarment, or other restriction under Export Controls (meaning all export control laws and regulations administered or enforced by (a) the United States Government (including by the U.S. Department of Commerce or the U.S. Department of State), including the Arms Export Control Act (22 U.S.C. § 2778), the Export Control Reform Act of 2018 (50 U.S.C. §§ 4801-4861), the International Traffic in Arms Regulations (22 C.F.R. Parts 120–130), and the Export Administration Regulations (15 C.F.R. Parts 730-774), and (b) any other relevant governmental authority, including (to the extent applicable) EU Regulation 2021/821 (as amended), the Export Control Order 2008, or any other applicable export control legislation or regulation of the United States, European Union, or United Kingdom). Except as would not be material to the Company and its Subsidiaries, taken as a whole, the Company and each of its subsidiaries (a) have not, since 5 years prior to the date of the Agreement, engaged in, (b) are not now engaged in, and (c) will not engage in, any unauthorized dealings or transactions involving any Person or item that, at the time of such dealing or transaction, was subject to restrictions under Export Controls, including any Person identified on a restricted party list maintained pursuant to Export Controls, or any other lists or regulations administered or enforced by the U.S. Department of Commerce.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 xml:space="preserve">Agreements to Sell and Purchase. </w:t>
      </w:r>
      <w:r>
        <w:rPr>
          <w:rFonts w:ascii="Times New Roman" w:hAnsi="Times New Roman"/>
          <w:sz w:val="20"/>
        </w:rPr>
        <w:t>The Company hereby agrees to sell to the several Underwriters, and each Underwriter, upon the basis of the representations and warranties herein contained, but subject to the terms and conditions hereinafter stated, agrees, severally and not jointly, to purchase from the Company the respective numbers of Firm Shares set forth in Schedule I hereto opposite its name. The purchase price per Firm Share to be paid by the several Underwriters to the Company shall be $70.50 per share (the “</w:t>
      </w:r>
      <w:r>
        <w:rPr>
          <w:rFonts w:ascii="Times New Roman" w:hAnsi="Times New Roman"/>
          <w:b/>
          <w:sz w:val="20"/>
        </w:rPr>
        <w:t>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900,000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to the Company.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or later than ten business days after the date of such notice. Additional Shares may be purchased as provided in Section 4 hereof. On each day, if any, that Additional Shares are to be purchased (an “</w:t>
      </w:r>
      <w:r>
        <w:rPr>
          <w:rFonts w:ascii="Times New Roman" w:hAnsi="Times New Roman"/>
          <w:b/>
          <w:sz w:val="20"/>
        </w:rPr>
        <w:t>Option Closing Date</w:t>
      </w:r>
      <w:r>
        <w:rPr>
          <w:rFonts w:ascii="Times New Roman" w:hAnsi="Times New Roman"/>
          <w:sz w:val="20"/>
        </w:rPr>
        <w:t xml:space="preserve">”),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aggregate number of Firm Shares set forth in Schedule I hereto opposite the name of such Underwriter bears to the total number of Firm Shares.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Terms of Public Offering</w:t>
      </w:r>
      <w:r>
        <w:rPr>
          <w:rFonts w:ascii="Times New Roman" w:hAnsi="Times New Roman"/>
          <w:sz w:val="20"/>
        </w:rPr>
        <w:t>. The Company is advised by the Representatives that the Underwriters propose to make a public offering of their respective portions of the Shares as soon after the Registration Statement and this Agreement have become effective as in the Representatives’ judgment is advisable. The Company is further advised by the Representatives that the Shares are to be offered to the public initially at $75.00 per share (the “</w:t>
      </w:r>
      <w:r>
        <w:rPr>
          <w:rFonts w:ascii="Times New Roman" w:hAnsi="Times New Roman"/>
          <w:b/>
          <w:sz w:val="20"/>
        </w:rPr>
        <w:t>Public Offering Price</w:t>
      </w:r>
      <w:r>
        <w:rPr>
          <w:rFonts w:ascii="Times New Roman" w:hAnsi="Times New Roman"/>
          <w:sz w:val="20"/>
        </w:rPr>
        <w:t xml:space="preserve">”) and to certain dealers selected by the Representatives at a price that represents a concession not in excess of $2.7000 per share under the Public Offering Price.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Payment and Delivery</w:t>
      </w:r>
      <w:r>
        <w:rPr>
          <w:rFonts w:ascii="Times New Roman" w:hAnsi="Times New Roman"/>
          <w:sz w:val="20"/>
        </w:rPr>
        <w:t>. Payment for the Firm Shares shall be made to the Company in Federal or other funds immediately available in New York City against delivery of the Firm Shares for the respective accounts of the several Underwriters at 10:00 a.m., New York City time, on October 22, 2026, or at such other time on the same or such other date, not later than November 5, 2026, as shall be designated in writing by the Representatives. The time and date of such payment are hereinafter referred to as the “</w:t>
      </w:r>
      <w:r>
        <w:rPr>
          <w:rFonts w:ascii="Times New Roman" w:hAnsi="Times New Roman"/>
          <w:b/>
          <w:sz w:val="20"/>
        </w:rPr>
        <w:t>Closing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November 19, 2026 as shall be designated in writing by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any transfer taxes payable in connection with the transfer of the Shares to the Underwriters duly paid, against payment of the Purchase Price therefor.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Conditions to the Underwriters</w:t>
      </w:r>
      <w:r>
        <w:rPr>
          <w:rFonts w:ascii="Times New Roman" w:hAnsi="Times New Roman"/>
          <w:sz w:val="20"/>
        </w:rPr>
        <w:t xml:space="preserve">’ </w:t>
      </w:r>
      <w:r>
        <w:rPr>
          <w:rFonts w:ascii="Times New Roman" w:hAnsi="Times New Roman"/>
          <w:i/>
          <w:sz w:val="20"/>
        </w:rPr>
        <w:t>Obligations</w:t>
      </w:r>
      <w:r>
        <w:rPr>
          <w:rFonts w:ascii="Times New Roman" w:hAnsi="Times New Roman"/>
          <w:sz w:val="20"/>
        </w:rPr>
        <w:t xml:space="preserve">. The obligations of the Company to sell the Shares to the Underwriters and the several obligations of the Underwriters to purchase and pay for the Shares on the Closing Date are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Subsequent to the execution and delivery of this Agreement and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no order suspending the effectiveness of the Registration Statement shall be in effect and no proceeding for such purpose or pursuant to Section 8A under the Securities Act shall be pending before or, to the knowledge of the Company, threatened by the Commission and no notice of objection of the Commission to the use of the Registration Statement pursuant to Rule 401(g)(2) under the Securities Act has been received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Exchange Act; and </w:t>
      </w:r>
    </w:p>
    <w:p>
      <w:pPr>
        <w:pStyle w:val="TextBody"/>
        <w:bidi w:val="0"/>
        <w:spacing w:before="120" w:after="0"/>
        <w:jc w:val="left"/>
        <w:rPr>
          <w:rFonts w:ascii="Times New Roman" w:hAnsi="Times New Roman"/>
          <w:sz w:val="20"/>
        </w:rPr>
      </w:pPr>
      <w:r>
        <w:rPr>
          <w:rFonts w:ascii="Times New Roman" w:hAnsi="Times New Roman"/>
          <w:sz w:val="20"/>
        </w:rPr>
        <w:t xml:space="preserve">(iii) 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officer signing and delivering such certificate may rely upon the best of his or her knowledge as to proceedings threatened. </w:t>
      </w:r>
    </w:p>
    <w:p>
      <w:pPr>
        <w:pStyle w:val="TextBody"/>
        <w:bidi w:val="0"/>
        <w:spacing w:before="120" w:after="0"/>
        <w:jc w:val="left"/>
        <w:rPr>
          <w:rFonts w:ascii="Times New Roman" w:hAnsi="Times New Roman"/>
          <w:sz w:val="20"/>
        </w:rPr>
      </w:pPr>
      <w:r>
        <w:rPr>
          <w:rFonts w:ascii="Times New Roman" w:hAnsi="Times New Roman"/>
          <w:sz w:val="20"/>
        </w:rPr>
        <w:t xml:space="preserve">(c) The Underwriters shall have received on the Closing Date an opinion and negative assurance letter of Goodwin Procter LLP, outside counsel for the Company, dated the Closing Date,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(d) The Underwriters shall have received on the Closing Date an opinion of White &amp; Case LLP, intellectual property counsel for the Company, dated the Closing Date,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(e) The Underwriters shall have received on the Closing Date an opinion of Wolf, Greenfield &amp; Sacks, P.C., intellectual property counsel for the Company, dated the Closing Date,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(f) The Underwriters shall have received on the Closing Date an opinion and negative assurance letter of Wilmer Cutler Pickering Hale and Dorr LLP, counsel for the Underwriters, dated the Closing Date,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negative assurance letters to be delivered pursuant to Sections 5(c) and 5(f) above, Goodwin Procter LLP and Wilmer Cutler Pickering Hale and Dorr LLP, respectively,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 </w:t>
      </w:r>
    </w:p>
    <w:p>
      <w:pPr>
        <w:pStyle w:val="TextBody"/>
        <w:bidi w:val="0"/>
        <w:spacing w:before="240" w:after="0"/>
        <w:jc w:val="left"/>
        <w:rPr>
          <w:rFonts w:ascii="Times New Roman" w:hAnsi="Times New Roman"/>
          <w:sz w:val="20"/>
        </w:rPr>
      </w:pPr>
      <w:r>
        <w:rPr>
          <w:rFonts w:ascii="Times New Roman" w:hAnsi="Times New Roman"/>
          <w:sz w:val="20"/>
        </w:rPr>
        <w:t xml:space="preserve">The opinions of Goodwin Procter LLP, White &amp; Case LLP and Wolf, Greenfield &amp; Sacks, P.C. described in Sections 5(c), 5(d) and 5(e), respectively, shall be rendered to the Underwriters at the request of the Company and shall so state therein. </w:t>
      </w:r>
    </w:p>
    <w:p>
      <w:pPr>
        <w:pStyle w:val="TextBody"/>
        <w:bidi w:val="0"/>
        <w:spacing w:before="120" w:after="0"/>
        <w:jc w:val="left"/>
        <w:rPr>
          <w:rFonts w:ascii="Times New Roman" w:hAnsi="Times New Roman"/>
          <w:sz w:val="20"/>
        </w:rPr>
      </w:pPr>
      <w:r>
        <w:rPr>
          <w:rFonts w:ascii="Times New Roman" w:hAnsi="Times New Roman"/>
          <w:sz w:val="20"/>
        </w:rPr>
        <w:t xml:space="preserve">(g) The Underwriters shall have received, on each of the date hereof and the Closing Date, a letter dated the date hereof or the Closing Date, as the case may be, in form and substance satisfactory to the Representatives, from Ernst &amp; Young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hAnsi="Times New Roman"/>
          <w:i/>
          <w:sz w:val="20"/>
        </w:rPr>
        <w:t>provided</w:t>
      </w:r>
      <w:r>
        <w:rPr>
          <w:rFonts w:ascii="Times New Roman" w:hAnsi="Times New Roman"/>
          <w:sz w:val="20"/>
        </w:rPr>
        <w:t xml:space="preserve"> that the letter delivered on the Closing Date shall use a “cut-off date” not earlier than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Underwriters shall have received, on each of the date hereof and the Closing Date, a certificate of the Company’s chief financial officer with respect to certain financial data contained in the Time of Sale Prospectus and the Prospectus,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(i) The “lock-up” agreements, each substantially in the form of Exhibit A hereto, between the Representatives and certain officers and directors of the Company relating to restrictions on sales and certain other dispositions of shares of Common Stock or certain other securities, delivered to the Representatives on or before the date hereof, shall be in full force and effect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(j) The Shares sold pursuant to this Agreement shall have been submitted for 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(k) Delivery to the Underwriters on the Closing Date of such other documents as the Representatives may reasonably request with respect to the good standing of the Company and the Subsidiary, the due authorization and issuance of the Firm Shares to be sold on the Closing Date and other matters related to the issuance of the Firm Shares. </w:t>
      </w:r>
    </w:p>
    <w:p>
      <w:pPr>
        <w:pStyle w:val="TextBody"/>
        <w:bidi w:val="0"/>
        <w:spacing w:before="120" w:after="0"/>
        <w:jc w:val="left"/>
        <w:rPr>
          <w:rFonts w:ascii="Times New Roman" w:hAnsi="Times New Roman"/>
          <w:sz w:val="20"/>
        </w:rPr>
      </w:pPr>
      <w:r>
        <w:rPr>
          <w:rFonts w:ascii="Times New Roman" w:hAnsi="Times New Roman"/>
          <w:sz w:val="20"/>
        </w:rPr>
        <w:t xml:space="preserve">(l) The several obligations of the Underwriters to purchase Additional Shares hereunder are subject to the delivery to the Representatives on the applicable Option Closing Date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dated the Option Closing Date and signed by an executive officer of the Company, confirming that the certificate delivered on the Closing Date pursuant to Section 5(b) hereof remains true and correct as of such Option Closing Date; </w:t>
      </w:r>
    </w:p>
    <w:p>
      <w:pPr>
        <w:pStyle w:val="TextBody"/>
        <w:bidi w:val="0"/>
        <w:spacing w:before="120" w:after="0"/>
        <w:jc w:val="left"/>
        <w:rPr>
          <w:rFonts w:ascii="Times New Roman" w:hAnsi="Times New Roman"/>
          <w:sz w:val="20"/>
        </w:rPr>
      </w:pPr>
      <w:r>
        <w:rPr>
          <w:rFonts w:ascii="Times New Roman" w:hAnsi="Times New Roman"/>
          <w:sz w:val="20"/>
        </w:rPr>
        <w:t xml:space="preserve">(ii) an opinion and negative assurance letter of Goodwin Procter LLP, outside counsel for the Company, dated the Option Closing Date, relating to the Additional Shares to be purchased on such Option Closing Date and otherwise to the same effect as the opinion and negative assurance letter required by Section 5(c) hereof; </w:t>
      </w:r>
    </w:p>
    <w:p>
      <w:pPr>
        <w:pStyle w:val="TextBody"/>
        <w:bidi w:val="0"/>
        <w:spacing w:before="120" w:after="0"/>
        <w:jc w:val="left"/>
        <w:rPr>
          <w:rFonts w:ascii="Times New Roman" w:hAnsi="Times New Roman"/>
          <w:sz w:val="20"/>
        </w:rPr>
      </w:pPr>
      <w:r>
        <w:rPr>
          <w:rFonts w:ascii="Times New Roman" w:hAnsi="Times New Roman"/>
          <w:sz w:val="20"/>
        </w:rPr>
        <w:t xml:space="preserve">(iii) an opinion of White &amp; Case LLP, intellectual property counsel for the Company, dated the Option Closing Date, relating to the Additional Shares to be purchased on such Option Closing Date and otherwise to the same effect as the opinion required by Section 5(d)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an opinion of Wolf, Greenfield &amp; Sacks, P.C., intellectual property counsel for the Company, dated the Option Closing Date, relating to the Additional Shares to be purchased on such Option Closing Date and otherwise to the same effect as the opinion required by Section 5(e) hereof; </w:t>
      </w:r>
    </w:p>
    <w:p>
      <w:pPr>
        <w:pStyle w:val="TextBody"/>
        <w:bidi w:val="0"/>
        <w:spacing w:before="120" w:after="0"/>
        <w:jc w:val="left"/>
        <w:rPr>
          <w:rFonts w:ascii="Times New Roman" w:hAnsi="Times New Roman"/>
          <w:sz w:val="20"/>
        </w:rPr>
      </w:pPr>
      <w:r>
        <w:rPr>
          <w:rFonts w:ascii="Times New Roman" w:hAnsi="Times New Roman"/>
          <w:sz w:val="20"/>
        </w:rPr>
        <w:t xml:space="preserve">(v) an opinion and negative assurance letter of Wilmer Cutler Pickering Hale and Dorr LLP, counsel for the Underwriters, dated the Option Closing Date, relating to the Additional Shares to be purchased on such Option Closing Date and otherwise to the same effect as the opinion and negative assurance letter required by Section 5(f) hereof; </w:t>
      </w:r>
    </w:p>
    <w:p>
      <w:pPr>
        <w:pStyle w:val="TextBody"/>
        <w:bidi w:val="0"/>
        <w:spacing w:before="120" w:after="0"/>
        <w:jc w:val="left"/>
        <w:rPr>
          <w:rFonts w:ascii="Times New Roman" w:hAnsi="Times New Roman"/>
          <w:sz w:val="20"/>
        </w:rPr>
      </w:pPr>
      <w:r>
        <w:rPr>
          <w:rFonts w:ascii="Times New Roman" w:hAnsi="Times New Roman"/>
          <w:sz w:val="20"/>
        </w:rPr>
        <w:t xml:space="preserve">(vi) a letter dated the Option Closing Date, in form and substance satisfactory to the Representatives, from Ernst &amp; Young LLP, independent public accountants, substantially in the same form and substance as the letter furnished to the Underwriters pursuant to Section 5(g) hereof; </w:t>
      </w:r>
      <w:r>
        <w:rPr>
          <w:rFonts w:ascii="Times New Roman" w:hAnsi="Times New Roman"/>
          <w:i/>
          <w:sz w:val="20"/>
        </w:rPr>
        <w:t>provided</w:t>
      </w:r>
      <w:r>
        <w:rPr>
          <w:rFonts w:ascii="Times New Roman" w:hAnsi="Times New Roman"/>
          <w:sz w:val="20"/>
        </w:rPr>
        <w:t xml:space="preserve"> that the letter delivered on the Option Closing Date shall use a “cut-off date” not earlier than two business days prior to such Option Closing Date; </w:t>
      </w:r>
    </w:p>
    <w:p>
      <w:pPr>
        <w:pStyle w:val="TextBody"/>
        <w:bidi w:val="0"/>
        <w:spacing w:before="120" w:after="0"/>
        <w:jc w:val="left"/>
        <w:rPr>
          <w:rFonts w:ascii="Times New Roman" w:hAnsi="Times New Roman"/>
          <w:sz w:val="20"/>
        </w:rPr>
      </w:pPr>
      <w:r>
        <w:rPr>
          <w:rFonts w:ascii="Times New Roman" w:hAnsi="Times New Roman"/>
          <w:sz w:val="20"/>
        </w:rPr>
        <w:t xml:space="preserve">(vii) a certificate, of the Company’s chief financial officer, confirming that the certificate delivered on the Closing Date pursuant to Section 5(h) hereof remains true and correct as of such Option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(viii) 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Covenants of the Company</w:t>
      </w:r>
      <w:r>
        <w:rPr>
          <w:rFonts w:ascii="Times New Roman" w:hAnsi="Times New Roman"/>
          <w:sz w:val="20"/>
        </w:rPr>
        <w:t xml:space="preserve">. The Company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To furnish to the Representatives, without charge, four signed copies of the Registration Statement (including exhibits thereto and documents incorporated by reference) and for delivery to each other Underwriter a conformed copy of the Registration Statement (without exhibits thereto but including documents incorporated by reference)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any documents incorporated by reference therein and any supplements and amendments thereto or to the Registration Statement as the Representatives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furnish to the Representatives a copy of each proposed free writing prospectus to be prepared by or on behalf of, used by, or referred to by the Company and not to use or refer to any proposed free writing prospectus to which the Representatives reasonably objects. </w:t>
      </w:r>
    </w:p>
    <w:p>
      <w:pPr>
        <w:pStyle w:val="TextBody"/>
        <w:bidi w:val="0"/>
        <w:spacing w:before="120" w:after="0"/>
        <w:jc w:val="left"/>
        <w:rPr>
          <w:rFonts w:ascii="Times New Roman" w:hAnsi="Times New Roman"/>
          <w:sz w:val="20"/>
        </w:rPr>
      </w:pPr>
      <w:r>
        <w:rPr>
          <w:rFonts w:ascii="Times New Roman" w:hAnsi="Times New Roman"/>
          <w:sz w:val="20"/>
        </w:rPr>
        <w:t xml:space="preserve">(d)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 </w:t>
      </w:r>
    </w:p>
    <w:p>
      <w:pPr>
        <w:pStyle w:val="TextBody"/>
        <w:bidi w:val="0"/>
        <w:spacing w:before="120" w:after="0"/>
        <w:jc w:val="left"/>
        <w:rPr>
          <w:rFonts w:ascii="Times New Roman" w:hAnsi="Times New Roman"/>
          <w:sz w:val="20"/>
        </w:rPr>
      </w:pPr>
      <w:r>
        <w:rPr>
          <w:rFonts w:ascii="Times New Roman" w:hAnsi="Times New Roman"/>
          <w:sz w:val="20"/>
        </w:rPr>
        <w:t xml:space="preserve">(e) 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(f) 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To endeavor to qualify the Shares for offer and sale under the securities or Blue Sky laws of such jurisdictions as the Representatives shall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(h) To make generally available to the Company’s security holders and to the Representatives as soon as reasonably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(i) 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the Financial Industry Regulatory Authority; </w:t>
      </w:r>
      <w:r>
        <w:rPr>
          <w:rFonts w:ascii="Times New Roman" w:hAnsi="Times New Roman"/>
          <w:i/>
          <w:sz w:val="20"/>
        </w:rPr>
        <w:t>provided</w:t>
      </w:r>
      <w:r>
        <w:rPr>
          <w:rFonts w:ascii="Times New Roman" w:hAnsi="Times New Roman"/>
          <w:sz w:val="20"/>
        </w:rPr>
        <w:t xml:space="preserve">, that, the amount payable by the Company with respect to fees and disbursements of counsel for the Underwriters pursuant to subsections (iii) and (iv) shall not exceed $30,000 in the aggregate, (v) all costs and expenses incident to listing the Shares on Nasdaq,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cost of any aircraft chartered in connection with the road show (with the remaining 50% of the cost of such aircraft to be paid by the Underwriters),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Shares by them and any advertising expenses connected with any offers they may make. </w:t>
      </w:r>
    </w:p>
    <w:p>
      <w:pPr>
        <w:pStyle w:val="TextBody"/>
        <w:bidi w:val="0"/>
        <w:spacing w:before="120" w:after="0"/>
        <w:jc w:val="left"/>
        <w:rPr>
          <w:rFonts w:ascii="Times New Roman" w:hAnsi="Times New Roman"/>
          <w:sz w:val="20"/>
        </w:rPr>
      </w:pPr>
      <w:r>
        <w:rPr>
          <w:rFonts w:ascii="Times New Roman" w:hAnsi="Times New Roman"/>
          <w:sz w:val="20"/>
        </w:rPr>
        <w:t xml:space="preserve">(j) 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 </w:t>
      </w:r>
    </w:p>
    <w:p>
      <w:pPr>
        <w:pStyle w:val="TextBody"/>
        <w:bidi w:val="0"/>
        <w:spacing w:before="240" w:after="0"/>
        <w:jc w:val="left"/>
        <w:rPr>
          <w:rFonts w:ascii="Times New Roman" w:hAnsi="Times New Roman"/>
          <w:sz w:val="20"/>
        </w:rPr>
      </w:pPr>
      <w:r>
        <w:rPr>
          <w:rFonts w:ascii="Times New Roman" w:hAnsi="Times New Roman"/>
          <w:sz w:val="20"/>
        </w:rPr>
        <w:t>The Company also covenants with each Underwriter that, without the prior written consent of Jefferies LLC, Leerink Partners LLC and Morgan Stanley &amp; Co. LLC on behalf of the Underwriters, it will not, and will not publicly disclose an intention to, during the period ending 45 days after the date of the Prospectus (the “</w:t>
      </w:r>
      <w:r>
        <w:rPr>
          <w:rFonts w:ascii="Times New Roman" w:hAnsi="Times New Roman"/>
          <w:b/>
          <w:sz w:val="20"/>
        </w:rPr>
        <w:t>Restricted Period</w:t>
      </w:r>
      <w:r>
        <w:rPr>
          <w:rFonts w:ascii="Times New Roman" w:hAnsi="Times New Roman"/>
          <w:sz w:val="20"/>
        </w:rPr>
        <w:t xml:space="preserve">”),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contained in the preceding paragraph shall not apply to (A) the Shares to be sold hereunder, (B) the issuance by the Company of shares of common stock or securities convertible into or exercisable for shares of Common Stock upon the exercise of an option or warrant or the conversion of a security outstanding on the date hereof as described in each of the Time of Sale Prospectus and Prospectus, (C) the issuance by the Company of shares of Common Stock or options to purchase shares of, Common Stock to employees, officers, directors, advisors or consultants of the Company pursuant to employee benefit plans as described in each of the Time of Sale Prospectus and Prospectus, provided that, prior to the issuance of any such shares or the grant of any such options to any director or executive officer elected or appointed following the date of this Agreement and prior to the end of the Restricted Period, the Company shall cause each such recipient of such grant or issuance to execute and deliver a “lock-up” agreement, substantially in the form of Exhibit A hereto, (D) the filing by the Company of registration statements on Form S-8 with respect to the employee benefit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described in the Time of Sale Prospectus and Prospectus, (E) the sale or issuance of or entry into an agreement to sell or issue shares of the Common Stock in connection with the Company’s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 shares of Common Stock that the Company may sell or issue or agree to sell or issue pursuant to this clause (E) shall not exceed 5% of the total number of shares of Common Stock issued and outstanding immediately following the completion of the transactions contemplated by this Agreement and provided further that the Company shall cause each recipient of such shares to execute and deliver to you, on or prior to such issuance, a “lock up” agreement, substantially in the form of Exhibit A hereto, (F) facilitating the establishment of a trading plan on behalf of a stockholder,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(G) the issuance of shares of Common Stock pursuant to a placement made under any “at-the-market” offering program described in the Time of Sale Prospectus and the Prospectus, provided that no shares may be offered or sold pursuant to such program during the period ending 30 days after the date of the Prospectus or (H) the filing of any prospectus supplement relating to an “at-the-market” offering program that the Company has established or may establish, provided that no shares may be offered or sold pursuant to such program during the period ending 30 days after the date of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Covenants of the Underwriters</w:t>
      </w:r>
      <w:r>
        <w:rPr>
          <w:rFonts w:ascii="Times New Roman" w:hAnsi="Times New Roman"/>
          <w:sz w:val="20"/>
        </w:rPr>
        <w:t xml:space="preserve">. Each Underwriter, severally and not jointly,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Indemnity and Contribution.</w:t>
      </w:r>
      <w:r>
        <w:rPr>
          <w:rFonts w:ascii="Times New Roman" w:hAnsi="Times New Roman"/>
          <w:sz w:val="20"/>
        </w:rPr>
        <w:t xml:space="preserve"> (a) 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Underwriter Information. </w:t>
      </w:r>
    </w:p>
    <w:p>
      <w:pPr>
        <w:pStyle w:val="TextBody"/>
        <w:bidi w:val="0"/>
        <w:spacing w:before="120" w:after="0"/>
        <w:jc w:val="left"/>
        <w:rPr>
          <w:rFonts w:ascii="Times New Roman" w:hAnsi="Times New Roman"/>
          <w:sz w:val="20"/>
        </w:rPr>
      </w:pPr>
      <w:r>
        <w:rPr>
          <w:rFonts w:ascii="Times New Roman" w:hAnsi="Times New Roman"/>
          <w:sz w:val="20"/>
        </w:rPr>
        <w:t xml:space="preserve">(b) 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the Underwriters consists of the Underwriter Information. </w:t>
      </w:r>
    </w:p>
    <w:p>
      <w:pPr>
        <w:pStyle w:val="TextBody"/>
        <w:bidi w:val="0"/>
        <w:spacing w:before="120" w:after="0"/>
        <w:jc w:val="left"/>
        <w:rPr>
          <w:rFonts w:ascii="Times New Roman" w:hAnsi="Times New Roman"/>
          <w:sz w:val="20"/>
        </w:rPr>
      </w:pPr>
      <w:r>
        <w:rPr>
          <w:rFonts w:ascii="Times New Roman" w:hAnsi="Times New Roman"/>
          <w:sz w:val="20"/>
        </w:rPr>
        <w:t>(c) In case any proceeding (including any governmental investigation) shall be instituted involving any person in respect of which indemnity may be sought pursuant to Section 8(a) or 8(b), such person (the “</w:t>
      </w:r>
      <w:r>
        <w:rPr>
          <w:rFonts w:ascii="Times New Roman" w:hAnsi="Times New Roman"/>
          <w:b/>
          <w:sz w:val="20"/>
        </w:rPr>
        <w:t>indemnified party</w:t>
      </w:r>
      <w:r>
        <w:rPr>
          <w:rFonts w:ascii="Times New Roman" w:hAnsi="Times New Roman"/>
          <w:sz w:val="20"/>
        </w:rPr>
        <w:t>”) shall promptly notify the person against whom such indemnity may be sought (the “</w:t>
      </w:r>
      <w:r>
        <w:rPr>
          <w:rFonts w:ascii="Times New Roman" w:hAnsi="Times New Roman"/>
          <w:b/>
          <w:sz w:val="20"/>
        </w:rPr>
        <w:t>indemnifying party</w:t>
      </w:r>
      <w:r>
        <w:rPr>
          <w:rFonts w:ascii="Times New Roman" w:hAnsi="Times New Roman"/>
          <w:sz w:val="20"/>
        </w:rPr>
        <w:t xml:space="preserve">”)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Company and the Underwriters agree that it would not be just or equitable if contribution pursuant to this Section 8 were determined by </w:t>
      </w:r>
      <w:r>
        <w:rPr>
          <w:rFonts w:ascii="Times New Roman" w:hAnsi="Times New Roman"/>
          <w:i/>
          <w:sz w:val="20"/>
        </w:rPr>
        <w:t>pro 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(f) 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Termination</w:t>
      </w:r>
      <w:r>
        <w:rPr>
          <w:rFonts w:ascii="Times New Roman" w:hAnsi="Times New Roman"/>
          <w:sz w:val="20"/>
        </w:rPr>
        <w:t xml:space="preserve">. The Underwriters may terminate this Agreement by notice given by the Representatives to the Company, if after the execution and delivery of this Agreement and prior to or on the Closing Date or any Option Closing Date, as the case may be, (i) trading generally shall have been suspended or materially limited on, or by, as the case may be, any of the New York Stock Exchange, the NYSE American, the Nasdaq,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Effectiveness; Defaulting Underwriters</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Times New Roman" w:hAnsi="Times New Roman"/>
          <w:i/>
          <w:sz w:val="20"/>
        </w:rPr>
        <w:t>provided</w:t>
      </w:r>
      <w:r>
        <w:rPr>
          <w:rFonts w:ascii="Times New Roman" w:hAnsi="Times New Roman"/>
          <w:sz w:val="20"/>
        </w:rPr>
        <w:t xml:space="preserve"> that in no event shall the number of Shares that any Underwriter has agreed to purchase pursuant to this Agreement be increased pursuant to this Section 10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Entire Agreement</w:t>
      </w:r>
      <w:r>
        <w:rPr>
          <w:rFonts w:ascii="Times New Roman" w:hAnsi="Times New Roman"/>
          <w:sz w:val="20"/>
        </w:rPr>
        <w:t xml:space="preserve">. (a) This Agreement, together with any contemporaneous written agreements and any prior written agreements (to the extent 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Shares.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Recognition of the U.S. Special Resolution Regimes</w:t>
      </w:r>
      <w:r>
        <w:rPr>
          <w:rFonts w:ascii="Times New Roman" w:hAnsi="Times New Roman"/>
          <w:sz w:val="20"/>
        </w:rPr>
        <w:t xml:space="preserve">.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purposes of this Section a “</w:t>
      </w:r>
      <w:r>
        <w:rPr>
          <w:rFonts w:ascii="Times New Roman" w:hAnsi="Times New Roman"/>
          <w:b/>
          <w:sz w:val="20"/>
        </w:rPr>
        <w:t>BHC Act Affiliate</w:t>
      </w:r>
      <w:r>
        <w:rPr>
          <w:rFonts w:ascii="Times New Roman" w:hAnsi="Times New Roman"/>
          <w:sz w:val="20"/>
        </w:rPr>
        <w:t>” has the meaning assigned to the term “affiliate” in, and shall be interpreted in accordance with, 12 U.S.C. § 1841(k). “</w:t>
      </w:r>
      <w:r>
        <w:rPr>
          <w:rFonts w:ascii="Times New Roman" w:hAnsi="Times New Roman"/>
          <w:b/>
          <w:sz w:val="20"/>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hAnsi="Times New Roman"/>
          <w:b/>
          <w:sz w:val="20"/>
        </w:rPr>
        <w:t>Default Right</w:t>
      </w:r>
      <w:r>
        <w:rPr>
          <w:rFonts w:ascii="Times New Roman" w:hAnsi="Times New Roman"/>
          <w:sz w:val="20"/>
        </w:rPr>
        <w:t>” has the meaning assigned to that term in, and shall be interpreted in accordance with, 12 C.F.R. §§ 252.81, 47.2 or 382.1, as applicable. “</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Counterparts</w:t>
      </w:r>
      <w:r>
        <w:rPr>
          <w:rFonts w:ascii="Times New Roman" w:hAnsi="Times New Roman"/>
          <w:sz w:val="20"/>
        </w:rPr>
        <w:t xml:space="preserve">. This Agreement may be signed in two or more counterparts, each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Applicable Law</w:t>
      </w:r>
      <w:r>
        <w:rPr>
          <w:rFonts w:ascii="Times New Roman" w:hAnsi="Times New Roman"/>
          <w:sz w:val="20"/>
        </w:rPr>
        <w:t xml:space="preserve">. This Agreement shall be governed by and construed in accordance with the internal laws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Headings</w:t>
      </w:r>
      <w:r>
        <w:rPr>
          <w:rFonts w:ascii="Times New Roman" w:hAnsi="Times New Roman"/>
          <w:sz w:val="20"/>
        </w:rPr>
        <w:t xml:space="preserve">. The headings of the sections of this Agreement have been inserted for convenience of reference only and shall not be deemed a part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 xml:space="preserve">Notices. </w:t>
      </w:r>
      <w:r>
        <w:rPr>
          <w:rFonts w:ascii="Times New Roman" w:hAnsi="Times New Roman"/>
          <w:sz w:val="20"/>
        </w:rPr>
        <w:t xml:space="preserve">All communications hereunder shall be in writing and effective only upon receipt and if to the Underwriters shall be delivered, mailed or sent to Jefferies LLC, 520 Madison Avenue, New York, New York 10022, Attention: Global Head of Syndicate; Leerink Partners LLC, 1301 Avenue of the Americas, 12th Floor, New York, New York 10022, Attention: Stuart Nayman; and Morgan Stanley &amp; Co. LLC, 1585 Broadway, New York, New York 10036, Attention: Equity Syndicate Desk, with a copy to the Legal Department; and if to the Company shall be delivered, mailed or sent to 321 Arsenal Street, Suite 101, Watertown, Massachusetts 02472, Attention: Chief Executive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Disc Medicine,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Quisel</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John Quisel</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President and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Accepted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240" w:after="0"/>
        <w:jc w:val="left"/>
        <w:rPr>
          <w:rFonts w:ascii="Times New Roman" w:hAnsi="Times New Roman"/>
          <w:sz w:val="20"/>
        </w:rPr>
      </w:pPr>
      <w:r>
        <w:rPr>
          <w:rFonts w:ascii="Times New Roman" w:hAnsi="Times New Roman"/>
          <w:sz w:val="20"/>
        </w:rPr>
        <w:t xml:space="preserve">Acting severally on behalf of themselves </w:t>
      </w:r>
    </w:p>
    <w:p>
      <w:pPr>
        <w:pStyle w:val="TextBody"/>
        <w:bidi w:val="0"/>
        <w:spacing w:before="0" w:after="0"/>
        <w:jc w:val="left"/>
        <w:rPr>
          <w:rFonts w:ascii="Times New Roman" w:hAnsi="Times New Roman"/>
          <w:sz w:val="20"/>
        </w:rPr>
      </w:pPr>
      <w:r>
        <w:rPr>
          <w:rFonts w:ascii="Times New Roman" w:hAnsi="Times New Roman"/>
          <w:sz w:val="20"/>
        </w:rPr>
        <w:t xml:space="preserve">and the several Underwriters named in </w:t>
      </w:r>
    </w:p>
    <w:p>
      <w:pPr>
        <w:pStyle w:val="TextBody"/>
        <w:bidi w:val="0"/>
        <w:spacing w:before="0" w:after="0"/>
        <w:jc w:val="left"/>
        <w:rPr>
          <w:rFonts w:ascii="Times New Roman" w:hAnsi="Times New Roman"/>
          <w:sz w:val="20"/>
        </w:rPr>
      </w:pPr>
      <w:r>
        <w:rPr>
          <w:rFonts w:ascii="Times New Roman" w:hAnsi="Times New Roman"/>
          <w:sz w:val="20"/>
        </w:rPr>
        <w:t xml:space="preserve">Schedule I 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Jefferies LLC</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Brinkman</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Name: Michael Brinkman</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Title: Managing Director</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Leerink Partners LLC</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Sean Pitt</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Name: Sean Pitt</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Title: Senior Managing Director</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Morgan Stanley &amp; Co. LLC</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Eleni Apostolatos</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Name: Eleni Apostolatos</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Title: Vice President</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Cantor Fitzgerald &amp; Co.</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Asif Ahmed</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Name: Asif Ahmed</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Title: Co-Head of ECM</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11"/>
        <w:gridCol w:w="875"/>
        <w:gridCol w:w="180"/>
        <w:gridCol w:w="2976"/>
        <w:gridCol w:w="63"/>
      </w:tblGrid>
      <w:tr>
        <w:trPr/>
        <w:tc>
          <w:tcPr>
            <w:tcW w:w="6111" w:type="dxa"/>
            <w:tcBorders/>
            <w:vAlign w:val="center"/>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11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875" w:type="dxa"/>
            <w:tcBorders/>
            <w:vAlign w:val="bottom"/>
          </w:tcPr>
          <w:p>
            <w:pPr>
              <w:pStyle w:val="TableContents"/>
              <w:bidi w:val="0"/>
              <w:spacing w:before="0" w:after="283"/>
              <w:jc w:val="left"/>
              <w:rPr/>
            </w:pPr>
            <w:r>
              <w:rPr/>
              <w:t>  </w:t>
            </w:r>
          </w:p>
        </w:tc>
        <w:tc>
          <w:tcPr>
            <w:tcW w:w="31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Firm Shares To Be</w:t>
              <w:br/>
              <w:t>Purchased</w:t>
            </w:r>
          </w:p>
        </w:tc>
        <w:tc>
          <w:tcPr>
            <w:tcW w:w="63" w:type="dxa"/>
            <w:tcBorders/>
            <w:vAlign w:val="bottom"/>
          </w:tcPr>
          <w:p>
            <w:pPr>
              <w:pStyle w:val="TableContents"/>
              <w:bidi w:val="0"/>
              <w:spacing w:before="0" w:after="283"/>
              <w:jc w:val="left"/>
              <w:rPr/>
            </w:pPr>
            <w:r>
              <w:rPr/>
              <w:t> </w:t>
            </w:r>
          </w:p>
        </w:tc>
      </w:tr>
      <w:tr>
        <w:trPr/>
        <w:tc>
          <w:tcPr>
            <w:tcW w:w="61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8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976" w:type="dxa"/>
            <w:tcBorders/>
            <w:shd w:fill="CCEEFF" w:val="clear"/>
            <w:vAlign w:val="bottom"/>
          </w:tcPr>
          <w:p>
            <w:pPr>
              <w:pStyle w:val="TableContents"/>
              <w:bidi w:val="0"/>
              <w:spacing w:before="0" w:after="283"/>
              <w:jc w:val="right"/>
              <w:rPr/>
            </w:pPr>
            <w:r>
              <w:rPr/>
              <w:t>1,620,000</w:t>
            </w:r>
          </w:p>
        </w:tc>
        <w:tc>
          <w:tcPr>
            <w:tcW w:w="63" w:type="dxa"/>
            <w:tcBorders/>
            <w:shd w:fill="CCEEFF" w:val="clear"/>
            <w:vAlign w:val="bottom"/>
          </w:tcPr>
          <w:p>
            <w:pPr>
              <w:pStyle w:val="TableContents"/>
              <w:bidi w:val="0"/>
              <w:spacing w:before="0" w:after="283"/>
              <w:jc w:val="left"/>
              <w:rPr/>
            </w:pPr>
            <w:r>
              <w:rPr/>
              <w:t> </w:t>
            </w:r>
          </w:p>
        </w:tc>
      </w:tr>
      <w:tr>
        <w:trPr/>
        <w:tc>
          <w:tcPr>
            <w:tcW w:w="6111"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8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976" w:type="dxa"/>
            <w:tcBorders/>
            <w:vAlign w:val="bottom"/>
          </w:tcPr>
          <w:p>
            <w:pPr>
              <w:pStyle w:val="TableContents"/>
              <w:bidi w:val="0"/>
              <w:spacing w:before="0" w:after="283"/>
              <w:jc w:val="right"/>
              <w:rPr/>
            </w:pPr>
            <w:r>
              <w:rPr/>
              <w:t>1,440,000</w:t>
            </w:r>
          </w:p>
        </w:tc>
        <w:tc>
          <w:tcPr>
            <w:tcW w:w="63" w:type="dxa"/>
            <w:tcBorders/>
            <w:vAlign w:val="bottom"/>
          </w:tcPr>
          <w:p>
            <w:pPr>
              <w:pStyle w:val="TableContents"/>
              <w:bidi w:val="0"/>
              <w:spacing w:before="0" w:after="283"/>
              <w:jc w:val="left"/>
              <w:rPr/>
            </w:pPr>
            <w:r>
              <w:rPr/>
              <w:t> </w:t>
            </w:r>
          </w:p>
        </w:tc>
      </w:tr>
      <w:tr>
        <w:trPr/>
        <w:tc>
          <w:tcPr>
            <w:tcW w:w="61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8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976" w:type="dxa"/>
            <w:tcBorders/>
            <w:shd w:fill="CCEEFF" w:val="clear"/>
            <w:vAlign w:val="bottom"/>
          </w:tcPr>
          <w:p>
            <w:pPr>
              <w:pStyle w:val="TableContents"/>
              <w:bidi w:val="0"/>
              <w:spacing w:before="0" w:after="283"/>
              <w:jc w:val="right"/>
              <w:rPr/>
            </w:pPr>
            <w:r>
              <w:rPr/>
              <w:t>1,140,000</w:t>
            </w:r>
          </w:p>
        </w:tc>
        <w:tc>
          <w:tcPr>
            <w:tcW w:w="63" w:type="dxa"/>
            <w:tcBorders/>
            <w:shd w:fill="CCEEFF" w:val="clear"/>
            <w:vAlign w:val="bottom"/>
          </w:tcPr>
          <w:p>
            <w:pPr>
              <w:pStyle w:val="TableContents"/>
              <w:bidi w:val="0"/>
              <w:spacing w:before="0" w:after="283"/>
              <w:jc w:val="left"/>
              <w:rPr/>
            </w:pPr>
            <w:r>
              <w:rPr/>
              <w:t> </w:t>
            </w:r>
          </w:p>
        </w:tc>
      </w:tr>
      <w:tr>
        <w:trPr/>
        <w:tc>
          <w:tcPr>
            <w:tcW w:w="6111" w:type="dxa"/>
            <w:tcBorders/>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8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976" w:type="dxa"/>
            <w:tcBorders/>
            <w:vAlign w:val="bottom"/>
          </w:tcPr>
          <w:p>
            <w:pPr>
              <w:pStyle w:val="TableContents"/>
              <w:bidi w:val="0"/>
              <w:spacing w:before="0" w:after="283"/>
              <w:jc w:val="right"/>
              <w:rPr/>
            </w:pPr>
            <w:r>
              <w:rPr/>
              <w:t>930,000</w:t>
            </w:r>
          </w:p>
        </w:tc>
        <w:tc>
          <w:tcPr>
            <w:tcW w:w="63" w:type="dxa"/>
            <w:tcBorders/>
            <w:vAlign w:val="bottom"/>
          </w:tcPr>
          <w:p>
            <w:pPr>
              <w:pStyle w:val="TableContents"/>
              <w:bidi w:val="0"/>
              <w:spacing w:before="0" w:after="283"/>
              <w:jc w:val="left"/>
              <w:rPr/>
            </w:pPr>
            <w:r>
              <w:rPr/>
              <w:t> </w:t>
            </w:r>
          </w:p>
        </w:tc>
      </w:tr>
      <w:tr>
        <w:trPr/>
        <w:tc>
          <w:tcPr>
            <w:tcW w:w="61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LifeSci Capital LLC</w:t>
            </w:r>
          </w:p>
        </w:tc>
        <w:tc>
          <w:tcPr>
            <w:tcW w:w="8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976" w:type="dxa"/>
            <w:tcBorders/>
            <w:shd w:fill="CCEEFF" w:val="clear"/>
            <w:vAlign w:val="bottom"/>
          </w:tcPr>
          <w:p>
            <w:pPr>
              <w:pStyle w:val="TableContents"/>
              <w:bidi w:val="0"/>
              <w:spacing w:before="0" w:after="283"/>
              <w:jc w:val="right"/>
              <w:rPr/>
            </w:pPr>
            <w:r>
              <w:rPr/>
              <w:t>330,000</w:t>
            </w:r>
          </w:p>
        </w:tc>
        <w:tc>
          <w:tcPr>
            <w:tcW w:w="63" w:type="dxa"/>
            <w:tcBorders/>
            <w:shd w:fill="CCEEFF" w:val="clear"/>
            <w:vAlign w:val="bottom"/>
          </w:tcPr>
          <w:p>
            <w:pPr>
              <w:pStyle w:val="TableContents"/>
              <w:bidi w:val="0"/>
              <w:spacing w:before="0" w:after="283"/>
              <w:jc w:val="left"/>
              <w:rPr/>
            </w:pPr>
            <w:r>
              <w:rPr/>
              <w:t> </w:t>
            </w:r>
          </w:p>
        </w:tc>
      </w:tr>
      <w:tr>
        <w:trPr/>
        <w:tc>
          <w:tcPr>
            <w:tcW w:w="6111" w:type="dxa"/>
            <w:tcBorders/>
          </w:tcPr>
          <w:p>
            <w:pPr>
              <w:pStyle w:val="TableContents"/>
              <w:bidi w:val="0"/>
              <w:spacing w:before="0" w:after="0"/>
              <w:jc w:val="left"/>
              <w:rPr>
                <w:rFonts w:ascii="Times New Roman" w:hAnsi="Times New Roman"/>
                <w:sz w:val="20"/>
              </w:rPr>
            </w:pPr>
            <w:r>
              <w:rPr>
                <w:rFonts w:ascii="Times New Roman" w:hAnsi="Times New Roman"/>
                <w:sz w:val="20"/>
              </w:rPr>
              <w:t>BMO Capital Markets Corp.</w:t>
            </w:r>
          </w:p>
        </w:tc>
        <w:tc>
          <w:tcPr>
            <w:tcW w:w="8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976" w:type="dxa"/>
            <w:tcBorders/>
            <w:vAlign w:val="bottom"/>
          </w:tcPr>
          <w:p>
            <w:pPr>
              <w:pStyle w:val="TableContents"/>
              <w:bidi w:val="0"/>
              <w:spacing w:before="0" w:after="283"/>
              <w:jc w:val="right"/>
              <w:rPr/>
            </w:pPr>
            <w:r>
              <w:rPr/>
              <w:t>360,000</w:t>
            </w:r>
          </w:p>
        </w:tc>
        <w:tc>
          <w:tcPr>
            <w:tcW w:w="63" w:type="dxa"/>
            <w:tcBorders/>
            <w:vAlign w:val="bottom"/>
          </w:tcPr>
          <w:p>
            <w:pPr>
              <w:pStyle w:val="TableContents"/>
              <w:bidi w:val="0"/>
              <w:spacing w:before="0" w:after="283"/>
              <w:jc w:val="left"/>
              <w:rPr/>
            </w:pPr>
            <w:r>
              <w:rPr/>
              <w:t> </w:t>
            </w:r>
          </w:p>
        </w:tc>
      </w:tr>
      <w:tr>
        <w:trPr/>
        <w:tc>
          <w:tcPr>
            <w:tcW w:w="61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H.C. Wainwright &amp; Co., LLC</w:t>
            </w:r>
          </w:p>
        </w:tc>
        <w:tc>
          <w:tcPr>
            <w:tcW w:w="8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976" w:type="dxa"/>
            <w:tcBorders/>
            <w:shd w:fill="CCEEFF" w:val="clear"/>
            <w:vAlign w:val="bottom"/>
          </w:tcPr>
          <w:p>
            <w:pPr>
              <w:pStyle w:val="TableContents"/>
              <w:bidi w:val="0"/>
              <w:spacing w:before="0" w:after="283"/>
              <w:jc w:val="right"/>
              <w:rPr/>
            </w:pPr>
            <w:r>
              <w:rPr/>
              <w:t>180,000</w:t>
            </w:r>
          </w:p>
        </w:tc>
        <w:tc>
          <w:tcPr>
            <w:tcW w:w="63" w:type="dxa"/>
            <w:tcBorders/>
            <w:shd w:fill="CCEEFF" w:val="clear"/>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297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11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8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976" w:type="dxa"/>
            <w:tcBorders/>
            <w:vAlign w:val="bottom"/>
          </w:tcPr>
          <w:p>
            <w:pPr>
              <w:pStyle w:val="TableContents"/>
              <w:bidi w:val="0"/>
              <w:spacing w:before="0" w:after="283"/>
              <w:jc w:val="right"/>
              <w:rPr/>
            </w:pPr>
            <w:r>
              <w:rPr/>
              <w:t>6,000,000</w:t>
            </w:r>
          </w:p>
        </w:tc>
        <w:tc>
          <w:tcPr>
            <w:tcW w:w="63" w:type="dxa"/>
            <w:tcBorders/>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297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240" w:after="0"/>
        <w:jc w:val="center"/>
        <w:rPr>
          <w:rFonts w:ascii="Times New Roman" w:hAnsi="Times New Roman"/>
          <w:b/>
          <w:sz w:val="20"/>
        </w:rPr>
      </w:pPr>
      <w:r>
        <w:rPr>
          <w:rFonts w:ascii="Times New Roman" w:hAnsi="Times New Roman"/>
          <w:b/>
          <w:sz w:val="20"/>
        </w:rPr>
        <w:t xml:space="preserve">Time of Sale Prospectus </w:t>
      </w:r>
    </w:p>
    <w:p>
      <w:pPr>
        <w:pStyle w:val="TextBody"/>
        <w:bidi w:val="0"/>
        <w:spacing w:before="240" w:after="0"/>
        <w:jc w:val="left"/>
        <w:rPr>
          <w:rFonts w:ascii="Times New Roman" w:hAnsi="Times New Roman"/>
          <w:sz w:val="20"/>
        </w:rPr>
      </w:pPr>
      <w:r>
        <w:rPr>
          <w:rFonts w:ascii="Times New Roman" w:hAnsi="Times New Roman"/>
          <w:sz w:val="20"/>
        </w:rPr>
        <w:t xml:space="preserve">Prospectus dated August 8, 2024 relating to the Shelf Securities </w:t>
      </w:r>
    </w:p>
    <w:p>
      <w:pPr>
        <w:pStyle w:val="TextBody"/>
        <w:bidi w:val="0"/>
        <w:spacing w:before="0" w:after="0"/>
        <w:jc w:val="left"/>
        <w:rPr>
          <w:rFonts w:ascii="Times New Roman" w:hAnsi="Times New Roman"/>
          <w:sz w:val="20"/>
        </w:rPr>
      </w:pPr>
      <w:r>
        <w:rPr>
          <w:rFonts w:ascii="Times New Roman" w:hAnsi="Times New Roman"/>
          <w:sz w:val="20"/>
        </w:rPr>
        <w:t xml:space="preserve">Preliminary Prospectus Supplement dated October 19, 2026 </w:t>
      </w:r>
    </w:p>
    <w:p>
      <w:pPr>
        <w:pStyle w:val="TextBody"/>
        <w:bidi w:val="0"/>
        <w:spacing w:before="240" w:after="0"/>
        <w:jc w:val="left"/>
        <w:rPr>
          <w:rFonts w:ascii="Times New Roman" w:hAnsi="Times New Roman"/>
          <w:sz w:val="20"/>
        </w:rPr>
      </w:pPr>
      <w:r>
        <w:rPr>
          <w:rFonts w:ascii="Times New Roman" w:hAnsi="Times New Roman"/>
          <w:sz w:val="20"/>
        </w:rPr>
        <w:t xml:space="preserve">Price per share to the public: $75.00 </w:t>
      </w:r>
    </w:p>
    <w:p>
      <w:pPr>
        <w:pStyle w:val="TextBody"/>
        <w:bidi w:val="0"/>
        <w:spacing w:before="0" w:after="0"/>
        <w:jc w:val="left"/>
        <w:rPr>
          <w:rFonts w:ascii="Times New Roman" w:hAnsi="Times New Roman"/>
          <w:sz w:val="20"/>
        </w:rPr>
      </w:pPr>
      <w:r>
        <w:rPr>
          <w:rFonts w:ascii="Times New Roman" w:hAnsi="Times New Roman"/>
          <w:sz w:val="20"/>
        </w:rPr>
        <w:t xml:space="preserve">Number of firm shares offered by the Company: 6,000,000 </w:t>
      </w:r>
    </w:p>
    <w:p>
      <w:pPr>
        <w:pStyle w:val="TextBody"/>
        <w:bidi w:val="0"/>
        <w:spacing w:before="0" w:after="0"/>
        <w:jc w:val="left"/>
        <w:rPr>
          <w:rFonts w:ascii="Times New Roman" w:hAnsi="Times New Roman"/>
          <w:sz w:val="20"/>
        </w:rPr>
      </w:pPr>
      <w:r>
        <w:rPr>
          <w:rFonts w:ascii="Times New Roman" w:hAnsi="Times New Roman"/>
          <w:sz w:val="20"/>
        </w:rPr>
        <w:t xml:space="preserve">Underwriters’ option to purchase additional shares from the Company: 900,000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center"/>
        <w:rPr/>
      </w:pPr>
      <w:r>
        <w:rPr/>
        <w:t>         </w:t>
      </w:r>
      <w:r>
        <w:rPr>
          <w:rFonts w:ascii="Times New Roman" w:hAnsi="Times New Roman"/>
          <w:sz w:val="20"/>
        </w:rPr>
        <w:t xml:space="preserve">_____________, 2026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53 State Street, 40th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02109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29th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c/o Cantor Fitzgerald &amp; Co. </w:t>
      </w:r>
    </w:p>
    <w:p>
      <w:pPr>
        <w:pStyle w:val="TextBody"/>
        <w:bidi w:val="0"/>
        <w:spacing w:before="0" w:after="0"/>
        <w:jc w:val="left"/>
        <w:rPr>
          <w:rFonts w:ascii="Times New Roman" w:hAnsi="Times New Roman"/>
          <w:sz w:val="20"/>
        </w:rPr>
      </w:pPr>
      <w:r>
        <w:rPr>
          <w:rFonts w:ascii="Times New Roman" w:hAnsi="Times New Roman"/>
          <w:sz w:val="20"/>
        </w:rPr>
        <w:t xml:space="preserve">110 East 59th Street, 6th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understands that Jefferies LLC, Leerink Partners LLC, Morgan Stanley &amp; Co. LLC and Cantor Fitzgerald &amp; Co. (the “</w:t>
      </w:r>
      <w:r>
        <w:rPr>
          <w:rFonts w:ascii="Times New Roman" w:hAnsi="Times New Roman"/>
          <w:b/>
          <w:sz w:val="20"/>
        </w:rPr>
        <w:t>Representatives</w:t>
      </w:r>
      <w:r>
        <w:rPr>
          <w:rFonts w:ascii="Times New Roman" w:hAnsi="Times New Roman"/>
          <w:sz w:val="20"/>
        </w:rPr>
        <w:t>”) propose to enter into an Underwriting Agreement (the “</w:t>
      </w:r>
      <w:r>
        <w:rPr>
          <w:rFonts w:ascii="Times New Roman" w:hAnsi="Times New Roman"/>
          <w:b/>
          <w:sz w:val="20"/>
        </w:rPr>
        <w:t>Underwriting Agreement</w:t>
      </w:r>
      <w:r>
        <w:rPr>
          <w:rFonts w:ascii="Times New Roman" w:hAnsi="Times New Roman"/>
          <w:sz w:val="20"/>
        </w:rPr>
        <w:t>”) with Disc Medicine, Inc., a Delaware corporation (the “</w:t>
      </w:r>
      <w:r>
        <w:rPr>
          <w:rFonts w:ascii="Times New Roman" w:hAnsi="Times New Roman"/>
          <w:b/>
          <w:sz w:val="20"/>
        </w:rPr>
        <w:t>Company</w:t>
      </w:r>
      <w:r>
        <w:rPr>
          <w:rFonts w:ascii="Times New Roman" w:hAnsi="Times New Roman"/>
          <w:sz w:val="20"/>
        </w:rPr>
        <w:t>”), providing for the public offering (the “</w:t>
      </w:r>
      <w:r>
        <w:rPr>
          <w:rFonts w:ascii="Times New Roman" w:hAnsi="Times New Roman"/>
          <w:b/>
          <w:sz w:val="20"/>
        </w:rPr>
        <w:t>Public Offering</w:t>
      </w:r>
      <w:r>
        <w:rPr>
          <w:rFonts w:ascii="Times New Roman" w:hAnsi="Times New Roman"/>
          <w:sz w:val="20"/>
        </w:rPr>
        <w:t>”) by the several Underwriters, including the Representatives (the “</w:t>
      </w:r>
      <w:r>
        <w:rPr>
          <w:rFonts w:ascii="Times New Roman" w:hAnsi="Times New Roman"/>
          <w:b/>
          <w:sz w:val="20"/>
        </w:rPr>
        <w:t>Underwriters</w:t>
      </w:r>
      <w:r>
        <w:rPr>
          <w:rFonts w:ascii="Times New Roman" w:hAnsi="Times New Roman"/>
          <w:sz w:val="20"/>
        </w:rPr>
        <w:t>”), of shares (the “</w:t>
      </w:r>
      <w:r>
        <w:rPr>
          <w:rFonts w:ascii="Times New Roman" w:hAnsi="Times New Roman"/>
          <w:b/>
          <w:sz w:val="20"/>
        </w:rPr>
        <w:t>Shares</w:t>
      </w:r>
      <w:r>
        <w:rPr>
          <w:rFonts w:ascii="Times New Roman" w:hAnsi="Times New Roman"/>
          <w:sz w:val="20"/>
        </w:rPr>
        <w:t>”) of the common stock, par value $0.0001 per share, of the Company (“</w:t>
      </w:r>
      <w:r>
        <w:rPr>
          <w:rFonts w:ascii="Times New Roman" w:hAnsi="Times New Roman"/>
          <w:b/>
          <w:sz w:val="20"/>
        </w:rPr>
        <w:t>Common Stock</w:t>
      </w:r>
      <w:r>
        <w:rPr>
          <w:rFonts w:ascii="Times New Roman" w:hAnsi="Times New Roman"/>
          <w:sz w:val="20"/>
        </w:rPr>
        <w:t>”) and, in lieu of Common Stock to certain investors that so choose, pre-funded warrants to purchase shares of Common Stock (the “</w:t>
      </w:r>
      <w:r>
        <w:rPr>
          <w:rFonts w:ascii="Times New Roman" w:hAnsi="Times New Roman"/>
          <w:b/>
          <w:sz w:val="20"/>
        </w:rPr>
        <w:t>Pre-Funded Warrants</w:t>
      </w:r>
      <w:r>
        <w:rPr>
          <w:rFonts w:ascii="Times New Roman" w:hAnsi="Times New Roman"/>
          <w:sz w:val="20"/>
        </w:rPr>
        <w:t>” and together with the Shares, the “</w:t>
      </w:r>
      <w:r>
        <w:rPr>
          <w:rFonts w:ascii="Times New Roman" w:hAnsi="Times New Roman"/>
          <w:b/>
          <w:sz w:val="20"/>
        </w:rPr>
        <w:t>Securities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To induce the Underwriters that may participate in the Public Offering to continue their efforts in connection with the Public Offering, the undersigned hereby agrees that, without the prior written consent of each of Jefferies LLC, Leerink Partners LLC and Morgan Stanley &amp; Co. LLC on behalf of the Underwriters, it will not, and will not publicly disclose an intention to, during the period commencing on the date hereof and ending 45 days after the date of the prospectus (the “</w:t>
      </w:r>
      <w:r>
        <w:rPr>
          <w:rFonts w:ascii="Times New Roman" w:hAnsi="Times New Roman"/>
          <w:b/>
          <w:sz w:val="20"/>
        </w:rPr>
        <w:t>Restricted Period</w:t>
      </w:r>
      <w:r>
        <w:rPr>
          <w:rFonts w:ascii="Times New Roman" w:hAnsi="Times New Roman"/>
          <w:sz w:val="20"/>
        </w:rPr>
        <w:t>”) relating to the Public Offering (the “</w:t>
      </w:r>
      <w:r>
        <w:rPr>
          <w:rFonts w:ascii="Times New Roman" w:hAnsi="Times New Roman"/>
          <w:b/>
          <w:sz w:val="20"/>
        </w:rPr>
        <w:t>Prospectus</w:t>
      </w:r>
      <w:r>
        <w:rPr>
          <w:rFonts w:ascii="Times New Roman" w:hAnsi="Times New Roman"/>
          <w:sz w:val="20"/>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hAnsi="Times New Roman"/>
          <w:b/>
          <w:sz w:val="20"/>
        </w:rPr>
        <w:t>Exchange Act</w:t>
      </w:r>
      <w:r>
        <w:rPr>
          <w:rFonts w:ascii="Times New Roman" w:hAnsi="Times New Roman"/>
          <w:sz w:val="20"/>
        </w:rPr>
        <w:t xml:space="preserve">”)),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transactions relating to shares of Common Stock or other securities acquired in the Public Offering or in open market transactions after the completion of the Public Offering, </w:t>
      </w:r>
      <w:r>
        <w:rPr>
          <w:rFonts w:ascii="Times New Roman" w:hAnsi="Times New Roman"/>
          <w:i/>
          <w:sz w:val="20"/>
        </w:rPr>
        <w:t>provided</w:t>
      </w:r>
      <w:r>
        <w:rPr>
          <w:rFonts w:ascii="Times New Roman" w:hAnsi="Times New Roman"/>
          <w:sz w:val="20"/>
        </w:rPr>
        <w:t xml:space="preserve"> that no filing under Section 16(a) of the Exchange Act shall be required or shall be voluntarily made in connection with subsequent sales of Common Stock or other securities acquired in the Public Offering or in such open market transactions; </w:t>
      </w:r>
    </w:p>
    <w:p>
      <w:pPr>
        <w:pStyle w:val="TextBody"/>
        <w:bidi w:val="0"/>
        <w:spacing w:before="120" w:after="0"/>
        <w:jc w:val="left"/>
        <w:rPr>
          <w:rFonts w:ascii="Times New Roman" w:hAnsi="Times New Roman"/>
          <w:sz w:val="20"/>
        </w:rPr>
      </w:pPr>
      <w:r>
        <w:rPr>
          <w:rFonts w:ascii="Times New Roman" w:hAnsi="Times New Roman"/>
          <w:sz w:val="20"/>
        </w:rPr>
        <w:t xml:space="preserve">(b) transfers of shares of Common Stock or any security convertible into or exercisable or exchangeable for Common Stock as a bona fide gift or to a charitable organization or educational institution in a transfer not involving a disposition for value; </w:t>
      </w:r>
    </w:p>
    <w:p>
      <w:pPr>
        <w:pStyle w:val="TextBody"/>
        <w:bidi w:val="0"/>
        <w:spacing w:before="120" w:after="0"/>
        <w:jc w:val="left"/>
        <w:rPr>
          <w:rFonts w:ascii="Times New Roman" w:hAnsi="Times New Roman"/>
          <w:sz w:val="20"/>
        </w:rPr>
      </w:pPr>
      <w:r>
        <w:rPr>
          <w:rFonts w:ascii="Times New Roman" w:hAnsi="Times New Roman"/>
          <w:sz w:val="20"/>
        </w:rPr>
        <w:t xml:space="preserve">(c) transfers or dispositions of shares of Common Stock or any security convertible into or exercisable or exchangeable for Common Stock to any member of the immediate family of the undersigned or any trust for the direct or indirect benefit of the undersigned or the immediate family of the undersigned in a transaction not involving a disposition for value; </w:t>
      </w:r>
    </w:p>
    <w:p>
      <w:pPr>
        <w:pStyle w:val="TextBody"/>
        <w:bidi w:val="0"/>
        <w:spacing w:before="120" w:after="0"/>
        <w:jc w:val="left"/>
        <w:rPr>
          <w:rFonts w:ascii="Times New Roman" w:hAnsi="Times New Roman"/>
          <w:sz w:val="20"/>
        </w:rPr>
      </w:pPr>
      <w:r>
        <w:rPr>
          <w:rFonts w:ascii="Times New Roman" w:hAnsi="Times New Roman"/>
          <w:sz w:val="20"/>
        </w:rPr>
        <w:t xml:space="preserve">(d) distributions of shares of Common Stock or any security convertible into Common Stock to general or limited partners, members, beneficiaries or other equityholders of the undersigned, its direct or indirect affiliates (as defined in Rule 405 promulgated under the Securities Act of 1933, as amended) or to an investment fund or other entity that controls or manages, or is under common control with, the undersigned; </w:t>
      </w:r>
    </w:p>
    <w:p>
      <w:pPr>
        <w:pStyle w:val="TextBody"/>
        <w:bidi w:val="0"/>
        <w:spacing w:before="120" w:after="0"/>
        <w:jc w:val="left"/>
        <w:rPr>
          <w:rFonts w:ascii="Times New Roman" w:hAnsi="Times New Roman"/>
          <w:sz w:val="20"/>
        </w:rPr>
      </w:pPr>
      <w:r>
        <w:rPr>
          <w:rFonts w:ascii="Times New Roman" w:hAnsi="Times New Roman"/>
          <w:sz w:val="20"/>
        </w:rPr>
        <w:t xml:space="preserve">(e) transfers or dispositions of shares of Common Stock or any security convertible into or exercisable or exchangeable for Common Stock (i) by will, other testamentary document or intestate succession to the legal representative, heir, beneficiary or a member of the immediate family of the undersigned upon the death of the undersigned or (ii) by operation of law pursuant to orders of a court or regulatory agency, in connection with a negotiated divorce settlement or pursuant to a qualified domestic relations order;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transfers or dispositions of shares of Common Stock or any security convertible into or exercisable or exchangeable for Common Stock to the Company pursuant to any contractual arrangement in effect on the date of this agreement and disclosed to the Underwriters in writing that provides for the repurchase of the undersigned’s Common Stock or other securities by the Company or in connection with the termination of the undersigned’s employment with or service to the Company; </w:t>
      </w:r>
      <w:r>
        <w:rPr>
          <w:rFonts w:ascii="Times New Roman" w:hAnsi="Times New Roman"/>
          <w:i/>
          <w:sz w:val="20"/>
        </w:rPr>
        <w:t>provided</w:t>
      </w:r>
      <w:r>
        <w:rPr>
          <w:rFonts w:ascii="Times New Roman" w:hAnsi="Times New Roman"/>
          <w:sz w:val="20"/>
        </w:rPr>
        <w:t xml:space="preserve"> that (i) the repurchase price for any such shares or securities shall not exceed the original purchase price (subject to appropriate adjustment in the event of any stock dividend, stock split, combination or other similar recapitalization) paid and (ii) any filing under Section 16(a) of the Exchange Act reporting a reduction in beneficial ownership of shares of Common Stock shall indicate by footnote disclosure or otherwise the nature of the transfer or disposition); </w:t>
      </w:r>
    </w:p>
    <w:p>
      <w:pPr>
        <w:pStyle w:val="TextBody"/>
        <w:bidi w:val="0"/>
        <w:spacing w:before="120" w:after="0"/>
        <w:jc w:val="left"/>
        <w:rPr>
          <w:rFonts w:ascii="Times New Roman" w:hAnsi="Times New Roman"/>
          <w:sz w:val="20"/>
        </w:rPr>
      </w:pPr>
      <w:r>
        <w:rPr>
          <w:rFonts w:ascii="Times New Roman" w:hAnsi="Times New Roman"/>
          <w:sz w:val="20"/>
        </w:rPr>
        <w:t xml:space="preserve">(g) transfers or dispositions of shares of Common Stock or other securities to the Company in connection with the conversion of any convertible security into, or the exercise of any option or warrant for, shares of Common Stock (including by way of “net” or “cashless” exercise solely to cover withholding tax obligations in connection with such exercise or transfer to the Company for the payment of taxes as a result of such exercise); </w:t>
      </w:r>
      <w:r>
        <w:rPr>
          <w:rFonts w:ascii="Times New Roman" w:hAnsi="Times New Roman"/>
          <w:i/>
          <w:sz w:val="20"/>
        </w:rPr>
        <w:t>provided</w:t>
      </w:r>
      <w:r>
        <w:rPr>
          <w:rFonts w:ascii="Times New Roman" w:hAnsi="Times New Roman"/>
          <w:sz w:val="20"/>
        </w:rPr>
        <w:t xml:space="preserve"> that (i) such convertible security, option or warrant is described in the Prospectus and is outstanding on the date thereof, (ii) any such shares of Common Stock received by the undersigned shall be subject to the terms of this agreement and (iii) no filing under Section 16(a) of the Exchange Act, reporting a reduction in beneficial ownership of shares of Common Stock, shall be required or shall be voluntarily made during the Restricted Period, other than a filing on a Form 4 that reports such disposition under the transaction code “F,” in which case, the filing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Underwriters of the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(h) transfers or dispositions of shares of Common Stock in connection with the vesting or settlement of restricted stock units, so long as such sale is effected pursuant to the Company’s sell to cover policy solely in an amount sufficient to cover withholding taxes due in connection with such restricted stock units; </w:t>
      </w:r>
      <w:r>
        <w:rPr>
          <w:rFonts w:ascii="Times New Roman" w:hAnsi="Times New Roman"/>
          <w:i/>
          <w:sz w:val="20"/>
        </w:rPr>
        <w:t>provided</w:t>
      </w:r>
      <w:r>
        <w:rPr>
          <w:rFonts w:ascii="Times New Roman" w:hAnsi="Times New Roman"/>
          <w:sz w:val="20"/>
        </w:rPr>
        <w:t xml:space="preserve"> that (i) any filing under Section 16(a) of the Exchange Act shall indicate in the footnotes thereto that the filing relates to the applicable circumstances described in this clause and (ii) no other public announcement shall be required or shall be made voluntarily in connection with such transfer; </w:t>
      </w:r>
    </w:p>
    <w:p>
      <w:pPr>
        <w:pStyle w:val="TextBody"/>
        <w:bidi w:val="0"/>
        <w:spacing w:before="120" w:after="0"/>
        <w:jc w:val="left"/>
        <w:rPr>
          <w:rFonts w:ascii="Times New Roman" w:hAnsi="Times New Roman"/>
          <w:sz w:val="20"/>
        </w:rPr>
      </w:pPr>
      <w:r>
        <w:rPr>
          <w:rFonts w:ascii="Times New Roman" w:hAnsi="Times New Roman"/>
          <w:sz w:val="20"/>
        </w:rPr>
        <w:t xml:space="preserve">(i) the establishment of a trading plan on behalf of a stockholder, officer or director of the Company pursuant to Rule 10b5-1 under the Exchange Act for the transfer of shares of Common Stock, </w:t>
      </w:r>
      <w:r>
        <w:rPr>
          <w:rFonts w:ascii="Times New Roman" w:hAnsi="Times New Roman"/>
          <w:i/>
          <w:sz w:val="20"/>
        </w:rPr>
        <w:t>provided</w:t>
      </w:r>
      <w:r>
        <w:rPr>
          <w:rFonts w:ascii="Times New Roman" w:hAnsi="Times New Roman"/>
          <w:sz w:val="20"/>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transfers of shares of Common Stock (or any securities convertible into or exercisable or exchangeable for Common Stock) pursuant to a bona fide third-party tender offer for shares of the Company’s capital stock made to all holders of the Company’s securities, merger, consolidation or other similar transaction approved by the Company’s board of directors and occurring after the closing of the Public Offering, the result of which is that any person (as defined in Section 13(d)(3) of the Exchange Act), or group of persons, other than the Company, becomes the beneficial owner (as defined in Rules 13d-3 and 13d-5 of the Exchange Act) of more than 50% of the total voting power of the voting stock of the Company; </w:t>
      </w:r>
      <w:r>
        <w:rPr>
          <w:rFonts w:ascii="Times New Roman" w:hAnsi="Times New Roman"/>
          <w:i/>
          <w:sz w:val="20"/>
        </w:rPr>
        <w:t>provided</w:t>
      </w:r>
      <w:r>
        <w:rPr>
          <w:rFonts w:ascii="Times New Roman" w:hAnsi="Times New Roman"/>
          <w:sz w:val="20"/>
        </w:rPr>
        <w:t xml:space="preserve"> that in the event that such change of control transaction is not completed, the shares of Common Stock (or any security convertible into or exercisable or exchangeable for Common Stock) owned by the undersigned shall remain subject to the restrictions contained in this agreement and title to the undersigned’s shares shall remain with the undersigned; or </w:t>
      </w:r>
    </w:p>
    <w:p>
      <w:pPr>
        <w:pStyle w:val="TextBody"/>
        <w:bidi w:val="0"/>
        <w:spacing w:before="120" w:after="0"/>
        <w:jc w:val="left"/>
        <w:rPr>
          <w:rFonts w:ascii="Times New Roman" w:hAnsi="Times New Roman"/>
          <w:sz w:val="20"/>
        </w:rPr>
      </w:pPr>
      <w:r>
        <w:rPr>
          <w:rFonts w:ascii="Times New Roman" w:hAnsi="Times New Roman"/>
          <w:sz w:val="20"/>
        </w:rPr>
        <w:t xml:space="preserve">(k) the sale or transfer of shares of Common Stock pursuant to a written trading plan that has been entered into by the undersigned prior to the date of this agreement pursuant to Rule 10b5-1 under the Exchange Act; </w:t>
      </w:r>
      <w:r>
        <w:rPr>
          <w:rFonts w:ascii="Times New Roman" w:hAnsi="Times New Roman"/>
          <w:i/>
          <w:sz w:val="20"/>
        </w:rPr>
        <w:t>provided</w:t>
      </w:r>
      <w:r>
        <w:rPr>
          <w:rFonts w:ascii="Times New Roman" w:hAnsi="Times New Roman"/>
          <w:sz w:val="20"/>
        </w:rPr>
        <w:t xml:space="preserve"> that no amendments or other modifications are made to such plans during the Restricted Period and that, to the extent a public announcement or filing under the Exchange Act, if any, is required or voluntarily made by or on behalf of the undersigned or the Company regarding such sales or transfers, such announcement or filing shall include a statement to the effect that the sale or transfer was made pursuant to a trading plan pursuant to Rule 10b5-1 of the Exchange Act;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in the case of any transfer or distribution pursuant to clause (b), (c), (d) or (e), (i) each transferee, donee or distributee shall sign and deliver a lock-up agreement substantially in the form of this agreement and (ii) no filing under Section 16(a) of the Exchange Act, reporting a reduction in beneficial ownership of shares of Common Stock, shall be required or shall be voluntarily made during the Restricted Period (other than, with respect to clause (e) only, any Form 4 or Form 5 required to be filed under the Exchange Act if the undersigned is subject to Section 16 reporting with respect to the Company under the Exchange Act, in which case any such filing will indicate by footnote disclosure or otherwise the nature of the transfer or disposition).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agreement, “immediate family” shall mean any relationship by blood, marriage, domestic partnership or adoption, not more remote than first cousin. The undersigned acknowledges and agrees that the foregoing precludes the undersigned from 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made or executed by or on behalf of someone other than the undersigned. In addition, the undersigned agrees that, without the prior written consent of each of Jefferies LLC, Leerink Partners LLC and Morgan Stanley &amp; Co. LLC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Public Offering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Securities at the price determined in the Public Offering, and nothing set forth in such disclosures or documentation is intended to suggest that any Underwriter is making such a recommendation. The undersigned further acknowledges and agrees that none of the Underwriters has made any recommendation or provided any investment or other advice to the undersigned with respect to this agreement or the subject matter hereof, and the undersigned has consulted its own legal, accounting, financial, regulatory, tax and other advisors with respect to this agreement and the subject matter hereof to the extent the undersigned has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the Public Offering actually occurs depends on a number of factors, including market conditions. Any Public Offering will only be made pursuant to an Underwriting Agreement, the terms of which are subject to negotiation between the Company and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if (i) the Representatives, on the one hand, or the Company, on the other hand, informs the other in writing, prior to the execution of the Underwriting Agreement, that it has determined not to proceed with the Public Offering, (ii) the Underwriting Agreement (other than the provisions thereof which survive termination) shall terminate or be terminated prior to payment for and delivery of the Securities to be sold thereunder, (iii) the registration statement related to the Public Offering is withdrawn prior to the execution of the Underwriting Agreement or (iv) the Underwriting Agreement is not executed on or before November 13, 2026, then, in each case, this agreement shall automatically, and without any action on the part of any other party, be of no further force and effect, and the undersigned shall be automatically released from all obligations under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shall be governed by and construed in accordance with the laws of the State of New York.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(Address)</w:t>
            </w:r>
          </w:p>
        </w:tc>
      </w:tr>
    </w:tbl>
    <w:p>
      <w:pPr>
        <w:pStyle w:val="TextBody"/>
        <w:bidi w:val="0"/>
        <w:spacing w:before="0" w:after="0"/>
        <w:jc w:val="right"/>
        <w:rPr>
          <w:rFonts w:ascii="Times New Roman" w:hAnsi="Times New Roman"/>
          <w:b/>
          <w:sz w:val="20"/>
        </w:rPr>
      </w:pPr>
      <w:bookmarkStart w:id="4" w:name="d457786dex51.htm"/>
      <w:bookmarkStart w:id="5" w:name="ksd457786dex51"/>
      <w:bookmarkEnd w:id="4"/>
      <w:bookmarkEnd w:id="5"/>
      <w:r>
        <w:rPr>
          <w:rFonts w:ascii="Times New Roman" w:hAnsi="Times New Roman"/>
          <w:b/>
          <w:sz w:val="20"/>
        </w:rPr>
        <w:t xml:space="preserve">Exhibit 5.1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October 22, 2026 </w:t>
      </w:r>
    </w:p>
    <w:p>
      <w:pPr>
        <w:pStyle w:val="TextBody"/>
        <w:bidi w:val="0"/>
        <w:spacing w:before="240" w:after="0"/>
        <w:jc w:val="left"/>
        <w:rPr>
          <w:rFonts w:ascii="Times New Roman" w:hAnsi="Times New Roman"/>
          <w:sz w:val="20"/>
        </w:rPr>
      </w:pPr>
      <w:r>
        <w:rPr>
          <w:rFonts w:ascii="Times New Roman" w:hAnsi="Times New Roman"/>
          <w:sz w:val="20"/>
        </w:rPr>
        <w:t xml:space="preserve">Disc Medicine, Inc. </w:t>
      </w:r>
    </w:p>
    <w:p>
      <w:pPr>
        <w:pStyle w:val="TextBody"/>
        <w:bidi w:val="0"/>
        <w:spacing w:before="0" w:after="0"/>
        <w:jc w:val="left"/>
        <w:rPr>
          <w:rFonts w:ascii="Times New Roman" w:hAnsi="Times New Roman"/>
          <w:sz w:val="20"/>
        </w:rPr>
      </w:pPr>
      <w:r>
        <w:rPr>
          <w:rFonts w:ascii="Times New Roman" w:hAnsi="Times New Roman"/>
          <w:sz w:val="20"/>
        </w:rPr>
        <w:t xml:space="preserve">321 Arsenal Street, Suite 101 </w:t>
      </w:r>
    </w:p>
    <w:p>
      <w:pPr>
        <w:pStyle w:val="TextBody"/>
        <w:bidi w:val="0"/>
        <w:spacing w:before="0" w:after="0"/>
        <w:jc w:val="left"/>
        <w:rPr>
          <w:rFonts w:ascii="Times New Roman" w:hAnsi="Times New Roman"/>
          <w:sz w:val="20"/>
        </w:rPr>
      </w:pPr>
      <w:r>
        <w:rPr>
          <w:rFonts w:ascii="Times New Roman" w:hAnsi="Times New Roman"/>
          <w:sz w:val="20"/>
        </w:rPr>
        <w:t xml:space="preserve">Watertown, MA 02472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Registered under Registration Statement on Form S-3</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S-3 (File No. 333-281359) (as amended or supplemented, the “Registration Statement”) filed on August 8, 2024 with the Securities and Exchange Commission (the “Commission”) pursuant to the Securities Act of 1933, as amended (the “Securities Act”), relating to the registration of the offer by Disc Medicine, Inc., a Delaware corporation (the “Company”), of up to an indeterminate amount of any combination of securities of the types specified therein. The Registration Statement automatically became effective upon filing on August 8, 2024. Reference is made to our opinion letter dated August 8, 2024 and included as Exhibit 5.1 to the Registration Statement. We are delivering this supplemental opinion letter in connection with the prospectus supplement (the “Prospectus Supplement”) dated October 20, 2026, filed by the Company with the Commission pursuant to Rule 424 under the Securities Act. The Prospectus Supplement relates to the offering by the Company of up to 6,900,000 shares (the “Shares”) of the Company’s common stock, par value $0.0001 per share (the “Common Stock”), covered by the Registration Statement. The Shares include an option granted to the underwriters of the offering to purchase an additional 900,000 Shares. The Shares are being sold to the several underwriters named in, and pursuant to, an underwriting agreement among the Company and the representatives of such underwriters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is limited to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the Shares have been duly authorized and, when delivered and paid for in accordance with the terms of the Underwriting Agreement,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and the opinion it contains shall be interpreted in accordance with the Core Opinion Principles as published in 74 </w:t>
      </w:r>
      <w:r>
        <w:rPr>
          <w:rFonts w:ascii="Times New Roman" w:hAnsi="Times New Roman"/>
          <w:i/>
          <w:sz w:val="20"/>
        </w:rPr>
        <w:t>Business Lawyer</w:t>
      </w:r>
      <w:r>
        <w:rPr>
          <w:rFonts w:ascii="Times New Roman" w:hAnsi="Times New Roman"/>
          <w:sz w:val="20"/>
        </w:rPr>
        <w:t xml:space="preserve"> 815 (Summer 2019).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 Medicine, Inc. </w:t>
      </w:r>
    </w:p>
    <w:p>
      <w:pPr>
        <w:pStyle w:val="TextBody"/>
        <w:bidi w:val="0"/>
        <w:spacing w:before="0" w:after="0"/>
        <w:jc w:val="left"/>
        <w:rPr>
          <w:rFonts w:ascii="Times New Roman" w:hAnsi="Times New Roman"/>
          <w:sz w:val="20"/>
        </w:rPr>
      </w:pPr>
      <w:r>
        <w:rPr>
          <w:rFonts w:ascii="Times New Roman" w:hAnsi="Times New Roman"/>
          <w:sz w:val="20"/>
        </w:rPr>
        <w:t xml:space="preserve">October 22,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being furnished to you for submission to the Commission as an exhibit to the Company’s Current Report on Form 8-K relating to the Shares (the “Current Report”), which is incorporated by reference in the Registration Statement. We hereby consent to the inclusion of this opinion as Exhibit 5.1 to the Current Report and its incorporation by reference in the Registration Statement and the reference to our firm under the caption “Legal Matters” in the Prospectus Supplement.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Goodwin Procter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GOODWIN PROCTER LLP</w:t>
            </w:r>
          </w:p>
        </w:tc>
      </w:tr>
    </w:tbl>
    <w:p>
      <w:pPr>
        <w:pStyle w:val="TextBody"/>
        <w:bidi w:val="0"/>
        <w:spacing w:before="0" w:after="0"/>
        <w:jc w:val="right"/>
        <w:rPr>
          <w:rFonts w:ascii="Times New Roman" w:hAnsi="Times New Roman"/>
          <w:b/>
          <w:sz w:val="20"/>
        </w:rPr>
      </w:pPr>
      <w:bookmarkStart w:id="6" w:name="d457786dex991.htm"/>
      <w:bookmarkStart w:id="7" w:name="ksd457786dex991"/>
      <w:bookmarkEnd w:id="6"/>
      <w:bookmarkEnd w:id="7"/>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4003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0300" cy="4857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Disc Medicine Announces Proposed $350 Million Public Offering of Common Stock and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October 19, 2026 </w:t>
      </w:r>
    </w:p>
    <w:p>
      <w:pPr>
        <w:pStyle w:val="TextBody"/>
        <w:bidi w:val="0"/>
        <w:spacing w:before="240" w:after="0"/>
        <w:jc w:val="left"/>
        <w:rPr>
          <w:rFonts w:ascii="Times New Roman" w:hAnsi="Times New Roman"/>
          <w:sz w:val="20"/>
        </w:rPr>
      </w:pPr>
      <w:r>
        <w:rPr>
          <w:rFonts w:ascii="Times New Roman" w:hAnsi="Times New Roman"/>
          <w:sz w:val="20"/>
        </w:rPr>
        <w:t xml:space="preserve">WATERTOWN, Mass., Oct. 19, 2026 (GLOBE NEWSWIRE) — Disc Medicine, Inc. (NASDAQ: IRON) (Disc), a clinical-stage biopharmaceutical company focused on the discovery, development, and commercialization of novel treatments for patients suffering from serious hematologic diseases, today announced the commencement of an underwritten public offering of $350 million of shares of its common stock and, in lieu of common stock to certain investors that so choose, pre-funded warrants to purchase shares of its common stock. In addition, Disc intends to grant the underwriters a 30-day option to purchase up to an additional $52.5 million of shares of its common stock at the public offering price, less underwriting discounts and commissions. All of the shares of common stock and pre-funded warrants to be sold in the proposed offering will be sold by Disc. The proposed offering is subject to market and other conditions, and there can be no assurance as to whether or when the offering may be completed, or as to the actual size or terms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Disc intends to use the net proceeds from the proposed offering, together with its existing cash, cash equivalents, and marketable securities, to fund research and clinical development of Disc’s current or additional product candidates, to support the potential commercialization of bitopertin for erythropoietic protoporphyria (EPP) and X-linked protoporphyria (XLP), and additional pre-commercialization activities for its other product candidates, and the remainder for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Jefferies, Leerink Partners, Morgan Stanley and Cantor are acting as joint book-running managers for the proposed offering. </w:t>
      </w:r>
    </w:p>
    <w:p>
      <w:pPr>
        <w:pStyle w:val="TextBody"/>
        <w:bidi w:val="0"/>
        <w:spacing w:before="240" w:after="0"/>
        <w:jc w:val="left"/>
        <w:rPr>
          <w:rFonts w:ascii="Times New Roman" w:hAnsi="Times New Roman"/>
          <w:sz w:val="20"/>
        </w:rPr>
      </w:pPr>
      <w:r>
        <w:rPr>
          <w:rFonts w:ascii="Times New Roman" w:hAnsi="Times New Roman"/>
          <w:sz w:val="20"/>
        </w:rPr>
        <w:t xml:space="preserve">The proposed offering is being made pursuant to an automatic shelf registration statement on Form S-3 (No. 333-281359) that was previously filed with the Securities and Exchange Commission (SEC) on August 8, 2024. This proposed offering is being made only by means of a prospectus supplement and accompanying prospectus that form a part of the registration statement. A preliminary prospectus supplement and accompanying prospectus related to the proposed offering will be filed with the SEC and will be available on the SEC’s website at </w:t>
      </w:r>
      <w:r>
        <w:rPr>
          <w:rFonts w:ascii="Times New Roman" w:hAnsi="Times New Roman"/>
          <w:sz w:val="20"/>
          <w:u w:val="single"/>
        </w:rPr>
        <w:t>www.sec.gov.</w:t>
      </w:r>
      <w:r>
        <w:rPr>
          <w:rFonts w:ascii="Times New Roman" w:hAnsi="Times New Roman"/>
          <w:sz w:val="20"/>
        </w:rPr>
        <w:t xml:space="preserve"> Copies of the preliminary prospectus supplement and the accompanying prospectus relating to this proposed offering may also be obtained, when available, by contacting: Jefferies LLC, Attention: Equity Syndicate Prospectus Department, 520 Madison Avenue, 2nd Floor, New York, NY 10022, by telephone at (877) 821-7388, or by email at </w:t>
      </w:r>
      <w:r>
        <w:rPr>
          <w:rFonts w:ascii="Times New Roman" w:hAnsi="Times New Roman"/>
          <w:sz w:val="20"/>
          <w:u w:val="single"/>
        </w:rPr>
        <w:t>prospectus_department@jefferies.com;</w:t>
      </w:r>
      <w:r>
        <w:rPr>
          <w:rFonts w:ascii="Times New Roman" w:hAnsi="Times New Roman"/>
          <w:sz w:val="20"/>
        </w:rPr>
        <w:t xml:space="preserve"> Leerink Partners LLC, Attention: Syndicate Department, 53 State Street, 40th Floor, Boston, MA 02109, (800) 808-7525 ext. 6105 or by email at </w:t>
      </w:r>
      <w:r>
        <w:rPr>
          <w:rFonts w:ascii="Times New Roman" w:hAnsi="Times New Roman"/>
          <w:sz w:val="20"/>
          <w:u w:val="single"/>
        </w:rPr>
        <w:t>syndicate@leerink.com;</w:t>
      </w:r>
      <w:r>
        <w:rPr>
          <w:rFonts w:ascii="Times New Roman" w:hAnsi="Times New Roman"/>
          <w:sz w:val="20"/>
        </w:rPr>
        <w:t xml:space="preserve"> Morgan Stanley &amp; Co. LLC, Attention: Prospectus Department, 180 Varick Street, 2nd Floor, New York, New York 10014; or Cantor Fitzgerald &amp; Co., Attention: Capital Markets, 110 East 59th Street, 6th Floor, New York, New York, 10022, or by email at </w:t>
      </w:r>
      <w:r>
        <w:rPr>
          <w:rFonts w:ascii="Times New Roman" w:hAnsi="Times New Roman"/>
          <w:sz w:val="20"/>
          <w:u w:val="single"/>
        </w:rPr>
        <w:t>prospectus@cantor.com.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does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that state or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Disc Medicine </w:t>
      </w:r>
    </w:p>
    <w:p>
      <w:pPr>
        <w:pStyle w:val="TextBody"/>
        <w:bidi w:val="0"/>
        <w:spacing w:before="120" w:after="0"/>
        <w:jc w:val="left"/>
        <w:rPr>
          <w:rFonts w:ascii="Times New Roman" w:hAnsi="Times New Roman"/>
          <w:sz w:val="20"/>
        </w:rPr>
      </w:pPr>
      <w:r>
        <w:rPr>
          <w:rFonts w:ascii="Times New Roman" w:hAnsi="Times New Roman"/>
          <w:sz w:val="20"/>
        </w:rPr>
        <w:t xml:space="preserve">Disc Medicine (NASDAQ: 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This press release contains “forward-looking statements” within the meaning of the Private Securities Litigation Reform Act of 1995, as amended, including, without limitation, express or implied statements related to Disc’s expectations regarding the timing, size and structure of the proposed offering, the anticipated use of proceeds from the offering and the anticipated grant to the underwriters of an option to purchase additional shares. The words “may,” “will,” “could,” “would,” “should,” “expect,” “plan,” “anticipate,” “intend,” “believe,” “estimate,” “predict,” “project,” “potential,” “continue,” “seek,”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These risks and uncertainties include fluctuations in Disc’s stock price, changes in market conditions, the completion of the public offering on the anticipated terms or at all and other risks identified in our SEC filings, including our Quarterly Report on Form 10-Q for the quarter ended June 30, 2026, and in the preliminary prospectus supplement related to the proposed offering we will file with the SEC. We caution you not to place undue reliance on any forward-looking statements, which speak only as of the date they are made. We disclaim any obligation to publicly update or revise any such statements to reflect any change in expectations or in events</w:t>
      </w:r>
      <w:r>
        <w:rPr>
          <w:rFonts w:ascii="Times New Roman" w:hAnsi="Times New Roman"/>
          <w:i/>
          <w:sz w:val="20"/>
        </w:rPr>
        <w:t xml:space="preserve">, </w:t>
      </w:r>
      <w:r>
        <w:rPr>
          <w:rFonts w:ascii="Times New Roman" w:hAnsi="Times New Roman"/>
          <w:sz w:val="20"/>
        </w:rPr>
        <w:t xml:space="preserve">conditions or circumstances on which any such statements may be based, or that may affect the likelihood that actual results will differ from those set forth in the forward-looking statements.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Peg Rusconi </w:t>
      </w:r>
    </w:p>
    <w:p>
      <w:pPr>
        <w:pStyle w:val="TextBody"/>
        <w:bidi w:val="0"/>
        <w:spacing w:before="0" w:after="0"/>
        <w:jc w:val="left"/>
        <w:rPr>
          <w:rFonts w:ascii="Times New Roman" w:hAnsi="Times New Roman"/>
          <w:sz w:val="20"/>
        </w:rPr>
      </w:pPr>
      <w:r>
        <w:rPr>
          <w:rFonts w:ascii="Times New Roman" w:hAnsi="Times New Roman"/>
          <w:sz w:val="20"/>
        </w:rPr>
        <w:t xml:space="preserve">Deerfield Group </w:t>
      </w:r>
    </w:p>
    <w:p>
      <w:pPr>
        <w:pStyle w:val="TextBody"/>
        <w:bidi w:val="0"/>
        <w:spacing w:before="0" w:after="0"/>
        <w:jc w:val="left"/>
        <w:rPr>
          <w:rFonts w:ascii="Times New Roman" w:hAnsi="Times New Roman"/>
          <w:sz w:val="20"/>
        </w:rPr>
      </w:pPr>
      <w:r>
        <w:rPr>
          <w:rFonts w:ascii="Times New Roman" w:hAnsi="Times New Roman"/>
          <w:sz w:val="20"/>
          <w:u w:val="single"/>
        </w:rPr>
        <w:t>peg.rusconi@deerfieldgroup.com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0" w:after="0"/>
        <w:jc w:val="left"/>
        <w:rPr>
          <w:rFonts w:ascii="Times New Roman" w:hAnsi="Times New Roman"/>
          <w:sz w:val="20"/>
        </w:rPr>
      </w:pPr>
      <w:r>
        <w:rPr>
          <w:rFonts w:ascii="Times New Roman" w:hAnsi="Times New Roman"/>
          <w:sz w:val="20"/>
        </w:rPr>
        <w:t xml:space="preserve">Christina Tartaglia </w:t>
      </w:r>
    </w:p>
    <w:p>
      <w:pPr>
        <w:pStyle w:val="TextBody"/>
        <w:bidi w:val="0"/>
        <w:spacing w:before="0" w:after="0"/>
        <w:jc w:val="left"/>
        <w:rPr>
          <w:rFonts w:ascii="Times New Roman" w:hAnsi="Times New Roman"/>
          <w:sz w:val="20"/>
        </w:rPr>
      </w:pPr>
      <w:r>
        <w:rPr>
          <w:rFonts w:ascii="Times New Roman" w:hAnsi="Times New Roman"/>
          <w:sz w:val="20"/>
        </w:rPr>
        <w:t xml:space="preserve">Precision AQ </w:t>
      </w:r>
    </w:p>
    <w:p>
      <w:pPr>
        <w:pStyle w:val="TextBody"/>
        <w:bidi w:val="0"/>
        <w:spacing w:before="0" w:after="0"/>
        <w:jc w:val="left"/>
        <w:rPr>
          <w:rFonts w:ascii="Times New Roman" w:hAnsi="Times New Roman"/>
          <w:sz w:val="20"/>
        </w:rPr>
      </w:pPr>
      <w:r>
        <w:rPr>
          <w:rFonts w:ascii="Times New Roman" w:hAnsi="Times New Roman"/>
          <w:sz w:val="20"/>
          <w:u w:val="single"/>
        </w:rPr>
        <w:t>christina.tartaglia@precisionaq.com</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8" w:name="d457786dex992.htm"/>
      <w:bookmarkStart w:id="9" w:name="ksd457786dex992"/>
      <w:bookmarkEnd w:id="8"/>
      <w:bookmarkEnd w:id="9"/>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400300"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00300" cy="4857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Disc Medicine Announces Pricing of $450 Million Upsized Public Offering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October 20, 2026 </w:t>
      </w:r>
    </w:p>
    <w:p>
      <w:pPr>
        <w:pStyle w:val="TextBody"/>
        <w:bidi w:val="0"/>
        <w:spacing w:before="240" w:after="0"/>
        <w:jc w:val="left"/>
        <w:rPr>
          <w:rFonts w:ascii="Times New Roman" w:hAnsi="Times New Roman"/>
          <w:sz w:val="20"/>
        </w:rPr>
      </w:pPr>
      <w:r>
        <w:rPr>
          <w:rFonts w:ascii="Times New Roman" w:hAnsi="Times New Roman"/>
          <w:sz w:val="20"/>
        </w:rPr>
        <w:t xml:space="preserve">WATERTOWN, Mass., Oct. 20, 2026 (GLOBE NEWSWIRE) — Disc Medicine, Inc. (NASDAQ: IRON) (Disc), a clinical-stage biopharmaceutical company focused on the discovery, development, and commercialization of novel treatments for patients suffering from serious hematologic diseases, today announced the pricing of an upsized underwritten public offering of shares of its common stock. Disc is selling 6,000,000 shares of common stock at a public offering price of $75.00 per share. In addition, Disc has granted the underwriters a 30-day option to purchase up to an additional 900,000 shares of its common stock at the public offering price, less underwriting discounts and commissions. The aggregate gross proceeds to Disc from this offering are expected to be $450 million, before deducting underwriting discounts and commissions and other offering expenses, assuming no exercise of the underwriters’ option to purchase additional shares. The offering is expected to close on October 22,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Disc intends to use the net proceeds from the offering, together with its existing cash, cash equivalents, and marketable securities, to fund research and clinical development of Disc’s current or additional product candidates, to support the potential commercialization of bitopertin for erythropoietic protoporphyria (EPP) and X-linked protoporphyria (XLP), and additional pre-commercialization activities for its other product candidates, and the remainder for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Jefferies, Leerink Partners, Morgan Stanley and Cantor are acting as joint book-running managers for the offering. LifeSci Capital, BMO Capital Markets and H.C. Wainwright &amp; Co. are acting as co-managers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offering is being made pursuant to an automatic shelf registration statement on Form S-3 (No. 333-281359) that was previously filed with the Securities and Exchange Commission (SEC) on August 8, 2024. This offering is being made only by means of a prospectus supplement and accompanying prospectus that form a part of the registration statement. A final prospectus supplement and accompanying prospectus related to the offering will be filed with the SEC and will be available on the SEC’s website at www.sec.gov. Copies of the final prospectus supplement and the accompanying prospectus relating to this offering may also be obtained, when available, by contacting: Jefferies LLC, Attention: Equity Syndicate Prospectus Department, 520 Madison Avenue, 2nd Floor, New York, NY 10022, by telephone at (877) 821-7388, or by email at prospectus_department@jefferies.com; Leerink Partners LLC, Attention: Syndicate Department, 53 State Street, 40th Floor, Boston, MA 02109, (800) 808-7525 ext. 6105 or by email at syndicate@leerink.com; Morgan Stanley &amp; Co. LLC, or by email at prospectus@morganstanley.com, Attention: Prospectus Department, 180 Varick Street, 2nd Floor, New York, New York 10014; or Cantor Fitzgerald &amp; Co., Attention: Capital Markets, 110 East 59th Street, 6th Floor, New York, New York, 10022, or by email at prospectus@cantor.com.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does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that state or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Disc Medicine </w:t>
      </w:r>
    </w:p>
    <w:p>
      <w:pPr>
        <w:pStyle w:val="TextBody"/>
        <w:bidi w:val="0"/>
        <w:spacing w:before="120" w:after="0"/>
        <w:jc w:val="left"/>
        <w:rPr>
          <w:rFonts w:ascii="Times New Roman" w:hAnsi="Times New Roman"/>
          <w:sz w:val="20"/>
        </w:rPr>
      </w:pPr>
      <w:r>
        <w:rPr>
          <w:rFonts w:ascii="Times New Roman" w:hAnsi="Times New Roman"/>
          <w:sz w:val="20"/>
        </w:rPr>
        <w:t xml:space="preserve">Disc Medicine (NASDAQ: 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as amended, including, without limitation, express or implied statements related to Disc’s expectations regarding the timing and closing of the offering, and the anticipated use of proceeds from the offering. The words “may,” “will,” “could,” “would,” “should,” “expect,” “plan,” “anticipate,” “intend,” “believe,” “estimate,” “predict,” “project,” “potential,” “continue,” “seek,”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These risks and uncertainties include fluctuations in Disc’s stock price, changes in market conditions, the satisfaction of customary closing conditions related to the underwritten offering, and other risks identified in our SEC filings, including our Quarterly Report on Form 10-Q for the quarter ended June 30, 2026, and in the prospectus supplement related to the offering we will file with the SEC. We caution you not to place undue reliance on any forward-looking statements, which speak only as of the date they are made. We disclaim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Peg Rusconi </w:t>
      </w:r>
    </w:p>
    <w:p>
      <w:pPr>
        <w:pStyle w:val="TextBody"/>
        <w:bidi w:val="0"/>
        <w:spacing w:before="0" w:after="0"/>
        <w:jc w:val="left"/>
        <w:rPr>
          <w:rFonts w:ascii="Times New Roman" w:hAnsi="Times New Roman"/>
          <w:sz w:val="20"/>
        </w:rPr>
      </w:pPr>
      <w:r>
        <w:rPr>
          <w:rFonts w:ascii="Times New Roman" w:hAnsi="Times New Roman"/>
          <w:sz w:val="20"/>
        </w:rPr>
        <w:t xml:space="preserve">Deerfield Group </w:t>
      </w:r>
    </w:p>
    <w:p>
      <w:pPr>
        <w:pStyle w:val="TextBody"/>
        <w:bidi w:val="0"/>
        <w:spacing w:before="0" w:after="0"/>
        <w:jc w:val="left"/>
        <w:rPr>
          <w:rFonts w:ascii="Times New Roman" w:hAnsi="Times New Roman"/>
          <w:sz w:val="20"/>
        </w:rPr>
      </w:pPr>
      <w:r>
        <w:rPr>
          <w:rFonts w:ascii="Times New Roman" w:hAnsi="Times New Roman"/>
          <w:sz w:val="20"/>
        </w:rPr>
        <w:t xml:space="preserve">peg.rusconi@deerfieldgroup.com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0" w:after="0"/>
        <w:jc w:val="left"/>
        <w:rPr>
          <w:rFonts w:ascii="Times New Roman" w:hAnsi="Times New Roman"/>
          <w:sz w:val="20"/>
        </w:rPr>
      </w:pPr>
      <w:r>
        <w:rPr>
          <w:rFonts w:ascii="Times New Roman" w:hAnsi="Times New Roman"/>
          <w:sz w:val="20"/>
        </w:rPr>
        <w:t xml:space="preserve">Christina Tartaglia </w:t>
      </w:r>
    </w:p>
    <w:p>
      <w:pPr>
        <w:pStyle w:val="TextBody"/>
        <w:bidi w:val="0"/>
        <w:spacing w:before="0" w:after="0"/>
        <w:jc w:val="left"/>
        <w:rPr>
          <w:rFonts w:ascii="Times New Roman" w:hAnsi="Times New Roman"/>
          <w:sz w:val="20"/>
        </w:rPr>
      </w:pPr>
      <w:r>
        <w:rPr>
          <w:rFonts w:ascii="Times New Roman" w:hAnsi="Times New Roman"/>
          <w:sz w:val="20"/>
        </w:rPr>
        <w:t xml:space="preserve">Precision AQ </w:t>
      </w:r>
    </w:p>
    <w:p>
      <w:pPr>
        <w:pStyle w:val="TextBody"/>
        <w:bidi w:val="0"/>
        <w:spacing w:before="0" w:after="0"/>
        <w:jc w:val="left"/>
        <w:rPr>
          <w:rFonts w:ascii="Times New Roman" w:hAnsi="Times New Roman"/>
          <w:sz w:val="20"/>
        </w:rPr>
      </w:pPr>
      <w:r>
        <w:rPr>
          <w:rFonts w:ascii="Times New Roman" w:hAnsi="Times New Roman"/>
          <w:sz w:val="20"/>
        </w:rPr>
        <w:t xml:space="preserve">christina.tartaglia@precisionaq.com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24201</Words>
  <Characters>129159</Characters>
  <CharactersWithSpaces>153427</CharactersWithSpaces>
  <Paragraphs>606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