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Stephenson Pamela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02472</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02/18/2025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3,137</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54.58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69,529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shares sold by the Reporting Person to cover tax withholding obligations in connection with the vesting of certain restricted stock units granted on February 26, 2024 and previously reported in Table I. This sale is a "sell to cover" transaction and does not represent a discretionary transaction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Rahul Khara,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02/20/2025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tcBorders>
              <w:top w:val="single" w:sz="8" w:color="auto"/>
            </w:tcBorders>
            <w:vMerge w:val="restart"/>
          </w:tcPr>
          <w:p>
            <w:pPr>
              <w:spacing w:after="0"/>
              <w:rPr>
                <w:sz w:val="7"/>
                <w:szCs w:val="7"/>
                <w:color w:val="auto"/>
              </w:rPr>
            </w:pPr>
          </w:p>
        </w:tc>
        <w:tc>
          <w:tcPr>
            <w:tcW w:w="4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7650"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2025-02-20T18:46:09Z</dcterms:created>
  <dcterms:modified xsi:type="dcterms:W3CDTF">2025-02-20T18:46:09Z</dcterms:modified>
</cp:coreProperties>
</file>