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Ashiya Mona</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57,318</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1,196,825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6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gridSpan w:val="2"/>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37,049</w:t>
            </w:r>
          </w:p>
        </w:tc>
        <w:tc>
          <w:tcPr>
            <w:tcW w:w="48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773,607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6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gridSpan w:val="2"/>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14,329</w:t>
            </w:r>
          </w:p>
        </w:tc>
        <w:tc>
          <w:tcPr>
            <w:tcW w:w="48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299,205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purchased in a registered direct offering.</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The Reporting Person is an employee of OrbiMed Advisors.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 of Section 16 of the Exchange Act,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2023-02-17T19:14:28Z</dcterms:created>
  <dcterms:modified xsi:type="dcterms:W3CDTF">2023-02-17T19:14:28Z</dcterms:modified>
</cp:coreProperties>
</file>