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5"/>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202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tcBorders>
              <w:top w:val="single" w:sz="8" w:color="2C2C2C"/>
            </w:tcBorders>
            <w:gridSpan w:val="2"/>
          </w:tcPr>
          <w:p>
            <w:pPr>
              <w:ind w:left="220"/>
              <w:spacing w:after="0" w:line="190" w:lineRule="exact"/>
              <w:rPr>
                <w:sz w:val="20"/>
                <w:szCs w:val="20"/>
                <w:color w:val="auto"/>
              </w:rPr>
            </w:pPr>
            <w:r>
              <w:rPr>
                <w:rFonts w:ascii="Arial" w:cs="Arial" w:eastAsia="Arial" w:hAnsi="Arial"/>
                <w:sz w:val="20"/>
                <w:szCs w:val="20"/>
                <w:color w:val="auto"/>
              </w:rPr>
              <w:t>OMB APPROVAL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7"/>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000" w:type="dxa"/>
            <w:vAlign w:val="bottom"/>
          </w:tcPr>
          <w:p>
            <w:pPr>
              <w:spacing w:after="0"/>
              <w:rPr>
                <w:sz w:val="9"/>
                <w:szCs w:val="9"/>
                <w:color w:val="auto"/>
              </w:rPr>
            </w:pPr>
          </w:p>
        </w:tc>
        <w:tc>
          <w:tcPr>
            <w:tcW w:w="68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00" w:type="dxa"/>
            <w:vAlign w:val="bottom"/>
          </w:tcPr>
          <w:p>
            <w:pPr>
              <w:spacing w:after="0"/>
              <w:rPr>
                <w:sz w:val="9"/>
                <w:szCs w:val="9"/>
                <w:color w:val="auto"/>
              </w:rPr>
            </w:pPr>
          </w:p>
        </w:tc>
        <w:tc>
          <w:tcPr>
            <w:tcW w:w="6820" w:type="dxa"/>
            <w:vAlign w:val="bottom"/>
            <w:vMerge w:val="restart"/>
          </w:tcPr>
          <w:p>
            <w:pPr>
              <w:jc w:val="center"/>
              <w:ind w:left="45"/>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720" w:type="dxa"/>
            <w:vAlign w:val="bottom"/>
            <w:vMerge w:val="restart"/>
          </w:tcPr>
          <w:p>
            <w:pPr>
              <w:jc w:val="right"/>
              <w:ind w:right="22"/>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tcPr>
          <w:p>
            <w:pPr>
              <w:jc w:val="center"/>
              <w:ind w:left="45"/>
              <w:spacing w:after="0" w:line="69" w:lineRule="exact"/>
              <w:rPr>
                <w:sz w:val="20"/>
                <w:szCs w:val="20"/>
                <w:color w:val="auto"/>
              </w:rPr>
            </w:pPr>
            <w:r>
              <w:rPr>
                <w:rFonts w:ascii="Arial" w:cs="Arial" w:eastAsia="Arial" w:hAnsi="Arial"/>
                <w:sz w:val="8"/>
                <w:szCs w:val="8"/>
                <w:b w:val="1"/>
                <w:bCs w:val="1"/>
                <w:color w:val="auto"/>
              </w:rPr>
              <w:t>SECURITIES</w:t>
            </w:r>
          </w:p>
        </w:tc>
        <w:tc>
          <w:tcPr>
            <w:tcW w:w="40" w:type="dxa"/>
            <w:vAlign w:val="bottom"/>
          </w:tcPr>
          <w:p>
            <w:pPr>
              <w:spacing w:after="0"/>
              <w:rPr>
                <w:sz w:val="6"/>
                <w:szCs w:val="6"/>
                <w:color w:val="auto"/>
              </w:rPr>
            </w:pPr>
          </w:p>
        </w:tc>
        <w:tc>
          <w:tcPr>
            <w:tcW w:w="1260" w:type="dxa"/>
            <w:vAlign w:val="bottom"/>
          </w:tcPr>
          <w:p>
            <w:pPr>
              <w:ind w:left="80"/>
              <w:spacing w:after="0" w:line="69" w:lineRule="exact"/>
              <w:rPr>
                <w:sz w:val="20"/>
                <w:szCs w:val="20"/>
                <w:color w:val="auto"/>
              </w:rPr>
            </w:pPr>
            <w:r>
              <w:rPr>
                <w:rFonts w:ascii="Arial" w:cs="Arial" w:eastAsia="Arial" w:hAnsi="Arial"/>
                <w:sz w:val="8"/>
                <w:szCs w:val="8"/>
                <w:color w:val="auto"/>
              </w:rPr>
              <w:t>response:</w:t>
            </w:r>
          </w:p>
        </w:tc>
        <w:tc>
          <w:tcPr>
            <w:tcW w:w="720" w:type="dxa"/>
            <w:vAlign w:val="bottom"/>
          </w:tcPr>
          <w:p>
            <w:pPr>
              <w:jc w:val="right"/>
              <w:ind w:right="22"/>
              <w:spacing w:after="0" w:line="69" w:lineRule="exact"/>
              <w:rPr>
                <w:sz w:val="20"/>
                <w:szCs w:val="20"/>
                <w:color w:val="auto"/>
              </w:rPr>
            </w:pPr>
            <w:r>
              <w:rPr>
                <w:rFonts w:ascii="Arial" w:cs="Arial" w:eastAsia="Arial" w:hAnsi="Arial"/>
                <w:sz w:val="8"/>
                <w:szCs w:val="8"/>
                <w:color w:val="auto"/>
              </w:rPr>
              <w:t>0.5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-751205</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1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3348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33489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1"/>
        </w:trPr>
        <w:tc>
          <w:tcPr>
            <w:tcW w:w="3100" w:type="dxa"/>
            <w:vAlign w:val="bottom"/>
            <w:vMerge w:val="restart"/>
          </w:tcPr>
          <w:p>
            <w:pPr>
              <w:ind w:left="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Piekos Brian</w:t>
              </w:r>
            </w:hyperlink>
          </w:p>
        </w:tc>
        <w:tc>
          <w:tcPr>
            <w:tcW w:w="1520" w:type="dxa"/>
            <w:vAlign w:val="bottom"/>
          </w:tcPr>
          <w:p>
            <w:pPr>
              <w:ind w:left="160"/>
              <w:spacing w:after="0" w:line="131"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8"/>
        </w:trPr>
        <w:tc>
          <w:tcPr>
            <w:tcW w:w="3100" w:type="dxa"/>
            <w:vAlign w:val="bottom"/>
            <w:vMerge w:val="continue"/>
          </w:tcPr>
          <w:p>
            <w:pPr>
              <w:spacing w:after="0"/>
              <w:rPr>
                <w:sz w:val="14"/>
                <w:szCs w:val="14"/>
                <w:color w:val="auto"/>
              </w:rPr>
            </w:pPr>
          </w:p>
        </w:tc>
        <w:tc>
          <w:tcPr>
            <w:tcW w:w="1520" w:type="dxa"/>
            <w:vAlign w:val="bottom"/>
          </w:tcPr>
          <w:p>
            <w:pPr>
              <w:ind w:left="160"/>
              <w:spacing w:after="0" w:line="168"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21"/>
        </w:trPr>
        <w:tc>
          <w:tcPr>
            <w:tcW w:w="3100" w:type="dxa"/>
            <w:vAlign w:val="bottom"/>
            <w:tcBorders>
              <w:bottom w:val="single" w:sz="8" w:color="9A9A9A"/>
            </w:tcBorders>
          </w:tcPr>
          <w:p>
            <w:pPr>
              <w:spacing w:after="0"/>
              <w:rPr>
                <w:sz w:val="19"/>
                <w:szCs w:val="19"/>
                <w:color w:val="auto"/>
              </w:rPr>
            </w:pPr>
          </w:p>
        </w:tc>
        <w:tc>
          <w:tcPr>
            <w:tcW w:w="1520" w:type="dxa"/>
            <w:vAlign w:val="bottom"/>
          </w:tcPr>
          <w:p>
            <w:pPr>
              <w:ind w:left="160"/>
              <w:spacing w:after="0" w:line="211" w:lineRule="exact"/>
              <w:rPr>
                <w:sz w:val="20"/>
                <w:szCs w:val="20"/>
                <w:color w:val="auto"/>
              </w:rPr>
            </w:pPr>
            <w:r>
              <w:rPr>
                <w:rFonts w:ascii="Times New Roman" w:cs="Times New Roman" w:eastAsia="Times New Roman" w:hAnsi="Times New Roman"/>
                <w:sz w:val="20"/>
                <w:szCs w:val="20"/>
                <w:color w:val="0000FF"/>
              </w:rPr>
              <w:t>02/12/2021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Gemini Therapeutics, Inc. /DE</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GMTX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42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6" w:lineRule="exact"/>
        <w:rPr>
          <w:sz w:val="24"/>
          <w:szCs w:val="24"/>
          <w:color w:val="auto"/>
        </w:rPr>
      </w:pPr>
    </w:p>
    <w:p>
      <w:pPr>
        <w:ind w:left="140" w:right="1517"/>
        <w:spacing w:after="0" w:line="275" w:lineRule="auto"/>
        <w:rPr>
          <w:sz w:val="20"/>
          <w:szCs w:val="20"/>
          <w:color w:val="auto"/>
        </w:rPr>
      </w:pPr>
      <w:r>
        <w:rPr>
          <w:rFonts w:ascii="Times New Roman" w:cs="Times New Roman" w:eastAsia="Times New Roman" w:hAnsi="Times New Roman"/>
          <w:sz w:val="20"/>
          <w:szCs w:val="20"/>
          <w:color w:val="0000FF"/>
        </w:rPr>
        <w:t>C/O GEMINI THERAPEUTICS, INC.</w:t>
      </w:r>
    </w:p>
    <w:p>
      <w:pPr>
        <w:spacing w:after="0" w:line="13" w:lineRule="exact"/>
        <w:rPr>
          <w:sz w:val="24"/>
          <w:szCs w:val="24"/>
          <w:color w:val="auto"/>
        </w:rPr>
      </w:pPr>
    </w:p>
    <w:p>
      <w:pPr>
        <w:ind w:left="140" w:right="1137"/>
        <w:spacing w:after="0" w:line="275" w:lineRule="auto"/>
        <w:rPr>
          <w:sz w:val="20"/>
          <w:szCs w:val="20"/>
          <w:color w:val="auto"/>
        </w:rPr>
      </w:pPr>
      <w:r>
        <w:rPr>
          <w:rFonts w:ascii="Times New Roman" w:cs="Times New Roman" w:eastAsia="Times New Roman" w:hAnsi="Times New Roman"/>
          <w:sz w:val="20"/>
          <w:szCs w:val="20"/>
          <w:color w:val="0000FF"/>
        </w:rPr>
        <w:t>300 ONE KENDALL SQUARE, 3RD FLOOR</w:t>
      </w:r>
    </w:p>
    <w:p>
      <w:pPr>
        <w:spacing w:after="0" w:line="265"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4"/>
          <w:szCs w:val="24"/>
          <w:color w:val="auto"/>
        </w:rPr>
      </w:pPr>
      <w:r>
        <w:rPr>
          <w:sz w:val="24"/>
          <w:szCs w:val="24"/>
          <w:color w:val="auto"/>
        </w:rPr>
        <w:br w:type="column"/>
      </w:r>
    </w:p>
    <w:p>
      <w:pPr>
        <w:ind w:left="3" w:right="300" w:hanging="3"/>
        <w:spacing w:after="0" w:line="242"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0"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3"/>
        <w:spacing w:after="0"/>
        <w:tabs>
          <w:tab w:leader="none" w:pos="502" w:val="left"/>
          <w:tab w:leader="none" w:pos="2042" w:val="left"/>
        </w:tabs>
        <w:rPr>
          <w:sz w:val="20"/>
          <w:szCs w:val="20"/>
          <w:color w:val="auto"/>
        </w:rPr>
      </w:pPr>
      <w:r>
        <w:rPr>
          <w:rFonts w:ascii="Times New Roman" w:cs="Times New Roman" w:eastAsia="Times New Roman" w:hAnsi="Times New Roman"/>
          <w:sz w:val="27"/>
          <w:szCs w:val="27"/>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43"/>
        <w:spacing w:after="0"/>
        <w:rPr>
          <w:sz w:val="20"/>
          <w:szCs w:val="20"/>
          <w:color w:val="auto"/>
        </w:rPr>
      </w:pPr>
      <w:r>
        <w:rPr>
          <w:rFonts w:ascii="Times New Roman" w:cs="Times New Roman" w:eastAsia="Times New Roman" w:hAnsi="Times New Roman"/>
          <w:sz w:val="20"/>
          <w:szCs w:val="20"/>
          <w:color w:val="0000FF"/>
        </w:rPr>
        <w:t>Chief Financial Officer</w:t>
      </w:r>
    </w:p>
    <w:p>
      <w:pPr>
        <w:spacing w:after="0" w:line="20" w:lineRule="exact"/>
        <w:rPr>
          <w:sz w:val="24"/>
          <w:szCs w:val="24"/>
          <w:color w:val="auto"/>
        </w:rPr>
      </w:pPr>
      <w:r>
        <w:rPr>
          <w:sz w:val="24"/>
          <w:szCs w:val="24"/>
          <w:color w:val="auto"/>
        </w:rPr>
        <w:br w:type="column"/>
      </w:r>
    </w:p>
    <w:p>
      <w:pPr>
        <w:ind w:left="-9" w:right="440" w:firstLine="9"/>
        <w:spacing w:after="0" w:line="270"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7" w:lineRule="exact"/>
        <w:rPr>
          <w:rFonts w:ascii="Arial" w:cs="Arial" w:eastAsia="Arial" w:hAnsi="Arial"/>
          <w:sz w:val="15"/>
          <w:szCs w:val="15"/>
          <w:color w:val="auto"/>
        </w:rPr>
      </w:pPr>
    </w:p>
    <w:p>
      <w:pPr>
        <w:ind w:left="-9" w:right="480" w:firstLine="9"/>
        <w:spacing w:after="0" w:line="25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9" w:lineRule="exact"/>
        <w:rPr>
          <w:sz w:val="24"/>
          <w:szCs w:val="24"/>
          <w:color w:val="auto"/>
        </w:rPr>
      </w:pPr>
    </w:p>
    <w:p>
      <w:pPr>
        <w:ind w:left="451" w:right="340" w:hanging="304"/>
        <w:spacing w:after="0" w:line="182"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One Reporting Person</w:t>
      </w:r>
    </w:p>
    <w:p>
      <w:pPr>
        <w:spacing w:after="0" w:line="23" w:lineRule="exact"/>
        <w:rPr>
          <w:rFonts w:ascii="Times New Roman" w:cs="Times New Roman" w:eastAsia="Times New Roman" w:hAnsi="Times New Roman"/>
          <w:sz w:val="29"/>
          <w:szCs w:val="29"/>
          <w:color w:val="0000FF"/>
          <w:vertAlign w:val="subscript"/>
        </w:rPr>
      </w:pPr>
    </w:p>
    <w:p>
      <w:pPr>
        <w:ind w:left="451" w:right="320"/>
        <w:spacing w:after="0" w:line="270" w:lineRule="auto"/>
        <w:rPr>
          <w:rFonts w:ascii="Times New Roman" w:cs="Times New Roman" w:eastAsia="Times New Roman" w:hAnsi="Times New Roman"/>
          <w:sz w:val="29"/>
          <w:szCs w:val="29"/>
          <w:color w:val="0000FF"/>
          <w:vertAlign w:val="subscript"/>
        </w:rPr>
      </w:pPr>
      <w:r>
        <w:rPr>
          <w:rFonts w:ascii="Arial" w:cs="Arial" w:eastAsia="Arial" w:hAnsi="Arial"/>
          <w:sz w:val="15"/>
          <w:szCs w:val="15"/>
          <w:color w:val="auto"/>
        </w:rPr>
        <w:t>Form filed by More than One Reporting Person</w:t>
      </w:r>
    </w:p>
    <w:p>
      <w:pPr>
        <w:spacing w:after="0" w:line="35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92710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2"/>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677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67703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4"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6"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6"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3"/>
                <w:szCs w:val="13"/>
                <w:color w:val="auto"/>
              </w:rPr>
            </w:pPr>
          </w:p>
        </w:tc>
        <w:tc>
          <w:tcPr>
            <w:tcW w:w="840" w:type="dxa"/>
            <w:vAlign w:val="bottom"/>
          </w:tcPr>
          <w:p>
            <w:pPr>
              <w:ind w:left="180"/>
              <w:spacing w:after="0" w:line="159"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4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vMerge w:val="continue"/>
          </w:tcPr>
          <w:p>
            <w:pPr>
              <w:spacing w:after="0"/>
              <w:rPr>
                <w:sz w:val="18"/>
                <w:szCs w:val="18"/>
                <w:color w:val="auto"/>
              </w:rPr>
            </w:pP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02/03/2031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43,580</w:t>
            </w:r>
          </w:p>
        </w:tc>
        <w:tc>
          <w:tcPr>
            <w:tcW w:w="98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12.66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-406400</wp:posOffset>
            </wp:positionV>
            <wp:extent cx="6927850" cy="24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27850" cy="247650"/>
                    </a:xfrm>
                    <a:prstGeom prst="rect">
                      <a:avLst/>
                    </a:prstGeom>
                    <a:noFill/>
                  </pic:spPr>
                </pic:pic>
              </a:graphicData>
            </a:graphic>
          </wp:anchor>
        </w:drawing>
      </w:r>
    </w:p>
    <w:p>
      <w:pPr>
        <w:ind w:left="40" w:right="46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This option shall vest and become exercisable 25% of the shares vesting on the one-year anniversary of the Vesting Start Date, February 4, 2022, and the remainder vesting ratably on a quarterly basis over the following 12 quarters, subject to continued employment.</w:t>
      </w:r>
    </w:p>
    <w:p>
      <w:pPr>
        <w:spacing w:after="0" w:line="10"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/s/ Jason Meyenburg</w:t>
            </w:r>
          </w:p>
        </w:tc>
        <w:tc>
          <w:tcPr>
            <w:tcW w:w="900" w:type="dxa"/>
            <w:vAlign w:val="bottom"/>
          </w:tcPr>
          <w:p>
            <w:pPr>
              <w:spacing w:after="0"/>
              <w:rPr>
                <w:sz w:val="20"/>
                <w:szCs w:val="20"/>
                <w:color w:val="auto"/>
              </w:rPr>
            </w:pPr>
            <w:r>
              <w:rPr>
                <w:rFonts w:ascii="Times New Roman" w:cs="Times New Roman" w:eastAsia="Times New Roman" w:hAnsi="Times New Roman"/>
                <w:sz w:val="20"/>
                <w:szCs w:val="20"/>
                <w:color w:val="0000FF"/>
                <w:w w:val="96"/>
              </w:rPr>
              <w:t>02/18/2021</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12"/>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74" w:lineRule="exact"/>
        <w:rPr>
          <w:sz w:val="20"/>
          <w:szCs w:val="20"/>
          <w:color w:val="auto"/>
        </w:rPr>
      </w:pPr>
    </w:p>
    <w:p>
      <w:pPr>
        <w:ind w:right="100" w:firstLine="720"/>
        <w:spacing w:after="0" w:line="282" w:lineRule="auto"/>
        <w:rPr>
          <w:sz w:val="20"/>
          <w:szCs w:val="20"/>
          <w:color w:val="auto"/>
        </w:rPr>
      </w:pPr>
      <w:r>
        <w:rPr>
          <w:rFonts w:ascii="Times New Roman" w:cs="Times New Roman" w:eastAsia="Times New Roman" w:hAnsi="Times New Roman"/>
          <w:sz w:val="20"/>
          <w:szCs w:val="20"/>
          <w:color w:val="auto"/>
        </w:rPr>
        <w:t>Know all by these presents, that the undersigned hereby constitutes and appoints each of Jason Meyenberg, Precillia Redmond and Laurie Burlingame, signing singly, the undersigned’s true and lawful attorney-in-fact to:</w:t>
      </w:r>
    </w:p>
    <w:p>
      <w:pPr>
        <w:spacing w:after="0" w:line="150" w:lineRule="exact"/>
        <w:rPr>
          <w:sz w:val="20"/>
          <w:szCs w:val="20"/>
          <w:color w:val="auto"/>
        </w:rPr>
      </w:pPr>
    </w:p>
    <w:p>
      <w:pPr>
        <w:ind w:left="1440" w:right="220" w:hanging="720"/>
        <w:spacing w:after="0" w:line="256"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for and on behalf of the undersigned, in the undersigned’s capacity as an officer and/or director of Gemini Therapeutics,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(i) Form ID, including any attached documents, to effect the assignment of codes to the undersigned to be used in the transmission of information to the United States Securities and Exchange Commission using the EDGAR System, (ii) Forms 3, 4 and 5, (iii) Schedule 13D, (iv) Schedule 13G and (v) amendments of each thereof, in accordance with Section 16(a) of the Securities Exchange Act of 1934, as amended, and the rules thereunder;</w:t>
      </w:r>
    </w:p>
    <w:p>
      <w:pPr>
        <w:spacing w:after="0" w:line="178" w:lineRule="exact"/>
        <w:rPr>
          <w:rFonts w:ascii="Times New Roman" w:cs="Times New Roman" w:eastAsia="Times New Roman" w:hAnsi="Times New Roman"/>
          <w:sz w:val="20"/>
          <w:szCs w:val="20"/>
          <w:color w:val="auto"/>
        </w:rPr>
      </w:pPr>
    </w:p>
    <w:p>
      <w:pPr>
        <w:ind w:left="1440" w:right="40" w:hanging="720"/>
        <w:spacing w:after="0" w:line="266"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 and perform any and all acts for and on behalf of the undersigned which may be necessary or desirable to complete and execute any such Form 3, 4 or 5, Schedule 13D. Schedule 13G or any amendments thereto and timely file such form with the United States Securities and Exchange Commission and any stock exchange or similar authority; and</w:t>
      </w:r>
    </w:p>
    <w:p>
      <w:pPr>
        <w:spacing w:after="0" w:line="165" w:lineRule="exact"/>
        <w:rPr>
          <w:rFonts w:ascii="Times New Roman" w:cs="Times New Roman" w:eastAsia="Times New Roman" w:hAnsi="Times New Roman"/>
          <w:sz w:val="20"/>
          <w:szCs w:val="20"/>
          <w:color w:val="auto"/>
        </w:rPr>
      </w:pPr>
    </w:p>
    <w:p>
      <w:pPr>
        <w:ind w:left="1440" w:right="20" w:hanging="720"/>
        <w:spacing w:after="0" w:line="258" w:lineRule="auto"/>
        <w:tabs>
          <w:tab w:leader="none" w:pos="14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4" w:lineRule="exact"/>
        <w:rPr>
          <w:sz w:val="20"/>
          <w:szCs w:val="20"/>
          <w:color w:val="auto"/>
        </w:rPr>
      </w:pPr>
    </w:p>
    <w:p>
      <w:pPr>
        <w:ind w:right="20" w:firstLine="720"/>
        <w:spacing w:after="0" w:line="254"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attorney-in-fact and the Company from and against any demand, damage, loss, cost or expense arising from any false or misleading information provided by the undersigned to the attorney-in-fact.</w:t>
      </w:r>
    </w:p>
    <w:p>
      <w:pPr>
        <w:spacing w:after="0" w:line="181" w:lineRule="exact"/>
        <w:rPr>
          <w:sz w:val="20"/>
          <w:szCs w:val="20"/>
          <w:color w:val="auto"/>
        </w:rPr>
      </w:pPr>
    </w:p>
    <w:p>
      <w:pPr>
        <w:ind w:right="60" w:firstLine="720"/>
        <w:spacing w:after="0" w:line="27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This Power of Attorney may be filed with the United States Securities and Exchange Commission as a confirming statement of the authority granted herein.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the Company.</w:t>
      </w:r>
    </w:p>
    <w:p>
      <w:pPr>
        <w:spacing w:after="0" w:line="93"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IN WITNESS WHEREOF, the undersigned has caused this Power of Attorney to be executed as of this 18</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0"/>
          <w:szCs w:val="20"/>
          <w:color w:val="auto"/>
        </w:rPr>
        <w:t xml:space="preserve"> day of February,</w:t>
      </w:r>
    </w:p>
    <w:p>
      <w:pPr>
        <w:spacing w:after="0"/>
        <w:rPr>
          <w:sz w:val="20"/>
          <w:szCs w:val="20"/>
          <w:color w:val="auto"/>
        </w:rPr>
      </w:pPr>
      <w:r>
        <w:rPr>
          <w:rFonts w:ascii="Times New Roman" w:cs="Times New Roman" w:eastAsia="Times New Roman" w:hAnsi="Times New Roman"/>
          <w:sz w:val="20"/>
          <w:szCs w:val="20"/>
          <w:color w:val="auto"/>
        </w:rPr>
        <w:t>2021.</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Brian Piekos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Name: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229679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296795" cy="9525"/>
                    </a:xfrm>
                    <a:prstGeom prst="rect">
                      <a:avLst/>
                    </a:prstGeom>
                    <a:noFill/>
                  </pic:spPr>
                </pic:pic>
              </a:graphicData>
            </a:graphic>
          </wp:anchor>
        </w:drawing>
      </w:r>
    </w:p>
    <w:sectPr>
      <w:pgSz w:w="11900" w:h="16838" w:orient="portrait"/>
      <w:cols w:equalWidth="0" w:num="1">
        <w:col w:w="10940"/>
      </w:cols>
      <w:pgMar w:left="480" w:top="11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0" Type="http://schemas.openxmlformats.org/officeDocument/2006/relationships/hyperlink" Target="http://www.sec.gov/cgi-bin/browse-edgar?action=getcompany&amp;CIK=0001815308" TargetMode="External"/><Relationship Id="rId11"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2021-02-19T15:03:52Z</dcterms:created>
  <dcterms:modified xsi:type="dcterms:W3CDTF">2021-02-19T15:03:52Z</dcterms:modified>
</cp:coreProperties>
</file>