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00" w:type="dxa"/>
            <w:vAlign w:val="bottom"/>
            <w:gridSpan w:val="3"/>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Leonard Braden Michael</w:t>
              </w:r>
            </w:hyperlink>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Gemini Therapeutics, Inc. /DE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GMTX</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50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5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780" w:type="dxa"/>
            <w:vAlign w:val="bottom"/>
            <w:gridSpan w:val="4"/>
            <w:vMerge w:val="restart"/>
          </w:tcPr>
          <w:p>
            <w:pPr>
              <w:ind w:left="160"/>
              <w:spacing w:after="0"/>
              <w:rPr>
                <w:sz w:val="20"/>
                <w:szCs w:val="20"/>
                <w:color w:val="auto"/>
              </w:rPr>
            </w:pPr>
            <w:r>
              <w:rPr>
                <w:rFonts w:ascii="Arial" w:cs="Arial" w:eastAsia="Arial" w:hAnsi="Arial"/>
                <w:sz w:val="17"/>
                <w:szCs w:val="17"/>
                <w:color w:val="0000FF"/>
              </w:rPr>
              <w:t>10/26/2022</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780" w:type="dxa"/>
            <w:vAlign w:val="bottom"/>
            <w:gridSpan w:val="4"/>
            <w:vMerge w:val="continue"/>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65 E CEDAR - SUITE 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65"/>
          </w:cols>
          <w:pgMar w:left="460" w:top="225" w:right="4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ZIONSVILLE</w:t>
            </w:r>
          </w:p>
        </w:tc>
        <w:tc>
          <w:tcPr>
            <w:tcW w:w="920" w:type="dxa"/>
            <w:vAlign w:val="bottom"/>
          </w:tcPr>
          <w:p>
            <w:pPr>
              <w:ind w:left="100"/>
              <w:spacing w:after="0"/>
              <w:rPr>
                <w:sz w:val="20"/>
                <w:szCs w:val="20"/>
                <w:color w:val="auto"/>
              </w:rPr>
            </w:pPr>
            <w:r>
              <w:rPr>
                <w:rFonts w:ascii="Arial" w:cs="Arial" w:eastAsia="Arial" w:hAnsi="Arial"/>
                <w:sz w:val="17"/>
                <w:szCs w:val="17"/>
                <w:color w:val="0000FF"/>
              </w:rPr>
              <w:t>IN</w:t>
            </w:r>
          </w:p>
        </w:tc>
        <w:tc>
          <w:tcPr>
            <w:tcW w:w="1600" w:type="dxa"/>
            <w:vAlign w:val="bottom"/>
          </w:tcPr>
          <w:p>
            <w:pPr>
              <w:ind w:left="400"/>
              <w:spacing w:after="0"/>
              <w:rPr>
                <w:sz w:val="20"/>
                <w:szCs w:val="20"/>
                <w:color w:val="auto"/>
              </w:rPr>
            </w:pPr>
            <w:r>
              <w:rPr>
                <w:rFonts w:ascii="Arial" w:cs="Arial" w:eastAsia="Arial" w:hAnsi="Arial"/>
                <w:sz w:val="17"/>
                <w:szCs w:val="17"/>
                <w:color w:val="0000FF"/>
              </w:rPr>
              <w:t>46077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10/26/2022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22,500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2.09</w:t>
            </w:r>
            <w:r>
              <w:rPr>
                <w:rFonts w:ascii="Arial" w:cs="Arial" w:eastAsia="Arial" w:hAnsi="Arial"/>
                <w:sz w:val="22"/>
                <w:szCs w:val="22"/>
                <w:color w:val="008000"/>
                <w:w w:val="95"/>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Arial" w:cs="Arial" w:eastAsia="Arial" w:hAnsi="Arial"/>
                <w:sz w:val="17"/>
                <w:szCs w:val="17"/>
                <w:color w:val="0000FF"/>
              </w:rPr>
              <w:t>247,500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ind w:left="60"/>
              <w:spacing w:after="0"/>
              <w:rPr>
                <w:sz w:val="20"/>
                <w:szCs w:val="20"/>
                <w:color w:val="auto"/>
              </w:rPr>
            </w:pPr>
            <w:r>
              <w:rPr>
                <w:rFonts w:ascii="Arial" w:cs="Arial" w:eastAsia="Arial" w:hAnsi="Arial"/>
                <w:sz w:val="17"/>
                <w:szCs w:val="17"/>
                <w:color w:val="0000FF"/>
              </w:rPr>
              <w:t>Holding of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7"/>
                <w:szCs w:val="17"/>
                <w:color w:val="0000FF"/>
              </w:rPr>
              <w:t>BML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ind w:right="154"/>
              <w:spacing w:after="0"/>
              <w:rPr>
                <w:sz w:val="20"/>
                <w:szCs w:val="20"/>
                <w:color w:val="auto"/>
              </w:rPr>
            </w:pPr>
            <w:r>
              <w:rPr>
                <w:rFonts w:ascii="Arial" w:cs="Arial" w:eastAsia="Arial" w:hAnsi="Arial"/>
                <w:sz w:val="17"/>
                <w:szCs w:val="17"/>
                <w:color w:val="0000FF"/>
              </w:rPr>
              <w:t>5,000,000</w:t>
            </w:r>
          </w:p>
        </w:tc>
        <w:tc>
          <w:tcPr>
            <w:tcW w:w="920" w:type="dxa"/>
            <w:vAlign w:val="bottom"/>
          </w:tcPr>
          <w:p>
            <w:pPr>
              <w:ind w:left="420"/>
              <w:spacing w:after="0"/>
              <w:rPr>
                <w:sz w:val="20"/>
                <w:szCs w:val="20"/>
                <w:color w:val="auto"/>
              </w:rPr>
            </w:pPr>
            <w:r>
              <w:rPr>
                <w:rFonts w:ascii="Arial" w:cs="Arial" w:eastAsia="Arial" w:hAnsi="Arial"/>
                <w:sz w:val="17"/>
                <w:szCs w:val="17"/>
                <w:color w:val="0000FF"/>
              </w:rPr>
              <w:t>I</w:t>
            </w:r>
          </w:p>
        </w:tc>
        <w:tc>
          <w:tcPr>
            <w:tcW w:w="900" w:type="dxa"/>
            <w:vAlign w:val="bottom"/>
          </w:tcPr>
          <w:p>
            <w:pPr>
              <w:ind w:left="60"/>
              <w:spacing w:after="0"/>
              <w:rPr>
                <w:sz w:val="20"/>
                <w:szCs w:val="20"/>
                <w:color w:val="auto"/>
              </w:rPr>
            </w:pPr>
            <w:r>
              <w:rPr>
                <w:rFonts w:ascii="Arial" w:cs="Arial" w:eastAsia="Arial" w:hAnsi="Arial"/>
                <w:sz w:val="17"/>
                <w:szCs w:val="17"/>
                <w:color w:val="0000FF"/>
                <w:w w:val="98"/>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Explanation of Responses: 1. BML Capital Management, LLC ("BML Capital") serves as the general partner of BML Investment Partners, L.P., a Delaware limited partnership (the "Fund"), which is the direct owner of the subject shares. Mr. Leonard is the managing member of BML Capital, and exercises investment and voting control over the subject shares. Accordingly, shares owned directly by the Fund may be regarded as being beneficially owned by Mr. Leonard. Notwithstanding, Mr. Leonard disclaims beneficial ownership of such shares, except to the extent of his pecuniary interest therein.</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sold in multiple transactions at $2.09.</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Braden Michael Leonard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10/27/2022</w:t>
            </w:r>
          </w:p>
        </w:tc>
      </w:tr>
      <w:tr>
        <w:trPr>
          <w:trHeight w:val="20"/>
        </w:trPr>
        <w:tc>
          <w:tcPr>
            <w:tcW w:w="1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03"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2022-10-27T15:41:40Z</dcterms:created>
  <dcterms:modified xsi:type="dcterms:W3CDTF">2022-10-27T15:41:40Z</dcterms:modified>
</cp:coreProperties>
</file>